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278130</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317500</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November 1, 2013</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695325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95" w:lineRule="exact"/>
        <w:rPr>
          <w:sz w:val="24"/>
          <w:szCs w:val="24"/>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181610</wp:posOffset>
            </wp:positionV>
            <wp:extent cx="727837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9" w:right="1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482600</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November 1, 2013, The Washington Post Company issued a press release announcing the Company’s earnings for the third quarter ended Septe 30, 2013. A copy of this press release is furnished with this report as an exhibit to this Form 8-K.</w:t>
      </w: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Exhibit 99.1 The Washington Post Company Earnings Release Dated November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00"/>
          </w:cols>
          <w:pgMar w:left="820" w:top="950" w:right="179" w:bottom="1440" w:gutter="0" w:footer="0" w:header="0"/>
        </w:sectPr>
      </w:pPr>
    </w:p>
    <w:bookmarkStart w:id="2" w:name="page3"/>
    <w:bookmarkEnd w:id="2"/>
    <w:p>
      <w:pPr>
        <w:ind w:left="5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482600</wp:posOffset>
            </wp:positionV>
            <wp:extent cx="69532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ind w:left="580" w:right="40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4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color w:val="auto"/>
              </w:rPr>
              <w:t>The Washington Post Company</w:t>
            </w:r>
          </w:p>
        </w:tc>
        <w:tc>
          <w:tcPr>
            <w:tcW w:w="4680" w:type="dxa"/>
            <w:vAlign w:val="bottom"/>
            <w:gridSpan w:val="2"/>
          </w:tcPr>
          <w:p>
            <w:pPr>
              <w:spacing w:after="0"/>
              <w:rPr>
                <w:sz w:val="16"/>
                <w:szCs w:val="16"/>
                <w:color w:val="auto"/>
              </w:rPr>
            </w:pPr>
          </w:p>
        </w:tc>
      </w:tr>
      <w:tr>
        <w:trPr>
          <w:trHeight w:val="202"/>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80" w:type="dxa"/>
            <w:vAlign w:val="bottom"/>
            <w:gridSpan w:val="4"/>
          </w:tcPr>
          <w:p>
            <w:pPr>
              <w:jc w:val="center"/>
              <w:ind w:right="5040"/>
              <w:spacing w:after="0"/>
              <w:rPr>
                <w:sz w:val="20"/>
                <w:szCs w:val="20"/>
                <w:color w:val="auto"/>
              </w:rPr>
            </w:pPr>
            <w:r>
              <w:rPr>
                <w:rFonts w:ascii="Arial" w:cs="Arial" w:eastAsia="Arial" w:hAnsi="Arial"/>
                <w:sz w:val="17"/>
                <w:szCs w:val="17"/>
                <w:color w:val="auto"/>
                <w:w w:val="96"/>
              </w:rPr>
              <w:t>(Registrant)</w:t>
            </w:r>
          </w:p>
        </w:tc>
      </w:tr>
      <w:tr>
        <w:trPr>
          <w:trHeight w:val="709"/>
        </w:trPr>
        <w:tc>
          <w:tcPr>
            <w:tcW w:w="580" w:type="dxa"/>
            <w:vAlign w:val="bottom"/>
          </w:tcPr>
          <w:p>
            <w:pPr>
              <w:spacing w:after="0"/>
              <w:rPr>
                <w:sz w:val="24"/>
                <w:szCs w:val="24"/>
                <w:color w:val="auto"/>
              </w:rPr>
            </w:pPr>
          </w:p>
        </w:tc>
        <w:tc>
          <w:tcPr>
            <w:tcW w:w="3620" w:type="dxa"/>
            <w:vAlign w:val="bottom"/>
            <w:gridSpan w:val="3"/>
          </w:tcPr>
          <w:p>
            <w:pPr>
              <w:spacing w:after="0"/>
              <w:rPr>
                <w:sz w:val="20"/>
                <w:szCs w:val="20"/>
                <w:color w:val="auto"/>
              </w:rPr>
            </w:pPr>
            <w:r>
              <w:rPr>
                <w:rFonts w:ascii="Arial" w:cs="Arial" w:eastAsia="Arial" w:hAnsi="Arial"/>
                <w:sz w:val="17"/>
                <w:szCs w:val="17"/>
                <w:color w:val="auto"/>
              </w:rPr>
              <w:t>Date November 1, 2013</w:t>
            </w:r>
          </w:p>
        </w:tc>
        <w:tc>
          <w:tcPr>
            <w:tcW w:w="140" w:type="dxa"/>
            <w:vAlign w:val="bottom"/>
          </w:tcPr>
          <w:p>
            <w:pPr>
              <w:spacing w:after="0"/>
              <w:rPr>
                <w:sz w:val="24"/>
                <w:szCs w:val="24"/>
                <w:color w:val="auto"/>
              </w:rPr>
            </w:pPr>
          </w:p>
        </w:tc>
        <w:tc>
          <w:tcPr>
            <w:tcW w:w="7180" w:type="dxa"/>
            <w:vAlign w:val="bottom"/>
            <w:gridSpan w:val="4"/>
          </w:tcPr>
          <w:p>
            <w:pPr>
              <w:ind w:left="600"/>
              <w:spacing w:after="0"/>
              <w:rPr>
                <w:sz w:val="20"/>
                <w:szCs w:val="20"/>
                <w:color w:val="auto"/>
              </w:rPr>
            </w:pPr>
            <w:r>
              <w:rPr>
                <w:rFonts w:ascii="Arial" w:cs="Arial" w:eastAsia="Arial" w:hAnsi="Arial"/>
                <w:sz w:val="17"/>
                <w:szCs w:val="17"/>
                <w:color w:val="auto"/>
              </w:rPr>
              <w:t>/s/ Hal S. Jones</w:t>
            </w:r>
          </w:p>
        </w:tc>
      </w:tr>
      <w:tr>
        <w:trPr>
          <w:trHeight w:val="190"/>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tcBorders>
              <w:top w:val="single" w:sz="8" w:color="auto"/>
            </w:tcBorders>
          </w:tcPr>
          <w:p>
            <w:pPr>
              <w:jc w:val="right"/>
              <w:ind w:right="797"/>
              <w:spacing w:after="0" w:line="190" w:lineRule="exact"/>
              <w:rPr>
                <w:sz w:val="20"/>
                <w:szCs w:val="20"/>
                <w:color w:val="auto"/>
              </w:rPr>
            </w:pPr>
            <w:r>
              <w:rPr>
                <w:rFonts w:ascii="Arial" w:cs="Arial" w:eastAsia="Arial" w:hAnsi="Arial"/>
                <w:sz w:val="17"/>
                <w:szCs w:val="17"/>
                <w:color w:val="auto"/>
              </w:rPr>
              <w:t>Hal S. Jones</w:t>
            </w:r>
          </w:p>
        </w:tc>
        <w:tc>
          <w:tcPr>
            <w:tcW w:w="4860" w:type="dxa"/>
            <w:vAlign w:val="bottom"/>
            <w:gridSpan w:val="3"/>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320" w:type="dxa"/>
            <w:vAlign w:val="bottom"/>
            <w:gridSpan w:val="5"/>
          </w:tcPr>
          <w:p>
            <w:pPr>
              <w:jc w:val="center"/>
              <w:ind w:right="4900"/>
              <w:spacing w:after="0" w:line="186" w:lineRule="exact"/>
              <w:rPr>
                <w:sz w:val="20"/>
                <w:szCs w:val="20"/>
                <w:color w:val="auto"/>
              </w:rPr>
            </w:pPr>
            <w:r>
              <w:rPr>
                <w:rFonts w:ascii="Arial" w:cs="Arial" w:eastAsia="Arial" w:hAnsi="Arial"/>
                <w:sz w:val="17"/>
                <w:szCs w:val="17"/>
                <w:color w:val="auto"/>
                <w:w w:val="97"/>
              </w:rPr>
              <w:t>Senior Vice President - Finance</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80" w:type="dxa"/>
            <w:vAlign w:val="bottom"/>
            <w:gridSpan w:val="4"/>
          </w:tcPr>
          <w:p>
            <w:pPr>
              <w:ind w:left="40"/>
              <w:spacing w:after="0"/>
              <w:rPr>
                <w:sz w:val="20"/>
                <w:szCs w:val="20"/>
                <w:color w:val="auto"/>
              </w:rPr>
            </w:pPr>
            <w:r>
              <w:rPr>
                <w:rFonts w:ascii="Arial" w:cs="Arial" w:eastAsia="Arial" w:hAnsi="Arial"/>
                <w:sz w:val="17"/>
                <w:szCs w:val="17"/>
                <w:color w:val="auto"/>
              </w:rPr>
              <w:t>(Principal Financial Officer)</w:t>
            </w:r>
          </w:p>
        </w:tc>
      </w:tr>
      <w:tr>
        <w:trPr>
          <w:trHeight w:val="763"/>
        </w:trPr>
        <w:tc>
          <w:tcPr>
            <w:tcW w:w="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60" w:type="dxa"/>
            <w:vAlign w:val="bottom"/>
            <w:gridSpan w:val="2"/>
          </w:tcPr>
          <w:p>
            <w:pPr>
              <w:jc w:val="right"/>
              <w:ind w:right="237"/>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950" w:right="1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482600</wp:posOffset>
            </wp:positionV>
            <wp:extent cx="695325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38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The Washington Post Company Earnings Release dated November 1, 2013.</w:t>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950"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Contact:</w:t>
            </w:r>
          </w:p>
        </w:tc>
        <w:tc>
          <w:tcPr>
            <w:tcW w:w="5300" w:type="dxa"/>
            <w:vAlign w:val="bottom"/>
          </w:tcPr>
          <w:p>
            <w:pPr>
              <w:ind w:left="280"/>
              <w:spacing w:after="0"/>
              <w:rPr>
                <w:sz w:val="20"/>
                <w:szCs w:val="20"/>
                <w:color w:val="auto"/>
              </w:rPr>
            </w:pPr>
            <w:r>
              <w:rPr>
                <w:rFonts w:ascii="Arial" w:cs="Arial" w:eastAsia="Arial" w:hAnsi="Arial"/>
                <w:sz w:val="17"/>
                <w:szCs w:val="17"/>
                <w:color w:val="auto"/>
              </w:rPr>
              <w:t>Hal S. Jones</w:t>
            </w:r>
          </w:p>
        </w:tc>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6"/>
              </w:rPr>
              <w:t>For Immediate Release</w:t>
            </w:r>
          </w:p>
        </w:tc>
      </w:tr>
      <w:tr>
        <w:trPr>
          <w:trHeight w:val="202"/>
        </w:trPr>
        <w:tc>
          <w:tcPr>
            <w:tcW w:w="880" w:type="dxa"/>
            <w:vAlign w:val="bottom"/>
          </w:tcPr>
          <w:p>
            <w:pPr>
              <w:spacing w:after="0"/>
              <w:rPr>
                <w:sz w:val="17"/>
                <w:szCs w:val="17"/>
                <w:color w:val="auto"/>
              </w:rPr>
            </w:pPr>
          </w:p>
        </w:tc>
        <w:tc>
          <w:tcPr>
            <w:tcW w:w="5300" w:type="dxa"/>
            <w:vAlign w:val="bottom"/>
          </w:tcPr>
          <w:p>
            <w:pPr>
              <w:ind w:left="260"/>
              <w:spacing w:after="0"/>
              <w:rPr>
                <w:sz w:val="20"/>
                <w:szCs w:val="20"/>
                <w:color w:val="auto"/>
              </w:rPr>
            </w:pPr>
            <w:r>
              <w:rPr>
                <w:rFonts w:ascii="Arial" w:cs="Arial" w:eastAsia="Arial" w:hAnsi="Arial"/>
                <w:sz w:val="17"/>
                <w:szCs w:val="17"/>
                <w:color w:val="auto"/>
              </w:rPr>
              <w:t>(202) 334-6645</w:t>
            </w:r>
          </w:p>
        </w:tc>
        <w:tc>
          <w:tcPr>
            <w:tcW w:w="1720" w:type="dxa"/>
            <w:vAlign w:val="bottom"/>
          </w:tcPr>
          <w:p>
            <w:pPr>
              <w:ind w:left="80"/>
              <w:spacing w:after="0"/>
              <w:rPr>
                <w:sz w:val="20"/>
                <w:szCs w:val="20"/>
                <w:color w:val="auto"/>
              </w:rPr>
            </w:pPr>
            <w:r>
              <w:rPr>
                <w:rFonts w:ascii="Arial" w:cs="Arial" w:eastAsia="Arial" w:hAnsi="Arial"/>
                <w:sz w:val="17"/>
                <w:szCs w:val="17"/>
                <w:color w:val="auto"/>
              </w:rPr>
              <w:t>November 1, 2013</w:t>
            </w:r>
          </w:p>
        </w:tc>
      </w:tr>
    </w:tbl>
    <w:p>
      <w:pPr>
        <w:spacing w:after="0" w:line="35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THE WASHINGTON POST COMPANY REPORTS</w:t>
      </w:r>
    </w:p>
    <w:p>
      <w:pPr>
        <w:jc w:val="center"/>
        <w:ind w:left="1160"/>
        <w:spacing w:after="0"/>
        <w:rPr>
          <w:sz w:val="20"/>
          <w:szCs w:val="20"/>
          <w:color w:val="auto"/>
        </w:rPr>
      </w:pPr>
      <w:r>
        <w:rPr>
          <w:rFonts w:ascii="Arial" w:cs="Arial" w:eastAsia="Arial" w:hAnsi="Arial"/>
          <w:sz w:val="17"/>
          <w:szCs w:val="17"/>
          <w:color w:val="auto"/>
        </w:rPr>
        <w:t>THIRD QUARTER EARNINGS</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WASHINGTON – The Washington Post Company (NYSE: WPO) today reported income from continuing operations attributable to common shares of million ($ 7.53 per share) for the third quarter of 2013, compared to $56.3 million ($7.58 per share) for the third quarter of 2012. Net income attributable common shares was $30.1 million ($ 4.05 per share) for the third quarter ended September 30, 2013, compared to $93.8 million ($12.64 per share) for third quarter of last year. Net income includes $25.9 million ($3.48 per share) in losses and $37.5 million ($5.06 per share) in income from discontinue operations for the third quarter of 2013 and 2012, respectively (refer to “Discontinued Operations” discussion below).</w:t>
      </w:r>
    </w:p>
    <w:p>
      <w:pPr>
        <w:spacing w:after="0" w:line="17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On October 1, 2013, the Company completed the sale of most of its newspaper publishing businesses, including The Washington Post. Consequently, Company's income from continuing operations for the third quarter and year-to-date periods excludes these sold businesses, which have been reclass to discontinued operations for all periods presented.</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results for the third quarter of 2013 and 2012 were affected by a number of items as described in the following paragraphs. Excluding these items income from continuing operations attributable to common shares was $54.0 million ($7.26 per share) for the third quarter of 2013, compared to $57.0 million ($7.69 per share) for the third quarter of 2012. (Refer to the Non-GAAP Financial Information schedule at the end of this release for additional details.)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third quarter of 2013:</w:t>
      </w:r>
    </w:p>
    <w:p>
      <w:pPr>
        <w:spacing w:after="0" w:line="140" w:lineRule="exact"/>
        <w:rPr>
          <w:sz w:val="20"/>
          <w:szCs w:val="20"/>
          <w:color w:val="auto"/>
        </w:rPr>
      </w:pPr>
    </w:p>
    <w:p>
      <w:pPr>
        <w:ind w:left="260" w:hanging="115"/>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$4.0 million in severance and restructuring charges at the education division (after-tax impact of $3.1 million, or $0.42 per share); and</w:t>
      </w:r>
    </w:p>
    <w:p>
      <w:pPr>
        <w:spacing w:after="0" w:line="77" w:lineRule="exact"/>
        <w:rPr>
          <w:rFonts w:ascii="Arial" w:cs="Arial" w:eastAsia="Arial" w:hAnsi="Arial"/>
          <w:sz w:val="17"/>
          <w:szCs w:val="17"/>
          <w:color w:val="auto"/>
        </w:rPr>
      </w:pPr>
    </w:p>
    <w:p>
      <w:pPr>
        <w:ind w:left="260" w:hanging="120"/>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$7.9 million in non-operating unrealized foreign currency gains (after-tax impact of $5.0 million, or $0.69 per share).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third quarter of 2012:</w:t>
      </w:r>
    </w:p>
    <w:p>
      <w:pPr>
        <w:spacing w:after="0" w:line="140" w:lineRule="exact"/>
        <w:rPr>
          <w:sz w:val="20"/>
          <w:szCs w:val="20"/>
          <w:color w:val="auto"/>
        </w:rPr>
      </w:pPr>
    </w:p>
    <w:p>
      <w:pPr>
        <w:ind w:left="260" w:hanging="11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$4.3 million in severance and restructuring charges at the education division (after-tax impact of $2.7 million, or $0.37 per share); and</w:t>
      </w:r>
    </w:p>
    <w:p>
      <w:pPr>
        <w:spacing w:after="0" w:line="77" w:lineRule="exact"/>
        <w:rPr>
          <w:rFonts w:ascii="Arial" w:cs="Arial" w:eastAsia="Arial" w:hAnsi="Arial"/>
          <w:sz w:val="17"/>
          <w:szCs w:val="17"/>
          <w:color w:val="auto"/>
        </w:rPr>
      </w:pPr>
    </w:p>
    <w:p>
      <w:pPr>
        <w:ind w:left="260" w:hanging="11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$3.1 million in non-operating unrealized foreign currency gains (after-tax impact of $1.9 million, or $0.26 per share).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Revenue for the third quarter of 2013 was $902.5 million, up 3% from $877.6 million in the third quarter of 2012. The Company reported operating inco $81.9 million in the third quarter of 2013, compared to operating income of $93.2 million in the third quarter of 2012. Revenues increased at the cable television division and in other businesses, offset by declines at the television broadcasting and education divisions. Operating results declined at the television broadcasting division and declined very slightly at the cable television division, offset by improved results at the education division.</w:t>
      </w:r>
    </w:p>
    <w:p>
      <w:pPr>
        <w:spacing w:after="0" w:line="170"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For the first nine months of 2013, the Company reported income from continuing operations attributable to common shares of $134.3 million ($18.07 p share), compared to $ 122.1 million ($16.17 per share) for the first nine months of 2012. Net income attributable to common shares was $79.5 million ($10.70 per share) for the first nine months of 2013, compared to $176.7 million ($23.39 per share) for the same period of 2012. Net income includes million ($7.37 per share) in losses and $54.5 million ($7.22 per share) in income from discontinued operations for the first nine months of 2013 and 20 respectively (refer to “Discontinued Operations” discussion below). As a result of the Company’s share repurchases, there were 3% fewer diluted aver shares outstanding in the first nine months of 2013.</w:t>
      </w:r>
    </w:p>
    <w:p>
      <w:pPr>
        <w:spacing w:after="0" w:line="19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results for the first nine months of 2013 and 2012 were affected by a number of significant items as described in the following paragraphs. Excludi these items, income from continuing operations attributable to common shares was</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6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03" w:right="139" w:bottom="1440" w:gutter="0" w:footer="0" w:header="0"/>
        </w:sectPr>
      </w:pPr>
    </w:p>
    <w:bookmarkStart w:id="6" w:name="page7"/>
    <w:bookmarkEnd w:id="6"/>
    <w:p>
      <w:pPr>
        <w:ind w:right="20"/>
        <w:spacing w:after="0" w:line="235" w:lineRule="auto"/>
        <w:rPr>
          <w:sz w:val="20"/>
          <w:szCs w:val="20"/>
          <w:color w:val="auto"/>
        </w:rPr>
      </w:pPr>
      <w:r>
        <w:rPr>
          <w:rFonts w:ascii="Arial" w:cs="Arial" w:eastAsia="Arial" w:hAnsi="Arial"/>
          <w:sz w:val="17"/>
          <w:szCs w:val="17"/>
          <w:color w:val="auto"/>
        </w:rPr>
        <w:t>$153.3 million ($20.69 per share) for the first nine months of 2013, compared to $122.3 million ($16.20 per share) for the first nine months of 2012. (R the Non-GAAP Financial Information schedule at the end of this release for additional details.)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nine months of 2013:</w:t>
      </w:r>
    </w:p>
    <w:p>
      <w:pPr>
        <w:spacing w:after="0" w:line="140" w:lineRule="exact"/>
        <w:rPr>
          <w:sz w:val="20"/>
          <w:szCs w:val="20"/>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$18.3 million in severance and restructuring charges at the education division (after-tax impact of $13.1 million, or $1.79 per share); and</w:t>
      </w:r>
    </w:p>
    <w:p>
      <w:pPr>
        <w:spacing w:after="0" w:line="89" w:lineRule="exact"/>
        <w:rPr>
          <w:rFonts w:ascii="Arial" w:cs="Arial" w:eastAsia="Arial" w:hAnsi="Arial"/>
          <w:sz w:val="17"/>
          <w:szCs w:val="17"/>
          <w:color w:val="auto"/>
        </w:rPr>
      </w:pPr>
    </w:p>
    <w:p>
      <w:pPr>
        <w:ind w:left="260" w:hanging="120"/>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$9.4 million in non-operating unrealized foreign currency losses (after-tax impact of $6.0 million, or $0.83 per share).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nine months of 2012:</w:t>
      </w:r>
    </w:p>
    <w:p>
      <w:pPr>
        <w:spacing w:after="0" w:line="140" w:lineRule="exact"/>
        <w:rPr>
          <w:sz w:val="20"/>
          <w:szCs w:val="20"/>
          <w:color w:val="auto"/>
        </w:rPr>
      </w:pPr>
    </w:p>
    <w:p>
      <w:pPr>
        <w:ind w:left="260" w:hanging="115"/>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$9.3 million in severance and restructuring charges at the education division (after-tax impact of $5.8 million, or $0.78 per share);</w:t>
      </w:r>
    </w:p>
    <w:p>
      <w:pPr>
        <w:spacing w:after="0" w:line="77" w:lineRule="exact"/>
        <w:rPr>
          <w:rFonts w:ascii="Arial" w:cs="Arial" w:eastAsia="Arial" w:hAnsi="Arial"/>
          <w:sz w:val="17"/>
          <w:szCs w:val="17"/>
          <w:color w:val="auto"/>
        </w:rPr>
      </w:pPr>
    </w:p>
    <w:p>
      <w:pPr>
        <w:ind w:left="260" w:hanging="115"/>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$5.8 million gain on the sale of a cost method investment (after-tax impact of $3.7 million, or $0.48 per share); and</w:t>
      </w:r>
    </w:p>
    <w:p>
      <w:pPr>
        <w:spacing w:after="0" w:line="89" w:lineRule="exact"/>
        <w:rPr>
          <w:rFonts w:ascii="Arial" w:cs="Arial" w:eastAsia="Arial" w:hAnsi="Arial"/>
          <w:sz w:val="17"/>
          <w:szCs w:val="17"/>
          <w:color w:val="auto"/>
        </w:rPr>
      </w:pPr>
    </w:p>
    <w:p>
      <w:pPr>
        <w:ind w:left="260" w:hanging="120"/>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$3.2 million in non-operating unrealized foreign currency gains (after-tax impact of $2.0 million, or $0.27 per share).</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Revenue for the first nine months of 2013 was $2,628.9 million, up 3% from $2,559.7 million in the first nine months of 2012. Revenues increased at t cable television division and in other businesses, offset by declines at the television broadcasting and education divisions. The Company reported ope income of $240.0 million for the first nine months of 2013, compared to $202.1 million for the first nine months of 2012. Operating results improved at t education and cable television divisions, offset by a decline at the television broadcasting division.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6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Education division revenue totaled $546.5 million for the third quarter of 2013, a 1% decline from revenue of $551.7 million for the third quarter of 201 Kaplan reported third quarter 2013 operating income of $17.0 million, compared to $14.7 million in the third quarter of 2012.</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the first nine months of 2013, education division revenue totaled $1,622.5 million, a 2% decline from revenue of $1,650.2 million for the same peri 2012. Kaplan reported operating income of $36.7 million for the first nine months of 2013, compared to operating income of $6.5 million for the first nin months of 2012.</w:t>
      </w:r>
    </w:p>
    <w:p>
      <w:pPr>
        <w:spacing w:after="0" w:line="138"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response to student demand levels, Kaplan has formulated and implemented restructuring plans at its various businesses, with the objective of establishing lower cost levels in future periods. Across all businesses, restructuring costs totaled $4.0 million and $18.3 million in the third quarter and nine months of 2013, respectively, compared to $4.3 million and $9.3 million in the third quarter and first nine months of 2012, respectively. In conjunct with completing these restructuring plans at Kaplan Higher Education (KHE) and Kaplan International, Kaplan currently plans to incur approximately $ million in additional restructuring costs for the remainder of 2013. Kaplan may also incur additional restructuring charges in 2013 as Kaplan managem continues to evaluate its cost structure.</w:t>
      </w:r>
    </w:p>
    <w:p>
      <w:pPr>
        <w:spacing w:after="0" w:line="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A summary of Kaplan’s operating results for the third quarter and the first nine months of 2013 compared to 2012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2"/>
                <w:szCs w:val="12"/>
                <w:b w:val="1"/>
                <w:bCs w:val="1"/>
                <w:color w:val="auto"/>
              </w:rPr>
              <w:t>Three Months Ended September 30,</w:t>
            </w:r>
          </w:p>
        </w:tc>
        <w:tc>
          <w:tcPr>
            <w:tcW w:w="1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2"/>
                <w:szCs w:val="12"/>
                <w:b w:val="1"/>
                <w:bCs w:val="1"/>
                <w:color w:val="auto"/>
              </w:rPr>
              <w:t>Nine Months Ended September 30,</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7"/>
              <w:spacing w:after="0" w:line="129" w:lineRule="exact"/>
              <w:rPr>
                <w:sz w:val="20"/>
                <w:szCs w:val="20"/>
                <w:color w:val="auto"/>
              </w:rPr>
            </w:pPr>
            <w:r>
              <w:rPr>
                <w:rFonts w:ascii="Arial" w:cs="Arial" w:eastAsia="Arial" w:hAnsi="Arial"/>
                <w:sz w:val="12"/>
                <w:szCs w:val="12"/>
                <w:b w:val="1"/>
                <w:bCs w:val="1"/>
                <w:color w:val="auto"/>
              </w:rPr>
              <w:t>2013</w:t>
            </w: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6"/>
              <w:spacing w:after="0" w:line="129" w:lineRule="exact"/>
              <w:rPr>
                <w:sz w:val="20"/>
                <w:szCs w:val="20"/>
                <w:color w:val="auto"/>
              </w:rPr>
            </w:pPr>
            <w:r>
              <w:rPr>
                <w:rFonts w:ascii="Arial" w:cs="Arial" w:eastAsia="Arial" w:hAnsi="Arial"/>
                <w:sz w:val="12"/>
                <w:szCs w:val="12"/>
                <w:color w:val="auto"/>
              </w:rPr>
              <w:t>2012</w:t>
            </w:r>
          </w:p>
        </w:tc>
        <w:tc>
          <w:tcPr>
            <w:tcW w:w="1120" w:type="dxa"/>
            <w:vAlign w:val="bottom"/>
            <w:tcBorders>
              <w:bottom w:val="single" w:sz="8" w:color="auto"/>
            </w:tcBorders>
          </w:tcPr>
          <w:p>
            <w:pPr>
              <w:jc w:val="right"/>
              <w:ind w:right="246"/>
              <w:spacing w:after="0" w:line="129" w:lineRule="exact"/>
              <w:rPr>
                <w:sz w:val="20"/>
                <w:szCs w:val="20"/>
                <w:color w:val="auto"/>
              </w:rPr>
            </w:pPr>
            <w:r>
              <w:rPr>
                <w:rFonts w:ascii="Arial" w:cs="Arial" w:eastAsia="Arial" w:hAnsi="Arial"/>
                <w:sz w:val="12"/>
                <w:szCs w:val="12"/>
                <w:color w:val="auto"/>
              </w:rPr>
              <w:t>% Change</w:t>
            </w: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07"/>
              <w:spacing w:after="0" w:line="129" w:lineRule="exact"/>
              <w:rPr>
                <w:sz w:val="20"/>
                <w:szCs w:val="20"/>
                <w:color w:val="auto"/>
              </w:rPr>
            </w:pPr>
            <w:r>
              <w:rPr>
                <w:rFonts w:ascii="Arial" w:cs="Arial" w:eastAsia="Arial" w:hAnsi="Arial"/>
                <w:sz w:val="12"/>
                <w:szCs w:val="12"/>
                <w:b w:val="1"/>
                <w:bCs w:val="1"/>
                <w:color w:val="auto"/>
              </w:rPr>
              <w:t>2013</w:t>
            </w:r>
          </w:p>
        </w:tc>
        <w:tc>
          <w:tcPr>
            <w:tcW w:w="3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86"/>
              <w:spacing w:after="0" w:line="129" w:lineRule="exact"/>
              <w:rPr>
                <w:sz w:val="20"/>
                <w:szCs w:val="20"/>
                <w:color w:val="auto"/>
              </w:rPr>
            </w:pPr>
            <w:r>
              <w:rPr>
                <w:rFonts w:ascii="Arial" w:cs="Arial" w:eastAsia="Arial" w:hAnsi="Arial"/>
                <w:sz w:val="12"/>
                <w:szCs w:val="12"/>
                <w:color w:val="auto"/>
              </w:rPr>
              <w:t>2012</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 Ch</w:t>
            </w:r>
          </w:p>
        </w:tc>
        <w:tc>
          <w:tcPr>
            <w:tcW w:w="0" w:type="dxa"/>
            <w:vAlign w:val="bottom"/>
          </w:tcPr>
          <w:p>
            <w:pPr>
              <w:spacing w:after="0"/>
              <w:rPr>
                <w:sz w:val="1"/>
                <w:szCs w:val="1"/>
                <w:color w:val="auto"/>
              </w:rPr>
            </w:pPr>
          </w:p>
        </w:tc>
      </w:tr>
      <w:tr>
        <w:trPr>
          <w:trHeight w:val="168"/>
        </w:trPr>
        <w:tc>
          <w:tcPr>
            <w:tcW w:w="344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4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22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rPr>
              <w:t>266,061</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811,013</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4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273,703</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(3)</w:t>
            </w:r>
          </w:p>
        </w:tc>
        <w:tc>
          <w:tcPr>
            <w:tcW w:w="32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3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872,948</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77,431</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81,151</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(5)</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232,064</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223,767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201,305</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194,158</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4</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574,086</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546,862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2,223</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3,809</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(42)</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6,496</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10,283</w:t>
            </w:r>
          </w:p>
        </w:tc>
        <w:tc>
          <w:tcPr>
            <w:tcW w:w="5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344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(568)</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(1,125)</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(1,162)</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b w:val="1"/>
                <w:bCs w:val="1"/>
                <w:color w:val="auto"/>
              </w:rPr>
              <w:t>546,452</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551,696</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1,622,497</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1,650,155</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34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22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rPr>
              <w:t>14,719</w:t>
            </w: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42,354</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4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4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1,510</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w:t>
            </w:r>
          </w:p>
        </w:tc>
        <w:tc>
          <w:tcPr>
            <w:tcW w:w="32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3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16,329</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3,820</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3,446</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11</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7,306</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(4,067)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12,020</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20,365</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(41)</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24,907</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34,293</w:t>
            </w: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(13,680)</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(10,852)</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(26)</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(38,243)</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(40,628)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156</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381</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b w:val="1"/>
                <w:bCs w:val="1"/>
                <w:color w:val="auto"/>
              </w:rPr>
              <w:t>17,035</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14,693</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16</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36,705</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6,506</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KHE includes Kaplan’s domestic postsecondary education businesses, made up of fixed-facility colleges and online postsecondary and career progra KHE also includes the domestic professional training and other continuing education businesses.</w:t>
      </w:r>
    </w:p>
    <w:p>
      <w:pPr>
        <w:spacing w:after="0" w:line="138"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2012, KHE began implementing plans to close or merge 13 ground campuses, consolidate other facilities and reduce its workforce. In connection w these and other plans, KHE incurred $2.5 million and $ 14.1 million in total restructuring costs in the third quarter and first nine months of 2013, respec compared to $2.7 million and $6.5 million in severance and restructuring costs for the third quarter and first nine months of 2012, respectively. For the quarter of 2013, these costs included accelerated depreciation ($0.8 million), severance ($1.6 million) and lease obligation losses ($0.1 million). For th nine months of 2013, these costs included accelerated depreciation ($5.8 million), severance ($3.0 million), lease obligation losses ($4.4 million) and o items ($0.9 million). In the first nine months of 2013, ten KHE campuses were closed. For the third quarter and first nine months of 2012, restructuring were mostly severance, but also included $0.6 million in accelerated depreciation.</w:t>
      </w:r>
    </w:p>
    <w:p>
      <w:pPr>
        <w:spacing w:after="0" w:line="141" w:lineRule="exact"/>
        <w:rPr>
          <w:sz w:val="20"/>
          <w:szCs w:val="20"/>
          <w:color w:val="auto"/>
        </w:rPr>
      </w:pPr>
    </w:p>
    <w:p>
      <w:pPr>
        <w:ind w:right="400"/>
        <w:spacing w:after="0" w:line="235" w:lineRule="auto"/>
        <w:rPr>
          <w:sz w:val="20"/>
          <w:szCs w:val="20"/>
          <w:color w:val="auto"/>
        </w:rPr>
      </w:pPr>
      <w:r>
        <w:rPr>
          <w:rFonts w:ascii="Arial" w:cs="Arial" w:eastAsia="Arial" w:hAnsi="Arial"/>
          <w:sz w:val="17"/>
          <w:szCs w:val="17"/>
          <w:color w:val="auto"/>
        </w:rPr>
        <w:t>In the third quarter and first nine months of 2013, higher education revenue declined 3% and 7%, respectively, due largely to declines in average enrollments that reflect weaker market demand over the past year and the impact of campuses in the process of closing.</w:t>
      </w:r>
    </w:p>
    <w:p>
      <w:pPr>
        <w:spacing w:after="0" w:line="176"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KHE operating income increased significantly in the third quarter and first nine months of 2013, due largely to expense reductions associated with low enrollments and recent restructuring efforts.</w:t>
      </w:r>
    </w:p>
    <w:p>
      <w:pPr>
        <w:spacing w:after="0" w:line="176" w:lineRule="exact"/>
        <w:rPr>
          <w:sz w:val="20"/>
          <w:szCs w:val="20"/>
          <w:color w:val="auto"/>
        </w:rPr>
      </w:pPr>
    </w:p>
    <w:p>
      <w:pPr>
        <w:jc w:val="both"/>
        <w:ind w:right="40"/>
        <w:spacing w:after="0" w:line="228" w:lineRule="auto"/>
        <w:rPr>
          <w:sz w:val="20"/>
          <w:szCs w:val="20"/>
          <w:color w:val="auto"/>
        </w:rPr>
      </w:pPr>
      <w:r>
        <w:rPr>
          <w:rFonts w:ascii="Arial" w:cs="Arial" w:eastAsia="Arial" w:hAnsi="Arial"/>
          <w:sz w:val="17"/>
          <w:szCs w:val="17"/>
          <w:color w:val="auto"/>
        </w:rPr>
        <w:t>New student enrollments at KHE declined 7% and 1% in the third quarter and first nine months of 2013, respectively. New student enrollments were d due to the impact of closed campuses and those planned for closure that are no longer recruiting students, offset by the positive impact of trial period modifications and process improvements.</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97" w:right="139" w:bottom="1440" w:gutter="0" w:footer="0" w:header="0"/>
        </w:sectPr>
      </w:pPr>
    </w:p>
    <w:bookmarkStart w:id="8" w:name="page9"/>
    <w:bookmarkEnd w:id="8"/>
    <w:p>
      <w:pPr>
        <w:spacing w:after="0" w:line="233" w:lineRule="auto"/>
        <w:rPr>
          <w:sz w:val="20"/>
          <w:szCs w:val="20"/>
          <w:color w:val="auto"/>
        </w:rPr>
      </w:pPr>
      <w:r>
        <w:rPr>
          <w:rFonts w:ascii="Arial" w:cs="Arial" w:eastAsia="Arial" w:hAnsi="Arial"/>
          <w:sz w:val="17"/>
          <w:szCs w:val="17"/>
          <w:color w:val="auto"/>
        </w:rPr>
        <w:t>Total students at September 30, 2013, were down 11% compared to September 30, 2012, but increased 5% compared to June 30, 2013. Excluding campuses closed or planned for closure, total students at September 30, 2013, were down 7% compared to September 30, 2012, but up 5% compare June 30, 2013. A summary of student enrollments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rPr>
              <w:t>Students as of</w:t>
            </w:r>
          </w:p>
        </w:tc>
        <w:tc>
          <w:tcPr>
            <w:tcW w:w="800" w:type="dxa"/>
            <w:vAlign w:val="bottom"/>
            <w:tcBorders>
              <w:bottom w:val="single" w:sz="8" w:color="auto"/>
            </w:tcBorders>
          </w:tcPr>
          <w:p>
            <w:pPr>
              <w:spacing w:after="0"/>
              <w:rPr>
                <w:sz w:val="13"/>
                <w:szCs w:val="13"/>
                <w:color w:val="auto"/>
              </w:rPr>
            </w:pPr>
          </w:p>
        </w:tc>
      </w:tr>
      <w:tr>
        <w:trPr>
          <w:trHeight w:val="114"/>
        </w:trPr>
        <w:tc>
          <w:tcPr>
            <w:tcW w:w="7200" w:type="dxa"/>
            <w:vAlign w:val="bottom"/>
          </w:tcPr>
          <w:p>
            <w:pPr>
              <w:spacing w:after="0"/>
              <w:rPr>
                <w:sz w:val="9"/>
                <w:szCs w:val="9"/>
                <w:color w:val="auto"/>
              </w:rPr>
            </w:pPr>
          </w:p>
        </w:tc>
        <w:tc>
          <w:tcPr>
            <w:tcW w:w="1460" w:type="dxa"/>
            <w:vAlign w:val="bottom"/>
          </w:tcPr>
          <w:p>
            <w:pPr>
              <w:jc w:val="center"/>
              <w:ind w:right="131"/>
              <w:spacing w:after="0" w:line="114" w:lineRule="exact"/>
              <w:rPr>
                <w:sz w:val="20"/>
                <w:szCs w:val="20"/>
                <w:color w:val="auto"/>
              </w:rPr>
            </w:pPr>
            <w:r>
              <w:rPr>
                <w:rFonts w:ascii="Arial" w:cs="Arial" w:eastAsia="Arial" w:hAnsi="Arial"/>
                <w:sz w:val="12"/>
                <w:szCs w:val="12"/>
                <w:b w:val="1"/>
                <w:bCs w:val="1"/>
                <w:color w:val="auto"/>
              </w:rPr>
              <w:t>September 30,</w:t>
            </w:r>
          </w:p>
        </w:tc>
        <w:tc>
          <w:tcPr>
            <w:tcW w:w="1480" w:type="dxa"/>
            <w:vAlign w:val="bottom"/>
          </w:tcPr>
          <w:p>
            <w:pPr>
              <w:jc w:val="center"/>
              <w:ind w:right="92"/>
              <w:spacing w:after="0" w:line="114" w:lineRule="exact"/>
              <w:rPr>
                <w:sz w:val="20"/>
                <w:szCs w:val="20"/>
                <w:color w:val="auto"/>
              </w:rPr>
            </w:pPr>
            <w:r>
              <w:rPr>
                <w:rFonts w:ascii="Arial" w:cs="Arial" w:eastAsia="Arial" w:hAnsi="Arial"/>
                <w:sz w:val="12"/>
                <w:szCs w:val="12"/>
                <w:color w:val="auto"/>
              </w:rPr>
              <w:t>June 30,</w:t>
            </w:r>
          </w:p>
        </w:tc>
        <w:tc>
          <w:tcPr>
            <w:tcW w:w="800" w:type="dxa"/>
            <w:vAlign w:val="bottom"/>
          </w:tcPr>
          <w:p>
            <w:pPr>
              <w:jc w:val="right"/>
              <w:spacing w:after="0" w:line="114" w:lineRule="exact"/>
              <w:rPr>
                <w:sz w:val="20"/>
                <w:szCs w:val="20"/>
                <w:color w:val="auto"/>
              </w:rPr>
            </w:pPr>
            <w:r>
              <w:rPr>
                <w:rFonts w:ascii="Arial" w:cs="Arial" w:eastAsia="Arial" w:hAnsi="Arial"/>
                <w:sz w:val="12"/>
                <w:szCs w:val="12"/>
                <w:color w:val="auto"/>
              </w:rPr>
              <w:t>Septembe</w:t>
            </w:r>
          </w:p>
        </w:tc>
      </w:tr>
      <w:tr>
        <w:trPr>
          <w:trHeight w:val="151"/>
        </w:trPr>
        <w:tc>
          <w:tcPr>
            <w:tcW w:w="7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rPr>
              <w:t>2013</w:t>
            </w:r>
          </w:p>
        </w:tc>
        <w:tc>
          <w:tcPr>
            <w:tcW w:w="148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color w:val="auto"/>
              </w:rPr>
              <w:t>2013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460" w:type="dxa"/>
            <w:vAlign w:val="bottom"/>
          </w:tcPr>
          <w:p>
            <w:pPr>
              <w:jc w:val="right"/>
              <w:ind w:right="171"/>
              <w:spacing w:after="0" w:line="150" w:lineRule="exact"/>
              <w:rPr>
                <w:sz w:val="20"/>
                <w:szCs w:val="20"/>
                <w:color w:val="auto"/>
              </w:rPr>
            </w:pPr>
            <w:r>
              <w:rPr>
                <w:rFonts w:ascii="Arial" w:cs="Arial" w:eastAsia="Arial" w:hAnsi="Arial"/>
                <w:sz w:val="15"/>
                <w:szCs w:val="15"/>
                <w:b w:val="1"/>
                <w:bCs w:val="1"/>
                <w:color w:val="auto"/>
              </w:rPr>
              <w:t>46,340</w:t>
            </w:r>
          </w:p>
        </w:tc>
        <w:tc>
          <w:tcPr>
            <w:tcW w:w="1480" w:type="dxa"/>
            <w:vAlign w:val="bottom"/>
          </w:tcPr>
          <w:p>
            <w:pPr>
              <w:jc w:val="right"/>
              <w:ind w:right="172"/>
              <w:spacing w:after="0" w:line="150" w:lineRule="exact"/>
              <w:rPr>
                <w:sz w:val="20"/>
                <w:szCs w:val="20"/>
                <w:color w:val="auto"/>
              </w:rPr>
            </w:pPr>
            <w:r>
              <w:rPr>
                <w:rFonts w:ascii="Arial" w:cs="Arial" w:eastAsia="Arial" w:hAnsi="Arial"/>
                <w:sz w:val="15"/>
                <w:szCs w:val="15"/>
                <w:color w:val="auto"/>
              </w:rPr>
              <w:t>43,601</w:t>
            </w:r>
          </w:p>
        </w:tc>
        <w:tc>
          <w:tcPr>
            <w:tcW w:w="80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Other Campuses</w:t>
            </w:r>
          </w:p>
        </w:tc>
        <w:tc>
          <w:tcPr>
            <w:tcW w:w="146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18,818</w:t>
            </w:r>
          </w:p>
        </w:tc>
        <w:tc>
          <w:tcPr>
            <w:tcW w:w="1480" w:type="dxa"/>
            <w:vAlign w:val="bottom"/>
            <w:tcBorders>
              <w:bottom w:val="single" w:sz="8" w:color="auto"/>
            </w:tcBorders>
          </w:tcPr>
          <w:p>
            <w:pPr>
              <w:jc w:val="right"/>
              <w:ind w:right="172"/>
              <w:spacing w:after="0"/>
              <w:rPr>
                <w:sz w:val="20"/>
                <w:szCs w:val="20"/>
                <w:color w:val="auto"/>
              </w:rPr>
            </w:pPr>
            <w:r>
              <w:rPr>
                <w:rFonts w:ascii="Arial" w:cs="Arial" w:eastAsia="Arial" w:hAnsi="Arial"/>
                <w:sz w:val="15"/>
                <w:szCs w:val="15"/>
                <w:color w:val="auto"/>
              </w:rPr>
              <w:t>18,591</w:t>
            </w:r>
          </w:p>
        </w:tc>
        <w:tc>
          <w:tcPr>
            <w:tcW w:w="80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460" w:type="dxa"/>
            <w:vAlign w:val="bottom"/>
            <w:tcBorders>
              <w:bottom w:val="single" w:sz="8" w:color="auto"/>
            </w:tcBorders>
          </w:tcPr>
          <w:p>
            <w:pPr>
              <w:jc w:val="right"/>
              <w:ind w:right="171"/>
              <w:spacing w:after="0" w:line="167" w:lineRule="exact"/>
              <w:rPr>
                <w:sz w:val="20"/>
                <w:szCs w:val="20"/>
                <w:color w:val="auto"/>
              </w:rPr>
            </w:pPr>
            <w:r>
              <w:rPr>
                <w:rFonts w:ascii="Arial" w:cs="Arial" w:eastAsia="Arial" w:hAnsi="Arial"/>
                <w:sz w:val="15"/>
                <w:szCs w:val="15"/>
                <w:b w:val="1"/>
                <w:bCs w:val="1"/>
                <w:color w:val="auto"/>
              </w:rPr>
              <w:t>65,158</w:t>
            </w:r>
          </w:p>
        </w:tc>
        <w:tc>
          <w:tcPr>
            <w:tcW w:w="1480" w:type="dxa"/>
            <w:vAlign w:val="bottom"/>
            <w:tcBorders>
              <w:bottom w:val="single" w:sz="8" w:color="auto"/>
            </w:tcBorders>
          </w:tcPr>
          <w:p>
            <w:pPr>
              <w:jc w:val="right"/>
              <w:ind w:right="172"/>
              <w:spacing w:after="0" w:line="167" w:lineRule="exact"/>
              <w:rPr>
                <w:sz w:val="20"/>
                <w:szCs w:val="20"/>
                <w:color w:val="auto"/>
              </w:rPr>
            </w:pPr>
            <w:r>
              <w:rPr>
                <w:rFonts w:ascii="Arial" w:cs="Arial" w:eastAsia="Arial" w:hAnsi="Arial"/>
                <w:sz w:val="15"/>
                <w:szCs w:val="15"/>
                <w:color w:val="auto"/>
              </w:rPr>
              <w:t>62,192</w:t>
            </w:r>
          </w:p>
        </w:tc>
        <w:tc>
          <w:tcPr>
            <w:tcW w:w="80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37"/>
        </w:trPr>
        <w:tc>
          <w:tcPr>
            <w:tcW w:w="72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rPr>
              <w:t>Students as of</w:t>
            </w:r>
          </w:p>
        </w:tc>
        <w:tc>
          <w:tcPr>
            <w:tcW w:w="800" w:type="dxa"/>
            <w:vAlign w:val="bottom"/>
            <w:tcBorders>
              <w:bottom w:val="single" w:sz="8" w:color="auto"/>
            </w:tcBorders>
          </w:tcPr>
          <w:p>
            <w:pPr>
              <w:spacing w:after="0"/>
              <w:rPr>
                <w:sz w:val="24"/>
                <w:szCs w:val="24"/>
                <w:color w:val="auto"/>
              </w:rPr>
            </w:pPr>
          </w:p>
        </w:tc>
      </w:tr>
      <w:tr>
        <w:trPr>
          <w:trHeight w:val="114"/>
        </w:trPr>
        <w:tc>
          <w:tcPr>
            <w:tcW w:w="7200" w:type="dxa"/>
            <w:vAlign w:val="bottom"/>
          </w:tcPr>
          <w:p>
            <w:pPr>
              <w:spacing w:after="0"/>
              <w:rPr>
                <w:sz w:val="9"/>
                <w:szCs w:val="9"/>
                <w:color w:val="auto"/>
              </w:rPr>
            </w:pPr>
          </w:p>
        </w:tc>
        <w:tc>
          <w:tcPr>
            <w:tcW w:w="1460" w:type="dxa"/>
            <w:vAlign w:val="bottom"/>
          </w:tcPr>
          <w:p>
            <w:pPr>
              <w:jc w:val="center"/>
              <w:ind w:right="131"/>
              <w:spacing w:after="0" w:line="114" w:lineRule="exact"/>
              <w:rPr>
                <w:sz w:val="20"/>
                <w:szCs w:val="20"/>
                <w:color w:val="auto"/>
              </w:rPr>
            </w:pPr>
            <w:r>
              <w:rPr>
                <w:rFonts w:ascii="Arial" w:cs="Arial" w:eastAsia="Arial" w:hAnsi="Arial"/>
                <w:sz w:val="12"/>
                <w:szCs w:val="12"/>
                <w:b w:val="1"/>
                <w:bCs w:val="1"/>
                <w:color w:val="auto"/>
              </w:rPr>
              <w:t>September 30,</w:t>
            </w:r>
          </w:p>
        </w:tc>
        <w:tc>
          <w:tcPr>
            <w:tcW w:w="1480" w:type="dxa"/>
            <w:vAlign w:val="bottom"/>
          </w:tcPr>
          <w:p>
            <w:pPr>
              <w:jc w:val="center"/>
              <w:ind w:right="92"/>
              <w:spacing w:after="0" w:line="114" w:lineRule="exact"/>
              <w:rPr>
                <w:sz w:val="20"/>
                <w:szCs w:val="20"/>
                <w:color w:val="auto"/>
              </w:rPr>
            </w:pPr>
            <w:r>
              <w:rPr>
                <w:rFonts w:ascii="Arial" w:cs="Arial" w:eastAsia="Arial" w:hAnsi="Arial"/>
                <w:sz w:val="12"/>
                <w:szCs w:val="12"/>
                <w:color w:val="auto"/>
              </w:rPr>
              <w:t>June 30,</w:t>
            </w:r>
          </w:p>
        </w:tc>
        <w:tc>
          <w:tcPr>
            <w:tcW w:w="800" w:type="dxa"/>
            <w:vAlign w:val="bottom"/>
          </w:tcPr>
          <w:p>
            <w:pPr>
              <w:jc w:val="right"/>
              <w:spacing w:after="0" w:line="114" w:lineRule="exact"/>
              <w:rPr>
                <w:sz w:val="20"/>
                <w:szCs w:val="20"/>
                <w:color w:val="auto"/>
              </w:rPr>
            </w:pPr>
            <w:r>
              <w:rPr>
                <w:rFonts w:ascii="Arial" w:cs="Arial" w:eastAsia="Arial" w:hAnsi="Arial"/>
                <w:sz w:val="12"/>
                <w:szCs w:val="12"/>
                <w:color w:val="auto"/>
              </w:rPr>
              <w:t>Septembe</w:t>
            </w:r>
          </w:p>
        </w:tc>
      </w:tr>
      <w:tr>
        <w:trPr>
          <w:trHeight w:val="151"/>
        </w:trPr>
        <w:tc>
          <w:tcPr>
            <w:tcW w:w="7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(excluding campuses closing)</w:t>
            </w:r>
          </w:p>
        </w:tc>
        <w:tc>
          <w:tcPr>
            <w:tcW w:w="146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rPr>
              <w:t>2013</w:t>
            </w:r>
          </w:p>
        </w:tc>
        <w:tc>
          <w:tcPr>
            <w:tcW w:w="148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color w:val="auto"/>
              </w:rPr>
              <w:t>2013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460" w:type="dxa"/>
            <w:vAlign w:val="bottom"/>
          </w:tcPr>
          <w:p>
            <w:pPr>
              <w:jc w:val="right"/>
              <w:ind w:right="171"/>
              <w:spacing w:after="0" w:line="150" w:lineRule="exact"/>
              <w:rPr>
                <w:sz w:val="20"/>
                <w:szCs w:val="20"/>
                <w:color w:val="auto"/>
              </w:rPr>
            </w:pPr>
            <w:r>
              <w:rPr>
                <w:rFonts w:ascii="Arial" w:cs="Arial" w:eastAsia="Arial" w:hAnsi="Arial"/>
                <w:sz w:val="15"/>
                <w:szCs w:val="15"/>
                <w:b w:val="1"/>
                <w:bCs w:val="1"/>
                <w:color w:val="auto"/>
              </w:rPr>
              <w:t>46,340</w:t>
            </w:r>
          </w:p>
        </w:tc>
        <w:tc>
          <w:tcPr>
            <w:tcW w:w="1480" w:type="dxa"/>
            <w:vAlign w:val="bottom"/>
          </w:tcPr>
          <w:p>
            <w:pPr>
              <w:jc w:val="right"/>
              <w:ind w:right="172"/>
              <w:spacing w:after="0" w:line="150" w:lineRule="exact"/>
              <w:rPr>
                <w:sz w:val="20"/>
                <w:szCs w:val="20"/>
                <w:color w:val="auto"/>
              </w:rPr>
            </w:pPr>
            <w:r>
              <w:rPr>
                <w:rFonts w:ascii="Arial" w:cs="Arial" w:eastAsia="Arial" w:hAnsi="Arial"/>
                <w:sz w:val="15"/>
                <w:szCs w:val="15"/>
                <w:color w:val="auto"/>
              </w:rPr>
              <w:t>43,601</w:t>
            </w:r>
          </w:p>
        </w:tc>
        <w:tc>
          <w:tcPr>
            <w:tcW w:w="80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Other Campuses</w:t>
            </w:r>
          </w:p>
        </w:tc>
        <w:tc>
          <w:tcPr>
            <w:tcW w:w="146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18,619</w:t>
            </w:r>
          </w:p>
        </w:tc>
        <w:tc>
          <w:tcPr>
            <w:tcW w:w="1480" w:type="dxa"/>
            <w:vAlign w:val="bottom"/>
            <w:tcBorders>
              <w:bottom w:val="single" w:sz="8" w:color="auto"/>
            </w:tcBorders>
          </w:tcPr>
          <w:p>
            <w:pPr>
              <w:jc w:val="right"/>
              <w:ind w:right="172"/>
              <w:spacing w:after="0"/>
              <w:rPr>
                <w:sz w:val="20"/>
                <w:szCs w:val="20"/>
                <w:color w:val="auto"/>
              </w:rPr>
            </w:pPr>
            <w:r>
              <w:rPr>
                <w:rFonts w:ascii="Arial" w:cs="Arial" w:eastAsia="Arial" w:hAnsi="Arial"/>
                <w:sz w:val="15"/>
                <w:szCs w:val="15"/>
                <w:color w:val="auto"/>
              </w:rPr>
              <w:t>18,181</w:t>
            </w:r>
          </w:p>
        </w:tc>
        <w:tc>
          <w:tcPr>
            <w:tcW w:w="80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460" w:type="dxa"/>
            <w:vAlign w:val="bottom"/>
            <w:tcBorders>
              <w:bottom w:val="single" w:sz="8" w:color="auto"/>
            </w:tcBorders>
          </w:tcPr>
          <w:p>
            <w:pPr>
              <w:jc w:val="right"/>
              <w:ind w:right="171"/>
              <w:spacing w:after="0" w:line="167" w:lineRule="exact"/>
              <w:rPr>
                <w:sz w:val="20"/>
                <w:szCs w:val="20"/>
                <w:color w:val="auto"/>
              </w:rPr>
            </w:pPr>
            <w:r>
              <w:rPr>
                <w:rFonts w:ascii="Arial" w:cs="Arial" w:eastAsia="Arial" w:hAnsi="Arial"/>
                <w:sz w:val="15"/>
                <w:szCs w:val="15"/>
                <w:b w:val="1"/>
                <w:bCs w:val="1"/>
                <w:color w:val="auto"/>
              </w:rPr>
              <w:t>64,959</w:t>
            </w:r>
          </w:p>
        </w:tc>
        <w:tc>
          <w:tcPr>
            <w:tcW w:w="1480" w:type="dxa"/>
            <w:vAlign w:val="bottom"/>
            <w:tcBorders>
              <w:bottom w:val="single" w:sz="8" w:color="auto"/>
            </w:tcBorders>
          </w:tcPr>
          <w:p>
            <w:pPr>
              <w:jc w:val="right"/>
              <w:ind w:right="172"/>
              <w:spacing w:after="0" w:line="167" w:lineRule="exact"/>
              <w:rPr>
                <w:sz w:val="20"/>
                <w:szCs w:val="20"/>
                <w:color w:val="auto"/>
              </w:rPr>
            </w:pPr>
            <w:r>
              <w:rPr>
                <w:rFonts w:ascii="Arial" w:cs="Arial" w:eastAsia="Arial" w:hAnsi="Arial"/>
                <w:sz w:val="15"/>
                <w:szCs w:val="15"/>
                <w:color w:val="auto"/>
              </w:rPr>
              <w:t>61,782</w:t>
            </w:r>
          </w:p>
        </w:tc>
        <w:tc>
          <w:tcPr>
            <w:tcW w:w="80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Other Campuses’ enrollments at September 30, 2013 and 2012, by degree and certificate programs, are as follows:</w:t>
      </w:r>
    </w:p>
    <w:tbl>
      <w:tblPr>
        <w:tblLayout w:type="fixed"/>
        <w:tblInd w:w="0" w:type="dxa"/>
        <w:tblCellMar>
          <w:top w:w="0" w:type="dxa"/>
          <w:left w:w="0" w:type="dxa"/>
          <w:bottom w:w="0" w:type="dxa"/>
          <w:right w:w="0" w:type="dxa"/>
        </w:tblCellMar>
      </w:tblPr>
      <w:tr>
        <w:trPr>
          <w:trHeight w:val="137"/>
        </w:trPr>
        <w:tc>
          <w:tcPr>
            <w:tcW w:w="8460" w:type="dxa"/>
            <w:vAlign w:val="bottom"/>
          </w:tcPr>
          <w:p>
            <w:pPr>
              <w:spacing w:after="0"/>
              <w:rPr>
                <w:sz w:val="11"/>
                <w:szCs w:val="11"/>
                <w:color w:val="auto"/>
              </w:rPr>
            </w:pPr>
          </w:p>
        </w:tc>
        <w:tc>
          <w:tcPr>
            <w:tcW w:w="216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b w:val="1"/>
                <w:bCs w:val="1"/>
                <w:color w:val="auto"/>
              </w:rPr>
              <w:t>As of September 30,</w:t>
            </w:r>
          </w:p>
        </w:tc>
        <w:tc>
          <w:tcPr>
            <w:tcW w:w="320" w:type="dxa"/>
            <w:vAlign w:val="bottom"/>
            <w:tcBorders>
              <w:bottom w:val="single" w:sz="8" w:color="auto"/>
            </w:tcBorders>
          </w:tcPr>
          <w:p>
            <w:pPr>
              <w:spacing w:after="0"/>
              <w:rPr>
                <w:sz w:val="11"/>
                <w:szCs w:val="11"/>
                <w:color w:val="auto"/>
              </w:rPr>
            </w:pPr>
          </w:p>
        </w:tc>
      </w:tr>
      <w:tr>
        <w:trPr>
          <w:trHeight w:val="129"/>
        </w:trPr>
        <w:tc>
          <w:tcPr>
            <w:tcW w:w="84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jc w:val="right"/>
              <w:ind w:right="1329"/>
              <w:spacing w:after="0" w:line="129" w:lineRule="exact"/>
              <w:rPr>
                <w:sz w:val="20"/>
                <w:szCs w:val="20"/>
                <w:color w:val="auto"/>
              </w:rPr>
            </w:pPr>
            <w:r>
              <w:rPr>
                <w:rFonts w:ascii="Arial" w:cs="Arial" w:eastAsia="Arial" w:hAnsi="Arial"/>
                <w:sz w:val="12"/>
                <w:szCs w:val="12"/>
                <w:b w:val="1"/>
                <w:bCs w:val="1"/>
                <w:color w:val="auto"/>
              </w:rPr>
              <w:t>2013</w:t>
            </w: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2160" w:type="dxa"/>
            <w:vAlign w:val="bottom"/>
          </w:tcPr>
          <w:p>
            <w:pPr>
              <w:jc w:val="right"/>
              <w:ind w:right="929"/>
              <w:spacing w:after="0" w:line="150" w:lineRule="exact"/>
              <w:rPr>
                <w:sz w:val="20"/>
                <w:szCs w:val="20"/>
                <w:color w:val="auto"/>
              </w:rPr>
            </w:pPr>
            <w:r>
              <w:rPr>
                <w:rFonts w:ascii="Arial" w:cs="Arial" w:eastAsia="Arial" w:hAnsi="Arial"/>
                <w:sz w:val="15"/>
                <w:szCs w:val="15"/>
                <w:b w:val="1"/>
                <w:bCs w:val="1"/>
                <w:color w:val="auto"/>
              </w:rPr>
              <w:t>21.3 %</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Associate’s</w:t>
            </w:r>
          </w:p>
        </w:tc>
        <w:tc>
          <w:tcPr>
            <w:tcW w:w="2160" w:type="dxa"/>
            <w:vAlign w:val="bottom"/>
          </w:tcPr>
          <w:p>
            <w:pPr>
              <w:jc w:val="right"/>
              <w:ind w:right="929"/>
              <w:spacing w:after="0"/>
              <w:rPr>
                <w:sz w:val="20"/>
                <w:szCs w:val="20"/>
                <w:color w:val="auto"/>
              </w:rPr>
            </w:pPr>
            <w:r>
              <w:rPr>
                <w:rFonts w:ascii="Arial" w:cs="Arial" w:eastAsia="Arial" w:hAnsi="Arial"/>
                <w:sz w:val="15"/>
                <w:szCs w:val="15"/>
                <w:b w:val="1"/>
                <w:bCs w:val="1"/>
                <w:color w:val="auto"/>
              </w:rPr>
              <w:t>30.8 %</w:t>
            </w: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Bachelor’s</w:t>
            </w:r>
          </w:p>
        </w:tc>
        <w:tc>
          <w:tcPr>
            <w:tcW w:w="2160" w:type="dxa"/>
            <w:vAlign w:val="bottom"/>
          </w:tcPr>
          <w:p>
            <w:pPr>
              <w:jc w:val="right"/>
              <w:ind w:right="929"/>
              <w:spacing w:after="0"/>
              <w:rPr>
                <w:sz w:val="20"/>
                <w:szCs w:val="20"/>
                <w:color w:val="auto"/>
              </w:rPr>
            </w:pPr>
            <w:r>
              <w:rPr>
                <w:rFonts w:ascii="Arial" w:cs="Arial" w:eastAsia="Arial" w:hAnsi="Arial"/>
                <w:sz w:val="15"/>
                <w:szCs w:val="15"/>
                <w:b w:val="1"/>
                <w:bCs w:val="1"/>
                <w:color w:val="auto"/>
              </w:rPr>
              <w:t>32.6 %</w:t>
            </w: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Master’s</w:t>
            </w:r>
          </w:p>
        </w:tc>
        <w:tc>
          <w:tcPr>
            <w:tcW w:w="2160" w:type="dxa"/>
            <w:vAlign w:val="bottom"/>
            <w:tcBorders>
              <w:bottom w:val="single" w:sz="8" w:color="auto"/>
            </w:tcBorders>
          </w:tcPr>
          <w:p>
            <w:pPr>
              <w:jc w:val="right"/>
              <w:ind w:right="929"/>
              <w:spacing w:after="0"/>
              <w:rPr>
                <w:sz w:val="20"/>
                <w:szCs w:val="20"/>
                <w:color w:val="auto"/>
              </w:rPr>
            </w:pPr>
            <w:r>
              <w:rPr>
                <w:rFonts w:ascii="Arial" w:cs="Arial" w:eastAsia="Arial" w:hAnsi="Arial"/>
                <w:sz w:val="15"/>
                <w:szCs w:val="15"/>
                <w:b w:val="1"/>
                <w:bCs w:val="1"/>
                <w:color w:val="auto"/>
              </w:rPr>
              <w:t>15.3 %</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460" w:type="dxa"/>
            <w:vAlign w:val="bottom"/>
          </w:tcPr>
          <w:p>
            <w:pPr>
              <w:spacing w:after="0"/>
              <w:rPr>
                <w:sz w:val="14"/>
                <w:szCs w:val="14"/>
                <w:color w:val="auto"/>
              </w:rPr>
            </w:pPr>
          </w:p>
        </w:tc>
        <w:tc>
          <w:tcPr>
            <w:tcW w:w="2160" w:type="dxa"/>
            <w:vAlign w:val="bottom"/>
            <w:tcBorders>
              <w:bottom w:val="single" w:sz="8" w:color="auto"/>
            </w:tcBorders>
          </w:tcPr>
          <w:p>
            <w:pPr>
              <w:jc w:val="right"/>
              <w:ind w:right="929"/>
              <w:spacing w:after="0" w:line="167" w:lineRule="exact"/>
              <w:rPr>
                <w:sz w:val="20"/>
                <w:szCs w:val="20"/>
                <w:color w:val="auto"/>
              </w:rPr>
            </w:pPr>
            <w:r>
              <w:rPr>
                <w:rFonts w:ascii="Arial" w:cs="Arial" w:eastAsia="Arial" w:hAnsi="Arial"/>
                <w:sz w:val="15"/>
                <w:szCs w:val="15"/>
                <w:b w:val="1"/>
                <w:bCs w:val="1"/>
                <w:color w:val="auto"/>
              </w:rPr>
              <w:t>100.0 %</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84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Kaplan Test Preparation (KTP) includes Kaplan’s standardized test preparation programs. KTP revenue declined 5% for the third quarter of 2013, but increased 4% for the first nine months of 2013. Enrollment declined 8% and 2% for the third quarter and first nine months of 2013, respectively, due to declines in graduate programs, offset by growth in nursing and bar review programs. KTP operating results improved in the first nine months of 2013 d largely to increased revenues.</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Kaplan International includes English-language programs and postsecondary education and professional training businesses outside the United State Kaplan International revenue increased 4% and 5% in the third quarter and first nine months of 2013, respectively, due to enrollment growth in the pathways, English-language and Singapore higher education programs. Kaplan International operating income declined in the third quarter of 2013 du reduced earnings in professional training, and increased investment to support growth in English-language and Singapore higher education programs. the first nine months of 2013, operating income declined due to reduced earnings in professional training, and increased investment to support growth English-language programs, offset by better results in Singapore. The results in Australia included restructuring costs of $1.5 million and $4.1 million f third quarter and first nine months of 2013, respectively, compared to $1.0 million in the third quarter and first nine months of 2012. In the third quarter first nine months of 2012, respectively, Kaplan International results benefited from a $2.0 million and $3.9 million favorable adjustment to certain items recorded in prior periods.</w:t>
      </w:r>
    </w:p>
    <w:p>
      <w:pPr>
        <w:spacing w:after="0" w:line="176" w:lineRule="exact"/>
        <w:rPr>
          <w:sz w:val="20"/>
          <w:szCs w:val="20"/>
          <w:color w:val="auto"/>
        </w:rPr>
      </w:pPr>
    </w:p>
    <w:p>
      <w:pPr>
        <w:ind w:right="1400"/>
        <w:spacing w:after="0" w:line="457" w:lineRule="auto"/>
        <w:rPr>
          <w:sz w:val="20"/>
          <w:szCs w:val="20"/>
          <w:color w:val="auto"/>
        </w:rPr>
      </w:pPr>
      <w:r>
        <w:rPr>
          <w:rFonts w:ascii="Arial" w:cs="Arial" w:eastAsia="Arial" w:hAnsi="Arial"/>
          <w:sz w:val="17"/>
          <w:szCs w:val="17"/>
          <w:color w:val="auto"/>
        </w:rPr>
        <w:t xml:space="preserve">Corporate represents unallocated expenses of Kaplan, Inc.’s corporate office, other minor businesses and certain shared activities. </w:t>
      </w:r>
      <w:r>
        <w:rPr>
          <w:rFonts w:ascii="Arial" w:cs="Arial" w:eastAsia="Arial" w:hAnsi="Arial"/>
          <w:sz w:val="17"/>
          <w:szCs w:val="17"/>
          <w:b w:val="1"/>
          <w:bCs w:val="1"/>
          <w:i w:val="1"/>
          <w:iCs w:val="1"/>
          <w:color w:val="auto"/>
        </w:rPr>
        <w:t>Cable Television</w:t>
      </w:r>
    </w:p>
    <w:p>
      <w:pPr>
        <w:spacing w:after="0" w:line="231" w:lineRule="auto"/>
        <w:rPr>
          <w:sz w:val="20"/>
          <w:szCs w:val="20"/>
          <w:color w:val="auto"/>
        </w:rPr>
      </w:pPr>
      <w:r>
        <w:rPr>
          <w:rFonts w:ascii="Arial" w:cs="Arial" w:eastAsia="Arial" w:hAnsi="Arial"/>
          <w:sz w:val="17"/>
          <w:szCs w:val="17"/>
          <w:color w:val="auto"/>
        </w:rPr>
        <w:t>Cable television division revenue increased 1% in the third quarter of 2013 to $202.4 million, from $199.6 million for the third quarter of 2012; for the fi nine months of 2013, revenue increased 4% to $607.1 million, from $ 585.4 million in the same period of 2012. The revenue increase for the first nine months of 2013 is due to recent rate increases for many subscribers, growth in commercial sales and a reduction in promotional discounts. The increa was partially offset by a decline in basic video subscribers, as the cable division focuses its efforts on churn reduction and retention of its high-value subscribers.</w:t>
      </w:r>
    </w:p>
    <w:p>
      <w:pPr>
        <w:spacing w:after="0" w:line="176"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Cable television division operating income declined slightly in the third quarter of 2013 to $39.7 million, from $39.9 million in the third quarter of 2012; f first nine months of 2013, operating income increased 9% to $121.0 million, from</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9" w:name="page10"/>
    <w:bookmarkEnd w:id="9"/>
    <w:p>
      <w:pPr>
        <w:ind w:right="80"/>
        <w:spacing w:after="0" w:line="235" w:lineRule="auto"/>
        <w:rPr>
          <w:sz w:val="20"/>
          <w:szCs w:val="20"/>
          <w:color w:val="auto"/>
        </w:rPr>
      </w:pPr>
      <w:r>
        <w:rPr>
          <w:rFonts w:ascii="Arial" w:cs="Arial" w:eastAsia="Arial" w:hAnsi="Arial"/>
          <w:sz w:val="17"/>
          <w:szCs w:val="17"/>
          <w:color w:val="auto"/>
        </w:rPr>
        <w:t>$111.1 million for the first nine months of 2012. The division’s operating income improved in the first nine months of 2013 due to increased revenues, partially offset by higher programming and depreciation costs.</w:t>
      </w:r>
    </w:p>
    <w:p>
      <w:pPr>
        <w:spacing w:after="0" w:line="176"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At September 30, 2013, Primary Service Units (PSUs) were down 3% from the prior year due to a decline in basic video subscribers. A summary of P as follows:</w:t>
      </w:r>
    </w:p>
    <w:tbl>
      <w:tblPr>
        <w:tblLayout w:type="fixed"/>
        <w:tblInd w:w="0" w:type="dxa"/>
        <w:tblCellMar>
          <w:top w:w="0" w:type="dxa"/>
          <w:left w:w="0" w:type="dxa"/>
          <w:bottom w:w="0" w:type="dxa"/>
          <w:right w:w="0" w:type="dxa"/>
        </w:tblCellMar>
      </w:tblPr>
      <w:tr>
        <w:trPr>
          <w:trHeight w:val="138"/>
        </w:trPr>
        <w:tc>
          <w:tcPr>
            <w:tcW w:w="8680" w:type="dxa"/>
            <w:vAlign w:val="bottom"/>
          </w:tcPr>
          <w:p>
            <w:pPr>
              <w:spacing w:after="0"/>
              <w:rPr>
                <w:sz w:val="12"/>
                <w:szCs w:val="12"/>
                <w:color w:val="auto"/>
              </w:rPr>
            </w:pPr>
          </w:p>
        </w:tc>
        <w:tc>
          <w:tcPr>
            <w:tcW w:w="22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2"/>
                <w:szCs w:val="12"/>
                <w:b w:val="1"/>
                <w:bCs w:val="1"/>
                <w:color w:val="auto"/>
              </w:rPr>
              <w:t>As of September 30,</w:t>
            </w:r>
          </w:p>
        </w:tc>
      </w:tr>
      <w:tr>
        <w:trPr>
          <w:trHeight w:val="129"/>
        </w:trPr>
        <w:tc>
          <w:tcPr>
            <w:tcW w:w="86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70"/>
              <w:spacing w:after="0" w:line="129" w:lineRule="exact"/>
              <w:rPr>
                <w:sz w:val="20"/>
                <w:szCs w:val="20"/>
                <w:color w:val="auto"/>
              </w:rPr>
            </w:pPr>
            <w:r>
              <w:rPr>
                <w:rFonts w:ascii="Arial" w:cs="Arial" w:eastAsia="Arial" w:hAnsi="Arial"/>
                <w:sz w:val="12"/>
                <w:szCs w:val="12"/>
                <w:b w:val="1"/>
                <w:bCs w:val="1"/>
                <w:color w:val="auto"/>
              </w:rPr>
              <w:t>2013</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r>
      <w:tr>
        <w:trPr>
          <w:trHeight w:val="150"/>
        </w:trPr>
        <w:tc>
          <w:tcPr>
            <w:tcW w:w="868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1600" w:type="dxa"/>
            <w:vAlign w:val="bottom"/>
          </w:tcPr>
          <w:p>
            <w:pPr>
              <w:jc w:val="right"/>
              <w:ind w:right="310"/>
              <w:spacing w:after="0" w:line="150" w:lineRule="exact"/>
              <w:rPr>
                <w:sz w:val="20"/>
                <w:szCs w:val="20"/>
                <w:color w:val="auto"/>
              </w:rPr>
            </w:pPr>
            <w:r>
              <w:rPr>
                <w:rFonts w:ascii="Arial" w:cs="Arial" w:eastAsia="Arial" w:hAnsi="Arial"/>
                <w:sz w:val="15"/>
                <w:szCs w:val="15"/>
                <w:b w:val="1"/>
                <w:bCs w:val="1"/>
                <w:color w:val="auto"/>
              </w:rPr>
              <w:t>561,119</w:t>
            </w:r>
          </w:p>
        </w:tc>
        <w:tc>
          <w:tcPr>
            <w:tcW w:w="66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High-speed data</w:t>
            </w:r>
          </w:p>
        </w:tc>
        <w:tc>
          <w:tcPr>
            <w:tcW w:w="1600" w:type="dxa"/>
            <w:vAlign w:val="bottom"/>
          </w:tcPr>
          <w:p>
            <w:pPr>
              <w:jc w:val="right"/>
              <w:ind w:right="310"/>
              <w:spacing w:after="0"/>
              <w:rPr>
                <w:sz w:val="20"/>
                <w:szCs w:val="20"/>
                <w:color w:val="auto"/>
              </w:rPr>
            </w:pPr>
            <w:r>
              <w:rPr>
                <w:rFonts w:ascii="Arial" w:cs="Arial" w:eastAsia="Arial" w:hAnsi="Arial"/>
                <w:sz w:val="15"/>
                <w:szCs w:val="15"/>
                <w:b w:val="1"/>
                <w:bCs w:val="1"/>
                <w:color w:val="auto"/>
              </w:rPr>
              <w:t>469,296</w:t>
            </w:r>
          </w:p>
        </w:tc>
        <w:tc>
          <w:tcPr>
            <w:tcW w:w="6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Telephony</w:t>
            </w:r>
          </w:p>
        </w:tc>
        <w:tc>
          <w:tcPr>
            <w:tcW w:w="1600" w:type="dxa"/>
            <w:vAlign w:val="bottom"/>
            <w:tcBorders>
              <w:bottom w:val="single" w:sz="8" w:color="auto"/>
            </w:tcBorders>
          </w:tcPr>
          <w:p>
            <w:pPr>
              <w:jc w:val="right"/>
              <w:ind w:right="310"/>
              <w:spacing w:after="0"/>
              <w:rPr>
                <w:sz w:val="20"/>
                <w:szCs w:val="20"/>
                <w:color w:val="auto"/>
              </w:rPr>
            </w:pPr>
            <w:r>
              <w:rPr>
                <w:rFonts w:ascii="Arial" w:cs="Arial" w:eastAsia="Arial" w:hAnsi="Arial"/>
                <w:sz w:val="15"/>
                <w:szCs w:val="15"/>
                <w:b w:val="1"/>
                <w:bCs w:val="1"/>
                <w:color w:val="auto"/>
              </w:rPr>
              <w:t>182,643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680" w:type="dxa"/>
            <w:vAlign w:val="bottom"/>
          </w:tcPr>
          <w:p>
            <w:pPr>
              <w:spacing w:after="0"/>
              <w:rPr>
                <w:sz w:val="14"/>
                <w:szCs w:val="14"/>
                <w:color w:val="auto"/>
              </w:rPr>
            </w:pPr>
          </w:p>
        </w:tc>
        <w:tc>
          <w:tcPr>
            <w:tcW w:w="1600" w:type="dxa"/>
            <w:vAlign w:val="bottom"/>
            <w:tcBorders>
              <w:bottom w:val="single" w:sz="8" w:color="auto"/>
            </w:tcBorders>
          </w:tcPr>
          <w:p>
            <w:pPr>
              <w:jc w:val="right"/>
              <w:ind w:right="310"/>
              <w:spacing w:after="0" w:line="167" w:lineRule="exact"/>
              <w:rPr>
                <w:sz w:val="20"/>
                <w:szCs w:val="20"/>
                <w:color w:val="auto"/>
              </w:rPr>
            </w:pPr>
            <w:r>
              <w:rPr>
                <w:rFonts w:ascii="Arial" w:cs="Arial" w:eastAsia="Arial" w:hAnsi="Arial"/>
                <w:sz w:val="15"/>
                <w:szCs w:val="15"/>
                <w:b w:val="1"/>
                <w:bCs w:val="1"/>
                <w:color w:val="auto"/>
              </w:rPr>
              <w:t>1,213,058</w:t>
            </w:r>
          </w:p>
        </w:tc>
        <w:tc>
          <w:tcPr>
            <w:tcW w:w="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r>
      <w:tr>
        <w:trPr>
          <w:trHeight w:val="20"/>
        </w:trPr>
        <w:tc>
          <w:tcPr>
            <w:tcW w:w="8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Revenue at the television broadcasting division declined 18% to $87.1 million in the third quarter of 2013, from $106.4 million in the same period of 20 operating income for the third quarter of 2013 was down 33% to $36.3 million, from $ 54.1 million in the same period of 2012. For the first nine months 2013, revenue declined 4% to $271.7 million, from $283.5 million in the same period of 2012; operating income for the first nine months of 2013 was d 7% to $119.4 million, from $128.8 million in the same period of 2012.</w:t>
      </w:r>
    </w:p>
    <w:p>
      <w:pPr>
        <w:spacing w:after="0" w:line="13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decline in revenue and operating income is due to a $15.9 million and $ 24.1 million decrease in political advertising revenue in the third quarter a nine months of 2013, respectively, and $10.8 million in incremental summer Olympics-related advertising at the Company’s NBC affiliates in the third q of 2012. The decline in revenue and operating income was partially offset by incremental advertising revenue from the NBA finals broadcast at the divi ABC affiliates in Miami and San Antonio, and increased retransmission revenues.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2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Other businesses includes the operating results of Social Code, a marketing solutions provider helping companies with marketing on social media plat Celtic Healthcare, a provider of home health care and hospice services in the northeastern and mid-Atlantic regions, acquired by the Company in Nov 2012; Forney, a global supplier of products and systems that control and monitor combustion processes in electric utility and industrial applications, ac by the Company in August 2013; and WaPo Labs, a digital team focused on emerging technologies and new product development. Also included are t Slate Group and the FP Group, previously included as part of the Company’s newspaper publishing division.</w:t>
      </w:r>
    </w:p>
    <w:p>
      <w:pPr>
        <w:spacing w:after="0" w:line="176"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revenue increase in other businesses for the first nine months of 2013 is primarily due to growth at Social Code and Slate, and revenue from the Company’s recently acquired Celtic Healthcare and Forney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in Earnings (Losses) of Affiliates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Company holds a 16.5% interest in Classified Ventures, LLC and interests in several other affiliates.</w:t>
      </w:r>
    </w:p>
    <w:p>
      <w:pPr>
        <w:spacing w:after="0" w:line="14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Company’s equity in earnings of affiliates, net, was $5.9 million for the third quarter of 2013, compared to $4.1 million for the third quarter of 2012. the first nine months of 2013, the Company’s equity in earnings of affiliates, net, totaled $13.2 million, compared to $11.3 million for the same period o 2012.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Income (Expense)</w:t>
      </w:r>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recorded other non-operating income, net, of $8.1 million for the third quarter of 2013, compared to $4.2 million for the third quarter of 2 The third quarter 2013 non-operating income, net, included $7.9 million in unrealized foreign currency gains and other items. The third quarter 2012 n operating income, net, included $3.1 million in unrealized foreign currency gains and other items.</w:t>
      </w:r>
    </w:p>
    <w:p>
      <w:pPr>
        <w:spacing w:after="0" w:line="175" w:lineRule="exact"/>
        <w:rPr>
          <w:sz w:val="20"/>
          <w:szCs w:val="20"/>
          <w:color w:val="auto"/>
        </w:rPr>
      </w:pPr>
    </w:p>
    <w:p>
      <w:pPr>
        <w:jc w:val="both"/>
        <w:ind w:right="20"/>
        <w:spacing w:after="0" w:line="228" w:lineRule="auto"/>
        <w:rPr>
          <w:sz w:val="20"/>
          <w:szCs w:val="20"/>
          <w:color w:val="auto"/>
        </w:rPr>
      </w:pPr>
      <w:r>
        <w:rPr>
          <w:rFonts w:ascii="Arial" w:cs="Arial" w:eastAsia="Arial" w:hAnsi="Arial"/>
          <w:sz w:val="17"/>
          <w:szCs w:val="17"/>
          <w:color w:val="auto"/>
        </w:rPr>
        <w:t>The Company recorded non-operating expense, net, of $8.8 million for the first nine months of 2013, compared to other non-operating income, net, of million for the same period of the prior year. The 2013 non-operating expense, net, included $9.4 million in unrealized foreign currency losses, offset b other items. The 2012 non-operating income, net,</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10" w:name="page11"/>
    <w:bookmarkEnd w:id="10"/>
    <w:p>
      <w:pPr>
        <w:ind w:right="1420"/>
        <w:spacing w:after="0" w:line="457" w:lineRule="auto"/>
        <w:rPr>
          <w:sz w:val="20"/>
          <w:szCs w:val="20"/>
          <w:color w:val="auto"/>
        </w:rPr>
      </w:pPr>
      <w:r>
        <w:rPr>
          <w:rFonts w:ascii="Arial" w:cs="Arial" w:eastAsia="Arial" w:hAnsi="Arial"/>
          <w:sz w:val="17"/>
          <w:szCs w:val="17"/>
          <w:color w:val="auto"/>
        </w:rPr>
        <w:t xml:space="preserve">included a $7.3 million gain on sales of cost method investments, $3.2 million in unrealized foreign currency gains and other items. </w:t>
      </w:r>
      <w:r>
        <w:rPr>
          <w:rFonts w:ascii="Arial" w:cs="Arial" w:eastAsia="Arial" w:hAnsi="Arial"/>
          <w:sz w:val="17"/>
          <w:szCs w:val="17"/>
          <w:b w:val="1"/>
          <w:bCs w:val="1"/>
          <w:u w:val="single" w:color="auto"/>
          <w:color w:val="auto"/>
        </w:rPr>
        <w:t>Net Interest Expense</w:t>
      </w:r>
    </w:p>
    <w:p>
      <w:pPr>
        <w:jc w:val="both"/>
        <w:spacing w:after="0" w:line="233" w:lineRule="auto"/>
        <w:rPr>
          <w:sz w:val="20"/>
          <w:szCs w:val="20"/>
          <w:color w:val="auto"/>
        </w:rPr>
      </w:pPr>
      <w:r>
        <w:rPr>
          <w:rFonts w:ascii="Arial" w:cs="Arial" w:eastAsia="Arial" w:hAnsi="Arial"/>
          <w:sz w:val="17"/>
          <w:szCs w:val="17"/>
          <w:color w:val="auto"/>
        </w:rPr>
        <w:t>The Company incurred net interest expense of $8.6 million and $25.6 million for the third quarter and first nine months of 2013, respectively, compared $8.1 million and $24.4 million for the same periods of 2012. At September 30, 2013, the Company had $451.1 million in borrowings outstanding, at an average interest rate of 7.0%.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effective tax rate for income from continuing operations for the first nine months of 2013 was 38.1%, compared to 38.8% for the first nine months 2012.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On August 5, 2013, the Company announced that it had entered into an agreement to sell its Publishing Subsidiaries that together conducted most of Company’s publishing businesses and related services, including publishing The Washington Post, Express, The Gazette Newspapers, Southern Mar Newspapers, Fairfax County Times and El Tiempo Latino and related websites. Slate magazine, TheRoot.com and Foreign Policy are not part of the transaction and remain with The Washington Post Company, as do the WaPo Labs and SocialCode businesses, the Company’s interest in Classified Ventures and certain real estate assets, including the headquarters building in downtown Washington, DC. On October 1, 2013, the Company complet the sale. Consequently, the Company’s income from continuing operations excludes these sold businesses, which have been reclassified to discontinu operations, net of tax, for all periods presented.</w:t>
      </w:r>
    </w:p>
    <w:p>
      <w:pPr>
        <w:spacing w:after="0" w:line="178"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Purchaser acquired all the issued and outstanding equity securities of the Publishing Subsidiaries for $250 million, subject to customary adjustme cash, debt and working capital at closing. The Company will not record the gain on the sale until the fourth quarter of 2013; however, the Company recognized $ 28.4 million (after-tax impact of $18.3 million) in expenses related to the sale that are included in discontinued operations in the third quar 2013. These costs include the net impact of accelerated vesting provisions and forfeitures of restricted stock awards and stock options that were mad contemplation of the sale, and certain other transaction-related expenses. Also included in discontinued operations is $22.7 million (after-tax basis of $ million) in early retirement program expense for the first nine months of 2013, and $7.5 million (after-tax basis of $4.6 million) and $8.5 million (after-ta basis of $5.3 million) for the third quarter and first nine months of 2012, respectively.</w:t>
      </w:r>
    </w:p>
    <w:p>
      <w:pPr>
        <w:spacing w:after="0" w:line="178"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In March 2013, the Company sold The Herald. Kaplan sold Kidum in August 2012, EduNeering in April 2012 and Kaplan Learning Technologies (KLT) February 2012. The Company divested its interest in Avenue100 Media Solutions in July 2012. Consequently, the Company’s income from continuing operations also excludes the operating results and related net gains on disposition of these businesses, which have been reclassified to discontinued operations, net of tax.</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The calculation of diluted earnings per share for the third quarter and first nine months of 2013 was based on 7,336,752 and 7,315,971 weighted aver shares outstanding, respectively, compared to 7,376,255 and 7,507,946, respectively, for the third quarter and first nine months of 2012. At Septembe 2013, there were 7,423,913 shares outstanding and the Company had remaining authorization from the Board of Directors to purchase up to 180,993 shares of Class B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 statements. For more information about these forward-looking statements and related risks, please refer to the section titled “Forward-Looking Statem in Part I of the Company’s Annual Report on Form 10-K.</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11" w:name="page12"/>
    <w:bookmarkEnd w:id="11"/>
    <w:p>
      <w:pPr>
        <w:jc w:val="center"/>
        <w:ind w:left="1160"/>
        <w:spacing w:after="0"/>
        <w:rPr>
          <w:sz w:val="20"/>
          <w:szCs w:val="20"/>
          <w:color w:val="auto"/>
        </w:rPr>
      </w:pPr>
      <w:r>
        <w:rPr>
          <w:rFonts w:ascii="Arial" w:cs="Arial" w:eastAsia="Arial" w:hAnsi="Arial"/>
          <w:sz w:val="17"/>
          <w:szCs w:val="17"/>
          <w:color w:val="auto"/>
        </w:rPr>
        <w:t>THE WASHINGTON POST COMPANY</w:t>
      </w:r>
    </w:p>
    <w:p>
      <w:pPr>
        <w:jc w:val="center"/>
        <w:ind w:left="1160"/>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left="1160"/>
        <w:spacing w:after="0"/>
        <w:rPr>
          <w:sz w:val="20"/>
          <w:szCs w:val="20"/>
          <w:color w:val="auto"/>
        </w:rPr>
      </w:pPr>
      <w:r>
        <w:rPr>
          <w:rFonts w:ascii="Arial" w:cs="Arial" w:eastAsia="Arial" w:hAnsi="Arial"/>
          <w:sz w:val="17"/>
          <w:szCs w:val="17"/>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2"/>
                <w:szCs w:val="12"/>
                <w:b w:val="1"/>
                <w:bCs w:val="1"/>
                <w:color w:val="auto"/>
              </w:rPr>
              <w:t>September 30,</w:t>
            </w:r>
          </w:p>
        </w:tc>
        <w:tc>
          <w:tcPr>
            <w:tcW w:w="86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80" w:type="dxa"/>
            <w:vAlign w:val="bottom"/>
          </w:tcPr>
          <w:p>
            <w:pPr>
              <w:spacing w:after="0"/>
              <w:rPr>
                <w:sz w:val="12"/>
                <w:szCs w:val="12"/>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2013</w:t>
            </w: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w w:val="97"/>
              </w:rPr>
              <w:t>2012</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revenues</w:t>
            </w:r>
          </w:p>
        </w:tc>
        <w:tc>
          <w:tcPr>
            <w:tcW w:w="2260" w:type="dxa"/>
            <w:vAlign w:val="bottom"/>
            <w:gridSpan w:val="2"/>
          </w:tcPr>
          <w:p>
            <w:pPr>
              <w:jc w:val="right"/>
              <w:ind w:right="57"/>
              <w:spacing w:after="0" w:line="170"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902,479</w:t>
            </w:r>
          </w:p>
        </w:tc>
        <w:tc>
          <w:tcPr>
            <w:tcW w:w="580" w:type="dxa"/>
            <w:vAlign w:val="bottom"/>
          </w:tcPr>
          <w:p>
            <w:pPr>
              <w:jc w:val="right"/>
              <w:ind w:right="217"/>
              <w:spacing w:after="0" w:line="17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877,637</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(762,136)</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(721,723)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(55,633)</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(57,588)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(2,837)</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income</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81,873</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93,236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Equity in earnings of affiliates, net</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5,892</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4,099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642</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648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(9,221)</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(8,738)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Other income, net</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8,110</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 before income taxes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87,296</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93,408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31,000</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56,296</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56,408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(Loss) income from discontinued operations, net of tax</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(25,872)</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37,539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30,424</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93,947</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Net (income) loss attributable to noncontrolling interests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(75)</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 attributable to The Washington Post Company</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30,349</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94,018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(205)</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30,144</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58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93,796</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56,016</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Income from continuing operations</w:t>
            </w:r>
          </w:p>
        </w:tc>
        <w:tc>
          <w:tcPr>
            <w:tcW w:w="22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580" w:type="dxa"/>
            <w:vAlign w:val="bottom"/>
          </w:tcPr>
          <w:p>
            <w:pPr>
              <w:jc w:val="right"/>
              <w:ind w:right="217"/>
              <w:spacing w:after="0" w:line="18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0" w:lineRule="exact"/>
              <w:rPr>
                <w:sz w:val="20"/>
                <w:szCs w:val="20"/>
                <w:color w:val="auto"/>
              </w:rPr>
            </w:pPr>
            <w:r>
              <w:rPr>
                <w:rFonts w:ascii="Arial" w:cs="Arial" w:eastAsia="Arial" w:hAnsi="Arial"/>
                <w:sz w:val="17"/>
                <w:szCs w:val="17"/>
                <w:color w:val="auto"/>
              </w:rPr>
              <w:t>56,257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(Loss) income from discontinued operations, net of tax</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(25,872)</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37,539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30,144</w:t>
            </w:r>
          </w:p>
        </w:tc>
        <w:tc>
          <w:tcPr>
            <w:tcW w:w="580" w:type="dxa"/>
            <w:vAlign w:val="bottom"/>
            <w:tcBorders>
              <w:bottom w:val="single" w:sz="8" w:color="auto"/>
            </w:tcBorders>
          </w:tcPr>
          <w:p>
            <w:pPr>
              <w:jc w:val="right"/>
              <w:ind w:right="21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93,796</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7.55</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Basic income per common share from continuing operations</w:t>
            </w:r>
          </w:p>
        </w:tc>
        <w:tc>
          <w:tcPr>
            <w:tcW w:w="22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580" w:type="dxa"/>
            <w:vAlign w:val="bottom"/>
          </w:tcPr>
          <w:p>
            <w:pPr>
              <w:jc w:val="right"/>
              <w:ind w:right="217"/>
              <w:spacing w:after="0" w:line="18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0" w:lineRule="exact"/>
              <w:rPr>
                <w:sz w:val="20"/>
                <w:szCs w:val="20"/>
                <w:color w:val="auto"/>
              </w:rPr>
            </w:pPr>
            <w:r>
              <w:rPr>
                <w:rFonts w:ascii="Arial" w:cs="Arial" w:eastAsia="Arial" w:hAnsi="Arial"/>
                <w:sz w:val="17"/>
                <w:szCs w:val="17"/>
                <w:color w:val="auto"/>
              </w:rPr>
              <w:t>7.58</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Basic (loss) income per common share from discontinued operations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(3.48)</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Basic net income per common share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4.07</w:t>
            </w:r>
          </w:p>
        </w:tc>
        <w:tc>
          <w:tcPr>
            <w:tcW w:w="580" w:type="dxa"/>
            <w:vAlign w:val="bottom"/>
            <w:tcBorders>
              <w:bottom w:val="single" w:sz="8" w:color="auto"/>
            </w:tcBorders>
          </w:tcPr>
          <w:p>
            <w:pPr>
              <w:jc w:val="right"/>
              <w:ind w:right="21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12.64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7,231</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7,272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per common share from continuing operations</w:t>
            </w:r>
          </w:p>
        </w:tc>
        <w:tc>
          <w:tcPr>
            <w:tcW w:w="2260" w:type="dxa"/>
            <w:vAlign w:val="bottom"/>
            <w:gridSpan w:val="2"/>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7.53</w:t>
            </w:r>
          </w:p>
        </w:tc>
        <w:tc>
          <w:tcPr>
            <w:tcW w:w="58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7.58</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(loss) income per common share from discontinued operations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(3.48)</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Diluted net income per common share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4.05</w:t>
            </w:r>
          </w:p>
        </w:tc>
        <w:tc>
          <w:tcPr>
            <w:tcW w:w="580" w:type="dxa"/>
            <w:vAlign w:val="bottom"/>
            <w:tcBorders>
              <w:bottom w:val="single" w:sz="8" w:color="auto"/>
            </w:tcBorders>
          </w:tcPr>
          <w:p>
            <w:pPr>
              <w:jc w:val="right"/>
              <w:ind w:right="21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12.64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7,337</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7,376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3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7</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39" w:right="1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7"/>
          <w:szCs w:val="17"/>
          <w:color w:val="auto"/>
        </w:rPr>
        <w:t>THE WASHINGTON POST COMPANY</w:t>
      </w:r>
    </w:p>
    <w:p>
      <w:pPr>
        <w:jc w:val="center"/>
        <w:ind w:right="-39"/>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right="-39"/>
        <w:spacing w:after="0"/>
        <w:rPr>
          <w:sz w:val="20"/>
          <w:szCs w:val="20"/>
          <w:color w:val="auto"/>
        </w:rPr>
      </w:pPr>
      <w:r>
        <w:rPr>
          <w:rFonts w:ascii="Arial" w:cs="Arial" w:eastAsia="Arial" w:hAnsi="Arial"/>
          <w:sz w:val="17"/>
          <w:szCs w:val="17"/>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2"/>
                <w:szCs w:val="12"/>
                <w:b w:val="1"/>
                <w:bCs w:val="1"/>
                <w:color w:val="auto"/>
              </w:rPr>
              <w:t>Nine Months Ended</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2"/>
                <w:szCs w:val="12"/>
                <w:b w:val="1"/>
                <w:bCs w:val="1"/>
                <w:color w:val="auto"/>
              </w:rPr>
              <w:t>September 30,</w:t>
            </w:r>
          </w:p>
        </w:tc>
        <w:tc>
          <w:tcPr>
            <w:tcW w:w="90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80" w:type="dxa"/>
            <w:vAlign w:val="bottom"/>
          </w:tcPr>
          <w:p>
            <w:pPr>
              <w:spacing w:after="0"/>
              <w:rPr>
                <w:sz w:val="12"/>
                <w:szCs w:val="12"/>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2013</w:t>
            </w: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2012</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revenues</w:t>
            </w:r>
          </w:p>
        </w:tc>
        <w:tc>
          <w:tcPr>
            <w:tcW w:w="2240" w:type="dxa"/>
            <w:vAlign w:val="bottom"/>
            <w:gridSpan w:val="2"/>
          </w:tcPr>
          <w:p>
            <w:pPr>
              <w:jc w:val="right"/>
              <w:ind w:right="37"/>
              <w:spacing w:after="0" w:line="170" w:lineRule="exact"/>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2,628,915</w:t>
            </w:r>
          </w:p>
        </w:tc>
        <w:tc>
          <w:tcPr>
            <w:tcW w:w="540" w:type="dxa"/>
            <w:vAlign w:val="bottom"/>
          </w:tcPr>
          <w:p>
            <w:pPr>
              <w:jc w:val="right"/>
              <w:ind w:right="177"/>
              <w:spacing w:after="0" w:line="170"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70" w:lineRule="exact"/>
              <w:rPr>
                <w:sz w:val="20"/>
                <w:szCs w:val="20"/>
                <w:color w:val="auto"/>
              </w:rPr>
            </w:pPr>
            <w:r>
              <w:rPr>
                <w:rFonts w:ascii="Arial" w:cs="Arial" w:eastAsia="Arial" w:hAnsi="Arial"/>
                <w:sz w:val="17"/>
                <w:szCs w:val="17"/>
                <w:color w:val="auto"/>
              </w:rPr>
              <w:t>2,559,679</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(2,205,663)</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4"/>
              </w:rPr>
              <w:t>(2,173,891)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(173,344)</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(170,347)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(9,867)</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(13,336)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income</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240,041</w:t>
            </w:r>
          </w:p>
        </w:tc>
        <w:tc>
          <w:tcPr>
            <w:tcW w:w="5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7"/>
                <w:szCs w:val="17"/>
                <w:color w:val="auto"/>
              </w:rPr>
              <w:t>202,105</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Equity in earnings of affiliates, net</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13,178</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11,301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1,674</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2,492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(27,229)</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(26,880)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(8,831)</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12,116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 before income taxes</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218,833</w:t>
            </w:r>
          </w:p>
        </w:tc>
        <w:tc>
          <w:tcPr>
            <w:tcW w:w="5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7"/>
                <w:szCs w:val="17"/>
                <w:color w:val="auto"/>
              </w:rPr>
              <w:t>201,134</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83,300</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135,533</w:t>
            </w:r>
          </w:p>
        </w:tc>
        <w:tc>
          <w:tcPr>
            <w:tcW w:w="5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7"/>
                <w:szCs w:val="17"/>
                <w:color w:val="auto"/>
              </w:rPr>
              <w:t>123,034</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(Loss) income from discontinued operations, net of tax</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(54,716)</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54,528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80,817</w:t>
            </w:r>
          </w:p>
        </w:tc>
        <w:tc>
          <w:tcPr>
            <w:tcW w:w="5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7"/>
                <w:szCs w:val="17"/>
                <w:color w:val="auto"/>
              </w:rPr>
              <w:t>177,562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(425)</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 attributable to The Washington Post Company</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80,392</w:t>
            </w:r>
          </w:p>
        </w:tc>
        <w:tc>
          <w:tcPr>
            <w:tcW w:w="5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7"/>
                <w:szCs w:val="17"/>
                <w:color w:val="auto"/>
              </w:rPr>
              <w:t>177,552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(855)</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2240" w:type="dxa"/>
            <w:vAlign w:val="bottom"/>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79,537</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176,657</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40" w:type="dxa"/>
            <w:vAlign w:val="bottom"/>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134,253</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Income from continuing operations</w:t>
            </w:r>
          </w:p>
        </w:tc>
        <w:tc>
          <w:tcPr>
            <w:tcW w:w="2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540" w:type="dxa"/>
            <w:vAlign w:val="bottom"/>
          </w:tcPr>
          <w:p>
            <w:pPr>
              <w:jc w:val="right"/>
              <w:ind w:right="177"/>
              <w:spacing w:after="0" w:line="180"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0" w:lineRule="exact"/>
              <w:rPr>
                <w:sz w:val="20"/>
                <w:szCs w:val="20"/>
                <w:color w:val="auto"/>
              </w:rPr>
            </w:pPr>
            <w:r>
              <w:rPr>
                <w:rFonts w:ascii="Arial" w:cs="Arial" w:eastAsia="Arial" w:hAnsi="Arial"/>
                <w:sz w:val="17"/>
                <w:szCs w:val="17"/>
                <w:color w:val="auto"/>
              </w:rPr>
              <w:t>122,129</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(Loss) income from discontinued operations, net of tax</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(54,716)</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54,528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79,537</w:t>
            </w:r>
          </w:p>
        </w:tc>
        <w:tc>
          <w:tcPr>
            <w:tcW w:w="540" w:type="dxa"/>
            <w:vAlign w:val="bottom"/>
            <w:tcBorders>
              <w:bottom w:val="single" w:sz="8" w:color="auto"/>
            </w:tcBorders>
          </w:tcPr>
          <w:p>
            <w:pPr>
              <w:jc w:val="right"/>
              <w:ind w:right="177"/>
              <w:spacing w:after="0" w:line="179"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176,657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40" w:type="dxa"/>
            <w:vAlign w:val="bottom"/>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18.09</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Basic income per common share from continuing operations</w:t>
            </w:r>
          </w:p>
        </w:tc>
        <w:tc>
          <w:tcPr>
            <w:tcW w:w="2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540" w:type="dxa"/>
            <w:vAlign w:val="bottom"/>
          </w:tcPr>
          <w:p>
            <w:pPr>
              <w:jc w:val="right"/>
              <w:ind w:right="177"/>
              <w:spacing w:after="0" w:line="180"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0" w:lineRule="exact"/>
              <w:rPr>
                <w:sz w:val="20"/>
                <w:szCs w:val="20"/>
                <w:color w:val="auto"/>
              </w:rPr>
            </w:pPr>
            <w:r>
              <w:rPr>
                <w:rFonts w:ascii="Arial" w:cs="Arial" w:eastAsia="Arial" w:hAnsi="Arial"/>
                <w:sz w:val="17"/>
                <w:szCs w:val="17"/>
                <w:color w:val="auto"/>
              </w:rPr>
              <w:t>16.17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Basic (loss) income per common share from discontinued operations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(7.37)</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Basic net income per common share</w:t>
            </w:r>
          </w:p>
        </w:tc>
        <w:tc>
          <w:tcPr>
            <w:tcW w:w="188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10.72</w:t>
            </w:r>
          </w:p>
        </w:tc>
        <w:tc>
          <w:tcPr>
            <w:tcW w:w="540" w:type="dxa"/>
            <w:vAlign w:val="bottom"/>
            <w:tcBorders>
              <w:bottom w:val="single" w:sz="8" w:color="auto"/>
            </w:tcBorders>
          </w:tcPr>
          <w:p>
            <w:pPr>
              <w:jc w:val="right"/>
              <w:ind w:right="177"/>
              <w:spacing w:after="0" w:line="179"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23.39</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7,229</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7,405</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per common share from continuing operations</w:t>
            </w:r>
          </w:p>
        </w:tc>
        <w:tc>
          <w:tcPr>
            <w:tcW w:w="2240" w:type="dxa"/>
            <w:vAlign w:val="bottom"/>
            <w:gridSpan w:val="2"/>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18.07</w:t>
            </w:r>
          </w:p>
        </w:tc>
        <w:tc>
          <w:tcPr>
            <w:tcW w:w="5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16.17</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(loss) income per common share from discontinued operations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(7.37)</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Diluted net income per common share</w:t>
            </w:r>
          </w:p>
        </w:tc>
        <w:tc>
          <w:tcPr>
            <w:tcW w:w="188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10.70</w:t>
            </w:r>
          </w:p>
        </w:tc>
        <w:tc>
          <w:tcPr>
            <w:tcW w:w="540" w:type="dxa"/>
            <w:vAlign w:val="bottom"/>
            <w:tcBorders>
              <w:bottom w:val="single" w:sz="8" w:color="auto"/>
            </w:tcBorders>
          </w:tcPr>
          <w:p>
            <w:pPr>
              <w:jc w:val="right"/>
              <w:ind w:right="177"/>
              <w:spacing w:after="0" w:line="179"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23.39</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7,316</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7,508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8</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13" w:name="page14"/>
    <w:bookmarkEnd w:id="13"/>
    <w:p>
      <w:pPr>
        <w:jc w:val="center"/>
        <w:ind w:right="-139"/>
        <w:spacing w:after="0"/>
        <w:rPr>
          <w:sz w:val="20"/>
          <w:szCs w:val="20"/>
          <w:color w:val="auto"/>
        </w:rPr>
      </w:pPr>
      <w:r>
        <w:rPr>
          <w:rFonts w:ascii="Arial" w:cs="Arial" w:eastAsia="Arial" w:hAnsi="Arial"/>
          <w:sz w:val="17"/>
          <w:szCs w:val="17"/>
          <w:color w:val="auto"/>
        </w:rPr>
        <w:t>THE WASHINGTON POST COMPANY</w:t>
      </w:r>
    </w:p>
    <w:p>
      <w:pPr>
        <w:jc w:val="center"/>
        <w:ind w:right="-139"/>
        <w:spacing w:after="0" w:line="228" w:lineRule="auto"/>
        <w:rPr>
          <w:sz w:val="20"/>
          <w:szCs w:val="20"/>
          <w:color w:val="auto"/>
        </w:rPr>
      </w:pPr>
      <w:r>
        <w:rPr>
          <w:rFonts w:ascii="Arial" w:cs="Arial" w:eastAsia="Arial" w:hAnsi="Arial"/>
          <w:sz w:val="17"/>
          <w:szCs w:val="17"/>
          <w:u w:val="single" w:color="auto"/>
          <w:color w:val="auto"/>
        </w:rPr>
        <w:t>BUSINESS SEGMENT INFORMATION</w:t>
      </w:r>
    </w:p>
    <w:p>
      <w:pPr>
        <w:jc w:val="center"/>
        <w:ind w:right="-139"/>
        <w:spacing w:after="0"/>
        <w:rPr>
          <w:sz w:val="20"/>
          <w:szCs w:val="20"/>
          <w:color w:val="auto"/>
        </w:rPr>
      </w:pPr>
      <w:r>
        <w:rPr>
          <w:rFonts w:ascii="Arial" w:cs="Arial" w:eastAsia="Arial" w:hAnsi="Arial"/>
          <w:sz w:val="17"/>
          <w:szCs w:val="17"/>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3"/>
          </w:tcPr>
          <w:p>
            <w:pPr>
              <w:jc w:val="right"/>
              <w:ind w:right="682"/>
              <w:spacing w:after="0"/>
              <w:rPr>
                <w:sz w:val="20"/>
                <w:szCs w:val="20"/>
                <w:color w:val="auto"/>
              </w:rPr>
            </w:pPr>
            <w:r>
              <w:rPr>
                <w:rFonts w:ascii="Arial" w:cs="Arial" w:eastAsia="Arial" w:hAnsi="Arial"/>
                <w:sz w:val="12"/>
                <w:szCs w:val="12"/>
                <w:b w:val="1"/>
                <w:bCs w:val="1"/>
                <w:color w:val="auto"/>
              </w:rPr>
              <w:t>Three Months Ended</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3"/>
          </w:tcPr>
          <w:p>
            <w:pPr>
              <w:jc w:val="right"/>
              <w:ind w:right="762"/>
              <w:spacing w:after="0"/>
              <w:rPr>
                <w:sz w:val="20"/>
                <w:szCs w:val="20"/>
                <w:color w:val="auto"/>
              </w:rPr>
            </w:pPr>
            <w:r>
              <w:rPr>
                <w:rFonts w:ascii="Arial" w:cs="Arial" w:eastAsia="Arial" w:hAnsi="Arial"/>
                <w:sz w:val="12"/>
                <w:szCs w:val="12"/>
                <w:b w:val="1"/>
                <w:bCs w:val="1"/>
                <w:color w:val="auto"/>
              </w:rPr>
              <w:t>Nine Months Ended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2"/>
                <w:szCs w:val="12"/>
                <w:b w:val="1"/>
                <w:bCs w:val="1"/>
                <w:color w:val="auto"/>
              </w:rPr>
              <w:t>September 30,</w:t>
            </w:r>
          </w:p>
        </w:tc>
        <w:tc>
          <w:tcPr>
            <w:tcW w:w="880" w:type="dxa"/>
            <w:vAlign w:val="bottom"/>
            <w:tcBorders>
              <w:bottom w:val="single" w:sz="8" w:color="auto"/>
            </w:tcBorders>
          </w:tcPr>
          <w:p>
            <w:pPr>
              <w:spacing w:after="0"/>
              <w:rPr>
                <w:sz w:val="13"/>
                <w:szCs w:val="13"/>
                <w:color w:val="auto"/>
              </w:rPr>
            </w:pPr>
          </w:p>
        </w:tc>
        <w:tc>
          <w:tcPr>
            <w:tcW w:w="1040" w:type="dxa"/>
            <w:vAlign w:val="bottom"/>
          </w:tcPr>
          <w:p>
            <w:pPr>
              <w:jc w:val="right"/>
              <w:ind w:right="382"/>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September 30,</w:t>
            </w:r>
          </w:p>
        </w:tc>
        <w:tc>
          <w:tcPr>
            <w:tcW w:w="920" w:type="dxa"/>
            <w:vAlign w:val="bottom"/>
            <w:tcBorders>
              <w:bottom w:val="single" w:sz="8" w:color="auto"/>
            </w:tcBorders>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23"/>
              <w:spacing w:after="0"/>
              <w:rPr>
                <w:sz w:val="20"/>
                <w:szCs w:val="20"/>
                <w:color w:val="auto"/>
              </w:rPr>
            </w:pPr>
            <w:r>
              <w:rPr>
                <w:rFonts w:ascii="Arial" w:cs="Arial" w:eastAsia="Arial" w:hAnsi="Arial"/>
                <w:sz w:val="12"/>
                <w:szCs w:val="12"/>
                <w:b w:val="1"/>
                <w:bCs w:val="1"/>
                <w:color w:val="auto"/>
              </w:rPr>
              <w:t>2013</w:t>
            </w: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2"/>
                <w:szCs w:val="12"/>
                <w:color w:val="auto"/>
              </w:rPr>
              <w:t>2012</w:t>
            </w: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rPr>
              <w:t>Change</w:t>
            </w: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83"/>
              <w:spacing w:after="0"/>
              <w:rPr>
                <w:sz w:val="20"/>
                <w:szCs w:val="20"/>
                <w:color w:val="auto"/>
              </w:rPr>
            </w:pPr>
            <w:r>
              <w:rPr>
                <w:rFonts w:ascii="Arial" w:cs="Arial" w:eastAsia="Arial" w:hAnsi="Arial"/>
                <w:sz w:val="12"/>
                <w:szCs w:val="12"/>
                <w:b w:val="1"/>
                <w:bCs w:val="1"/>
                <w:color w:val="auto"/>
              </w:rPr>
              <w:t>2013</w:t>
            </w: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2"/>
                <w:szCs w:val="12"/>
                <w:color w:val="auto"/>
              </w:rPr>
              <w:t>2012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Cha</w:t>
            </w:r>
          </w:p>
        </w:tc>
        <w:tc>
          <w:tcPr>
            <w:tcW w:w="0" w:type="dxa"/>
            <w:vAlign w:val="bottom"/>
          </w:tcPr>
          <w:p>
            <w:pPr>
              <w:spacing w:after="0"/>
              <w:rPr>
                <w:sz w:val="1"/>
                <w:szCs w:val="1"/>
                <w:color w:val="auto"/>
              </w:rPr>
            </w:pPr>
          </w:p>
        </w:tc>
      </w:tr>
      <w:tr>
        <w:trPr>
          <w:trHeight w:val="160"/>
        </w:trPr>
        <w:tc>
          <w:tcPr>
            <w:tcW w:w="3780" w:type="dxa"/>
            <w:vAlign w:val="bottom"/>
          </w:tcPr>
          <w:p>
            <w:pPr>
              <w:spacing w:after="0" w:line="161" w:lineRule="exact"/>
              <w:rPr>
                <w:sz w:val="20"/>
                <w:szCs w:val="20"/>
                <w:color w:val="auto"/>
              </w:rPr>
            </w:pPr>
            <w:r>
              <w:rPr>
                <w:rFonts w:ascii="Arial" w:cs="Arial" w:eastAsia="Arial" w:hAnsi="Arial"/>
                <w:sz w:val="16"/>
                <w:szCs w:val="16"/>
                <w:b w:val="1"/>
                <w:bCs w:val="1"/>
                <w:color w:val="auto"/>
              </w:rPr>
              <w:t>Operating Revenues</w:t>
            </w: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43"/>
              <w:spacing w:after="0"/>
              <w:rPr>
                <w:sz w:val="20"/>
                <w:szCs w:val="20"/>
                <w:color w:val="auto"/>
              </w:rPr>
            </w:pPr>
            <w:r>
              <w:rPr>
                <w:rFonts w:ascii="Arial" w:cs="Arial" w:eastAsia="Arial" w:hAnsi="Arial"/>
                <w:sz w:val="16"/>
                <w:szCs w:val="16"/>
                <w:b w:val="1"/>
                <w:bCs w:val="1"/>
                <w:color w:val="auto"/>
              </w:rPr>
              <w:t>546,452</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3"/>
              <w:spacing w:after="0"/>
              <w:rPr>
                <w:sz w:val="20"/>
                <w:szCs w:val="20"/>
                <w:color w:val="auto"/>
              </w:rPr>
            </w:pPr>
            <w:r>
              <w:rPr>
                <w:rFonts w:ascii="Arial" w:cs="Arial" w:eastAsia="Arial" w:hAnsi="Arial"/>
                <w:sz w:val="16"/>
                <w:szCs w:val="16"/>
                <w:b w:val="1"/>
                <w:bCs w:val="1"/>
                <w:color w:val="auto"/>
              </w:rPr>
              <w:t>1,622,497</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40" w:type="dxa"/>
            <w:vAlign w:val="bottom"/>
          </w:tcPr>
          <w:p>
            <w:pPr>
              <w:jc w:val="right"/>
              <w:ind w:right="61"/>
              <w:spacing w:after="0" w:line="154"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54" w:lineRule="exact"/>
              <w:rPr>
                <w:sz w:val="20"/>
                <w:szCs w:val="20"/>
                <w:color w:val="auto"/>
              </w:rPr>
            </w:pPr>
            <w:r>
              <w:rPr>
                <w:rFonts w:ascii="Arial" w:cs="Arial" w:eastAsia="Arial" w:hAnsi="Arial"/>
                <w:sz w:val="16"/>
                <w:szCs w:val="16"/>
                <w:color w:val="auto"/>
              </w:rPr>
              <w:t>551,696</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(1)</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00" w:type="dxa"/>
            <w:vAlign w:val="bottom"/>
          </w:tcPr>
          <w:p>
            <w:pPr>
              <w:jc w:val="right"/>
              <w:ind w:right="141"/>
              <w:spacing w:after="0" w:line="154"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54" w:lineRule="exact"/>
              <w:rPr>
                <w:sz w:val="20"/>
                <w:szCs w:val="20"/>
                <w:color w:val="auto"/>
              </w:rPr>
            </w:pPr>
            <w:r>
              <w:rPr>
                <w:rFonts w:ascii="Arial" w:cs="Arial" w:eastAsia="Arial" w:hAnsi="Arial"/>
                <w:sz w:val="16"/>
                <w:szCs w:val="16"/>
                <w:color w:val="auto"/>
              </w:rPr>
              <w:t>1,650,155</w:t>
            </w:r>
          </w:p>
        </w:tc>
        <w:tc>
          <w:tcPr>
            <w:tcW w:w="540" w:type="dxa"/>
            <w:vAlign w:val="bottom"/>
          </w:tcPr>
          <w:p>
            <w:pPr>
              <w:jc w:val="right"/>
              <w:spacing w:after="0" w:line="15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202,381</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199,625</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607,069</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585,414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87,063</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106,411</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(18)</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271,653</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283,499</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66,632</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20,187</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128,018</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41,182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Corporate office</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(49)</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(322)</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Operating Expenses</w:t>
            </w:r>
          </w:p>
        </w:tc>
        <w:tc>
          <w:tcPr>
            <w:tcW w:w="36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3"/>
              <w:spacing w:after="0" w:line="166" w:lineRule="exact"/>
              <w:rPr>
                <w:sz w:val="20"/>
                <w:szCs w:val="20"/>
                <w:color w:val="auto"/>
              </w:rPr>
            </w:pPr>
            <w:r>
              <w:rPr>
                <w:rFonts w:ascii="Arial" w:cs="Arial" w:eastAsia="Arial" w:hAnsi="Arial"/>
                <w:sz w:val="16"/>
                <w:szCs w:val="16"/>
                <w:b w:val="1"/>
                <w:bCs w:val="1"/>
                <w:color w:val="auto"/>
              </w:rPr>
              <w:t>902,479</w:t>
            </w:r>
          </w:p>
        </w:tc>
        <w:tc>
          <w:tcPr>
            <w:tcW w:w="44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877,637</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3"/>
              <w:spacing w:after="0" w:line="166" w:lineRule="exact"/>
              <w:rPr>
                <w:sz w:val="20"/>
                <w:szCs w:val="20"/>
                <w:color w:val="auto"/>
              </w:rPr>
            </w:pPr>
            <w:r>
              <w:rPr>
                <w:rFonts w:ascii="Arial" w:cs="Arial" w:eastAsia="Arial" w:hAnsi="Arial"/>
                <w:sz w:val="16"/>
                <w:szCs w:val="16"/>
                <w:b w:val="1"/>
                <w:bCs w:val="1"/>
                <w:color w:val="auto"/>
              </w:rPr>
              <w:t>2,628,915</w:t>
            </w:r>
          </w:p>
        </w:tc>
        <w:tc>
          <w:tcPr>
            <w:tcW w:w="500" w:type="dxa"/>
            <w:vAlign w:val="bottom"/>
            <w:tcBorders>
              <w:bottom w:val="single" w:sz="8" w:color="auto"/>
            </w:tcBorders>
          </w:tcPr>
          <w:p>
            <w:pPr>
              <w:jc w:val="right"/>
              <w:ind w:right="141"/>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2,559,679</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43"/>
              <w:spacing w:after="0"/>
              <w:rPr>
                <w:sz w:val="20"/>
                <w:szCs w:val="20"/>
                <w:color w:val="auto"/>
              </w:rPr>
            </w:pPr>
            <w:r>
              <w:rPr>
                <w:rFonts w:ascii="Arial" w:cs="Arial" w:eastAsia="Arial" w:hAnsi="Arial"/>
                <w:sz w:val="16"/>
                <w:szCs w:val="16"/>
                <w:b w:val="1"/>
                <w:bCs w:val="1"/>
                <w:color w:val="auto"/>
              </w:rPr>
              <w:t>529,417</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3"/>
              <w:spacing w:after="0"/>
              <w:rPr>
                <w:sz w:val="20"/>
                <w:szCs w:val="20"/>
                <w:color w:val="auto"/>
              </w:rPr>
            </w:pPr>
            <w:r>
              <w:rPr>
                <w:rFonts w:ascii="Arial" w:cs="Arial" w:eastAsia="Arial" w:hAnsi="Arial"/>
                <w:sz w:val="16"/>
                <w:szCs w:val="16"/>
                <w:b w:val="1"/>
                <w:bCs w:val="1"/>
                <w:color w:val="auto"/>
              </w:rPr>
              <w:t>1,585,792</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40" w:type="dxa"/>
            <w:vAlign w:val="bottom"/>
          </w:tcPr>
          <w:p>
            <w:pPr>
              <w:jc w:val="right"/>
              <w:ind w:right="61"/>
              <w:spacing w:after="0" w:line="154"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54" w:lineRule="exact"/>
              <w:rPr>
                <w:sz w:val="20"/>
                <w:szCs w:val="20"/>
                <w:color w:val="auto"/>
              </w:rPr>
            </w:pPr>
            <w:r>
              <w:rPr>
                <w:rFonts w:ascii="Arial" w:cs="Arial" w:eastAsia="Arial" w:hAnsi="Arial"/>
                <w:sz w:val="16"/>
                <w:szCs w:val="16"/>
                <w:color w:val="auto"/>
              </w:rPr>
              <w:t>537,003</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(1)</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00" w:type="dxa"/>
            <w:vAlign w:val="bottom"/>
          </w:tcPr>
          <w:p>
            <w:pPr>
              <w:jc w:val="right"/>
              <w:ind w:right="141"/>
              <w:spacing w:after="0" w:line="154"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54" w:lineRule="exact"/>
              <w:rPr>
                <w:sz w:val="20"/>
                <w:szCs w:val="20"/>
                <w:color w:val="auto"/>
              </w:rPr>
            </w:pPr>
            <w:r>
              <w:rPr>
                <w:rFonts w:ascii="Arial" w:cs="Arial" w:eastAsia="Arial" w:hAnsi="Arial"/>
                <w:sz w:val="16"/>
                <w:szCs w:val="16"/>
                <w:color w:val="auto"/>
              </w:rPr>
              <w:t>1,643,649</w:t>
            </w:r>
          </w:p>
        </w:tc>
        <w:tc>
          <w:tcPr>
            <w:tcW w:w="540" w:type="dxa"/>
            <w:vAlign w:val="bottom"/>
          </w:tcPr>
          <w:p>
            <w:pPr>
              <w:jc w:val="right"/>
              <w:spacing w:after="0" w:line="15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162,666</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159,712</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486,031</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474,278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50,759</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52,329</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(3)</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152,283</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154,690</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71,678</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27,511</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147,574</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64,257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Corporate office</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6,135</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8,128</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(25)</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17,516</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21,271</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(49)</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(322)</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Operating Income (Loss)</w:t>
            </w:r>
          </w:p>
        </w:tc>
        <w:tc>
          <w:tcPr>
            <w:tcW w:w="36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3"/>
              <w:spacing w:after="0" w:line="166" w:lineRule="exact"/>
              <w:rPr>
                <w:sz w:val="20"/>
                <w:szCs w:val="20"/>
                <w:color w:val="auto"/>
              </w:rPr>
            </w:pPr>
            <w:r>
              <w:rPr>
                <w:rFonts w:ascii="Arial" w:cs="Arial" w:eastAsia="Arial" w:hAnsi="Arial"/>
                <w:sz w:val="16"/>
                <w:szCs w:val="16"/>
                <w:b w:val="1"/>
                <w:bCs w:val="1"/>
                <w:color w:val="auto"/>
              </w:rPr>
              <w:t>820,606</w:t>
            </w:r>
          </w:p>
        </w:tc>
        <w:tc>
          <w:tcPr>
            <w:tcW w:w="44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784,401</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5</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3"/>
              <w:spacing w:after="0" w:line="166" w:lineRule="exact"/>
              <w:rPr>
                <w:sz w:val="20"/>
                <w:szCs w:val="20"/>
                <w:color w:val="auto"/>
              </w:rPr>
            </w:pPr>
            <w:r>
              <w:rPr>
                <w:rFonts w:ascii="Arial" w:cs="Arial" w:eastAsia="Arial" w:hAnsi="Arial"/>
                <w:sz w:val="16"/>
                <w:szCs w:val="16"/>
                <w:b w:val="1"/>
                <w:bCs w:val="1"/>
                <w:color w:val="auto"/>
              </w:rPr>
              <w:t>2,388,874</w:t>
            </w:r>
          </w:p>
        </w:tc>
        <w:tc>
          <w:tcPr>
            <w:tcW w:w="500" w:type="dxa"/>
            <w:vAlign w:val="bottom"/>
            <w:tcBorders>
              <w:bottom w:val="single" w:sz="8" w:color="auto"/>
            </w:tcBorders>
          </w:tcPr>
          <w:p>
            <w:pPr>
              <w:jc w:val="right"/>
              <w:ind w:right="141"/>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2,357,574</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43"/>
              <w:spacing w:after="0"/>
              <w:rPr>
                <w:sz w:val="20"/>
                <w:szCs w:val="20"/>
                <w:color w:val="auto"/>
              </w:rPr>
            </w:pPr>
            <w:r>
              <w:rPr>
                <w:rFonts w:ascii="Arial" w:cs="Arial" w:eastAsia="Arial" w:hAnsi="Arial"/>
                <w:sz w:val="16"/>
                <w:szCs w:val="16"/>
                <w:b w:val="1"/>
                <w:bCs w:val="1"/>
                <w:color w:val="auto"/>
              </w:rPr>
              <w:t>17,035</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3"/>
              <w:spacing w:after="0"/>
              <w:rPr>
                <w:sz w:val="20"/>
                <w:szCs w:val="20"/>
                <w:color w:val="auto"/>
              </w:rPr>
            </w:pPr>
            <w:r>
              <w:rPr>
                <w:rFonts w:ascii="Arial" w:cs="Arial" w:eastAsia="Arial" w:hAnsi="Arial"/>
                <w:sz w:val="16"/>
                <w:szCs w:val="16"/>
                <w:b w:val="1"/>
                <w:bCs w:val="1"/>
                <w:color w:val="auto"/>
              </w:rPr>
              <w:t>36,705</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40" w:type="dxa"/>
            <w:vAlign w:val="bottom"/>
          </w:tcPr>
          <w:p>
            <w:pPr>
              <w:jc w:val="right"/>
              <w:ind w:right="61"/>
              <w:spacing w:after="0" w:line="154"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54" w:lineRule="exact"/>
              <w:rPr>
                <w:sz w:val="20"/>
                <w:szCs w:val="20"/>
                <w:color w:val="auto"/>
              </w:rPr>
            </w:pPr>
            <w:r>
              <w:rPr>
                <w:rFonts w:ascii="Arial" w:cs="Arial" w:eastAsia="Arial" w:hAnsi="Arial"/>
                <w:sz w:val="16"/>
                <w:szCs w:val="16"/>
                <w:color w:val="auto"/>
              </w:rPr>
              <w:t>14,693</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16</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00" w:type="dxa"/>
            <w:vAlign w:val="bottom"/>
          </w:tcPr>
          <w:p>
            <w:pPr>
              <w:jc w:val="right"/>
              <w:ind w:right="141"/>
              <w:spacing w:after="0" w:line="154"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54" w:lineRule="exact"/>
              <w:rPr>
                <w:sz w:val="20"/>
                <w:szCs w:val="20"/>
                <w:color w:val="auto"/>
              </w:rPr>
            </w:pPr>
            <w:r>
              <w:rPr>
                <w:rFonts w:ascii="Arial" w:cs="Arial" w:eastAsia="Arial" w:hAnsi="Arial"/>
                <w:sz w:val="16"/>
                <w:szCs w:val="16"/>
                <w:color w:val="auto"/>
              </w:rPr>
              <w:t>6,506</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39,715</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39,913</w:t>
            </w:r>
          </w:p>
        </w:tc>
        <w:tc>
          <w:tcPr>
            <w:tcW w:w="1040" w:type="dxa"/>
            <w:vAlign w:val="bottom"/>
          </w:tcPr>
          <w:p>
            <w:pPr>
              <w:jc w:val="right"/>
              <w:ind w:right="262"/>
              <w:spacing w:after="0" w:line="174" w:lineRule="exact"/>
              <w:rPr>
                <w:sz w:val="20"/>
                <w:szCs w:val="20"/>
                <w:color w:val="auto"/>
              </w:rPr>
            </w:pPr>
            <w:r>
              <w:rPr>
                <w:rFonts w:ascii="Arial" w:cs="Arial" w:eastAsia="Arial" w:hAnsi="Arial"/>
                <w:sz w:val="16"/>
                <w:szCs w:val="16"/>
                <w:color w:val="auto"/>
              </w:rPr>
              <w:t>0</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121,038</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111,136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36,304</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54,082</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(33)</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119,370</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128,809</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(5,046)</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(7,324)</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31</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(19,556)</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(23,075)</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(6,135)</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(8,128)</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(17,516)</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(21,271)</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Depreciation</w:t>
            </w:r>
          </w:p>
        </w:tc>
        <w:tc>
          <w:tcPr>
            <w:tcW w:w="36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3"/>
              <w:spacing w:after="0" w:line="166" w:lineRule="exact"/>
              <w:rPr>
                <w:sz w:val="20"/>
                <w:szCs w:val="20"/>
                <w:color w:val="auto"/>
              </w:rPr>
            </w:pPr>
            <w:r>
              <w:rPr>
                <w:rFonts w:ascii="Arial" w:cs="Arial" w:eastAsia="Arial" w:hAnsi="Arial"/>
                <w:sz w:val="16"/>
                <w:szCs w:val="16"/>
                <w:b w:val="1"/>
                <w:bCs w:val="1"/>
                <w:color w:val="auto"/>
              </w:rPr>
              <w:t>81,873</w:t>
            </w:r>
          </w:p>
        </w:tc>
        <w:tc>
          <w:tcPr>
            <w:tcW w:w="44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93,236</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(12)</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3"/>
              <w:spacing w:after="0" w:line="166" w:lineRule="exact"/>
              <w:rPr>
                <w:sz w:val="20"/>
                <w:szCs w:val="20"/>
                <w:color w:val="auto"/>
              </w:rPr>
            </w:pPr>
            <w:r>
              <w:rPr>
                <w:rFonts w:ascii="Arial" w:cs="Arial" w:eastAsia="Arial" w:hAnsi="Arial"/>
                <w:sz w:val="16"/>
                <w:szCs w:val="16"/>
                <w:b w:val="1"/>
                <w:bCs w:val="1"/>
                <w:color w:val="auto"/>
              </w:rPr>
              <w:t>240,041</w:t>
            </w:r>
          </w:p>
        </w:tc>
        <w:tc>
          <w:tcPr>
            <w:tcW w:w="500" w:type="dxa"/>
            <w:vAlign w:val="bottom"/>
            <w:tcBorders>
              <w:bottom w:val="single" w:sz="8" w:color="auto"/>
            </w:tcBorders>
          </w:tcPr>
          <w:p>
            <w:pPr>
              <w:jc w:val="right"/>
              <w:ind w:right="141"/>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202,105</w:t>
            </w:r>
          </w:p>
        </w:tc>
        <w:tc>
          <w:tcPr>
            <w:tcW w:w="540" w:type="dxa"/>
            <w:vAlign w:val="bottom"/>
          </w:tcPr>
          <w:p>
            <w:pPr>
              <w:jc w:val="right"/>
              <w:spacing w:after="0" w:line="16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43"/>
              <w:spacing w:after="0"/>
              <w:rPr>
                <w:sz w:val="20"/>
                <w:szCs w:val="20"/>
                <w:color w:val="auto"/>
              </w:rPr>
            </w:pPr>
            <w:r>
              <w:rPr>
                <w:rFonts w:ascii="Arial" w:cs="Arial" w:eastAsia="Arial" w:hAnsi="Arial"/>
                <w:sz w:val="16"/>
                <w:szCs w:val="16"/>
                <w:b w:val="1"/>
                <w:bCs w:val="1"/>
                <w:color w:val="auto"/>
              </w:rPr>
              <w:t>18,978</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3"/>
              <w:spacing w:after="0"/>
              <w:rPr>
                <w:sz w:val="20"/>
                <w:szCs w:val="20"/>
                <w:color w:val="auto"/>
              </w:rPr>
            </w:pPr>
            <w:r>
              <w:rPr>
                <w:rFonts w:ascii="Arial" w:cs="Arial" w:eastAsia="Arial" w:hAnsi="Arial"/>
                <w:sz w:val="16"/>
                <w:szCs w:val="16"/>
                <w:b w:val="1"/>
                <w:bCs w:val="1"/>
                <w:color w:val="auto"/>
              </w:rPr>
              <w:t>61,630</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40" w:type="dxa"/>
            <w:vAlign w:val="bottom"/>
          </w:tcPr>
          <w:p>
            <w:pPr>
              <w:jc w:val="right"/>
              <w:ind w:right="61"/>
              <w:spacing w:after="0" w:line="154"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54" w:lineRule="exact"/>
              <w:rPr>
                <w:sz w:val="20"/>
                <w:szCs w:val="20"/>
                <w:color w:val="auto"/>
              </w:rPr>
            </w:pPr>
            <w:r>
              <w:rPr>
                <w:rFonts w:ascii="Arial" w:cs="Arial" w:eastAsia="Arial" w:hAnsi="Arial"/>
                <w:sz w:val="16"/>
                <w:szCs w:val="16"/>
                <w:color w:val="auto"/>
              </w:rPr>
              <w:t>22,024</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(14)</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00" w:type="dxa"/>
            <w:vAlign w:val="bottom"/>
          </w:tcPr>
          <w:p>
            <w:pPr>
              <w:jc w:val="right"/>
              <w:ind w:right="141"/>
              <w:spacing w:after="0" w:line="154"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54" w:lineRule="exact"/>
              <w:rPr>
                <w:sz w:val="20"/>
                <w:szCs w:val="20"/>
                <w:color w:val="auto"/>
              </w:rPr>
            </w:pPr>
            <w:r>
              <w:rPr>
                <w:rFonts w:ascii="Arial" w:cs="Arial" w:eastAsia="Arial" w:hAnsi="Arial"/>
                <w:sz w:val="16"/>
                <w:szCs w:val="16"/>
                <w:color w:val="auto"/>
              </w:rPr>
              <w:t>63,752</w:t>
            </w:r>
          </w:p>
        </w:tc>
        <w:tc>
          <w:tcPr>
            <w:tcW w:w="540" w:type="dxa"/>
            <w:vAlign w:val="bottom"/>
          </w:tcPr>
          <w:p>
            <w:pPr>
              <w:jc w:val="right"/>
              <w:spacing w:after="0" w:line="15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32,946</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32,310</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100,643</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96,741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3,109</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3,126</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9,405</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9,473</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555</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128</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1,561</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381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45</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105</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Amortization of Intangible Assets</w:t>
            </w:r>
          </w:p>
        </w:tc>
        <w:tc>
          <w:tcPr>
            <w:tcW w:w="36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3"/>
              <w:spacing w:after="0" w:line="166" w:lineRule="exact"/>
              <w:rPr>
                <w:sz w:val="20"/>
                <w:szCs w:val="20"/>
                <w:color w:val="auto"/>
              </w:rPr>
            </w:pPr>
            <w:r>
              <w:rPr>
                <w:rFonts w:ascii="Arial" w:cs="Arial" w:eastAsia="Arial" w:hAnsi="Arial"/>
                <w:sz w:val="16"/>
                <w:szCs w:val="16"/>
                <w:b w:val="1"/>
                <w:bCs w:val="1"/>
                <w:color w:val="auto"/>
              </w:rPr>
              <w:t>55,633</w:t>
            </w:r>
          </w:p>
        </w:tc>
        <w:tc>
          <w:tcPr>
            <w:tcW w:w="44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57,588</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3"/>
              <w:spacing w:after="0" w:line="166" w:lineRule="exact"/>
              <w:rPr>
                <w:sz w:val="20"/>
                <w:szCs w:val="20"/>
                <w:color w:val="auto"/>
              </w:rPr>
            </w:pPr>
            <w:r>
              <w:rPr>
                <w:rFonts w:ascii="Arial" w:cs="Arial" w:eastAsia="Arial" w:hAnsi="Arial"/>
                <w:sz w:val="16"/>
                <w:szCs w:val="16"/>
                <w:b w:val="1"/>
                <w:bCs w:val="1"/>
                <w:color w:val="auto"/>
              </w:rPr>
              <w:t>173,344</w:t>
            </w:r>
          </w:p>
        </w:tc>
        <w:tc>
          <w:tcPr>
            <w:tcW w:w="500" w:type="dxa"/>
            <w:vAlign w:val="bottom"/>
            <w:tcBorders>
              <w:bottom w:val="single" w:sz="8" w:color="auto"/>
            </w:tcBorders>
          </w:tcPr>
          <w:p>
            <w:pPr>
              <w:jc w:val="right"/>
              <w:ind w:right="141"/>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170,347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43"/>
              <w:spacing w:after="0"/>
              <w:rPr>
                <w:sz w:val="20"/>
                <w:szCs w:val="20"/>
                <w:color w:val="auto"/>
              </w:rPr>
            </w:pPr>
            <w:r>
              <w:rPr>
                <w:rFonts w:ascii="Arial" w:cs="Arial" w:eastAsia="Arial" w:hAnsi="Arial"/>
                <w:sz w:val="16"/>
                <w:szCs w:val="16"/>
                <w:b w:val="1"/>
                <w:bCs w:val="1"/>
                <w:color w:val="auto"/>
              </w:rPr>
              <w:t>2,287</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3"/>
              <w:spacing w:after="0"/>
              <w:rPr>
                <w:sz w:val="20"/>
                <w:szCs w:val="20"/>
                <w:color w:val="auto"/>
              </w:rPr>
            </w:pPr>
            <w:r>
              <w:rPr>
                <w:rFonts w:ascii="Arial" w:cs="Arial" w:eastAsia="Arial" w:hAnsi="Arial"/>
                <w:sz w:val="16"/>
                <w:szCs w:val="16"/>
                <w:b w:val="1"/>
                <w:bCs w:val="1"/>
                <w:color w:val="auto"/>
              </w:rPr>
              <w:t>7,168</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40" w:type="dxa"/>
            <w:vAlign w:val="bottom"/>
          </w:tcPr>
          <w:p>
            <w:pPr>
              <w:jc w:val="right"/>
              <w:ind w:right="61"/>
              <w:spacing w:after="0" w:line="154"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54" w:lineRule="exact"/>
              <w:rPr>
                <w:sz w:val="20"/>
                <w:szCs w:val="20"/>
                <w:color w:val="auto"/>
              </w:rPr>
            </w:pPr>
            <w:r>
              <w:rPr>
                <w:rFonts w:ascii="Arial" w:cs="Arial" w:eastAsia="Arial" w:hAnsi="Arial"/>
                <w:sz w:val="16"/>
                <w:szCs w:val="16"/>
                <w:color w:val="auto"/>
              </w:rPr>
              <w:t>4,489</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(49)</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00" w:type="dxa"/>
            <w:vAlign w:val="bottom"/>
          </w:tcPr>
          <w:p>
            <w:pPr>
              <w:jc w:val="right"/>
              <w:ind w:right="141"/>
              <w:spacing w:after="0" w:line="154"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54" w:lineRule="exact"/>
              <w:rPr>
                <w:sz w:val="20"/>
                <w:szCs w:val="20"/>
                <w:color w:val="auto"/>
              </w:rPr>
            </w:pPr>
            <w:r>
              <w:rPr>
                <w:rFonts w:ascii="Arial" w:cs="Arial" w:eastAsia="Arial" w:hAnsi="Arial"/>
                <w:sz w:val="16"/>
                <w:szCs w:val="16"/>
                <w:color w:val="auto"/>
              </w:rPr>
              <w:t>11,528</w:t>
            </w:r>
          </w:p>
        </w:tc>
        <w:tc>
          <w:tcPr>
            <w:tcW w:w="540" w:type="dxa"/>
            <w:vAlign w:val="bottom"/>
          </w:tcPr>
          <w:p>
            <w:pPr>
              <w:jc w:val="right"/>
              <w:spacing w:after="0" w:line="154"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61</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52</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17</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168</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159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489</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549</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(11)</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2,531</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1,649</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Pension Expense (Credit)</w:t>
            </w:r>
          </w:p>
        </w:tc>
        <w:tc>
          <w:tcPr>
            <w:tcW w:w="36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3"/>
              <w:spacing w:after="0" w:line="166" w:lineRule="exact"/>
              <w:rPr>
                <w:sz w:val="20"/>
                <w:szCs w:val="20"/>
                <w:color w:val="auto"/>
              </w:rPr>
            </w:pPr>
            <w:r>
              <w:rPr>
                <w:rFonts w:ascii="Arial" w:cs="Arial" w:eastAsia="Arial" w:hAnsi="Arial"/>
                <w:sz w:val="16"/>
                <w:szCs w:val="16"/>
                <w:b w:val="1"/>
                <w:bCs w:val="1"/>
                <w:color w:val="auto"/>
              </w:rPr>
              <w:t>2,837</w:t>
            </w:r>
          </w:p>
        </w:tc>
        <w:tc>
          <w:tcPr>
            <w:tcW w:w="44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5,090</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(44)</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3"/>
              <w:spacing w:after="0" w:line="166" w:lineRule="exact"/>
              <w:rPr>
                <w:sz w:val="20"/>
                <w:szCs w:val="20"/>
                <w:color w:val="auto"/>
              </w:rPr>
            </w:pPr>
            <w:r>
              <w:rPr>
                <w:rFonts w:ascii="Arial" w:cs="Arial" w:eastAsia="Arial" w:hAnsi="Arial"/>
                <w:sz w:val="16"/>
                <w:szCs w:val="16"/>
                <w:b w:val="1"/>
                <w:bCs w:val="1"/>
                <w:color w:val="auto"/>
              </w:rPr>
              <w:t>9,867</w:t>
            </w:r>
          </w:p>
        </w:tc>
        <w:tc>
          <w:tcPr>
            <w:tcW w:w="500" w:type="dxa"/>
            <w:vAlign w:val="bottom"/>
            <w:tcBorders>
              <w:bottom w:val="single" w:sz="8" w:color="auto"/>
            </w:tcBorders>
          </w:tcPr>
          <w:p>
            <w:pPr>
              <w:jc w:val="right"/>
              <w:ind w:right="141"/>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13,336</w:t>
            </w:r>
          </w:p>
        </w:tc>
        <w:tc>
          <w:tcPr>
            <w:tcW w:w="540" w:type="dxa"/>
            <w:vAlign w:val="bottom"/>
          </w:tcPr>
          <w:p>
            <w:pPr>
              <w:jc w:val="right"/>
              <w:spacing w:after="0" w:line="16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43"/>
              <w:spacing w:after="0"/>
              <w:rPr>
                <w:sz w:val="20"/>
                <w:szCs w:val="20"/>
                <w:color w:val="auto"/>
              </w:rPr>
            </w:pPr>
            <w:r>
              <w:rPr>
                <w:rFonts w:ascii="Arial" w:cs="Arial" w:eastAsia="Arial" w:hAnsi="Arial"/>
                <w:sz w:val="16"/>
                <w:szCs w:val="16"/>
                <w:b w:val="1"/>
                <w:bCs w:val="1"/>
                <w:color w:val="auto"/>
              </w:rPr>
              <w:t>4,169</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3"/>
              <w:spacing w:after="0"/>
              <w:rPr>
                <w:sz w:val="20"/>
                <w:szCs w:val="20"/>
                <w:color w:val="auto"/>
              </w:rPr>
            </w:pPr>
            <w:r>
              <w:rPr>
                <w:rFonts w:ascii="Arial" w:cs="Arial" w:eastAsia="Arial" w:hAnsi="Arial"/>
                <w:sz w:val="16"/>
                <w:szCs w:val="16"/>
                <w:b w:val="1"/>
                <w:bCs w:val="1"/>
                <w:color w:val="auto"/>
              </w:rPr>
              <w:t>12,506</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40" w:type="dxa"/>
            <w:vAlign w:val="bottom"/>
          </w:tcPr>
          <w:p>
            <w:pPr>
              <w:jc w:val="right"/>
              <w:ind w:right="61"/>
              <w:spacing w:after="0" w:line="154"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54" w:lineRule="exact"/>
              <w:rPr>
                <w:sz w:val="20"/>
                <w:szCs w:val="20"/>
                <w:color w:val="auto"/>
              </w:rPr>
            </w:pPr>
            <w:r>
              <w:rPr>
                <w:rFonts w:ascii="Arial" w:cs="Arial" w:eastAsia="Arial" w:hAnsi="Arial"/>
                <w:sz w:val="16"/>
                <w:szCs w:val="16"/>
                <w:color w:val="auto"/>
              </w:rPr>
              <w:t>3,522</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18</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00" w:type="dxa"/>
            <w:vAlign w:val="bottom"/>
          </w:tcPr>
          <w:p>
            <w:pPr>
              <w:jc w:val="right"/>
              <w:ind w:right="141"/>
              <w:spacing w:after="0" w:line="154"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54" w:lineRule="exact"/>
              <w:rPr>
                <w:sz w:val="20"/>
                <w:szCs w:val="20"/>
                <w:color w:val="auto"/>
              </w:rPr>
            </w:pPr>
            <w:r>
              <w:rPr>
                <w:rFonts w:ascii="Arial" w:cs="Arial" w:eastAsia="Arial" w:hAnsi="Arial"/>
                <w:sz w:val="16"/>
                <w:szCs w:val="16"/>
                <w:color w:val="auto"/>
              </w:rPr>
              <w:t>7,883</w:t>
            </w:r>
          </w:p>
        </w:tc>
        <w:tc>
          <w:tcPr>
            <w:tcW w:w="540" w:type="dxa"/>
            <w:vAlign w:val="bottom"/>
          </w:tcPr>
          <w:p>
            <w:pPr>
              <w:jc w:val="right"/>
              <w:spacing w:after="0" w:line="154"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973</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694</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40</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2,768</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1,738</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1,251</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1,432</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(13)</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3,752</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3,447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080" w:type="dxa"/>
            <w:vAlign w:val="bottom"/>
          </w:tcPr>
          <w:p>
            <w:pPr>
              <w:jc w:val="right"/>
              <w:ind w:right="143"/>
              <w:spacing w:after="0" w:line="174" w:lineRule="exact"/>
              <w:rPr>
                <w:sz w:val="20"/>
                <w:szCs w:val="20"/>
                <w:color w:val="auto"/>
              </w:rPr>
            </w:pPr>
            <w:r>
              <w:rPr>
                <w:rFonts w:ascii="Arial" w:cs="Arial" w:eastAsia="Arial" w:hAnsi="Arial"/>
                <w:sz w:val="16"/>
                <w:szCs w:val="16"/>
                <w:b w:val="1"/>
                <w:bCs w:val="1"/>
                <w:color w:val="auto"/>
              </w:rPr>
              <w:t>173</w:t>
            </w:r>
          </w:p>
        </w:tc>
        <w:tc>
          <w:tcPr>
            <w:tcW w:w="4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45</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3"/>
              <w:spacing w:after="0" w:line="174" w:lineRule="exact"/>
              <w:rPr>
                <w:sz w:val="20"/>
                <w:szCs w:val="20"/>
                <w:color w:val="auto"/>
              </w:rPr>
            </w:pPr>
            <w:r>
              <w:rPr>
                <w:rFonts w:ascii="Arial" w:cs="Arial" w:eastAsia="Arial" w:hAnsi="Arial"/>
                <w:sz w:val="16"/>
                <w:szCs w:val="16"/>
                <w:b w:val="1"/>
                <w:bCs w:val="1"/>
                <w:color w:val="auto"/>
              </w:rPr>
              <w:t>423</w:t>
            </w:r>
          </w:p>
        </w:tc>
        <w:tc>
          <w:tcPr>
            <w:tcW w:w="50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114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(9,299)</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(6,827)</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36</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(27,549)</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(21,159)</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360" w:type="dxa"/>
            <w:vAlign w:val="bottom"/>
          </w:tcPr>
          <w:p>
            <w:pPr>
              <w:jc w:val="right"/>
              <w:ind w:right="41"/>
              <w:spacing w:after="0" w:line="178" w:lineRule="exact"/>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43"/>
              <w:spacing w:after="0" w:line="178" w:lineRule="exact"/>
              <w:rPr>
                <w:sz w:val="20"/>
                <w:szCs w:val="20"/>
                <w:color w:val="auto"/>
              </w:rPr>
            </w:pPr>
            <w:r>
              <w:rPr>
                <w:rFonts w:ascii="Arial" w:cs="Arial" w:eastAsia="Arial" w:hAnsi="Arial"/>
                <w:sz w:val="16"/>
                <w:szCs w:val="16"/>
                <w:b w:val="1"/>
                <w:bCs w:val="1"/>
                <w:color w:val="auto"/>
              </w:rPr>
              <w:t>(2,733)</w:t>
            </w:r>
          </w:p>
        </w:tc>
        <w:tc>
          <w:tcPr>
            <w:tcW w:w="440" w:type="dxa"/>
            <w:vAlign w:val="bottom"/>
          </w:tcPr>
          <w:p>
            <w:pPr>
              <w:jc w:val="right"/>
              <w:ind w:right="61"/>
              <w:spacing w:after="0" w:line="178"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(1,134)</w:t>
            </w:r>
          </w:p>
        </w:tc>
        <w:tc>
          <w:tcPr>
            <w:tcW w:w="1040" w:type="dxa"/>
            <w:vAlign w:val="bottom"/>
          </w:tcPr>
          <w:p>
            <w:pPr>
              <w:jc w:val="right"/>
              <w:ind w:right="302"/>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1"/>
              <w:spacing w:after="0" w:line="178" w:lineRule="exact"/>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23"/>
              <w:spacing w:after="0" w:line="178" w:lineRule="exact"/>
              <w:rPr>
                <w:sz w:val="20"/>
                <w:szCs w:val="20"/>
                <w:color w:val="auto"/>
              </w:rPr>
            </w:pPr>
            <w:r>
              <w:rPr>
                <w:rFonts w:ascii="Arial" w:cs="Arial" w:eastAsia="Arial" w:hAnsi="Arial"/>
                <w:sz w:val="16"/>
                <w:szCs w:val="16"/>
                <w:b w:val="1"/>
                <w:bCs w:val="1"/>
                <w:color w:val="auto"/>
              </w:rPr>
              <w:t>(8,100)</w:t>
            </w:r>
          </w:p>
        </w:tc>
        <w:tc>
          <w:tcPr>
            <w:tcW w:w="500" w:type="dxa"/>
            <w:vAlign w:val="bottom"/>
          </w:tcPr>
          <w:p>
            <w:pPr>
              <w:jc w:val="right"/>
              <w:ind w:right="141"/>
              <w:spacing w:after="0" w:line="178"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(7,977)</w:t>
            </w:r>
          </w:p>
        </w:tc>
        <w:tc>
          <w:tcPr>
            <w:tcW w:w="5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-6985</wp:posOffset>
            </wp:positionV>
            <wp:extent cx="420814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08145" cy="7620"/>
                    </a:xfrm>
                    <a:prstGeom prst="rect">
                      <a:avLst/>
                    </a:prstGeom>
                    <a:noFill/>
                  </pic:spPr>
                </pic:pic>
              </a:graphicData>
            </a:graphic>
          </wp:anchor>
        </w:drawing>
      </w: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39" w:right="139" w:bottom="1440" w:gutter="0" w:footer="0" w:header="0"/>
        </w:sectPr>
      </w:pPr>
    </w:p>
    <w:bookmarkStart w:id="14" w:name="page15"/>
    <w:bookmarkEnd w:id="14"/>
    <w:p>
      <w:pPr>
        <w:jc w:val="center"/>
        <w:ind w:left="1160"/>
        <w:spacing w:after="0"/>
        <w:rPr>
          <w:sz w:val="20"/>
          <w:szCs w:val="20"/>
          <w:color w:val="auto"/>
        </w:rPr>
      </w:pPr>
      <w:r>
        <w:rPr>
          <w:rFonts w:ascii="Arial" w:cs="Arial" w:eastAsia="Arial" w:hAnsi="Arial"/>
          <w:sz w:val="17"/>
          <w:szCs w:val="17"/>
          <w:color w:val="auto"/>
        </w:rPr>
        <w:t>THE WASHINGTON POST COMPANY</w:t>
      </w:r>
    </w:p>
    <w:p>
      <w:pPr>
        <w:jc w:val="center"/>
        <w:ind w:left="1160"/>
        <w:spacing w:after="0" w:line="228" w:lineRule="auto"/>
        <w:rPr>
          <w:sz w:val="20"/>
          <w:szCs w:val="20"/>
          <w:color w:val="auto"/>
        </w:rPr>
      </w:pPr>
      <w:r>
        <w:rPr>
          <w:rFonts w:ascii="Arial" w:cs="Arial" w:eastAsia="Arial" w:hAnsi="Arial"/>
          <w:sz w:val="17"/>
          <w:szCs w:val="17"/>
          <w:u w:val="single" w:color="auto"/>
          <w:color w:val="auto"/>
        </w:rPr>
        <w:t>EDUCATION DIVISION INFORMATION</w:t>
      </w:r>
    </w:p>
    <w:p>
      <w:pPr>
        <w:jc w:val="center"/>
        <w:ind w:left="1160"/>
        <w:spacing w:after="0"/>
        <w:rPr>
          <w:sz w:val="20"/>
          <w:szCs w:val="20"/>
          <w:color w:val="auto"/>
        </w:rPr>
      </w:pPr>
      <w:r>
        <w:rPr>
          <w:rFonts w:ascii="Arial" w:cs="Arial" w:eastAsia="Arial" w:hAnsi="Arial"/>
          <w:sz w:val="17"/>
          <w:szCs w:val="17"/>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3"/>
          </w:tcPr>
          <w:p>
            <w:pPr>
              <w:jc w:val="right"/>
              <w:ind w:right="686"/>
              <w:spacing w:after="0"/>
              <w:rPr>
                <w:sz w:val="20"/>
                <w:szCs w:val="20"/>
                <w:color w:val="auto"/>
              </w:rPr>
            </w:pPr>
            <w:r>
              <w:rPr>
                <w:rFonts w:ascii="Arial" w:cs="Arial" w:eastAsia="Arial" w:hAnsi="Arial"/>
                <w:sz w:val="12"/>
                <w:szCs w:val="12"/>
                <w:b w:val="1"/>
                <w:bCs w:val="1"/>
                <w:color w:val="auto"/>
              </w:rPr>
              <w:t>Three Months Ended</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3"/>
          </w:tcPr>
          <w:p>
            <w:pPr>
              <w:jc w:val="right"/>
              <w:ind w:right="706"/>
              <w:spacing w:after="0"/>
              <w:rPr>
                <w:sz w:val="20"/>
                <w:szCs w:val="20"/>
                <w:color w:val="auto"/>
              </w:rPr>
            </w:pPr>
            <w:r>
              <w:rPr>
                <w:rFonts w:ascii="Arial" w:cs="Arial" w:eastAsia="Arial" w:hAnsi="Arial"/>
                <w:sz w:val="12"/>
                <w:szCs w:val="12"/>
                <w:b w:val="1"/>
                <w:bCs w:val="1"/>
                <w:color w:val="auto"/>
              </w:rPr>
              <w:t>Nine Months Ended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9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2"/>
                <w:szCs w:val="12"/>
                <w:b w:val="1"/>
                <w:bCs w:val="1"/>
                <w:color w:val="auto"/>
              </w:rPr>
              <w:t>September 30,</w:t>
            </w:r>
          </w:p>
        </w:tc>
        <w:tc>
          <w:tcPr>
            <w:tcW w:w="860" w:type="dxa"/>
            <w:vAlign w:val="bottom"/>
            <w:tcBorders>
              <w:bottom w:val="single" w:sz="8" w:color="auto"/>
            </w:tcBorders>
          </w:tcPr>
          <w:p>
            <w:pPr>
              <w:spacing w:after="0"/>
              <w:rPr>
                <w:sz w:val="13"/>
                <w:szCs w:val="13"/>
                <w:color w:val="auto"/>
              </w:rPr>
            </w:pPr>
          </w:p>
        </w:tc>
        <w:tc>
          <w:tcPr>
            <w:tcW w:w="1040" w:type="dxa"/>
            <w:vAlign w:val="bottom"/>
          </w:tcPr>
          <w:p>
            <w:pPr>
              <w:jc w:val="right"/>
              <w:ind w:right="386"/>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2013</w:t>
            </w: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color w:val="auto"/>
              </w:rPr>
              <w:t>2012</w:t>
            </w:r>
          </w:p>
        </w:tc>
        <w:tc>
          <w:tcPr>
            <w:tcW w:w="104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color w:val="auto"/>
              </w:rPr>
              <w:t>Change</w:t>
            </w: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color w:val="auto"/>
              </w:rPr>
              <w:t>2012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Cha</w:t>
            </w: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4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auto"/>
              </w:rPr>
              <w:t>266,061</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811,013</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500" w:type="dxa"/>
            <w:vAlign w:val="bottom"/>
          </w:tcPr>
          <w:p>
            <w:pPr>
              <w:jc w:val="right"/>
              <w:ind w:right="85"/>
              <w:spacing w:after="0" w:line="15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273,703</w:t>
            </w:r>
          </w:p>
        </w:tc>
        <w:tc>
          <w:tcPr>
            <w:tcW w:w="1040" w:type="dxa"/>
            <w:vAlign w:val="bottom"/>
          </w:tcPr>
          <w:p>
            <w:pPr>
              <w:jc w:val="right"/>
              <w:ind w:right="306"/>
              <w:spacing w:after="0" w:line="156" w:lineRule="exact"/>
              <w:rPr>
                <w:sz w:val="20"/>
                <w:szCs w:val="20"/>
                <w:color w:val="auto"/>
              </w:rPr>
            </w:pPr>
            <w:r>
              <w:rPr>
                <w:rFonts w:ascii="Arial" w:cs="Arial" w:eastAsia="Arial" w:hAnsi="Arial"/>
                <w:sz w:val="15"/>
                <w:szCs w:val="15"/>
                <w:color w:val="auto"/>
              </w:rPr>
              <w:t>(3)</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872,948</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77,431</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81,151</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(5)</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232,064</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223,767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201,305</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194,158</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4</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574,086</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546,862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2,223</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3,809</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(42)</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6,496</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10,283</w:t>
            </w:r>
          </w:p>
        </w:tc>
        <w:tc>
          <w:tcPr>
            <w:tcW w:w="5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390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rPr>
              <w:t>(568)</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(1,125)</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(1,162)</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900" w:type="dxa"/>
            <w:vAlign w:val="bottom"/>
            <w:vMerge w:val="restart"/>
          </w:tcPr>
          <w:p>
            <w:pPr>
              <w:spacing w:after="0"/>
              <w:rPr>
                <w:sz w:val="20"/>
                <w:szCs w:val="20"/>
                <w:color w:val="auto"/>
              </w:rPr>
            </w:pPr>
            <w:r>
              <w:rPr>
                <w:rFonts w:ascii="Arial" w:cs="Arial" w:eastAsia="Arial" w:hAnsi="Arial"/>
                <w:sz w:val="15"/>
                <w:szCs w:val="15"/>
                <w:b w:val="1"/>
                <w:bCs w:val="1"/>
                <w:color w:val="auto"/>
              </w:rPr>
              <w:t>Operating Expenses</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107"/>
              <w:spacing w:after="0" w:line="167" w:lineRule="exact"/>
              <w:rPr>
                <w:sz w:val="20"/>
                <w:szCs w:val="20"/>
                <w:color w:val="auto"/>
              </w:rPr>
            </w:pPr>
            <w:r>
              <w:rPr>
                <w:rFonts w:ascii="Arial" w:cs="Arial" w:eastAsia="Arial" w:hAnsi="Arial"/>
                <w:sz w:val="15"/>
                <w:szCs w:val="15"/>
                <w:b w:val="1"/>
                <w:bCs w:val="1"/>
                <w:color w:val="auto"/>
              </w:rPr>
              <w:t>546,452</w:t>
            </w:r>
          </w:p>
        </w:tc>
        <w:tc>
          <w:tcPr>
            <w:tcW w:w="500" w:type="dxa"/>
            <w:vAlign w:val="bottom"/>
            <w:tcBorders>
              <w:bottom w:val="single" w:sz="8" w:color="auto"/>
            </w:tcBorders>
          </w:tcPr>
          <w:p>
            <w:pPr>
              <w:jc w:val="right"/>
              <w:ind w:right="85"/>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551,696</w:t>
            </w:r>
          </w:p>
        </w:tc>
        <w:tc>
          <w:tcPr>
            <w:tcW w:w="1040" w:type="dxa"/>
            <w:vAlign w:val="bottom"/>
          </w:tcPr>
          <w:p>
            <w:pPr>
              <w:jc w:val="right"/>
              <w:ind w:right="306"/>
              <w:spacing w:after="0" w:line="167" w:lineRule="exact"/>
              <w:rPr>
                <w:sz w:val="20"/>
                <w:szCs w:val="20"/>
                <w:color w:val="auto"/>
              </w:rPr>
            </w:pPr>
            <w:r>
              <w:rPr>
                <w:rFonts w:ascii="Arial" w:cs="Arial" w:eastAsia="Arial" w:hAnsi="Arial"/>
                <w:sz w:val="15"/>
                <w:szCs w:val="15"/>
                <w:color w:val="auto"/>
              </w:rPr>
              <w:t>(1)</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1,622,497</w:t>
            </w:r>
          </w:p>
        </w:tc>
        <w:tc>
          <w:tcPr>
            <w:tcW w:w="4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1,650,155</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4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auto"/>
              </w:rPr>
              <w:t>251,342</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768,659</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500" w:type="dxa"/>
            <w:vAlign w:val="bottom"/>
          </w:tcPr>
          <w:p>
            <w:pPr>
              <w:jc w:val="right"/>
              <w:ind w:right="85"/>
              <w:spacing w:after="0" w:line="15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272,193</w:t>
            </w:r>
          </w:p>
        </w:tc>
        <w:tc>
          <w:tcPr>
            <w:tcW w:w="1040" w:type="dxa"/>
            <w:vAlign w:val="bottom"/>
          </w:tcPr>
          <w:p>
            <w:pPr>
              <w:jc w:val="right"/>
              <w:ind w:right="306"/>
              <w:spacing w:after="0" w:line="156" w:lineRule="exact"/>
              <w:rPr>
                <w:sz w:val="20"/>
                <w:szCs w:val="20"/>
                <w:color w:val="auto"/>
              </w:rPr>
            </w:pPr>
            <w:r>
              <w:rPr>
                <w:rFonts w:ascii="Arial" w:cs="Arial" w:eastAsia="Arial" w:hAnsi="Arial"/>
                <w:sz w:val="15"/>
                <w:szCs w:val="15"/>
                <w:color w:val="auto"/>
              </w:rPr>
              <w:t>(8)</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856,619</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73,611</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77,705</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(5)</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224,758</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227,834</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189,285</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173,793</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9</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549,179</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512,569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13,616</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10,172</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34</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37,571</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39,383</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2,287</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4,489</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(49)</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7,168</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11,528</w:t>
            </w:r>
          </w:p>
        </w:tc>
        <w:tc>
          <w:tcPr>
            <w:tcW w:w="5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390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rPr>
              <w:t>(724)</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(1,349)</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(1,543)</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90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107"/>
              <w:spacing w:after="0" w:line="167" w:lineRule="exact"/>
              <w:rPr>
                <w:sz w:val="20"/>
                <w:szCs w:val="20"/>
                <w:color w:val="auto"/>
              </w:rPr>
            </w:pPr>
            <w:r>
              <w:rPr>
                <w:rFonts w:ascii="Arial" w:cs="Arial" w:eastAsia="Arial" w:hAnsi="Arial"/>
                <w:sz w:val="15"/>
                <w:szCs w:val="15"/>
                <w:b w:val="1"/>
                <w:bCs w:val="1"/>
                <w:color w:val="auto"/>
              </w:rPr>
              <w:t>529,417</w:t>
            </w:r>
          </w:p>
        </w:tc>
        <w:tc>
          <w:tcPr>
            <w:tcW w:w="500" w:type="dxa"/>
            <w:vAlign w:val="bottom"/>
            <w:tcBorders>
              <w:bottom w:val="single" w:sz="8" w:color="auto"/>
            </w:tcBorders>
          </w:tcPr>
          <w:p>
            <w:pPr>
              <w:jc w:val="right"/>
              <w:ind w:right="85"/>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537,003</w:t>
            </w:r>
          </w:p>
        </w:tc>
        <w:tc>
          <w:tcPr>
            <w:tcW w:w="1040" w:type="dxa"/>
            <w:vAlign w:val="bottom"/>
          </w:tcPr>
          <w:p>
            <w:pPr>
              <w:jc w:val="right"/>
              <w:ind w:right="306"/>
              <w:spacing w:after="0" w:line="167" w:lineRule="exact"/>
              <w:rPr>
                <w:sz w:val="20"/>
                <w:szCs w:val="20"/>
                <w:color w:val="auto"/>
              </w:rPr>
            </w:pPr>
            <w:r>
              <w:rPr>
                <w:rFonts w:ascii="Arial" w:cs="Arial" w:eastAsia="Arial" w:hAnsi="Arial"/>
                <w:sz w:val="15"/>
                <w:szCs w:val="15"/>
                <w:color w:val="auto"/>
              </w:rPr>
              <w:t>(1)</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1,585,792</w:t>
            </w:r>
          </w:p>
        </w:tc>
        <w:tc>
          <w:tcPr>
            <w:tcW w:w="4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1,643,649</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4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auto"/>
              </w:rPr>
              <w:t>14,719</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42,354</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500" w:type="dxa"/>
            <w:vAlign w:val="bottom"/>
          </w:tcPr>
          <w:p>
            <w:pPr>
              <w:jc w:val="right"/>
              <w:ind w:right="85"/>
              <w:spacing w:after="0" w:line="15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1,510</w:t>
            </w:r>
          </w:p>
        </w:tc>
        <w:tc>
          <w:tcPr>
            <w:tcW w:w="1040" w:type="dxa"/>
            <w:vAlign w:val="bottom"/>
          </w:tcPr>
          <w:p>
            <w:pPr>
              <w:jc w:val="right"/>
              <w:ind w:right="306"/>
              <w:spacing w:after="0" w:line="156" w:lineRule="exact"/>
              <w:rPr>
                <w:sz w:val="20"/>
                <w:szCs w:val="20"/>
                <w:color w:val="auto"/>
              </w:rPr>
            </w:pPr>
            <w:r>
              <w:rPr>
                <w:rFonts w:ascii="Arial" w:cs="Arial" w:eastAsia="Arial" w:hAnsi="Arial"/>
                <w:sz w:val="15"/>
                <w:szCs w:val="15"/>
                <w:color w:val="auto"/>
              </w:rPr>
              <w:t>―</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16,329</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3,820</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3,446</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11</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7,306</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(4,067)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12,020</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20,365</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(41)</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24,907</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34,293</w:t>
            </w: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(11,393)</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(6,363)</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(79)</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(31,075)</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(29,100)</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(2,287)</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(4,489)</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49</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(7,168)</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(11,528)</w:t>
            </w:r>
          </w:p>
        </w:tc>
        <w:tc>
          <w:tcPr>
            <w:tcW w:w="5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390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rPr>
              <w:t>156</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381</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900" w:type="dxa"/>
            <w:vAlign w:val="bottom"/>
            <w:vMerge w:val="restart"/>
          </w:tcPr>
          <w:p>
            <w:pPr>
              <w:spacing w:after="0"/>
              <w:rPr>
                <w:sz w:val="20"/>
                <w:szCs w:val="20"/>
                <w:color w:val="auto"/>
              </w:rPr>
            </w:pPr>
            <w:r>
              <w:rPr>
                <w:rFonts w:ascii="Arial" w:cs="Arial" w:eastAsia="Arial" w:hAnsi="Arial"/>
                <w:sz w:val="15"/>
                <w:szCs w:val="15"/>
                <w:b w:val="1"/>
                <w:bCs w:val="1"/>
                <w:color w:val="auto"/>
              </w:rPr>
              <w:t>Depreciation</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107"/>
              <w:spacing w:after="0" w:line="167" w:lineRule="exact"/>
              <w:rPr>
                <w:sz w:val="20"/>
                <w:szCs w:val="20"/>
                <w:color w:val="auto"/>
              </w:rPr>
            </w:pPr>
            <w:r>
              <w:rPr>
                <w:rFonts w:ascii="Arial" w:cs="Arial" w:eastAsia="Arial" w:hAnsi="Arial"/>
                <w:sz w:val="15"/>
                <w:szCs w:val="15"/>
                <w:b w:val="1"/>
                <w:bCs w:val="1"/>
                <w:color w:val="auto"/>
              </w:rPr>
              <w:t>17,035</w:t>
            </w:r>
          </w:p>
        </w:tc>
        <w:tc>
          <w:tcPr>
            <w:tcW w:w="500" w:type="dxa"/>
            <w:vAlign w:val="bottom"/>
            <w:tcBorders>
              <w:bottom w:val="single" w:sz="8" w:color="auto"/>
            </w:tcBorders>
          </w:tcPr>
          <w:p>
            <w:pPr>
              <w:jc w:val="right"/>
              <w:ind w:right="85"/>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14,693</w:t>
            </w:r>
          </w:p>
        </w:tc>
        <w:tc>
          <w:tcPr>
            <w:tcW w:w="1040" w:type="dxa"/>
            <w:vAlign w:val="bottom"/>
          </w:tcPr>
          <w:p>
            <w:pPr>
              <w:jc w:val="right"/>
              <w:ind w:right="306"/>
              <w:spacing w:after="0" w:line="167" w:lineRule="exact"/>
              <w:rPr>
                <w:sz w:val="20"/>
                <w:szCs w:val="20"/>
                <w:color w:val="auto"/>
              </w:rPr>
            </w:pPr>
            <w:r>
              <w:rPr>
                <w:rFonts w:ascii="Arial" w:cs="Arial" w:eastAsia="Arial" w:hAnsi="Arial"/>
                <w:sz w:val="15"/>
                <w:szCs w:val="15"/>
                <w:color w:val="auto"/>
              </w:rPr>
              <w:t>16</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36,705</w:t>
            </w:r>
          </w:p>
        </w:tc>
        <w:tc>
          <w:tcPr>
            <w:tcW w:w="4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6,506</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4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auto"/>
              </w:rPr>
              <w:t>9,739</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33,919</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500" w:type="dxa"/>
            <w:vAlign w:val="bottom"/>
          </w:tcPr>
          <w:p>
            <w:pPr>
              <w:jc w:val="right"/>
              <w:ind w:right="85"/>
              <w:spacing w:after="0" w:line="15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12,168</w:t>
            </w:r>
          </w:p>
        </w:tc>
        <w:tc>
          <w:tcPr>
            <w:tcW w:w="1040" w:type="dxa"/>
            <w:vAlign w:val="bottom"/>
          </w:tcPr>
          <w:p>
            <w:pPr>
              <w:jc w:val="right"/>
              <w:ind w:right="306"/>
              <w:spacing w:after="0" w:line="156" w:lineRule="exact"/>
              <w:rPr>
                <w:sz w:val="20"/>
                <w:szCs w:val="20"/>
                <w:color w:val="auto"/>
              </w:rPr>
            </w:pPr>
            <w:r>
              <w:rPr>
                <w:rFonts w:ascii="Arial" w:cs="Arial" w:eastAsia="Arial" w:hAnsi="Arial"/>
                <w:sz w:val="15"/>
                <w:szCs w:val="15"/>
                <w:color w:val="auto"/>
              </w:rPr>
              <w:t>(20)</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35,598</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5,034</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5,544</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(9)</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14,658</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14,308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3,903</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3,841</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2</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12,015</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12,490</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90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rPr>
              <w:t>302</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(36)</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1,038</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1,356</w:t>
            </w: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6"/>
        </w:trPr>
        <w:tc>
          <w:tcPr>
            <w:tcW w:w="3900" w:type="dxa"/>
            <w:vAlign w:val="bottom"/>
            <w:vMerge w:val="restart"/>
          </w:tcPr>
          <w:p>
            <w:pPr>
              <w:spacing w:after="0"/>
              <w:rPr>
                <w:sz w:val="20"/>
                <w:szCs w:val="20"/>
                <w:color w:val="auto"/>
              </w:rPr>
            </w:pPr>
            <w:r>
              <w:rPr>
                <w:rFonts w:ascii="Arial" w:cs="Arial" w:eastAsia="Arial" w:hAnsi="Arial"/>
                <w:sz w:val="15"/>
                <w:szCs w:val="15"/>
                <w:b w:val="1"/>
                <w:bCs w:val="1"/>
                <w:color w:val="auto"/>
              </w:rPr>
              <w:t>Pension Expense</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107"/>
              <w:spacing w:after="0" w:line="167" w:lineRule="exact"/>
              <w:rPr>
                <w:sz w:val="20"/>
                <w:szCs w:val="20"/>
                <w:color w:val="auto"/>
              </w:rPr>
            </w:pPr>
            <w:r>
              <w:rPr>
                <w:rFonts w:ascii="Arial" w:cs="Arial" w:eastAsia="Arial" w:hAnsi="Arial"/>
                <w:sz w:val="15"/>
                <w:szCs w:val="15"/>
                <w:b w:val="1"/>
                <w:bCs w:val="1"/>
                <w:color w:val="auto"/>
              </w:rPr>
              <w:t>18,978</w:t>
            </w:r>
          </w:p>
        </w:tc>
        <w:tc>
          <w:tcPr>
            <w:tcW w:w="500" w:type="dxa"/>
            <w:vAlign w:val="bottom"/>
            <w:tcBorders>
              <w:bottom w:val="single" w:sz="8" w:color="auto"/>
            </w:tcBorders>
          </w:tcPr>
          <w:p>
            <w:pPr>
              <w:jc w:val="right"/>
              <w:ind w:right="85"/>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22,024</w:t>
            </w:r>
          </w:p>
        </w:tc>
        <w:tc>
          <w:tcPr>
            <w:tcW w:w="1040" w:type="dxa"/>
            <w:vAlign w:val="bottom"/>
          </w:tcPr>
          <w:p>
            <w:pPr>
              <w:jc w:val="right"/>
              <w:ind w:right="306"/>
              <w:spacing w:after="0" w:line="167" w:lineRule="exact"/>
              <w:rPr>
                <w:sz w:val="20"/>
                <w:szCs w:val="20"/>
                <w:color w:val="auto"/>
              </w:rPr>
            </w:pPr>
            <w:r>
              <w:rPr>
                <w:rFonts w:ascii="Arial" w:cs="Arial" w:eastAsia="Arial" w:hAnsi="Arial"/>
                <w:sz w:val="15"/>
                <w:szCs w:val="15"/>
                <w:color w:val="auto"/>
              </w:rPr>
              <w:t>(14)</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61,630</w:t>
            </w:r>
          </w:p>
        </w:tc>
        <w:tc>
          <w:tcPr>
            <w:tcW w:w="4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63,752</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4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auto"/>
              </w:rPr>
              <w:t>3,201</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8,815</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500" w:type="dxa"/>
            <w:vAlign w:val="bottom"/>
          </w:tcPr>
          <w:p>
            <w:pPr>
              <w:jc w:val="right"/>
              <w:ind w:right="85"/>
              <w:spacing w:after="0" w:line="15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2,234</w:t>
            </w:r>
          </w:p>
        </w:tc>
        <w:tc>
          <w:tcPr>
            <w:tcW w:w="1040" w:type="dxa"/>
            <w:vAlign w:val="bottom"/>
          </w:tcPr>
          <w:p>
            <w:pPr>
              <w:jc w:val="right"/>
              <w:ind w:right="306"/>
              <w:spacing w:after="0" w:line="156" w:lineRule="exact"/>
              <w:rPr>
                <w:sz w:val="20"/>
                <w:szCs w:val="20"/>
                <w:color w:val="auto"/>
              </w:rPr>
            </w:pPr>
            <w:r>
              <w:rPr>
                <w:rFonts w:ascii="Arial" w:cs="Arial" w:eastAsia="Arial" w:hAnsi="Arial"/>
                <w:sz w:val="15"/>
                <w:szCs w:val="15"/>
                <w:color w:val="auto"/>
              </w:rPr>
              <w:t>43</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5,408</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731</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554</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32</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2,012</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1,381</w:t>
            </w: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Arial" w:cs="Arial" w:eastAsia="Arial" w:hAnsi="Arial"/>
                <w:sz w:val="15"/>
                <w:szCs w:val="15"/>
                <w:b w:val="1"/>
                <w:bCs w:val="1"/>
                <w:color w:val="auto"/>
              </w:rPr>
              <w:t>99</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112</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(12)</w:t>
            </w:r>
          </w:p>
        </w:tc>
        <w:tc>
          <w:tcPr>
            <w:tcW w:w="34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273</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rPr>
              <w:t>138</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w:t>
            </w:r>
          </w:p>
        </w:tc>
        <w:tc>
          <w:tcPr>
            <w:tcW w:w="1040" w:type="dxa"/>
            <w:vAlign w:val="bottom"/>
          </w:tcPr>
          <w:p>
            <w:pPr>
              <w:jc w:val="right"/>
              <w:ind w:right="306"/>
              <w:spacing w:after="0"/>
              <w:rPr>
                <w:sz w:val="20"/>
                <w:szCs w:val="20"/>
                <w:color w:val="auto"/>
              </w:rPr>
            </w:pPr>
            <w:r>
              <w:rPr>
                <w:rFonts w:ascii="Arial" w:cs="Arial" w:eastAsia="Arial" w:hAnsi="Arial"/>
                <w:sz w:val="15"/>
                <w:szCs w:val="15"/>
                <w:color w:val="auto"/>
              </w:rPr>
              <w:t>(78)</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1,406</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981</w:t>
            </w: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6"/>
        </w:trPr>
        <w:tc>
          <w:tcPr>
            <w:tcW w:w="3900" w:type="dxa"/>
            <w:vAlign w:val="bottom"/>
          </w:tcPr>
          <w:p>
            <w:pPr>
              <w:spacing w:after="0"/>
              <w:rPr>
                <w:sz w:val="14"/>
                <w:szCs w:val="14"/>
                <w:color w:val="auto"/>
              </w:rPr>
            </w:pP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107"/>
              <w:spacing w:after="0" w:line="167" w:lineRule="exact"/>
              <w:rPr>
                <w:sz w:val="20"/>
                <w:szCs w:val="20"/>
                <w:color w:val="auto"/>
              </w:rPr>
            </w:pPr>
            <w:r>
              <w:rPr>
                <w:rFonts w:ascii="Arial" w:cs="Arial" w:eastAsia="Arial" w:hAnsi="Arial"/>
                <w:sz w:val="15"/>
                <w:szCs w:val="15"/>
                <w:b w:val="1"/>
                <w:bCs w:val="1"/>
                <w:color w:val="auto"/>
              </w:rPr>
              <w:t>4,169</w:t>
            </w:r>
          </w:p>
        </w:tc>
        <w:tc>
          <w:tcPr>
            <w:tcW w:w="500" w:type="dxa"/>
            <w:vAlign w:val="bottom"/>
            <w:tcBorders>
              <w:bottom w:val="single" w:sz="8" w:color="auto"/>
            </w:tcBorders>
          </w:tcPr>
          <w:p>
            <w:pPr>
              <w:jc w:val="right"/>
              <w:ind w:right="85"/>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3,522</w:t>
            </w:r>
          </w:p>
        </w:tc>
        <w:tc>
          <w:tcPr>
            <w:tcW w:w="1040" w:type="dxa"/>
            <w:vAlign w:val="bottom"/>
          </w:tcPr>
          <w:p>
            <w:pPr>
              <w:jc w:val="right"/>
              <w:ind w:right="306"/>
              <w:spacing w:after="0" w:line="167" w:lineRule="exact"/>
              <w:rPr>
                <w:sz w:val="20"/>
                <w:szCs w:val="20"/>
                <w:color w:val="auto"/>
              </w:rPr>
            </w:pPr>
            <w:r>
              <w:rPr>
                <w:rFonts w:ascii="Arial" w:cs="Arial" w:eastAsia="Arial" w:hAnsi="Arial"/>
                <w:sz w:val="15"/>
                <w:szCs w:val="15"/>
                <w:color w:val="auto"/>
              </w:rPr>
              <w:t>18</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12,506</w:t>
            </w:r>
          </w:p>
        </w:tc>
        <w:tc>
          <w:tcPr>
            <w:tcW w:w="4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7,883</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2"/>
          </w:tcPr>
          <w:p>
            <w:pPr>
              <w:jc w:val="right"/>
              <w:ind w:right="646"/>
              <w:spacing w:after="0" w:line="190" w:lineRule="exact"/>
              <w:rPr>
                <w:sz w:val="20"/>
                <w:szCs w:val="20"/>
                <w:color w:val="auto"/>
              </w:rPr>
            </w:pPr>
            <w:r>
              <w:rPr>
                <w:rFonts w:ascii="Arial" w:cs="Arial" w:eastAsia="Arial" w:hAnsi="Arial"/>
                <w:sz w:val="17"/>
                <w:szCs w:val="17"/>
                <w:color w:val="auto"/>
              </w:rPr>
              <w:t>-more-</w:t>
            </w: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NON-GAAP FINANCIAL INFORMATION</w:t>
      </w:r>
    </w:p>
    <w:p>
      <w:pPr>
        <w:spacing w:after="0" w:line="228" w:lineRule="auto"/>
        <w:rPr>
          <w:sz w:val="20"/>
          <w:szCs w:val="20"/>
          <w:color w:val="auto"/>
        </w:rPr>
      </w:pPr>
      <w:r>
        <w:rPr>
          <w:rFonts w:ascii="Arial" w:cs="Arial" w:eastAsia="Arial" w:hAnsi="Arial"/>
          <w:sz w:val="17"/>
          <w:szCs w:val="17"/>
          <w:color w:val="auto"/>
        </w:rPr>
        <w:t>THE WASHINGTON POST COMPANY</w:t>
      </w:r>
    </w:p>
    <w:p>
      <w:pPr>
        <w:spacing w:after="0"/>
        <w:rPr>
          <w:sz w:val="20"/>
          <w:szCs w:val="20"/>
          <w:color w:val="auto"/>
        </w:rPr>
      </w:pPr>
      <w:r>
        <w:rPr>
          <w:rFonts w:ascii="Arial" w:cs="Arial" w:eastAsia="Arial" w:hAnsi="Arial"/>
          <w:sz w:val="17"/>
          <w:szCs w:val="17"/>
          <w:color w:val="auto"/>
        </w:rPr>
        <w:t>(Unaudited)</w:t>
      </w:r>
    </w:p>
    <w:p>
      <w:pPr>
        <w:spacing w:after="0" w:line="15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addition to the results reported in accordance with accounting principles generally accepted in the United States (GAAP) included in this press relea the Company has provided information regarding income from continuing operations, excluding certain items described below, reconciled to the most directly comparable GAAP measures. Management believes these non-GAAP measures, when read in conjunction with the Company‘s GAAP financi provide useful information to investors by offering:</w:t>
      </w:r>
    </w:p>
    <w:p>
      <w:pPr>
        <w:spacing w:after="0" w:line="88" w:lineRule="exact"/>
        <w:rPr>
          <w:sz w:val="20"/>
          <w:szCs w:val="20"/>
          <w:color w:val="auto"/>
        </w:rPr>
      </w:pPr>
    </w:p>
    <w:p>
      <w:pPr>
        <w:ind w:left="420" w:hanging="131"/>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to make meaningful period-to-period comparisons of the Company’s ongoing results;</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to identify trends in the Company’s underlying business; and</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better understanding of how management plans and measures the Company’s underlying business.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Income from continuing operations, excluding certain items, should not be considered substitutes or alternatives to computations calculated in accorda with and required by GAAP. These non-GAAP financial measures should be read only in conjunction with financial information presented on a GAAP b</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non-GAAP financial measures to the most directly comparable GAAP measures: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740" w:type="dxa"/>
            <w:vAlign w:val="bottom"/>
            <w:gridSpan w:val="3"/>
          </w:tcPr>
          <w:p>
            <w:pPr>
              <w:ind w:left="640"/>
              <w:spacing w:after="0"/>
              <w:rPr>
                <w:sz w:val="20"/>
                <w:szCs w:val="20"/>
                <w:color w:val="auto"/>
              </w:rPr>
            </w:pPr>
            <w:r>
              <w:rPr>
                <w:rFonts w:ascii="Arial" w:cs="Arial" w:eastAsia="Arial" w:hAnsi="Arial"/>
                <w:sz w:val="12"/>
                <w:szCs w:val="12"/>
                <w:b w:val="1"/>
                <w:bCs w:val="1"/>
                <w:color w:val="auto"/>
              </w:rPr>
              <w:t>Three Months Ended</w:t>
            </w:r>
          </w:p>
        </w:tc>
        <w:tc>
          <w:tcPr>
            <w:tcW w:w="2020" w:type="dxa"/>
            <w:vAlign w:val="bottom"/>
            <w:gridSpan w:val="2"/>
          </w:tcPr>
          <w:p>
            <w:pPr>
              <w:jc w:val="right"/>
              <w:ind w:right="127"/>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51"/>
        </w:trPr>
        <w:tc>
          <w:tcPr>
            <w:tcW w:w="6180" w:type="dxa"/>
            <w:vAlign w:val="bottom"/>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September 30,</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September 30,</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740" w:type="dxa"/>
            <w:vAlign w:val="bottom"/>
            <w:tcBorders>
              <w:bottom w:val="single" w:sz="8" w:color="auto"/>
            </w:tcBorders>
          </w:tcPr>
          <w:p>
            <w:pPr>
              <w:jc w:val="right"/>
              <w:ind w:right="968"/>
              <w:spacing w:after="0"/>
              <w:rPr>
                <w:sz w:val="20"/>
                <w:szCs w:val="20"/>
                <w:color w:val="auto"/>
              </w:rPr>
            </w:pPr>
            <w:r>
              <w:rPr>
                <w:rFonts w:ascii="Arial" w:cs="Arial" w:eastAsia="Arial" w:hAnsi="Arial"/>
                <w:sz w:val="12"/>
                <w:szCs w:val="12"/>
                <w:b w:val="1"/>
                <w:bCs w:val="1"/>
                <w:color w:val="auto"/>
              </w:rPr>
              <w:t>2013</w:t>
            </w:r>
          </w:p>
        </w:tc>
        <w:tc>
          <w:tcPr>
            <w:tcW w:w="76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color w:val="auto"/>
              </w:rPr>
              <w:t>2012</w:t>
            </w:r>
          </w:p>
        </w:tc>
        <w:tc>
          <w:tcPr>
            <w:tcW w:w="2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ind w:right="968"/>
              <w:spacing w:after="0"/>
              <w:rPr>
                <w:sz w:val="20"/>
                <w:szCs w:val="20"/>
                <w:color w:val="auto"/>
              </w:rPr>
            </w:pPr>
            <w:r>
              <w:rPr>
                <w:rFonts w:ascii="Arial" w:cs="Arial" w:eastAsia="Arial" w:hAnsi="Arial"/>
                <w:sz w:val="12"/>
                <w:szCs w:val="12"/>
                <w:b w:val="1"/>
                <w:bCs w:val="1"/>
                <w:color w:val="auto"/>
              </w:rPr>
              <w:t>2013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75"/>
        </w:trPr>
        <w:tc>
          <w:tcPr>
            <w:tcW w:w="6180" w:type="dxa"/>
            <w:vAlign w:val="bottom"/>
          </w:tcPr>
          <w:p>
            <w:pPr>
              <w:spacing w:after="0"/>
              <w:rPr>
                <w:sz w:val="20"/>
                <w:szCs w:val="20"/>
                <w:color w:val="auto"/>
              </w:rPr>
            </w:pPr>
            <w:r>
              <w:rPr>
                <w:rFonts w:ascii="Arial" w:cs="Arial" w:eastAsia="Arial" w:hAnsi="Arial"/>
                <w:sz w:val="15"/>
                <w:szCs w:val="15"/>
                <w:b w:val="1"/>
                <w:bCs w:val="1"/>
                <w:color w:val="auto"/>
              </w:rPr>
              <w:t>Amounts attributable to The Washington Post Company</w:t>
            </w:r>
          </w:p>
        </w:tc>
        <w:tc>
          <w:tcPr>
            <w:tcW w:w="1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180" w:type="dxa"/>
            <w:vAlign w:val="bottom"/>
          </w:tcPr>
          <w:p>
            <w:pPr>
              <w:ind w:left="220"/>
              <w:spacing w:after="0"/>
              <w:rPr>
                <w:sz w:val="20"/>
                <w:szCs w:val="20"/>
                <w:color w:val="auto"/>
              </w:rPr>
            </w:pPr>
            <w:r>
              <w:rPr>
                <w:rFonts w:ascii="Arial" w:cs="Arial" w:eastAsia="Arial" w:hAnsi="Arial"/>
                <w:sz w:val="15"/>
                <w:szCs w:val="15"/>
                <w:b w:val="1"/>
                <w:bCs w:val="1"/>
                <w:color w:val="auto"/>
              </w:rPr>
              <w:t>common stockholders</w:t>
            </w:r>
          </w:p>
        </w:tc>
        <w:tc>
          <w:tcPr>
            <w:tcW w:w="1740" w:type="dxa"/>
            <w:vAlign w:val="bottom"/>
            <w:vMerge w:val="restart"/>
          </w:tcPr>
          <w:p>
            <w:pPr>
              <w:jc w:val="right"/>
              <w:ind w:right="568"/>
              <w:spacing w:after="0"/>
              <w:rPr>
                <w:sz w:val="20"/>
                <w:szCs w:val="20"/>
                <w:color w:val="auto"/>
              </w:rPr>
            </w:pPr>
            <w:r>
              <w:rPr>
                <w:rFonts w:ascii="Arial" w:cs="Arial" w:eastAsia="Arial" w:hAnsi="Arial"/>
                <w:sz w:val="15"/>
                <w:szCs w:val="15"/>
                <w:b w:val="1"/>
                <w:bCs w:val="1"/>
                <w:color w:val="auto"/>
              </w:rPr>
              <w:t>$ 56,016</w:t>
            </w: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vMerge w:val="restart"/>
          </w:tcPr>
          <w:p>
            <w:pPr>
              <w:jc w:val="right"/>
              <w:ind w:right="548"/>
              <w:spacing w:after="0"/>
              <w:rPr>
                <w:sz w:val="20"/>
                <w:szCs w:val="20"/>
                <w:color w:val="auto"/>
              </w:rPr>
            </w:pPr>
            <w:r>
              <w:rPr>
                <w:rFonts w:ascii="Arial" w:cs="Arial" w:eastAsia="Arial" w:hAnsi="Arial"/>
                <w:sz w:val="15"/>
                <w:szCs w:val="15"/>
                <w:b w:val="1"/>
                <w:bCs w:val="1"/>
                <w:color w:val="auto"/>
              </w:rPr>
              <w:t>$ 134,253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180" w:type="dxa"/>
            <w:vAlign w:val="bottom"/>
          </w:tcPr>
          <w:p>
            <w:pPr>
              <w:spacing w:after="0"/>
              <w:rPr>
                <w:sz w:val="20"/>
                <w:szCs w:val="20"/>
                <w:color w:val="auto"/>
              </w:rPr>
            </w:pPr>
            <w:r>
              <w:rPr>
                <w:rFonts w:ascii="Arial" w:cs="Arial" w:eastAsia="Arial" w:hAnsi="Arial"/>
                <w:sz w:val="15"/>
                <w:szCs w:val="15"/>
                <w:color w:val="auto"/>
              </w:rPr>
              <w:t>Income from continuing operations, as reported</w:t>
            </w:r>
          </w:p>
        </w:tc>
        <w:tc>
          <w:tcPr>
            <w:tcW w:w="17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$ 56,257</w:t>
            </w: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$ 1</w:t>
            </w:r>
          </w:p>
        </w:tc>
        <w:tc>
          <w:tcPr>
            <w:tcW w:w="0" w:type="dxa"/>
            <w:vAlign w:val="bottom"/>
          </w:tcPr>
          <w:p>
            <w:pPr>
              <w:spacing w:after="0"/>
              <w:rPr>
                <w:sz w:val="1"/>
                <w:szCs w:val="1"/>
                <w:color w:val="auto"/>
              </w:rPr>
            </w:pPr>
          </w:p>
        </w:tc>
      </w:tr>
      <w:tr>
        <w:trPr>
          <w:trHeight w:val="185"/>
        </w:trPr>
        <w:tc>
          <w:tcPr>
            <w:tcW w:w="6180" w:type="dxa"/>
            <w:vAlign w:val="bottom"/>
          </w:tcPr>
          <w:p>
            <w:pPr>
              <w:ind w:left="220"/>
              <w:spacing w:after="0"/>
              <w:rPr>
                <w:sz w:val="20"/>
                <w:szCs w:val="20"/>
                <w:color w:val="auto"/>
              </w:rPr>
            </w:pPr>
            <w:r>
              <w:rPr>
                <w:rFonts w:ascii="Arial" w:cs="Arial" w:eastAsia="Arial" w:hAnsi="Arial"/>
                <w:sz w:val="15"/>
                <w:szCs w:val="15"/>
                <w:color w:val="auto"/>
              </w:rPr>
              <w:t>Adjustments:</w:t>
            </w:r>
          </w:p>
        </w:tc>
        <w:tc>
          <w:tcPr>
            <w:tcW w:w="1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60"/>
              <w:spacing w:after="0"/>
              <w:rPr>
                <w:sz w:val="20"/>
                <w:szCs w:val="20"/>
                <w:color w:val="auto"/>
              </w:rPr>
            </w:pPr>
            <w:r>
              <w:rPr>
                <w:rFonts w:ascii="Arial" w:cs="Arial" w:eastAsia="Arial" w:hAnsi="Arial"/>
                <w:sz w:val="15"/>
                <w:szCs w:val="15"/>
                <w:color w:val="auto"/>
              </w:rPr>
              <w:t>Severance and restructuring charges</w:t>
            </w:r>
          </w:p>
        </w:tc>
        <w:tc>
          <w:tcPr>
            <w:tcW w:w="1740" w:type="dxa"/>
            <w:vAlign w:val="bottom"/>
          </w:tcPr>
          <w:p>
            <w:pPr>
              <w:jc w:val="right"/>
              <w:ind w:right="568"/>
              <w:spacing w:after="0"/>
              <w:rPr>
                <w:sz w:val="20"/>
                <w:szCs w:val="20"/>
                <w:color w:val="auto"/>
              </w:rPr>
            </w:pPr>
            <w:r>
              <w:rPr>
                <w:rFonts w:ascii="Arial" w:cs="Arial" w:eastAsia="Arial" w:hAnsi="Arial"/>
                <w:sz w:val="15"/>
                <w:szCs w:val="15"/>
                <w:b w:val="1"/>
                <w:bCs w:val="1"/>
                <w:color w:val="auto"/>
              </w:rPr>
              <w:t>3,064</w:t>
            </w:r>
          </w:p>
        </w:tc>
        <w:tc>
          <w:tcPr>
            <w:tcW w:w="760" w:type="dxa"/>
            <w:vAlign w:val="bottom"/>
          </w:tcPr>
          <w:p>
            <w:pPr>
              <w:jc w:val="right"/>
              <w:spacing w:after="0"/>
              <w:rPr>
                <w:sz w:val="20"/>
                <w:szCs w:val="20"/>
                <w:color w:val="auto"/>
              </w:rPr>
            </w:pPr>
            <w:r>
              <w:rPr>
                <w:rFonts w:ascii="Arial" w:cs="Arial" w:eastAsia="Arial" w:hAnsi="Arial"/>
                <w:sz w:val="15"/>
                <w:szCs w:val="15"/>
                <w:color w:val="auto"/>
              </w:rPr>
              <w:t>2,695</w:t>
            </w:r>
          </w:p>
        </w:tc>
        <w:tc>
          <w:tcPr>
            <w:tcW w:w="240" w:type="dxa"/>
            <w:vAlign w:val="bottom"/>
          </w:tcPr>
          <w:p>
            <w:pPr>
              <w:spacing w:after="0"/>
              <w:rPr>
                <w:sz w:val="17"/>
                <w:szCs w:val="17"/>
                <w:color w:val="auto"/>
              </w:rPr>
            </w:pPr>
          </w:p>
        </w:tc>
        <w:tc>
          <w:tcPr>
            <w:tcW w:w="1720" w:type="dxa"/>
            <w:vAlign w:val="bottom"/>
          </w:tcPr>
          <w:p>
            <w:pPr>
              <w:jc w:val="right"/>
              <w:ind w:right="548"/>
              <w:spacing w:after="0"/>
              <w:rPr>
                <w:sz w:val="20"/>
                <w:szCs w:val="20"/>
                <w:color w:val="auto"/>
              </w:rPr>
            </w:pPr>
            <w:r>
              <w:rPr>
                <w:rFonts w:ascii="Arial" w:cs="Arial" w:eastAsia="Arial" w:hAnsi="Arial"/>
                <w:sz w:val="15"/>
                <w:szCs w:val="15"/>
                <w:b w:val="1"/>
                <w:bCs w:val="1"/>
                <w:color w:val="auto"/>
              </w:rPr>
              <w:t>13,073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60"/>
              <w:spacing w:after="0"/>
              <w:rPr>
                <w:sz w:val="20"/>
                <w:szCs w:val="20"/>
                <w:color w:val="auto"/>
              </w:rPr>
            </w:pPr>
            <w:r>
              <w:rPr>
                <w:rFonts w:ascii="Arial" w:cs="Arial" w:eastAsia="Arial" w:hAnsi="Arial"/>
                <w:sz w:val="15"/>
                <w:szCs w:val="15"/>
                <w:color w:val="auto"/>
              </w:rPr>
              <w:t>Gain on sale of a cost method investment</w:t>
            </w:r>
          </w:p>
        </w:tc>
        <w:tc>
          <w:tcPr>
            <w:tcW w:w="1740" w:type="dxa"/>
            <w:vAlign w:val="bottom"/>
          </w:tcPr>
          <w:p>
            <w:pPr>
              <w:jc w:val="right"/>
              <w:ind w:right="568"/>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548"/>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6180" w:type="dxa"/>
            <w:vAlign w:val="bottom"/>
          </w:tcPr>
          <w:p>
            <w:pPr>
              <w:ind w:left="460"/>
              <w:spacing w:after="0"/>
              <w:rPr>
                <w:sz w:val="20"/>
                <w:szCs w:val="20"/>
                <w:color w:val="auto"/>
              </w:rPr>
            </w:pPr>
            <w:r>
              <w:rPr>
                <w:rFonts w:ascii="Arial" w:cs="Arial" w:eastAsia="Arial" w:hAnsi="Arial"/>
                <w:sz w:val="15"/>
                <w:szCs w:val="15"/>
                <w:color w:val="auto"/>
              </w:rPr>
              <w:t>Foreign currency loss (gain)</w:t>
            </w:r>
          </w:p>
        </w:tc>
        <w:tc>
          <w:tcPr>
            <w:tcW w:w="1740" w:type="dxa"/>
            <w:vAlign w:val="bottom"/>
            <w:tcBorders>
              <w:bottom w:val="single" w:sz="8" w:color="auto"/>
            </w:tcBorders>
          </w:tcPr>
          <w:p>
            <w:pPr>
              <w:jc w:val="right"/>
              <w:ind w:right="568"/>
              <w:spacing w:after="0"/>
              <w:rPr>
                <w:sz w:val="20"/>
                <w:szCs w:val="20"/>
                <w:color w:val="auto"/>
              </w:rPr>
            </w:pPr>
            <w:r>
              <w:rPr>
                <w:rFonts w:ascii="Arial" w:cs="Arial" w:eastAsia="Arial" w:hAnsi="Arial"/>
                <w:sz w:val="15"/>
                <w:szCs w:val="15"/>
                <w:b w:val="1"/>
                <w:bCs w:val="1"/>
                <w:color w:val="auto"/>
              </w:rPr>
              <w:t>(5,047)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(1,928)</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48"/>
              <w:spacing w:after="0"/>
              <w:rPr>
                <w:sz w:val="20"/>
                <w:szCs w:val="20"/>
                <w:color w:val="auto"/>
              </w:rPr>
            </w:pPr>
            <w:r>
              <w:rPr>
                <w:rFonts w:ascii="Arial" w:cs="Arial" w:eastAsia="Arial" w:hAnsi="Arial"/>
                <w:sz w:val="15"/>
                <w:szCs w:val="15"/>
                <w:b w:val="1"/>
                <w:bCs w:val="1"/>
                <w:color w:val="auto"/>
              </w:rPr>
              <w:t>5,984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6180" w:type="dxa"/>
            <w:vAlign w:val="bottom"/>
          </w:tcPr>
          <w:p>
            <w:pPr>
              <w:spacing w:after="0" w:line="167" w:lineRule="exact"/>
              <w:rPr>
                <w:sz w:val="20"/>
                <w:szCs w:val="20"/>
                <w:color w:val="auto"/>
              </w:rPr>
            </w:pPr>
            <w:r>
              <w:rPr>
                <w:rFonts w:ascii="Arial" w:cs="Arial" w:eastAsia="Arial" w:hAnsi="Arial"/>
                <w:sz w:val="15"/>
                <w:szCs w:val="15"/>
                <w:color w:val="auto"/>
              </w:rPr>
              <w:t>Income from continuing operations, adjusted (non-GAAP)</w:t>
            </w:r>
          </w:p>
        </w:tc>
        <w:tc>
          <w:tcPr>
            <w:tcW w:w="1740" w:type="dxa"/>
            <w:vAlign w:val="bottom"/>
            <w:tcBorders>
              <w:bottom w:val="single" w:sz="8" w:color="auto"/>
            </w:tcBorders>
          </w:tcPr>
          <w:p>
            <w:pPr>
              <w:jc w:val="right"/>
              <w:ind w:right="568"/>
              <w:spacing w:after="0" w:line="167" w:lineRule="exact"/>
              <w:rPr>
                <w:sz w:val="20"/>
                <w:szCs w:val="20"/>
                <w:color w:val="auto"/>
              </w:rPr>
            </w:pPr>
            <w:r>
              <w:rPr>
                <w:rFonts w:ascii="Arial" w:cs="Arial" w:eastAsia="Arial" w:hAnsi="Arial"/>
                <w:sz w:val="15"/>
                <w:szCs w:val="15"/>
                <w:b w:val="1"/>
                <w:bCs w:val="1"/>
                <w:color w:val="auto"/>
              </w:rPr>
              <w:t>$ 54,033</w:t>
            </w:r>
          </w:p>
        </w:tc>
        <w:tc>
          <w:tcPr>
            <w:tcW w:w="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$ 57,024</w:t>
            </w: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48"/>
              <w:spacing w:after="0" w:line="167" w:lineRule="exact"/>
              <w:rPr>
                <w:sz w:val="20"/>
                <w:szCs w:val="20"/>
                <w:color w:val="auto"/>
              </w:rPr>
            </w:pPr>
            <w:r>
              <w:rPr>
                <w:rFonts w:ascii="Arial" w:cs="Arial" w:eastAsia="Arial" w:hAnsi="Arial"/>
                <w:sz w:val="15"/>
                <w:szCs w:val="15"/>
                <w:b w:val="1"/>
                <w:bCs w:val="1"/>
                <w:color w:val="auto"/>
              </w:rPr>
              <w:t>$ 153,310</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$ 1</w:t>
            </w:r>
          </w:p>
        </w:tc>
        <w:tc>
          <w:tcPr>
            <w:tcW w:w="0" w:type="dxa"/>
            <w:vAlign w:val="bottom"/>
          </w:tcPr>
          <w:p>
            <w:pPr>
              <w:spacing w:after="0"/>
              <w:rPr>
                <w:sz w:val="1"/>
                <w:szCs w:val="1"/>
                <w:color w:val="auto"/>
              </w:rPr>
            </w:pPr>
          </w:p>
        </w:tc>
      </w:tr>
      <w:tr>
        <w:trPr>
          <w:trHeight w:val="371"/>
        </w:trPr>
        <w:tc>
          <w:tcPr>
            <w:tcW w:w="6180" w:type="dxa"/>
            <w:vAlign w:val="bottom"/>
          </w:tcPr>
          <w:p>
            <w:pPr>
              <w:spacing w:after="0"/>
              <w:rPr>
                <w:sz w:val="20"/>
                <w:szCs w:val="20"/>
                <w:color w:val="auto"/>
              </w:rPr>
            </w:pPr>
            <w:r>
              <w:rPr>
                <w:rFonts w:ascii="Arial" w:cs="Arial" w:eastAsia="Arial" w:hAnsi="Arial"/>
                <w:sz w:val="15"/>
                <w:szCs w:val="15"/>
                <w:b w:val="1"/>
                <w:bCs w:val="1"/>
                <w:color w:val="auto"/>
              </w:rPr>
              <w:t>Per share information attributable to The Washington</w:t>
            </w:r>
          </w:p>
        </w:tc>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180" w:type="dxa"/>
            <w:vAlign w:val="bottom"/>
          </w:tcPr>
          <w:p>
            <w:pPr>
              <w:ind w:left="220"/>
              <w:spacing w:after="0"/>
              <w:rPr>
                <w:sz w:val="20"/>
                <w:szCs w:val="20"/>
                <w:color w:val="auto"/>
              </w:rPr>
            </w:pPr>
            <w:r>
              <w:rPr>
                <w:rFonts w:ascii="Arial" w:cs="Arial" w:eastAsia="Arial" w:hAnsi="Arial"/>
                <w:sz w:val="15"/>
                <w:szCs w:val="15"/>
                <w:b w:val="1"/>
                <w:bCs w:val="1"/>
                <w:color w:val="auto"/>
              </w:rPr>
              <w:t>Post Company common stockholders</w:t>
            </w:r>
          </w:p>
        </w:tc>
        <w:tc>
          <w:tcPr>
            <w:tcW w:w="1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18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1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180" w:type="dxa"/>
            <w:vAlign w:val="bottom"/>
          </w:tcPr>
          <w:p>
            <w:pPr>
              <w:ind w:left="220"/>
              <w:spacing w:after="0"/>
              <w:rPr>
                <w:sz w:val="20"/>
                <w:szCs w:val="20"/>
                <w:color w:val="auto"/>
              </w:rPr>
            </w:pPr>
            <w:r>
              <w:rPr>
                <w:rFonts w:ascii="Arial" w:cs="Arial" w:eastAsia="Arial" w:hAnsi="Arial"/>
                <w:sz w:val="15"/>
                <w:szCs w:val="15"/>
                <w:color w:val="auto"/>
              </w:rPr>
              <w:t>as reported</w:t>
            </w:r>
          </w:p>
        </w:tc>
        <w:tc>
          <w:tcPr>
            <w:tcW w:w="1740" w:type="dxa"/>
            <w:vAlign w:val="bottom"/>
            <w:tcBorders>
              <w:bottom w:val="single" w:sz="8" w:color="auto"/>
            </w:tcBorders>
          </w:tcPr>
          <w:p>
            <w:pPr>
              <w:jc w:val="right"/>
              <w:ind w:right="568"/>
              <w:spacing w:after="0"/>
              <w:rPr>
                <w:sz w:val="20"/>
                <w:szCs w:val="20"/>
                <w:color w:val="auto"/>
              </w:rPr>
            </w:pPr>
            <w:r>
              <w:rPr>
                <w:rFonts w:ascii="Arial" w:cs="Arial" w:eastAsia="Arial" w:hAnsi="Arial"/>
                <w:sz w:val="15"/>
                <w:szCs w:val="15"/>
                <w:b w:val="1"/>
                <w:bCs w:val="1"/>
                <w:color w:val="auto"/>
              </w:rPr>
              <w:t>$ 7.53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$ 7.58</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48"/>
              <w:spacing w:after="0"/>
              <w:rPr>
                <w:sz w:val="20"/>
                <w:szCs w:val="20"/>
                <w:color w:val="auto"/>
              </w:rPr>
            </w:pPr>
            <w:r>
              <w:rPr>
                <w:rFonts w:ascii="Arial" w:cs="Arial" w:eastAsia="Arial" w:hAnsi="Arial"/>
                <w:sz w:val="15"/>
                <w:szCs w:val="15"/>
                <w:b w:val="1"/>
                <w:bCs w:val="1"/>
                <w:color w:val="auto"/>
              </w:rPr>
              <w:t>$ 18.07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6180" w:type="dxa"/>
            <w:vAlign w:val="bottom"/>
          </w:tcPr>
          <w:p>
            <w:pPr>
              <w:ind w:left="220"/>
              <w:spacing w:after="0"/>
              <w:rPr>
                <w:sz w:val="20"/>
                <w:szCs w:val="20"/>
                <w:color w:val="auto"/>
              </w:rPr>
            </w:pPr>
            <w:r>
              <w:rPr>
                <w:rFonts w:ascii="Arial" w:cs="Arial" w:eastAsia="Arial" w:hAnsi="Arial"/>
                <w:sz w:val="15"/>
                <w:szCs w:val="15"/>
                <w:color w:val="auto"/>
              </w:rPr>
              <w:t>Adjustments:</w:t>
            </w:r>
          </w:p>
        </w:tc>
        <w:tc>
          <w:tcPr>
            <w:tcW w:w="1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60"/>
              <w:spacing w:after="0"/>
              <w:rPr>
                <w:sz w:val="20"/>
                <w:szCs w:val="20"/>
                <w:color w:val="auto"/>
              </w:rPr>
            </w:pPr>
            <w:r>
              <w:rPr>
                <w:rFonts w:ascii="Arial" w:cs="Arial" w:eastAsia="Arial" w:hAnsi="Arial"/>
                <w:sz w:val="15"/>
                <w:szCs w:val="15"/>
                <w:color w:val="auto"/>
              </w:rPr>
              <w:t>Severance and restructuring charges</w:t>
            </w:r>
          </w:p>
        </w:tc>
        <w:tc>
          <w:tcPr>
            <w:tcW w:w="1740" w:type="dxa"/>
            <w:vAlign w:val="bottom"/>
          </w:tcPr>
          <w:p>
            <w:pPr>
              <w:jc w:val="right"/>
              <w:ind w:right="568"/>
              <w:spacing w:after="0"/>
              <w:rPr>
                <w:sz w:val="20"/>
                <w:szCs w:val="20"/>
                <w:color w:val="auto"/>
              </w:rPr>
            </w:pPr>
            <w:r>
              <w:rPr>
                <w:rFonts w:ascii="Arial" w:cs="Arial" w:eastAsia="Arial" w:hAnsi="Arial"/>
                <w:sz w:val="15"/>
                <w:szCs w:val="15"/>
                <w:b w:val="1"/>
                <w:bCs w:val="1"/>
                <w:color w:val="auto"/>
              </w:rPr>
              <w:t>0.42</w:t>
            </w:r>
          </w:p>
        </w:tc>
        <w:tc>
          <w:tcPr>
            <w:tcW w:w="760" w:type="dxa"/>
            <w:vAlign w:val="bottom"/>
          </w:tcPr>
          <w:p>
            <w:pPr>
              <w:jc w:val="right"/>
              <w:spacing w:after="0"/>
              <w:rPr>
                <w:sz w:val="20"/>
                <w:szCs w:val="20"/>
                <w:color w:val="auto"/>
              </w:rPr>
            </w:pPr>
            <w:r>
              <w:rPr>
                <w:rFonts w:ascii="Arial" w:cs="Arial" w:eastAsia="Arial" w:hAnsi="Arial"/>
                <w:sz w:val="15"/>
                <w:szCs w:val="15"/>
                <w:color w:val="auto"/>
              </w:rPr>
              <w:t>0.37</w:t>
            </w:r>
          </w:p>
        </w:tc>
        <w:tc>
          <w:tcPr>
            <w:tcW w:w="240" w:type="dxa"/>
            <w:vAlign w:val="bottom"/>
          </w:tcPr>
          <w:p>
            <w:pPr>
              <w:spacing w:after="0"/>
              <w:rPr>
                <w:sz w:val="17"/>
                <w:szCs w:val="17"/>
                <w:color w:val="auto"/>
              </w:rPr>
            </w:pPr>
          </w:p>
        </w:tc>
        <w:tc>
          <w:tcPr>
            <w:tcW w:w="1720" w:type="dxa"/>
            <w:vAlign w:val="bottom"/>
          </w:tcPr>
          <w:p>
            <w:pPr>
              <w:jc w:val="right"/>
              <w:ind w:right="548"/>
              <w:spacing w:after="0"/>
              <w:rPr>
                <w:sz w:val="20"/>
                <w:szCs w:val="20"/>
                <w:color w:val="auto"/>
              </w:rPr>
            </w:pPr>
            <w:r>
              <w:rPr>
                <w:rFonts w:ascii="Arial" w:cs="Arial" w:eastAsia="Arial" w:hAnsi="Arial"/>
                <w:sz w:val="15"/>
                <w:szCs w:val="15"/>
                <w:b w:val="1"/>
                <w:bCs w:val="1"/>
                <w:color w:val="auto"/>
              </w:rPr>
              <w:t>1.79</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60"/>
              <w:spacing w:after="0"/>
              <w:rPr>
                <w:sz w:val="20"/>
                <w:szCs w:val="20"/>
                <w:color w:val="auto"/>
              </w:rPr>
            </w:pPr>
            <w:r>
              <w:rPr>
                <w:rFonts w:ascii="Arial" w:cs="Arial" w:eastAsia="Arial" w:hAnsi="Arial"/>
                <w:sz w:val="15"/>
                <w:szCs w:val="15"/>
                <w:color w:val="auto"/>
              </w:rPr>
              <w:t>Gain on sale of a cost method investment</w:t>
            </w:r>
          </w:p>
        </w:tc>
        <w:tc>
          <w:tcPr>
            <w:tcW w:w="1740" w:type="dxa"/>
            <w:vAlign w:val="bottom"/>
          </w:tcPr>
          <w:p>
            <w:pPr>
              <w:jc w:val="right"/>
              <w:ind w:right="568"/>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548"/>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180" w:type="dxa"/>
            <w:vAlign w:val="bottom"/>
          </w:tcPr>
          <w:p>
            <w:pPr>
              <w:ind w:left="460"/>
              <w:spacing w:after="0"/>
              <w:rPr>
                <w:sz w:val="20"/>
                <w:szCs w:val="20"/>
                <w:color w:val="auto"/>
              </w:rPr>
            </w:pPr>
            <w:r>
              <w:rPr>
                <w:rFonts w:ascii="Arial" w:cs="Arial" w:eastAsia="Arial" w:hAnsi="Arial"/>
                <w:sz w:val="15"/>
                <w:szCs w:val="15"/>
                <w:color w:val="auto"/>
              </w:rPr>
              <w:t>Foreign currency loss (gain)</w:t>
            </w:r>
          </w:p>
        </w:tc>
        <w:tc>
          <w:tcPr>
            <w:tcW w:w="1740" w:type="dxa"/>
            <w:vAlign w:val="bottom"/>
            <w:tcBorders>
              <w:bottom w:val="single" w:sz="8" w:color="auto"/>
            </w:tcBorders>
          </w:tcPr>
          <w:p>
            <w:pPr>
              <w:jc w:val="right"/>
              <w:ind w:right="568"/>
              <w:spacing w:after="0"/>
              <w:rPr>
                <w:sz w:val="20"/>
                <w:szCs w:val="20"/>
                <w:color w:val="auto"/>
              </w:rPr>
            </w:pPr>
            <w:r>
              <w:rPr>
                <w:rFonts w:ascii="Arial" w:cs="Arial" w:eastAsia="Arial" w:hAnsi="Arial"/>
                <w:sz w:val="15"/>
                <w:szCs w:val="15"/>
                <w:b w:val="1"/>
                <w:bCs w:val="1"/>
                <w:color w:val="auto"/>
              </w:rPr>
              <w:t>(0.69)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(0.26)</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48"/>
              <w:spacing w:after="0"/>
              <w:rPr>
                <w:sz w:val="20"/>
                <w:szCs w:val="20"/>
                <w:color w:val="auto"/>
              </w:rPr>
            </w:pPr>
            <w:r>
              <w:rPr>
                <w:rFonts w:ascii="Arial" w:cs="Arial" w:eastAsia="Arial" w:hAnsi="Arial"/>
                <w:sz w:val="15"/>
                <w:szCs w:val="15"/>
                <w:b w:val="1"/>
                <w:bCs w:val="1"/>
                <w:color w:val="auto"/>
              </w:rPr>
              <w:t>0.83</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18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1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180" w:type="dxa"/>
            <w:vAlign w:val="bottom"/>
          </w:tcPr>
          <w:p>
            <w:pPr>
              <w:ind w:left="220"/>
              <w:spacing w:after="0"/>
              <w:rPr>
                <w:sz w:val="20"/>
                <w:szCs w:val="20"/>
                <w:color w:val="auto"/>
              </w:rPr>
            </w:pPr>
            <w:r>
              <w:rPr>
                <w:rFonts w:ascii="Arial" w:cs="Arial" w:eastAsia="Arial" w:hAnsi="Arial"/>
                <w:sz w:val="15"/>
                <w:szCs w:val="15"/>
                <w:color w:val="auto"/>
              </w:rPr>
              <w:t>adjusted (non-GAAP)</w:t>
            </w:r>
          </w:p>
        </w:tc>
        <w:tc>
          <w:tcPr>
            <w:tcW w:w="1740" w:type="dxa"/>
            <w:vAlign w:val="bottom"/>
            <w:tcBorders>
              <w:bottom w:val="single" w:sz="8" w:color="auto"/>
            </w:tcBorders>
          </w:tcPr>
          <w:p>
            <w:pPr>
              <w:jc w:val="right"/>
              <w:ind w:right="568"/>
              <w:spacing w:after="0"/>
              <w:rPr>
                <w:sz w:val="20"/>
                <w:szCs w:val="20"/>
                <w:color w:val="auto"/>
              </w:rPr>
            </w:pPr>
            <w:r>
              <w:rPr>
                <w:rFonts w:ascii="Arial" w:cs="Arial" w:eastAsia="Arial" w:hAnsi="Arial"/>
                <w:sz w:val="15"/>
                <w:szCs w:val="15"/>
                <w:b w:val="1"/>
                <w:bCs w:val="1"/>
                <w:color w:val="auto"/>
              </w:rPr>
              <w:t>$ 7.26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$ 7.69</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48"/>
              <w:spacing w:after="0"/>
              <w:rPr>
                <w:sz w:val="20"/>
                <w:szCs w:val="20"/>
                <w:color w:val="auto"/>
              </w:rPr>
            </w:pPr>
            <w:r>
              <w:rPr>
                <w:rFonts w:ascii="Arial" w:cs="Arial" w:eastAsia="Arial" w:hAnsi="Arial"/>
                <w:sz w:val="15"/>
                <w:szCs w:val="15"/>
                <w:b w:val="1"/>
                <w:bCs w:val="1"/>
                <w:color w:val="auto"/>
              </w:rPr>
              <w:t>$ 20.69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3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39" w:right="1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2019-12-05T17:15:38Z</dcterms:created>
  <dcterms:modified xsi:type="dcterms:W3CDTF">2019-12-05T17:15:38Z</dcterms:modified>
</cp:coreProperties>
</file>