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6,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5.07 Submission of Matters to a Vote of Security Holders</w:t>
      </w:r>
    </w:p>
    <w:p>
      <w:pPr>
        <w:spacing w:after="0" w:line="387" w:lineRule="exact"/>
        <w:rPr>
          <w:sz w:val="20"/>
          <w:szCs w:val="20"/>
          <w:color w:val="auto"/>
        </w:rPr>
      </w:pPr>
    </w:p>
    <w:p>
      <w:pPr>
        <w:ind w:right="480" w:firstLine="200"/>
        <w:spacing w:after="0" w:line="271" w:lineRule="auto"/>
        <w:rPr>
          <w:sz w:val="20"/>
          <w:szCs w:val="20"/>
          <w:color w:val="auto"/>
        </w:rPr>
      </w:pPr>
      <w:r>
        <w:rPr>
          <w:rFonts w:ascii="Arial" w:cs="Arial" w:eastAsia="Arial" w:hAnsi="Arial"/>
          <w:sz w:val="18"/>
          <w:szCs w:val="18"/>
          <w:color w:val="auto"/>
        </w:rPr>
        <w:t>On May 6, 2025,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ten persons nominated as Directors of the Company as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2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8"/>
        </w:trPr>
        <w:tc>
          <w:tcPr>
            <w:tcW w:w="3980" w:type="dxa"/>
            <w:vAlign w:val="bottom"/>
          </w:tcPr>
          <w:p>
            <w:pPr>
              <w:spacing w:after="0"/>
              <w:rPr>
                <w:sz w:val="24"/>
                <w:szCs w:val="24"/>
                <w:color w:val="auto"/>
              </w:rPr>
            </w:pP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6"/>
              </w:rPr>
              <w:t>For</w:t>
            </w:r>
          </w:p>
        </w:tc>
        <w:tc>
          <w:tcPr>
            <w:tcW w:w="1980" w:type="dxa"/>
            <w:vAlign w:val="bottom"/>
          </w:tcPr>
          <w:p>
            <w:pPr>
              <w:jc w:val="center"/>
              <w:spacing w:after="0"/>
              <w:rPr>
                <w:sz w:val="20"/>
                <w:szCs w:val="20"/>
                <w:color w:val="auto"/>
              </w:rPr>
            </w:pPr>
            <w:r>
              <w:rPr>
                <w:rFonts w:ascii="Arial" w:cs="Arial" w:eastAsia="Arial" w:hAnsi="Arial"/>
                <w:sz w:val="18"/>
                <w:szCs w:val="18"/>
                <w:color w:val="auto"/>
              </w:rPr>
              <w:t>Against</w:t>
            </w:r>
          </w:p>
        </w:tc>
        <w:tc>
          <w:tcPr>
            <w:tcW w:w="1320" w:type="dxa"/>
            <w:vAlign w:val="bottom"/>
          </w:tcPr>
          <w:p>
            <w:pPr>
              <w:ind w:left="720"/>
              <w:spacing w:after="0"/>
              <w:rPr>
                <w:sz w:val="20"/>
                <w:szCs w:val="20"/>
                <w:color w:val="auto"/>
              </w:rPr>
            </w:pPr>
            <w:r>
              <w:rPr>
                <w:rFonts w:ascii="Arial" w:cs="Arial" w:eastAsia="Arial" w:hAnsi="Arial"/>
                <w:sz w:val="18"/>
                <w:szCs w:val="18"/>
                <w:color w:val="auto"/>
                <w:w w:val="96"/>
              </w:rPr>
              <w:t>Abstain</w:t>
            </w:r>
          </w:p>
        </w:tc>
      </w:tr>
      <w:tr>
        <w:trPr>
          <w:trHeight w:val="257"/>
        </w:trPr>
        <w:tc>
          <w:tcPr>
            <w:tcW w:w="3980" w:type="dxa"/>
            <w:vAlign w:val="bottom"/>
          </w:tcPr>
          <w:p>
            <w:pPr>
              <w:ind w:left="1040"/>
              <w:spacing w:after="0"/>
              <w:rPr>
                <w:sz w:val="20"/>
                <w:szCs w:val="20"/>
                <w:color w:val="auto"/>
              </w:rPr>
            </w:pPr>
            <w:r>
              <w:rPr>
                <w:rFonts w:ascii="Arial" w:cs="Arial" w:eastAsia="Arial" w:hAnsi="Arial"/>
                <w:sz w:val="18"/>
                <w:szCs w:val="18"/>
                <w:color w:val="auto"/>
              </w:rPr>
              <w:t>Thomas S. Gayner</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257"/>
        </w:trPr>
        <w:tc>
          <w:tcPr>
            <w:tcW w:w="3980" w:type="dxa"/>
            <w:vAlign w:val="bottom"/>
          </w:tcPr>
          <w:p>
            <w:pPr>
              <w:ind w:left="1040"/>
              <w:spacing w:after="0"/>
              <w:rPr>
                <w:sz w:val="20"/>
                <w:szCs w:val="20"/>
                <w:color w:val="auto"/>
              </w:rPr>
            </w:pPr>
            <w:r>
              <w:rPr>
                <w:rFonts w:ascii="Arial" w:cs="Arial" w:eastAsia="Arial" w:hAnsi="Arial"/>
                <w:sz w:val="18"/>
                <w:szCs w:val="18"/>
                <w:color w:val="auto"/>
              </w:rPr>
              <w:t>Donald E. Graham</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257"/>
        </w:trPr>
        <w:tc>
          <w:tcPr>
            <w:tcW w:w="3980" w:type="dxa"/>
            <w:vAlign w:val="bottom"/>
          </w:tcPr>
          <w:p>
            <w:pPr>
              <w:ind w:left="1040"/>
              <w:spacing w:after="0"/>
              <w:rPr>
                <w:sz w:val="20"/>
                <w:szCs w:val="20"/>
                <w:color w:val="auto"/>
              </w:rPr>
            </w:pPr>
            <w:r>
              <w:rPr>
                <w:rFonts w:ascii="Arial" w:cs="Arial" w:eastAsia="Arial" w:hAnsi="Arial"/>
                <w:sz w:val="18"/>
                <w:szCs w:val="18"/>
                <w:color w:val="auto"/>
              </w:rPr>
              <w:t>Jack Markell</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257"/>
        </w:trPr>
        <w:tc>
          <w:tcPr>
            <w:tcW w:w="3980" w:type="dxa"/>
            <w:vAlign w:val="bottom"/>
          </w:tcPr>
          <w:p>
            <w:pPr>
              <w:ind w:left="1040"/>
              <w:spacing w:after="0"/>
              <w:rPr>
                <w:sz w:val="20"/>
                <w:szCs w:val="20"/>
                <w:color w:val="auto"/>
              </w:rPr>
            </w:pPr>
            <w:r>
              <w:rPr>
                <w:rFonts w:ascii="Arial" w:cs="Arial" w:eastAsia="Arial" w:hAnsi="Arial"/>
                <w:sz w:val="18"/>
                <w:szCs w:val="18"/>
                <w:color w:val="auto"/>
              </w:rPr>
              <w:t>Anne M. Mulcahy</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256"/>
        </w:trPr>
        <w:tc>
          <w:tcPr>
            <w:tcW w:w="3980" w:type="dxa"/>
            <w:vAlign w:val="bottom"/>
          </w:tcPr>
          <w:p>
            <w:pPr>
              <w:ind w:left="1040"/>
              <w:spacing w:after="0"/>
              <w:rPr>
                <w:sz w:val="20"/>
                <w:szCs w:val="20"/>
                <w:color w:val="auto"/>
              </w:rPr>
            </w:pPr>
            <w:r>
              <w:rPr>
                <w:rFonts w:ascii="Arial" w:cs="Arial" w:eastAsia="Arial" w:hAnsi="Arial"/>
                <w:sz w:val="18"/>
                <w:szCs w:val="18"/>
                <w:color w:val="auto"/>
              </w:rPr>
              <w:t>Timothy J. O’Shaughnessy</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257"/>
        </w:trPr>
        <w:tc>
          <w:tcPr>
            <w:tcW w:w="3980" w:type="dxa"/>
            <w:vAlign w:val="bottom"/>
          </w:tcPr>
          <w:p>
            <w:pPr>
              <w:ind w:left="1040"/>
              <w:spacing w:after="0"/>
              <w:rPr>
                <w:sz w:val="20"/>
                <w:szCs w:val="20"/>
                <w:color w:val="auto"/>
              </w:rPr>
            </w:pPr>
            <w:r>
              <w:rPr>
                <w:rFonts w:ascii="Arial" w:cs="Arial" w:eastAsia="Arial" w:hAnsi="Arial"/>
                <w:sz w:val="18"/>
                <w:szCs w:val="18"/>
                <w:color w:val="auto"/>
              </w:rPr>
              <w:t>G. Richard Wagoner, Jr.</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257"/>
        </w:trPr>
        <w:tc>
          <w:tcPr>
            <w:tcW w:w="3980" w:type="dxa"/>
            <w:vAlign w:val="bottom"/>
          </w:tcPr>
          <w:p>
            <w:pPr>
              <w:ind w:left="1040"/>
              <w:spacing w:after="0"/>
              <w:rPr>
                <w:sz w:val="20"/>
                <w:szCs w:val="20"/>
                <w:color w:val="auto"/>
              </w:rPr>
            </w:pPr>
            <w:r>
              <w:rPr>
                <w:rFonts w:ascii="Arial" w:cs="Arial" w:eastAsia="Arial" w:hAnsi="Arial"/>
                <w:sz w:val="18"/>
                <w:szCs w:val="18"/>
                <w:color w:val="auto"/>
              </w:rPr>
              <w:t>Katharine Weymouth</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964,001</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10"/>
              <w:spacing w:after="0"/>
              <w:rPr>
                <w:sz w:val="20"/>
                <w:szCs w:val="20"/>
                <w:color w:val="auto"/>
              </w:rPr>
            </w:pPr>
            <w:r>
              <w:rPr>
                <w:rFonts w:ascii="Arial" w:cs="Arial" w:eastAsia="Arial" w:hAnsi="Arial"/>
                <w:sz w:val="18"/>
                <w:szCs w:val="18"/>
                <w:color w:val="auto"/>
                <w:w w:val="99"/>
              </w:rPr>
              <w:t>—</w:t>
            </w:r>
          </w:p>
        </w:tc>
      </w:tr>
      <w:tr>
        <w:trPr>
          <w:trHeight w:val="729"/>
        </w:trPr>
        <w:tc>
          <w:tcPr>
            <w:tcW w:w="398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2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3980" w:type="dxa"/>
            <w:vAlign w:val="bottom"/>
          </w:tcPr>
          <w:p>
            <w:pPr>
              <w:spacing w:after="0"/>
              <w:rPr>
                <w:sz w:val="24"/>
                <w:szCs w:val="24"/>
                <w:color w:val="auto"/>
              </w:rPr>
            </w:pPr>
          </w:p>
        </w:tc>
        <w:tc>
          <w:tcPr>
            <w:tcW w:w="2240" w:type="dxa"/>
            <w:vAlign w:val="bottom"/>
          </w:tcPr>
          <w:p>
            <w:pPr>
              <w:jc w:val="center"/>
              <w:ind w:left="90"/>
              <w:spacing w:after="0"/>
              <w:rPr>
                <w:sz w:val="20"/>
                <w:szCs w:val="20"/>
                <w:color w:val="auto"/>
              </w:rPr>
            </w:pPr>
            <w:r>
              <w:rPr>
                <w:rFonts w:ascii="Arial" w:cs="Arial" w:eastAsia="Arial" w:hAnsi="Arial"/>
                <w:sz w:val="18"/>
                <w:szCs w:val="18"/>
                <w:color w:val="auto"/>
                <w:w w:val="96"/>
              </w:rPr>
              <w:t>For</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Against</w:t>
            </w:r>
          </w:p>
        </w:tc>
        <w:tc>
          <w:tcPr>
            <w:tcW w:w="1320" w:type="dxa"/>
            <w:vAlign w:val="bottom"/>
          </w:tcPr>
          <w:p>
            <w:pPr>
              <w:jc w:val="center"/>
              <w:ind w:left="550"/>
              <w:spacing w:after="0"/>
              <w:rPr>
                <w:sz w:val="20"/>
                <w:szCs w:val="20"/>
                <w:color w:val="auto"/>
              </w:rPr>
            </w:pPr>
            <w:r>
              <w:rPr>
                <w:rFonts w:ascii="Arial" w:cs="Arial" w:eastAsia="Arial" w:hAnsi="Arial"/>
                <w:sz w:val="18"/>
                <w:szCs w:val="18"/>
                <w:color w:val="auto"/>
                <w:w w:val="99"/>
              </w:rPr>
              <w:t>Abstain</w:t>
            </w:r>
          </w:p>
        </w:tc>
      </w:tr>
      <w:tr>
        <w:trPr>
          <w:trHeight w:val="257"/>
        </w:trPr>
        <w:tc>
          <w:tcPr>
            <w:tcW w:w="3980" w:type="dxa"/>
            <w:vAlign w:val="bottom"/>
          </w:tcPr>
          <w:p>
            <w:pPr>
              <w:ind w:left="1060"/>
              <w:spacing w:after="0"/>
              <w:rPr>
                <w:sz w:val="20"/>
                <w:szCs w:val="20"/>
                <w:color w:val="auto"/>
              </w:rPr>
            </w:pPr>
            <w:r>
              <w:rPr>
                <w:rFonts w:ascii="Arial" w:cs="Arial" w:eastAsia="Arial" w:hAnsi="Arial"/>
                <w:sz w:val="18"/>
                <w:szCs w:val="18"/>
                <w:color w:val="auto"/>
              </w:rPr>
              <w:t>Tony Allen</w:t>
            </w:r>
          </w:p>
        </w:tc>
        <w:tc>
          <w:tcPr>
            <w:tcW w:w="2240" w:type="dxa"/>
            <w:vAlign w:val="bottom"/>
          </w:tcPr>
          <w:p>
            <w:pPr>
              <w:jc w:val="center"/>
              <w:ind w:left="70"/>
              <w:spacing w:after="0"/>
              <w:rPr>
                <w:sz w:val="20"/>
                <w:szCs w:val="20"/>
                <w:color w:val="auto"/>
              </w:rPr>
            </w:pPr>
            <w:r>
              <w:rPr>
                <w:rFonts w:ascii="Arial" w:cs="Arial" w:eastAsia="Arial" w:hAnsi="Arial"/>
                <w:sz w:val="18"/>
                <w:szCs w:val="18"/>
                <w:color w:val="auto"/>
                <w:w w:val="99"/>
              </w:rPr>
              <w:t>1,892,740</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577,962</w:t>
            </w:r>
          </w:p>
        </w:tc>
        <w:tc>
          <w:tcPr>
            <w:tcW w:w="1320" w:type="dxa"/>
            <w:vAlign w:val="bottom"/>
          </w:tcPr>
          <w:p>
            <w:pPr>
              <w:jc w:val="center"/>
              <w:ind w:left="570"/>
              <w:spacing w:after="0"/>
              <w:rPr>
                <w:sz w:val="20"/>
                <w:szCs w:val="20"/>
                <w:color w:val="auto"/>
              </w:rPr>
            </w:pPr>
            <w:r>
              <w:rPr>
                <w:rFonts w:ascii="Arial" w:cs="Arial" w:eastAsia="Arial" w:hAnsi="Arial"/>
                <w:sz w:val="18"/>
                <w:szCs w:val="18"/>
                <w:color w:val="auto"/>
                <w:w w:val="98"/>
              </w:rPr>
              <w:t>12,753</w:t>
            </w:r>
          </w:p>
        </w:tc>
      </w:tr>
      <w:tr>
        <w:trPr>
          <w:trHeight w:val="257"/>
        </w:trPr>
        <w:tc>
          <w:tcPr>
            <w:tcW w:w="3980" w:type="dxa"/>
            <w:vAlign w:val="bottom"/>
          </w:tcPr>
          <w:p>
            <w:pPr>
              <w:ind w:left="1060"/>
              <w:spacing w:after="0"/>
              <w:rPr>
                <w:sz w:val="20"/>
                <w:szCs w:val="20"/>
                <w:color w:val="auto"/>
              </w:rPr>
            </w:pPr>
            <w:r>
              <w:rPr>
                <w:rFonts w:ascii="Arial" w:cs="Arial" w:eastAsia="Arial" w:hAnsi="Arial"/>
                <w:sz w:val="18"/>
                <w:szCs w:val="18"/>
                <w:color w:val="auto"/>
              </w:rPr>
              <w:t>Danielle Conley</w:t>
            </w:r>
          </w:p>
        </w:tc>
        <w:tc>
          <w:tcPr>
            <w:tcW w:w="2240" w:type="dxa"/>
            <w:vAlign w:val="bottom"/>
          </w:tcPr>
          <w:p>
            <w:pPr>
              <w:jc w:val="center"/>
              <w:ind w:left="70"/>
              <w:spacing w:after="0"/>
              <w:rPr>
                <w:sz w:val="20"/>
                <w:szCs w:val="20"/>
                <w:color w:val="auto"/>
              </w:rPr>
            </w:pPr>
            <w:r>
              <w:rPr>
                <w:rFonts w:ascii="Arial" w:cs="Arial" w:eastAsia="Arial" w:hAnsi="Arial"/>
                <w:sz w:val="18"/>
                <w:szCs w:val="18"/>
                <w:color w:val="auto"/>
                <w:w w:val="99"/>
              </w:rPr>
              <w:t>1,905,178</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565,838</w:t>
            </w:r>
          </w:p>
        </w:tc>
        <w:tc>
          <w:tcPr>
            <w:tcW w:w="1320" w:type="dxa"/>
            <w:vAlign w:val="bottom"/>
          </w:tcPr>
          <w:p>
            <w:pPr>
              <w:jc w:val="center"/>
              <w:ind w:left="570"/>
              <w:spacing w:after="0"/>
              <w:rPr>
                <w:sz w:val="20"/>
                <w:szCs w:val="20"/>
                <w:color w:val="auto"/>
              </w:rPr>
            </w:pPr>
            <w:r>
              <w:rPr>
                <w:rFonts w:ascii="Arial" w:cs="Arial" w:eastAsia="Arial" w:hAnsi="Arial"/>
                <w:sz w:val="18"/>
                <w:szCs w:val="18"/>
                <w:color w:val="auto"/>
                <w:w w:val="98"/>
              </w:rPr>
              <w:t>12,439</w:t>
            </w:r>
          </w:p>
        </w:tc>
      </w:tr>
      <w:tr>
        <w:trPr>
          <w:trHeight w:val="256"/>
        </w:trPr>
        <w:tc>
          <w:tcPr>
            <w:tcW w:w="3980" w:type="dxa"/>
            <w:vAlign w:val="bottom"/>
          </w:tcPr>
          <w:p>
            <w:pPr>
              <w:ind w:left="1060"/>
              <w:spacing w:after="0"/>
              <w:rPr>
                <w:sz w:val="20"/>
                <w:szCs w:val="20"/>
                <w:color w:val="auto"/>
              </w:rPr>
            </w:pPr>
            <w:r>
              <w:rPr>
                <w:rFonts w:ascii="Arial" w:cs="Arial" w:eastAsia="Arial" w:hAnsi="Arial"/>
                <w:sz w:val="18"/>
                <w:szCs w:val="18"/>
                <w:color w:val="auto"/>
              </w:rPr>
              <w:t>Christopher C. Davis</w:t>
            </w:r>
          </w:p>
        </w:tc>
        <w:tc>
          <w:tcPr>
            <w:tcW w:w="2240" w:type="dxa"/>
            <w:vAlign w:val="bottom"/>
          </w:tcPr>
          <w:p>
            <w:pPr>
              <w:jc w:val="center"/>
              <w:ind w:left="70"/>
              <w:spacing w:after="0"/>
              <w:rPr>
                <w:sz w:val="20"/>
                <w:szCs w:val="20"/>
                <w:color w:val="auto"/>
              </w:rPr>
            </w:pPr>
            <w:r>
              <w:rPr>
                <w:rFonts w:ascii="Arial" w:cs="Arial" w:eastAsia="Arial" w:hAnsi="Arial"/>
                <w:sz w:val="18"/>
                <w:szCs w:val="18"/>
                <w:color w:val="auto"/>
                <w:w w:val="99"/>
              </w:rPr>
              <w:t>1,603,463</w:t>
            </w:r>
          </w:p>
        </w:tc>
        <w:tc>
          <w:tcPr>
            <w:tcW w:w="1980" w:type="dxa"/>
            <w:vAlign w:val="bottom"/>
          </w:tcPr>
          <w:p>
            <w:pPr>
              <w:jc w:val="center"/>
              <w:spacing w:after="0"/>
              <w:rPr>
                <w:sz w:val="20"/>
                <w:szCs w:val="20"/>
                <w:color w:val="auto"/>
              </w:rPr>
            </w:pPr>
            <w:r>
              <w:rPr>
                <w:rFonts w:ascii="Arial" w:cs="Arial" w:eastAsia="Arial" w:hAnsi="Arial"/>
                <w:sz w:val="18"/>
                <w:szCs w:val="18"/>
                <w:color w:val="auto"/>
                <w:w w:val="98"/>
              </w:rPr>
              <w:t>867,194</w:t>
            </w:r>
          </w:p>
        </w:tc>
        <w:tc>
          <w:tcPr>
            <w:tcW w:w="1320" w:type="dxa"/>
            <w:vAlign w:val="bottom"/>
          </w:tcPr>
          <w:p>
            <w:pPr>
              <w:jc w:val="center"/>
              <w:ind w:left="570"/>
              <w:spacing w:after="0"/>
              <w:rPr>
                <w:sz w:val="20"/>
                <w:szCs w:val="20"/>
                <w:color w:val="auto"/>
              </w:rPr>
            </w:pPr>
            <w:r>
              <w:rPr>
                <w:rFonts w:ascii="Arial" w:cs="Arial" w:eastAsia="Arial" w:hAnsi="Arial"/>
                <w:sz w:val="18"/>
                <w:szCs w:val="18"/>
                <w:color w:val="auto"/>
                <w:w w:val="98"/>
              </w:rPr>
              <w:t>12,798</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by the Class A stockholders to Approve 2024 Compensation Awarded to Named Executive Officers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2024, as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ectPr>
          <w:pgSz w:w="11900" w:h="16838" w:orient="portrait"/>
          <w:cols w:equalWidth="0" w:num="1">
            <w:col w:w="11180"/>
          </w:cols>
          <w:pgMar w:left="320" w:top="1093" w:right="399" w:bottom="1440" w:gutter="0" w:footer="0" w:header="0"/>
        </w:sectPr>
      </w:pPr>
    </w:p>
    <w:p>
      <w:pPr>
        <w:spacing w:after="0" w:line="293"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For</w:t>
      </w:r>
    </w:p>
    <w:p>
      <w:pPr>
        <w:spacing w:after="0" w:line="50"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964,001</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Against</w:t>
      </w:r>
    </w:p>
    <w:p>
      <w:pPr>
        <w:spacing w:after="0" w:line="6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5860"/>
        <w:spacing w:after="0"/>
        <w:rPr>
          <w:sz w:val="20"/>
          <w:szCs w:val="20"/>
          <w:color w:val="auto"/>
        </w:rPr>
      </w:pPr>
      <w:r>
        <w:rPr>
          <w:rFonts w:ascii="Arial" w:cs="Arial" w:eastAsia="Arial" w:hAnsi="Arial"/>
          <w:sz w:val="17"/>
          <w:szCs w:val="17"/>
          <w:color w:val="auto"/>
        </w:rPr>
        <w:t>Abstain</w:t>
      </w:r>
    </w:p>
    <w:p>
      <w:pPr>
        <w:spacing w:after="0" w:line="61" w:lineRule="exact"/>
        <w:rPr>
          <w:sz w:val="20"/>
          <w:szCs w:val="20"/>
          <w:color w:val="auto"/>
        </w:rPr>
      </w:pPr>
    </w:p>
    <w:p>
      <w:pPr>
        <w:jc w:val="center"/>
        <w:ind w:right="5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1337945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980" w:space="720"/>
            <w:col w:w="1300" w:space="720"/>
            <w:col w:w="6460"/>
          </w:cols>
          <w:pgMar w:left="320" w:top="109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6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May 6, 2025</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Secretary, General</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10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2025-05-07T11:30:27Z</dcterms:created>
  <dcterms:modified xsi:type="dcterms:W3CDTF">2025-05-07T11:30:27Z</dcterms:modified>
</cp:coreProperties>
</file>