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jc w:val="center"/>
        <w:ind w:right="17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15)*</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Graham Holdings Company</w:t>
      </w:r>
    </w:p>
    <w:p>
      <w:pPr>
        <w:ind w:left="2120"/>
        <w:spacing w:after="0" w:line="238" w:lineRule="auto"/>
        <w:rPr>
          <w:sz w:val="20"/>
          <w:szCs w:val="20"/>
          <w:color w:val="auto"/>
        </w:rPr>
      </w:pPr>
      <w:r>
        <w:rPr>
          <w:rFonts w:ascii="Courier New" w:cs="Courier New" w:eastAsia="Courier New" w:hAnsi="Courier New"/>
          <w:sz w:val="18"/>
          <w:szCs w:val="18"/>
          <w:color w:val="auto"/>
        </w:rPr>
        <w:t>(formerly The Washington Post Company)</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799"/>
        <w:spacing w:after="0" w:line="238" w:lineRule="auto"/>
        <w:rPr>
          <w:sz w:val="20"/>
          <w:szCs w:val="20"/>
          <w:color w:val="auto"/>
        </w:rPr>
      </w:pPr>
      <w:r>
        <w:rPr>
          <w:rFonts w:ascii="Courier New" w:cs="Courier New" w:eastAsia="Courier New" w:hAnsi="Courier New"/>
          <w:sz w:val="18"/>
          <w:szCs w:val="18"/>
          <w:color w:val="auto"/>
        </w:rPr>
        <w:t>(Title of Class and Securities)</w:t>
      </w:r>
    </w:p>
    <w:p>
      <w:pPr>
        <w:spacing w:after="0" w:line="202"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384637104</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17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0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320" w:type="dxa"/>
            <w:vAlign w:val="bottom"/>
          </w:tcPr>
          <w:p>
            <w:pPr>
              <w:ind w:left="202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8"/>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1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 (5)</w:t>
            </w:r>
          </w:p>
        </w:tc>
        <w:tc>
          <w:tcPr>
            <w:tcW w:w="3840" w:type="dxa"/>
            <w:vAlign w:val="bottom"/>
            <w:gridSpan w:val="2"/>
          </w:tcPr>
          <w:p>
            <w:pPr>
              <w:jc w:val="right"/>
              <w:ind w:right="1912"/>
              <w:spacing w:after="0"/>
              <w:rPr>
                <w:sz w:val="20"/>
                <w:szCs w:val="20"/>
                <w:color w:val="auto"/>
              </w:rPr>
            </w:pPr>
            <w:r>
              <w:rPr>
                <w:rFonts w:ascii="Courier New" w:cs="Courier New" w:eastAsia="Courier New" w:hAnsi="Courier New"/>
                <w:sz w:val="18"/>
                <w:szCs w:val="18"/>
                <w:color w:val="auto"/>
                <w:w w:val="99"/>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(Discretionary</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Accounts)</w:t>
            </w:r>
          </w:p>
        </w:tc>
      </w:tr>
      <w:tr>
        <w:trPr>
          <w:trHeight w:val="202"/>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840" w:type="dxa"/>
            <w:vAlign w:val="bottom"/>
            <w:gridSpan w:val="2"/>
          </w:tcPr>
          <w:p>
            <w:pPr>
              <w:jc w:val="right"/>
              <w:ind w:right="1912"/>
              <w:spacing w:after="0" w:line="203" w:lineRule="exact"/>
              <w:rPr>
                <w:sz w:val="20"/>
                <w:szCs w:val="20"/>
                <w:color w:val="auto"/>
              </w:rPr>
            </w:pPr>
            <w:r>
              <w:rPr>
                <w:rFonts w:ascii="Courier New" w:cs="Courier New" w:eastAsia="Courier New" w:hAnsi="Courier New"/>
                <w:sz w:val="18"/>
                <w:szCs w:val="18"/>
                <w:color w:val="auto"/>
              </w:rPr>
              <w:t>45,582 shares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 (6)</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SHARED OR NO</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bl>
    <w:p>
      <w:pPr>
        <w:spacing w:after="0" w:line="201"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172,101 shares (Shared)</w:t>
      </w:r>
    </w:p>
    <w:p>
      <w:pPr>
        <w:sectPr>
          <w:pgSz w:w="11900" w:h="16848" w:orient="portrait"/>
          <w:cols w:equalWidth="0" w:num="1">
            <w:col w:w="10139"/>
          </w:cols>
          <w:pgMar w:left="320" w:top="244" w:right="1440" w:bottom="0" w:gutter="0" w:footer="0" w:header="0"/>
        </w:sectPr>
      </w:pPr>
    </w:p>
    <w:bookmarkStart w:id="1" w:name="page2"/>
    <w:bookmarkEnd w:id="1"/>
    <w:p>
      <w:pPr>
        <w:ind w:left="4860"/>
        <w:spacing w:after="0"/>
        <w:rPr>
          <w:sz w:val="20"/>
          <w:szCs w:val="20"/>
          <w:color w:val="auto"/>
        </w:rPr>
      </w:pPr>
      <w:r>
        <w:rPr>
          <w:rFonts w:ascii="Courier New" w:cs="Courier New" w:eastAsia="Courier New" w:hAnsi="Courier New"/>
          <w:sz w:val="18"/>
          <w:szCs w:val="18"/>
          <w:color w:val="auto"/>
        </w:rPr>
        <w:t>4,199 shares (No Vote)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21" w:lineRule="exact"/>
        <w:rPr>
          <w:sz w:val="20"/>
          <w:szCs w:val="20"/>
          <w:color w:val="auto"/>
        </w:rPr>
      </w:pPr>
    </w:p>
    <w:p>
      <w:pPr>
        <w:ind w:left="4220" w:right="3399" w:hanging="527"/>
        <w:spacing w:after="0" w:line="268" w:lineRule="auto"/>
        <w:tabs>
          <w:tab w:leader="none" w:pos="390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SOLE DISPOSITIVE POWER (Discretionary Accounts)</w:t>
      </w:r>
    </w:p>
    <w:p>
      <w:pPr>
        <w:ind w:left="4740" w:hanging="1047"/>
        <w:spacing w:after="0" w:line="238" w:lineRule="auto"/>
        <w:tabs>
          <w:tab w:leader="none" w:pos="4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56,383 shares</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7"/>
        <w:spacing w:after="0" w:line="238" w:lineRule="auto"/>
        <w:tabs>
          <w:tab w:leader="none" w:pos="3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640" w:hanging="947"/>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165,499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27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221,882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1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55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697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680" w:type="dxa"/>
            <w:vAlign w:val="bottom"/>
          </w:tcPr>
          <w:p>
            <w:pPr>
              <w:ind w:left="23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tabs>
          <w:tab w:leader="none" w:pos="5880" w:val="left"/>
        </w:tabs>
        <w:rPr>
          <w:sz w:val="20"/>
          <w:szCs w:val="20"/>
          <w:color w:val="auto"/>
        </w:rPr>
      </w:pPr>
      <w:r>
        <w:rPr>
          <w:rFonts w:ascii="Courier New" w:cs="Courier New" w:eastAsia="Courier New" w:hAnsi="Courier New"/>
          <w:sz w:val="18"/>
          <w:szCs w:val="18"/>
          <w:color w:val="auto"/>
        </w:rPr>
        <w:t>Longleaf Partners Small-Cap Fund</w:t>
      </w:r>
      <w:r>
        <w:rPr>
          <w:sz w:val="20"/>
          <w:szCs w:val="20"/>
          <w:color w:val="auto"/>
        </w:rPr>
        <w:tab/>
      </w:r>
      <w:r>
        <w:rPr>
          <w:rFonts w:ascii="Courier New" w:cs="Courier New" w:eastAsia="Courier New" w:hAnsi="Courier New"/>
          <w:sz w:val="16"/>
          <w:szCs w:val="16"/>
          <w:color w:val="auto"/>
        </w:rPr>
        <w:t>I.D. No. 62-1376170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8"/>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1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Massachusetts Business Trust</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(5) SOLE VOTING POWER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None</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7"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 (6) SHARED VOTING POWER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165,499</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900" w:hanging="207"/>
        <w:spacing w:after="0"/>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7"/>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7"/>
        <w:spacing w:after="0" w:line="238" w:lineRule="auto"/>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220" w:hanging="527"/>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165,499 (Shared)</w:t>
      </w:r>
    </w:p>
    <w:p>
      <w:pPr>
        <w:ind w:left="4220" w:hanging="527"/>
        <w:spacing w:after="0" w:line="238" w:lineRule="auto"/>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165,499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line="238" w:lineRule="auto"/>
        <w:rPr>
          <w:sz w:val="20"/>
          <w:szCs w:val="20"/>
          <w:color w:val="auto"/>
        </w:rPr>
      </w:pPr>
      <w:r>
        <w:rPr>
          <w:rFonts w:ascii="Courier New" w:cs="Courier New" w:eastAsia="Courier New" w:hAnsi="Courier New"/>
          <w:sz w:val="18"/>
          <w:szCs w:val="18"/>
          <w:color w:val="auto"/>
        </w:rPr>
        <w:t>CERTAIN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559" w:hanging="732"/>
        <w:spacing w:after="0" w:line="235" w:lineRule="auto"/>
        <w:tabs>
          <w:tab w:leader="none" w:pos="63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4.1 %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697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139"/>
          </w:cols>
          <w:pgMar w:left="320" w:top="136" w:right="1440" w:bottom="0" w:gutter="0" w:footer="0" w:header="0"/>
        </w:sectPr>
      </w:pPr>
    </w:p>
    <w:bookmarkStart w:id="2" w:name="page3"/>
    <w:bookmarkEnd w:id="2"/>
    <w:p>
      <w:pPr>
        <w:ind w:left="4860"/>
        <w:spacing w:after="0"/>
        <w:rPr>
          <w:sz w:val="20"/>
          <w:szCs w:val="20"/>
          <w:color w:val="auto"/>
        </w:rPr>
      </w:pPr>
      <w:r>
        <w:rPr>
          <w:rFonts w:ascii="Courier New" w:cs="Courier New" w:eastAsia="Courier New" w:hAnsi="Courier New"/>
          <w:sz w:val="18"/>
          <w:szCs w:val="18"/>
          <w:color w:val="auto"/>
        </w:rPr>
        <w:t>(a)</w:t>
      </w:r>
    </w:p>
    <w:p>
      <w:pPr>
        <w:ind w:left="486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19" w:hanging="532"/>
        <w:spacing w:after="0" w:line="268"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7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2"/>
              </w:rPr>
              <w:t>: (5)</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2"/>
              </w:rPr>
              <w:t>: (6)</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pacing w:after="0" w:line="201" w:lineRule="exact"/>
        <w:rPr>
          <w:sz w:val="20"/>
          <w:szCs w:val="20"/>
          <w:color w:val="auto"/>
        </w:rPr>
      </w:pPr>
    </w:p>
    <w:p>
      <w:pPr>
        <w:ind w:left="4220" w:hanging="527"/>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7"/>
        <w:spacing w:after="0" w:line="238" w:lineRule="auto"/>
        <w:tabs>
          <w:tab w:leader="none" w:pos="3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7"/>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7"/>
        <w:spacing w:after="0" w:line="238" w:lineRule="auto"/>
        <w:tabs>
          <w:tab w:leader="none" w:pos="3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7"/>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19" w:hanging="632"/>
        <w:spacing w:after="0" w:line="235"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55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697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060" w:right="3499" w:hanging="526"/>
        <w:spacing w:after="0" w:line="235" w:lineRule="auto"/>
        <w:rPr>
          <w:sz w:val="20"/>
          <w:szCs w:val="20"/>
          <w:color w:val="auto"/>
        </w:rPr>
      </w:pPr>
      <w:r>
        <w:rPr>
          <w:rFonts w:ascii="Courier New" w:cs="Courier New" w:eastAsia="Courier New" w:hAnsi="Courier New"/>
          <w:sz w:val="18"/>
          <w:szCs w:val="18"/>
          <w:color w:val="auto"/>
        </w:rPr>
        <w:t>(a). Name of Issuer: Graham Holdings Company (formerly The Washington Post Company) ("Issuer")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1300 North 17th Street</w:t>
      </w:r>
    </w:p>
    <w:p>
      <w:pPr>
        <w:ind w:left="1060"/>
        <w:spacing w:after="0" w:line="238" w:lineRule="auto"/>
        <w:rPr>
          <w:sz w:val="20"/>
          <w:szCs w:val="20"/>
          <w:color w:val="auto"/>
        </w:rPr>
      </w:pPr>
      <w:r>
        <w:rPr>
          <w:rFonts w:ascii="Courier New" w:cs="Courier New" w:eastAsia="Courier New" w:hAnsi="Courier New"/>
          <w:sz w:val="18"/>
          <w:szCs w:val="18"/>
          <w:color w:val="auto"/>
        </w:rPr>
        <w:t>Arlington, Virginia 22209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079" w:hanging="426"/>
        <w:spacing w:after="0" w:line="235"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580" w:right="4859" w:hanging="940"/>
        <w:spacing w:after="0" w:line="236" w:lineRule="auto"/>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Longleaf Partners Small-Cap Fund</w:t>
      </w:r>
    </w:p>
    <w:p>
      <w:pPr>
        <w:spacing w:after="0" w:line="4" w:lineRule="exact"/>
        <w:rPr>
          <w:rFonts w:ascii="Courier New" w:cs="Courier New" w:eastAsia="Courier New" w:hAnsi="Courier New"/>
          <w:sz w:val="18"/>
          <w:szCs w:val="18"/>
          <w:color w:val="auto"/>
        </w:rPr>
      </w:pPr>
    </w:p>
    <w:p>
      <w:pPr>
        <w:ind w:left="1580" w:right="44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 Southeastern Asset Management, Inc. 6410 Poplar Avenue, Suite 900 Memphis, TN, 38119</w:t>
      </w:r>
    </w:p>
    <w:p>
      <w:pPr>
        <w:spacing w:after="0" w:line="208" w:lineRule="exact"/>
        <w:rPr>
          <w:sz w:val="20"/>
          <w:szCs w:val="20"/>
          <w:color w:val="auto"/>
        </w:rPr>
      </w:pPr>
    </w:p>
    <w:p>
      <w:pPr>
        <w:ind w:left="1580" w:right="4859" w:hanging="940"/>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 Chairman of the Board Southeastern Asset Management, Inc. 6410 Poplar Ave., Suite 900 Memphis, TN 38119</w:t>
      </w:r>
    </w:p>
    <w:p>
      <w:pPr>
        <w:spacing w:after="0" w:line="39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7" w:lineRule="exact"/>
        <w:rPr>
          <w:sz w:val="20"/>
          <w:szCs w:val="20"/>
          <w:color w:val="auto"/>
        </w:rPr>
      </w:pPr>
    </w:p>
    <w:p>
      <w:pPr>
        <w:ind w:left="1060" w:right="2439"/>
        <w:spacing w:after="0" w:line="235" w:lineRule="auto"/>
        <w:rPr>
          <w:sz w:val="20"/>
          <w:szCs w:val="20"/>
          <w:color w:val="auto"/>
        </w:rPr>
      </w:pPr>
      <w:r>
        <w:rPr>
          <w:rFonts w:ascii="Courier New" w:cs="Courier New" w:eastAsia="Courier New" w:hAnsi="Courier New"/>
          <w:sz w:val="18"/>
          <w:szCs w:val="18"/>
          <w:color w:val="auto"/>
        </w:rPr>
        <w:t>Longleaf Partners Small-Cap Fund, a series of Longleaf Partners Funds Trust, a Massachusetts business trust.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ectPr>
          <w:pgSz w:w="11900" w:h="16838" w:orient="portrait"/>
          <w:cols w:equalWidth="0" w:num="1">
            <w:col w:w="10139"/>
          </w:cols>
          <w:pgMar w:left="320" w:top="136" w:right="1440" w:bottom="0" w:gutter="0" w:footer="0" w:header="0"/>
        </w:sectPr>
      </w:pPr>
    </w:p>
    <w:bookmarkStart w:id="3" w:name="page4"/>
    <w:bookmarkEnd w:id="3"/>
    <w:p>
      <w:pPr>
        <w:ind w:left="1060" w:right="317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384637104</w:t>
      </w:r>
    </w:p>
    <w:p>
      <w:pPr>
        <w:spacing w:after="0" w:line="200" w:lineRule="exact"/>
        <w:rPr>
          <w:sz w:val="20"/>
          <w:szCs w:val="20"/>
          <w:color w:val="auto"/>
        </w:rPr>
      </w:pPr>
    </w:p>
    <w:p>
      <w:pPr>
        <w:spacing w:after="0" w:line="204" w:lineRule="exact"/>
        <w:rPr>
          <w:sz w:val="20"/>
          <w:szCs w:val="20"/>
          <w:color w:val="auto"/>
        </w:rPr>
      </w:pPr>
    </w:p>
    <w:p>
      <w:pPr>
        <w:jc w:val="center"/>
        <w:ind w:right="317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17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jc w:val="both"/>
        <w:ind w:left="960" w:right="2859" w:hanging="525"/>
        <w:spacing w:after="0" w:line="236" w:lineRule="auto"/>
        <w:rPr>
          <w:sz w:val="20"/>
          <w:szCs w:val="20"/>
          <w:color w:val="auto"/>
        </w:rPr>
      </w:pPr>
      <w:r>
        <w:rPr>
          <w:rFonts w:ascii="Courier New" w:cs="Courier New" w:eastAsia="Courier New" w:hAnsi="Courier New"/>
          <w:sz w:val="18"/>
          <w:szCs w:val="18"/>
          <w:color w:val="auto"/>
        </w:rPr>
        <w:t>(d). Investment Company registered under Sec. 8 of the Investment Company Act - Longleaf Partners Small-Cap Fund, a series of Longleaf Partners Funds Trust.</w:t>
      </w:r>
    </w:p>
    <w:p>
      <w:pPr>
        <w:spacing w:after="0" w:line="208" w:lineRule="exact"/>
        <w:rPr>
          <w:sz w:val="20"/>
          <w:szCs w:val="20"/>
          <w:color w:val="auto"/>
        </w:rPr>
      </w:pPr>
    </w:p>
    <w:p>
      <w:pPr>
        <w:ind w:left="960" w:right="2019" w:hanging="525"/>
        <w:spacing w:after="0" w:line="270" w:lineRule="auto"/>
        <w:rPr>
          <w:sz w:val="20"/>
          <w:szCs w:val="20"/>
          <w:color w:val="auto"/>
        </w:rPr>
      </w:pPr>
      <w:r>
        <w:rPr>
          <w:rFonts w:ascii="Courier New" w:cs="Courier New" w:eastAsia="Courier New" w:hAnsi="Courier New"/>
          <w:sz w:val="16"/>
          <w:szCs w:val="16"/>
          <w:color w:val="auto"/>
        </w:rPr>
        <w:t>(e). Investment Adviser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190" w:lineRule="exact"/>
        <w:rPr>
          <w:sz w:val="20"/>
          <w:szCs w:val="20"/>
          <w:color w:val="auto"/>
        </w:rPr>
      </w:pPr>
    </w:p>
    <w:p>
      <w:pPr>
        <w:ind w:left="960" w:right="2119" w:hanging="631"/>
        <w:spacing w:after="0" w:line="237" w:lineRule="auto"/>
        <w:tabs>
          <w:tab w:leader="none" w:pos="94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12/31/20)</w:t>
      </w:r>
    </w:p>
    <w:p>
      <w:pPr>
        <w:ind w:left="1060"/>
        <w:spacing w:after="0" w:line="238" w:lineRule="auto"/>
        <w:rPr>
          <w:sz w:val="20"/>
          <w:szCs w:val="20"/>
          <w:color w:val="auto"/>
        </w:rPr>
      </w:pPr>
      <w:r>
        <w:rPr>
          <w:rFonts w:ascii="Courier New" w:cs="Courier New" w:eastAsia="Courier New" w:hAnsi="Courier New"/>
          <w:sz w:val="18"/>
          <w:szCs w:val="18"/>
          <w:color w:val="auto"/>
        </w:rPr>
        <w:t>221,882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5.5 %</w:t>
      </w:r>
    </w:p>
    <w:p>
      <w:pPr>
        <w:spacing w:after="0" w:line="207" w:lineRule="exact"/>
        <w:rPr>
          <w:sz w:val="20"/>
          <w:szCs w:val="20"/>
          <w:color w:val="auto"/>
        </w:rPr>
      </w:pPr>
    </w:p>
    <w:p>
      <w:pPr>
        <w:ind w:left="1060" w:right="2439"/>
        <w:spacing w:after="0" w:line="235" w:lineRule="auto"/>
        <w:rPr>
          <w:sz w:val="20"/>
          <w:szCs w:val="20"/>
          <w:color w:val="auto"/>
        </w:rPr>
      </w:pPr>
      <w:r>
        <w:rPr>
          <w:rFonts w:ascii="Courier New" w:cs="Courier New" w:eastAsia="Courier New" w:hAnsi="Courier New"/>
          <w:sz w:val="18"/>
          <w:szCs w:val="18"/>
          <w:color w:val="auto"/>
        </w:rPr>
        <w:t>Above percentage is based on 4,042,472 shares of Class B Common Stock outstanding.</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45,582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- 172,101 shares.</w:t>
      </w:r>
    </w:p>
    <w:p>
      <w:pPr>
        <w:spacing w:after="0" w:line="4" w:lineRule="exact"/>
        <w:rPr>
          <w:sz w:val="20"/>
          <w:szCs w:val="20"/>
          <w:color w:val="auto"/>
        </w:rPr>
      </w:pPr>
    </w:p>
    <w:p>
      <w:pPr>
        <w:ind w:left="1800" w:right="285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- 165,499</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Other Shared - 6,602</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- 4,199</w:t>
      </w:r>
    </w:p>
    <w:p>
      <w:pPr>
        <w:spacing w:after="0" w:line="200" w:lineRule="exact"/>
        <w:rPr>
          <w:sz w:val="20"/>
          <w:szCs w:val="20"/>
          <w:color w:val="auto"/>
        </w:rPr>
      </w:pPr>
    </w:p>
    <w:p>
      <w:pPr>
        <w:spacing w:after="0" w:line="209" w:lineRule="exact"/>
        <w:rPr>
          <w:sz w:val="20"/>
          <w:szCs w:val="20"/>
          <w:color w:val="auto"/>
        </w:rPr>
      </w:pPr>
    </w:p>
    <w:p>
      <w:pPr>
        <w:ind w:left="1800" w:right="307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56,383 shares</w:t>
      </w:r>
    </w:p>
    <w:p>
      <w:pPr>
        <w:spacing w:after="0" w:line="207" w:lineRule="exact"/>
        <w:rPr>
          <w:sz w:val="20"/>
          <w:szCs w:val="20"/>
          <w:color w:val="auto"/>
        </w:rPr>
      </w:pPr>
    </w:p>
    <w:p>
      <w:pPr>
        <w:ind w:left="1800" w:right="349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- 165,499 shares</w:t>
      </w:r>
    </w:p>
    <w:p>
      <w:pPr>
        <w:spacing w:after="0" w:line="4" w:lineRule="exact"/>
        <w:rPr>
          <w:sz w:val="20"/>
          <w:szCs w:val="20"/>
          <w:color w:val="auto"/>
        </w:rPr>
      </w:pPr>
    </w:p>
    <w:p>
      <w:pPr>
        <w:ind w:left="1800" w:right="285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ectPr>
          <w:pgSz w:w="11900" w:h="16838" w:orient="portrait"/>
          <w:cols w:equalWidth="0" w:num="1">
            <w:col w:w="10139"/>
          </w:cols>
          <w:pgMar w:left="320" w:top="142" w:right="1440" w:bottom="0" w:gutter="0" w:footer="0" w:header="0"/>
        </w:sectPr>
      </w:pPr>
    </w:p>
    <w:bookmarkStart w:id="4" w:name="page5"/>
    <w:bookmarkEnd w:id="4"/>
    <w:p>
      <w:pPr>
        <w:ind w:left="1800"/>
        <w:spacing w:after="0"/>
        <w:rPr>
          <w:sz w:val="20"/>
          <w:szCs w:val="20"/>
          <w:color w:val="auto"/>
        </w:rPr>
      </w:pPr>
      <w:r>
        <w:rPr>
          <w:rFonts w:ascii="Courier New" w:cs="Courier New" w:eastAsia="Courier New" w:hAnsi="Courier New"/>
          <w:sz w:val="18"/>
          <w:szCs w:val="18"/>
          <w:color w:val="auto"/>
        </w:rPr>
        <w:t>Longleaf Partners Small Cap Fund - 165,499</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399" w:hanging="841"/>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279" w:hanging="841"/>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59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11, 2021</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Southeastern Asset Management, Inc.</w:t>
      </w:r>
    </w:p>
    <w:p>
      <w:pPr>
        <w:ind w:left="3160"/>
        <w:spacing w:after="0" w:line="238" w:lineRule="auto"/>
        <w:rPr>
          <w:sz w:val="20"/>
          <w:szCs w:val="20"/>
          <w:color w:val="auto"/>
        </w:rPr>
      </w:pPr>
      <w:r>
        <w:rPr>
          <w:rFonts w:ascii="Courier New" w:cs="Courier New" w:eastAsia="Courier New" w:hAnsi="Courier New"/>
          <w:sz w:val="18"/>
          <w:szCs w:val="18"/>
          <w:color w:val="auto"/>
        </w:rPr>
        <w:t>By /s/ Andrew R. McCarroll</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January 11, 2021.</w:t>
      </w:r>
    </w:p>
    <w:p>
      <w:pPr>
        <w:sectPr>
          <w:pgSz w:w="11900" w:h="16838" w:orient="portrait"/>
          <w:cols w:equalWidth="0" w:num="1">
            <w:col w:w="10139"/>
          </w:cols>
          <w:pgMar w:left="320" w:top="339" w:right="1440" w:bottom="142"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ind w:left="3160"/>
        <w:spacing w:after="0" w:line="238" w:lineRule="auto"/>
        <w:rPr>
          <w:sz w:val="20"/>
          <w:szCs w:val="20"/>
          <w:color w:val="auto"/>
        </w:rPr>
      </w:pPr>
      <w:r>
        <w:rPr>
          <w:rFonts w:ascii="Courier New" w:cs="Courier New" w:eastAsia="Courier New" w:hAnsi="Courier New"/>
          <w:sz w:val="18"/>
          <w:szCs w:val="18"/>
          <w:color w:val="auto"/>
        </w:rPr>
        <w:t>By: Southeastern Asset Management, Inc.</w:t>
      </w:r>
    </w:p>
    <w:p>
      <w:pPr>
        <w:ind w:left="3160"/>
        <w:spacing w:after="0" w:line="238" w:lineRule="auto"/>
        <w:rPr>
          <w:sz w:val="20"/>
          <w:szCs w:val="20"/>
          <w:color w:val="auto"/>
        </w:rPr>
      </w:pPr>
      <w:r>
        <w:rPr>
          <w:rFonts w:ascii="Courier New" w:cs="Courier New" w:eastAsia="Courier New" w:hAnsi="Courier New"/>
          <w:sz w:val="18"/>
          <w:szCs w:val="18"/>
          <w:color w:val="auto"/>
        </w:rPr>
        <w:t>By /s/ Andrew R. McCarroll</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WPO13G15.doc</w:t>
      </w:r>
    </w:p>
    <w:p>
      <w:pPr>
        <w:spacing w:after="0" w:line="238" w:lineRule="auto"/>
        <w:rPr>
          <w:sz w:val="20"/>
          <w:szCs w:val="20"/>
          <w:color w:val="auto"/>
        </w:rPr>
      </w:pPr>
      <w:r>
        <w:rPr>
          <w:rFonts w:ascii="Courier New" w:cs="Courier New" w:eastAsia="Courier New" w:hAnsi="Courier New"/>
          <w:sz w:val="18"/>
          <w:szCs w:val="18"/>
          <w:color w:val="auto"/>
        </w:rPr>
        <w:t>SCHEDULE 13G - Graham Holdings Company ("Issuer")</w:t>
      </w:r>
    </w:p>
    <w:p>
      <w:pPr>
        <w:spacing w:after="0"/>
        <w:rPr>
          <w:sz w:val="20"/>
          <w:szCs w:val="20"/>
          <w:color w:val="auto"/>
        </w:rPr>
      </w:pPr>
      <w:r>
        <w:rPr>
          <w:rFonts w:ascii="Courier New" w:cs="Courier New" w:eastAsia="Courier New" w:hAnsi="Courier New"/>
          <w:sz w:val="18"/>
          <w:szCs w:val="18"/>
          <w:color w:val="auto"/>
        </w:rPr>
        <w:t>Amendment #15</w:t>
      </w:r>
    </w:p>
    <w:p>
      <w:pPr>
        <w:spacing w:after="0" w:line="237" w:lineRule="auto"/>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WPO13G15.doc</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9"/>
    </w:lvl>
  </w:abstractNum>
  <w:abstractNum w:abstractNumId="5">
    <w:nsid w:val="DED7263"/>
    <w:multiLevelType w:val="hybridMultilevel"/>
    <w:lvl w:ilvl="0">
      <w:lvlJc w:val="left"/>
      <w:lvlText w:val="(%1)"/>
      <w:numFmt w:val="decimal"/>
      <w:start w:val="10"/>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lvl w:ilvl="1">
      <w:lvlJc w:val="left"/>
      <w:lvlText w:val="(%2)"/>
      <w:numFmt w:val="lowerLetter"/>
      <w:start w:val="1"/>
    </w:lvl>
  </w:abstractNum>
  <w:abstractNum w:abstractNumId="10">
    <w:nsid w:val="4E6AFB66"/>
    <w:multiLevelType w:val="hybridMultilevel"/>
    <w:lvl w:ilvl="0">
      <w:lvlJc w:val="left"/>
      <w:lvlText w:val="(%1)"/>
      <w:numFmt w:val="decimal"/>
      <w:start w:val="8"/>
    </w:lvl>
    <w:lvl w:ilvl="1">
      <w:lvlJc w:val="left"/>
      <w:lvlText w:val=":"/>
      <w:numFmt w:val="bullet"/>
      <w:start w:val="1"/>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8"/>
    </w:lvl>
    <w:lvl w:ilvl="1">
      <w:lvlJc w:val="left"/>
      <w:lvlText w:val=":"/>
      <w:numFmt w:val="bullet"/>
      <w:start w:val="1"/>
    </w:lvl>
  </w:abstractNum>
  <w:abstractNum w:abstractNumId="17">
    <w:nsid w:val="62BBD95A"/>
    <w:multiLevelType w:val="hybridMultilevel"/>
    <w:lvl w:ilvl="0">
      <w:lvlJc w:val="left"/>
      <w:lvlText w:val="(%1)"/>
      <w:numFmt w:val="decimal"/>
      <w:start w:val="10"/>
    </w:lvl>
  </w:abstractNum>
  <w:abstractNum w:abstractNumId="18">
    <w:nsid w:val="436C6125"/>
    <w:multiLevelType w:val="hybridMultilevel"/>
    <w:lvl w:ilvl="0">
      <w:lvlJc w:val="left"/>
      <w:lvlText w:val="(%1)"/>
      <w:numFmt w:val="decimal"/>
      <w:start w:val="11"/>
    </w:lvl>
  </w:abstractNum>
  <w:abstractNum w:abstractNumId="19">
    <w:nsid w:val="628C895D"/>
    <w:multiLevelType w:val="hybridMultilevel"/>
    <w:lvl w:ilvl="0">
      <w:lvlJc w:val="left"/>
      <w:lvlText w:val="(%1)"/>
      <w:numFmt w:val="decimal"/>
      <w:start w:val="12"/>
    </w:lvl>
  </w:abstractNum>
  <w:abstractNum w:abstractNumId="20">
    <w:nsid w:val="333AB105"/>
    <w:multiLevelType w:val="hybridMultilevel"/>
    <w:lvl w:ilvl="0">
      <w:lvlJc w:val="left"/>
      <w:lvlText w:val="(%1)"/>
      <w:numFmt w:val="lowerLetter"/>
      <w:start w:val="1"/>
    </w:lvl>
    <w:lvl w:ilvl="1">
      <w:lvlJc w:val="left"/>
      <w:lvlText w:val="(%2)"/>
      <w:numFmt w:val="decimal"/>
      <w:start w:val="1"/>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2021-01-11T15:02:58Z</dcterms:created>
  <dcterms:modified xsi:type="dcterms:W3CDTF">2021-01-11T15:02:58Z</dcterms:modified>
</cp:coreProperties>
</file>