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85090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8"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62"/>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6"/>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4"/>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44"/>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1"/>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20"/>
                <w:szCs w:val="20"/>
                <w:color w:val="auto"/>
              </w:rPr>
            </w:pPr>
          </w:p>
        </w:tc>
      </w:tr>
      <w:tr>
        <w:trPr>
          <w:trHeight w:val="350"/>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24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580" w:type="dxa"/>
            <w:vAlign w:val="bottom"/>
            <w:gridSpan w:val="3"/>
          </w:tcPr>
          <w:p>
            <w:pPr>
              <w:jc w:val="center"/>
              <w:ind w:right="580"/>
              <w:spacing w:after="0"/>
              <w:rPr>
                <w:sz w:val="20"/>
                <w:szCs w:val="20"/>
                <w:color w:val="auto"/>
              </w:rPr>
            </w:pPr>
            <w:r>
              <w:rPr>
                <w:rFonts w:ascii="Arial" w:cs="Arial" w:eastAsia="Arial" w:hAnsi="Arial"/>
                <w:sz w:val="16"/>
                <w:szCs w:val="16"/>
                <w:color w:val="auto"/>
              </w:rPr>
              <w:t>GHC</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221"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24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7"/>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right="1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29, 2021:</w:t>
      </w:r>
    </w:p>
    <w:p>
      <w:pPr>
        <w:spacing w:after="0" w:line="104"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3,988,665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Income Taxes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1A.</w:t>
      </w:r>
      <w:r>
        <w:rPr>
          <w:sz w:val="20"/>
          <w:szCs w:val="20"/>
          <w:color w:val="auto"/>
        </w:rPr>
        <w:tab/>
      </w:r>
      <w:r>
        <w:rPr>
          <w:rFonts w:ascii="Arial" w:cs="Arial" w:eastAsia="Arial" w:hAnsi="Arial"/>
          <w:sz w:val="16"/>
          <w:szCs w:val="16"/>
          <w:color w:val="auto"/>
        </w:rPr>
        <w:t>Risk Factors</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623570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262"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7</w:t>
        </w:r>
      </w:hyperlink>
    </w:p>
    <w:p>
      <w:pPr>
        <w:spacing w:after="0" w:line="208"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59"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13</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14</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15</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15</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16</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18</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22</w:t>
        </w:r>
      </w:hyperlink>
    </w:p>
    <w:p>
      <w:pPr>
        <w:spacing w:after="0" w:line="316" w:lineRule="exact"/>
        <w:rPr>
          <w:sz w:val="20"/>
          <w:szCs w:val="20"/>
          <w:color w:val="auto"/>
        </w:rPr>
      </w:pPr>
    </w:p>
    <w:p>
      <w:pPr>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26</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38</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38</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38</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39</w:t>
        </w:r>
      </w:hyperlink>
    </w:p>
    <w:p>
      <w:pPr>
        <w:spacing w:after="0" w:line="262"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40</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41</w:t>
        </w:r>
      </w:hyperlink>
    </w:p>
    <w:p>
      <w:pPr>
        <w:sectPr>
          <w:pgSz w:w="11900" w:h="16838" w:orient="portrait"/>
          <w:cols w:equalWidth="0" w:num="2">
            <w:col w:w="10280" w:space="720"/>
            <w:col w:w="180"/>
          </w:cols>
          <w:pgMar w:left="340" w:top="94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515,280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492,399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1,509,986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1,492,631</w:t>
            </w:r>
          </w:p>
        </w:tc>
        <w:tc>
          <w:tcPr>
            <w:tcW w:w="0" w:type="dxa"/>
            <w:vAlign w:val="bottom"/>
          </w:tcPr>
          <w:p>
            <w:pPr>
              <w:spacing w:after="0"/>
              <w:rPr>
                <w:sz w:val="1"/>
                <w:szCs w:val="1"/>
                <w:color w:val="auto"/>
              </w:rPr>
            </w:pPr>
          </w:p>
        </w:tc>
      </w:tr>
      <w:tr>
        <w:trPr>
          <w:trHeight w:val="242"/>
        </w:trPr>
        <w:tc>
          <w:tcPr>
            <w:tcW w:w="606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294,156</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224,583</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813,057</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609,479</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809,436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716,982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2,323,043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2,102,110</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80" w:type="dxa"/>
            <w:vAlign w:val="bottom"/>
          </w:tcPr>
          <w:p>
            <w:pPr>
              <w:spacing w:after="0"/>
              <w:rPr>
                <w:sz w:val="18"/>
                <w:szCs w:val="18"/>
                <w:color w:val="auto"/>
              </w:rPr>
            </w:pP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307,138</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906,555</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Cost of services sold (exclusive of items shown below)</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298,250</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929,877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Cost of goods sold (exclusive of items shown below)</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241,539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177,734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647,218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481,260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215,891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166,207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587,181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506,199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18,741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18,481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51,886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58,098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15,981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14,150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43,807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42,642</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26,753</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1,916</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31,568</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826,043</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676,738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2,268,215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2,047,904</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(Loss) Income from 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(16,607)</w:t>
            </w:r>
          </w:p>
        </w:tc>
        <w:tc>
          <w:tcPr>
            <w:tcW w:w="5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40,244</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54,828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54,206</w:t>
            </w: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12,964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4,092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28,168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(9,343)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(7,247)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(25,144)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(22,302)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27,561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10,489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81,564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41,028</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14,069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59,364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176,981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5,218</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27,660</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33,783</w:t>
            </w:r>
          </w:p>
        </w:tc>
        <w:tc>
          <w:tcPr>
            <w:tcW w:w="5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108,054</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346,744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89,525</w:t>
            </w:r>
          </w:p>
        </w:tc>
        <w:tc>
          <w:tcPr>
            <w:tcW w:w="0" w:type="dxa"/>
            <w:vAlign w:val="bottom"/>
          </w:tcPr>
          <w:p>
            <w:pPr>
              <w:spacing w:after="0"/>
              <w:rPr>
                <w:sz w:val="1"/>
                <w:szCs w:val="1"/>
                <w:color w:val="auto"/>
              </w:rPr>
            </w:pPr>
          </w:p>
        </w:tc>
      </w:tr>
      <w:tr>
        <w:trPr>
          <w:trHeight w:val="23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(Benefit from) Provision for Income Taxes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78,500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26,500</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39,683</w:t>
            </w:r>
          </w:p>
        </w:tc>
        <w:tc>
          <w:tcPr>
            <w:tcW w:w="5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78,054</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268,244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23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39,586</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77,615</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267,394</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63,224</w:t>
            </w:r>
          </w:p>
        </w:tc>
        <w:tc>
          <w:tcPr>
            <w:tcW w:w="0" w:type="dxa"/>
            <w:vAlign w:val="bottom"/>
          </w:tcPr>
          <w:p>
            <w:pPr>
              <w:spacing w:after="0"/>
              <w:rPr>
                <w:sz w:val="1"/>
                <w:szCs w:val="1"/>
                <w:color w:val="auto"/>
              </w:rPr>
            </w:pPr>
          </w:p>
        </w:tc>
      </w:tr>
      <w:tr>
        <w:trPr>
          <w:trHeight w:val="212"/>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15.25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53.49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4,961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5,060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4,966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15.22</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53.33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4,977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5,072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4,980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5,192</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800" w:type="dxa"/>
            <w:vAlign w:val="bottom"/>
          </w:tcPr>
          <w:p>
            <w:pPr>
              <w:spacing w:after="0"/>
              <w:rPr>
                <w:sz w:val="17"/>
                <w:szCs w:val="17"/>
                <w:color w:val="auto"/>
              </w:rPr>
            </w:pPr>
          </w:p>
        </w:tc>
        <w:tc>
          <w:tcPr>
            <w:tcW w:w="220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6800" w:type="dxa"/>
            <w:vAlign w:val="bottom"/>
          </w:tcPr>
          <w:p>
            <w:pPr>
              <w:spacing w:after="0"/>
              <w:rPr>
                <w:sz w:val="20"/>
                <w:szCs w:val="20"/>
                <w:color w:val="auto"/>
              </w:rPr>
            </w:pPr>
            <w:r>
              <w:rPr>
                <w:rFonts w:ascii="Arial" w:cs="Arial" w:eastAsia="Arial" w:hAnsi="Arial"/>
                <w:sz w:val="14"/>
                <w:szCs w:val="14"/>
                <w:color w:val="auto"/>
              </w:rPr>
              <w:t>(in thousands)</w:t>
            </w: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2020</w:t>
            </w: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460"/>
        <w:spacing w:after="0" w:line="313"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60" w:hanging="450"/>
        <w:spacing w:after="0"/>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39,683  </w:t>
      </w:r>
      <w:r>
        <w:rPr>
          <w:rFonts w:ascii="Arial" w:cs="Arial" w:eastAsia="Arial" w:hAnsi="Arial"/>
          <w:sz w:val="16"/>
          <w:szCs w:val="16"/>
          <w:color w:val="auto"/>
        </w:rPr>
        <w:t xml:space="preserve">$78,054  </w:t>
      </w:r>
      <w:r>
        <w:rPr>
          <w:rFonts w:ascii="Arial" w:cs="Arial" w:eastAsia="Arial" w:hAnsi="Arial"/>
          <w:sz w:val="16"/>
          <w:szCs w:val="16"/>
          <w:b w:val="1"/>
          <w:bCs w:val="1"/>
          <w:color w:val="auto"/>
        </w:rPr>
        <w:t>$   268,244</w:t>
      </w:r>
      <w:r>
        <w:rPr>
          <w:rFonts w:ascii="Arial" w:cs="Arial" w:eastAsia="Arial" w:hAnsi="Arial"/>
          <w:sz w:val="16"/>
          <w:szCs w:val="16"/>
          <w:color w:val="auto"/>
        </w:rPr>
        <w:t xml:space="preserve">  $</w:t>
      </w:r>
      <w:r>
        <w:rPr>
          <w:rFonts w:ascii="Arial" w:cs="Arial" w:eastAsia="Arial" w:hAnsi="Arial"/>
          <w:sz w:val="15"/>
          <w:szCs w:val="15"/>
          <w:color w:val="auto"/>
        </w:rPr>
        <w:t>63,025</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(16,033)</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20,430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(15,352)</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459"/>
        </w:trPr>
        <w:tc>
          <w:tcPr>
            <w:tcW w:w="2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793</w:t>
            </w:r>
          </w:p>
        </w:tc>
        <w:tc>
          <w:tcPr>
            <w:tcW w:w="34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3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2,377</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2,010</w:t>
            </w:r>
          </w:p>
        </w:tc>
      </w:tr>
      <w:tr>
        <w:trPr>
          <w:trHeight w:val="243"/>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(1,066)</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(4,419)</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r>
      <w:tr>
        <w:trPr>
          <w:trHeight w:val="215"/>
        </w:trPr>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(2,042)</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2,924</w:t>
            </w:r>
          </w:p>
        </w:tc>
      </w:tr>
      <w:tr>
        <w:trPr>
          <w:trHeight w:val="238"/>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803</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r>
      <w:tr>
        <w:trPr>
          <w:trHeight w:val="215"/>
        </w:trPr>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(16,137)</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21,562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(16,591)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38"/>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342</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r>
      <w:tr>
        <w:trPr>
          <w:trHeight w:val="223"/>
        </w:trPr>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(16,126)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21,263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(16,249)</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15"/>
        </w:trPr>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23,557</w:t>
            </w:r>
          </w:p>
        </w:tc>
        <w:tc>
          <w:tcPr>
            <w:tcW w:w="3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99,317</w:t>
            </w:r>
          </w:p>
        </w:tc>
        <w:tc>
          <w:tcPr>
            <w:tcW w:w="3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251,995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63,413</w:t>
            </w:r>
          </w:p>
        </w:tc>
      </w:tr>
      <w:tr>
        <w:trPr>
          <w:trHeight w:val="238"/>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23,460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98,878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251,145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63,612</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140" w:space="680"/>
            <w:col w:w="4420"/>
          </w:cols>
          <w:pgMar w:left="320" w:top="940"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4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133,882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413,991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14,272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779,073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587,582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578,592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537,156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100,258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120,622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78,212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75,523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15,654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29,313</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1,641</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1,701,584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1,774,192</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461,107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378,286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427,225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462,560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171,249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155,777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1,612,343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120,093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120,437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248,246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1,772,859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1,708,305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7,854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8,396</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$782 and $0 of restricted cash)</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156,912</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146,770</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6,679,472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506,638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520,236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371,208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331,021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6,869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84,144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86,797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44,254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6,452</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7,496</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1,020,609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949,646</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205,514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201,918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33,282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48,768</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522,923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521,274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11,921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392,438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428,849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511,635</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2,698,322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2,665,798</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7,412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11,928</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18"/>
                <w:szCs w:val="18"/>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388,386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388,159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7,042,061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6,804,822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(5,598)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9,754</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593,773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595,287</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(4,073,677)</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(4,056,993)</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3,963,835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3,759,302</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9,903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3,973,738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3,766,393</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6,679,472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67" w:right="359"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7" w:right="359" w:bottom="117"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268,244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127,261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130,568</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55,246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70,214</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(68,644)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(27,669)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(179,737)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and write-down of businesses, property, plant and equipment, investments and other assets,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(14,406)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doubtful trade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4,171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4,686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4,758</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gain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(11,364)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(benefit from)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43,580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(4,325)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(27,350)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139,306</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21,117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(7,979)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(65,708)</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33,561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(26,094)</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10,724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(61,775)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(67,299)</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3,192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16,791</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1,743</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197,271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240,890</w:t>
            </w:r>
          </w:p>
        </w:tc>
        <w:tc>
          <w:tcPr>
            <w:tcW w:w="0" w:type="dxa"/>
            <w:vAlign w:val="bottom"/>
          </w:tcPr>
          <w:p>
            <w:pPr>
              <w:spacing w:after="0"/>
              <w:rPr>
                <w:sz w:val="1"/>
                <w:szCs w:val="1"/>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(272,428)</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(20,080)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(140,935)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(56,121)</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(48,036)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38,308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93,775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(6,610)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(8,298)</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8,771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(420,456)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12,722</w:t>
            </w:r>
          </w:p>
        </w:tc>
        <w:tc>
          <w:tcPr>
            <w:tcW w:w="0" w:type="dxa"/>
            <w:vAlign w:val="bottom"/>
          </w:tcPr>
          <w:p>
            <w:pPr>
              <w:spacing w:after="0"/>
              <w:rPr>
                <w:sz w:val="1"/>
                <w:szCs w:val="1"/>
                <w:color w:val="auto"/>
              </w:rPr>
            </w:pPr>
          </w:p>
        </w:tc>
      </w:tr>
      <w:tr>
        <w:trPr>
          <w:trHeight w:val="21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(30,866)</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(22,659)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(22,870)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borrowings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37,696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75,905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(16,878)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(75,841)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22,684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(21,840)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(123,155)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on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(15,035)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(16,300)</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1,137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1,244</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(48,025)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(153,674)</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(274,118)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97,209</w:t>
            </w:r>
          </w:p>
        </w:tc>
        <w:tc>
          <w:tcPr>
            <w:tcW w:w="0" w:type="dxa"/>
            <w:vAlign w:val="bottom"/>
          </w:tcPr>
          <w:p>
            <w:pPr>
              <w:spacing w:after="0"/>
              <w:rPr>
                <w:sz w:val="1"/>
                <w:szCs w:val="1"/>
                <w:color w:val="auto"/>
              </w:rPr>
            </w:pPr>
          </w:p>
        </w:tc>
      </w:tr>
      <w:tr>
        <w:trPr>
          <w:trHeight w:val="238"/>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423,054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214,044</w:t>
            </w:r>
          </w:p>
        </w:tc>
        <w:tc>
          <w:tcPr>
            <w:tcW w:w="0" w:type="dxa"/>
            <w:vAlign w:val="bottom"/>
          </w:tcPr>
          <w:p>
            <w:pPr>
              <w:spacing w:after="0"/>
              <w:rPr>
                <w:sz w:val="1"/>
                <w:szCs w:val="1"/>
                <w:color w:val="auto"/>
              </w:rPr>
            </w:pP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148,936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311,253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0" w:right="359" w:bottom="1008"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008"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jc w:val="center"/>
              <w:spacing w:after="0"/>
              <w:rPr>
                <w:sz w:val="20"/>
                <w:szCs w:val="20"/>
                <w:color w:val="auto"/>
              </w:rPr>
            </w:pPr>
            <w:r>
              <w:rPr>
                <w:rFonts w:ascii="Arial" w:cs="Arial" w:eastAsia="Arial" w:hAnsi="Arial"/>
                <w:sz w:val="11"/>
                <w:szCs w:val="11"/>
                <w:color w:val="auto"/>
                <w:w w:val="97"/>
              </w:rPr>
              <w:t>Accumulated Other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76"/>
              <w:spacing w:after="0"/>
              <w:rPr>
                <w:sz w:val="20"/>
                <w:szCs w:val="20"/>
                <w:color w:val="auto"/>
              </w:rPr>
            </w:pPr>
            <w:r>
              <w:rPr>
                <w:rFonts w:ascii="Arial" w:cs="Arial" w:eastAsia="Arial" w:hAnsi="Arial"/>
                <w:sz w:val="11"/>
                <w:szCs w:val="11"/>
                <w:color w:val="auto"/>
                <w:w w:val="99"/>
              </w:rPr>
              <w:t>Redeemable</w:t>
            </w:r>
          </w:p>
        </w:tc>
      </w:tr>
      <w:tr>
        <w:trPr>
          <w:trHeight w:val="108"/>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20"/>
              <w:spacing w:after="0" w:line="108" w:lineRule="exact"/>
              <w:rPr>
                <w:sz w:val="20"/>
                <w:szCs w:val="20"/>
                <w:color w:val="auto"/>
              </w:rPr>
            </w:pPr>
            <w:r>
              <w:rPr>
                <w:rFonts w:ascii="Arial" w:cs="Arial" w:eastAsia="Arial" w:hAnsi="Arial"/>
                <w:sz w:val="11"/>
                <w:szCs w:val="11"/>
                <w:color w:val="auto"/>
              </w:rPr>
              <w:t>Common</w:t>
            </w: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tcPr>
          <w:p>
            <w:pPr>
              <w:jc w:val="right"/>
              <w:ind w:right="214"/>
              <w:spacing w:after="0" w:line="108" w:lineRule="exact"/>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92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8"/>
              </w:rPr>
              <w:t>Comprehensive</w:t>
            </w:r>
          </w:p>
        </w:tc>
        <w:tc>
          <w:tcPr>
            <w:tcW w:w="200" w:type="dxa"/>
            <w:vAlign w:val="bottom"/>
          </w:tcPr>
          <w:p>
            <w:pPr>
              <w:spacing w:after="0"/>
              <w:rPr>
                <w:sz w:val="9"/>
                <w:szCs w:val="9"/>
                <w:color w:val="auto"/>
              </w:rPr>
            </w:pPr>
          </w:p>
        </w:tc>
        <w:tc>
          <w:tcPr>
            <w:tcW w:w="840" w:type="dxa"/>
            <w:vAlign w:val="bottom"/>
          </w:tcPr>
          <w:p>
            <w:pPr>
              <w:jc w:val="right"/>
              <w:ind w:right="255"/>
              <w:spacing w:after="0" w:line="108" w:lineRule="exact"/>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9"/>
                <w:szCs w:val="9"/>
                <w:color w:val="auto"/>
              </w:rPr>
            </w:pPr>
          </w:p>
        </w:tc>
        <w:tc>
          <w:tcPr>
            <w:tcW w:w="860" w:type="dxa"/>
            <w:vAlign w:val="bottom"/>
          </w:tcPr>
          <w:p>
            <w:pPr>
              <w:jc w:val="right"/>
              <w:ind w:right="74"/>
              <w:spacing w:after="0" w:line="108" w:lineRule="exact"/>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9"/>
              </w:rPr>
              <w:t>Noncontrolling</w:t>
            </w:r>
          </w:p>
        </w:tc>
      </w:tr>
      <w:tr>
        <w:trPr>
          <w:trHeight w:val="130"/>
        </w:trPr>
        <w:tc>
          <w:tcPr>
            <w:tcW w:w="34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1"/>
                <w:szCs w:val="1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1"/>
                <w:szCs w:val="11"/>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1"/>
                <w:szCs w:val="11"/>
                <w:color w:val="auto"/>
              </w:rPr>
            </w:pPr>
          </w:p>
        </w:tc>
        <w:tc>
          <w:tcPr>
            <w:tcW w:w="920" w:type="dxa"/>
            <w:vAlign w:val="bottom"/>
          </w:tcPr>
          <w:p>
            <w:pPr>
              <w:jc w:val="center"/>
              <w:ind w:right="56"/>
              <w:spacing w:after="0"/>
              <w:rPr>
                <w:sz w:val="20"/>
                <w:szCs w:val="20"/>
                <w:color w:val="auto"/>
              </w:rPr>
            </w:pPr>
            <w:r>
              <w:rPr>
                <w:rFonts w:ascii="Arial" w:cs="Arial" w:eastAsia="Arial" w:hAnsi="Arial"/>
                <w:sz w:val="11"/>
                <w:szCs w:val="11"/>
                <w:color w:val="auto"/>
                <w:w w:val="99"/>
              </w:rPr>
              <w:t>Income</w:t>
            </w:r>
          </w:p>
        </w:tc>
        <w:tc>
          <w:tcPr>
            <w:tcW w:w="200" w:type="dxa"/>
            <w:vAlign w:val="bottom"/>
          </w:tcPr>
          <w:p>
            <w:pPr>
              <w:spacing w:after="0"/>
              <w:rPr>
                <w:sz w:val="11"/>
                <w:szCs w:val="11"/>
                <w:color w:val="auto"/>
              </w:rPr>
            </w:pPr>
          </w:p>
        </w:tc>
        <w:tc>
          <w:tcPr>
            <w:tcW w:w="84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1"/>
                <w:szCs w:val="11"/>
                <w:color w:val="auto"/>
              </w:rPr>
            </w:pPr>
          </w:p>
        </w:tc>
        <w:tc>
          <w:tcPr>
            <w:tcW w:w="860" w:type="dxa"/>
            <w:vAlign w:val="bottom"/>
          </w:tcPr>
          <w:p>
            <w:pPr>
              <w:jc w:val="right"/>
              <w:ind w:right="23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1"/>
                <w:szCs w:val="11"/>
                <w:color w:val="auto"/>
              </w:rPr>
            </w:pPr>
          </w:p>
        </w:tc>
        <w:tc>
          <w:tcPr>
            <w:tcW w:w="880" w:type="dxa"/>
            <w:vAlign w:val="bottom"/>
          </w:tcPr>
          <w:p>
            <w:pPr>
              <w:jc w:val="right"/>
              <w:ind w:right="193"/>
              <w:spacing w:after="0"/>
              <w:rPr>
                <w:sz w:val="20"/>
                <w:szCs w:val="20"/>
                <w:color w:val="auto"/>
              </w:rPr>
            </w:pPr>
            <w:r>
              <w:rPr>
                <w:rFonts w:ascii="Arial" w:cs="Arial" w:eastAsia="Arial" w:hAnsi="Arial"/>
                <w:sz w:val="11"/>
                <w:szCs w:val="11"/>
                <w:color w:val="auto"/>
              </w:rPr>
              <w:t>Total Equity</w:t>
            </w:r>
          </w:p>
        </w:tc>
        <w:tc>
          <w:tcPr>
            <w:tcW w:w="180" w:type="dxa"/>
            <w:vAlign w:val="bottom"/>
          </w:tcPr>
          <w:p>
            <w:pPr>
              <w:spacing w:after="0"/>
              <w:rPr>
                <w:sz w:val="11"/>
                <w:szCs w:val="11"/>
                <w:color w:val="auto"/>
              </w:rPr>
            </w:pPr>
          </w:p>
        </w:tc>
        <w:tc>
          <w:tcPr>
            <w:tcW w:w="920" w:type="dxa"/>
            <w:vAlign w:val="bottom"/>
          </w:tcPr>
          <w:p>
            <w:pPr>
              <w:jc w:val="center"/>
              <w:ind w:right="56"/>
              <w:spacing w:after="0"/>
              <w:rPr>
                <w:sz w:val="20"/>
                <w:szCs w:val="20"/>
                <w:color w:val="auto"/>
              </w:rPr>
            </w:pPr>
            <w:r>
              <w:rPr>
                <w:rFonts w:ascii="Arial" w:cs="Arial" w:eastAsia="Arial" w:hAnsi="Arial"/>
                <w:sz w:val="11"/>
                <w:szCs w:val="11"/>
                <w:color w:val="auto"/>
                <w:w w:val="97"/>
              </w:rPr>
              <w:t>Interest</w:t>
            </w:r>
          </w:p>
        </w:tc>
      </w:tr>
      <w:tr>
        <w:trPr>
          <w:trHeight w:val="22"/>
        </w:trPr>
        <w:tc>
          <w:tcPr>
            <w:tcW w:w="3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388,159</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6,804,822</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603,314</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(4,056,993)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7,091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3,766,393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6"/>
              <w:spacing w:after="0"/>
              <w:rPr>
                <w:sz w:val="20"/>
                <w:szCs w:val="20"/>
                <w:color w:val="auto"/>
              </w:rPr>
            </w:pPr>
            <w:r>
              <w:rPr>
                <w:rFonts w:ascii="Arial" w:cs="Arial" w:eastAsia="Arial" w:hAnsi="Arial"/>
                <w:sz w:val="13"/>
                <w:szCs w:val="13"/>
                <w:b w:val="1"/>
                <w:bCs w:val="1"/>
                <w:color w:val="auto"/>
              </w:rPr>
              <w:t>11,928</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112,635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112,635</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761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(15,106)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(15,106)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stock forfeitures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(5,188)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5,084</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(104)</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1,589</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(1,203)</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(1,203)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r>
      <w:tr>
        <w:trPr>
          <w:trHeight w:val="188"/>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March 31, 2021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385,257</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6,902,166</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602,111</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(4,051,909)</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7,214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3,864,839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6"/>
              <w:spacing w:after="0"/>
              <w:rPr>
                <w:sz w:val="20"/>
                <w:szCs w:val="20"/>
                <w:color w:val="auto"/>
              </w:rPr>
            </w:pPr>
            <w:r>
              <w:rPr>
                <w:rFonts w:ascii="Arial" w:cs="Arial" w:eastAsia="Arial" w:hAnsi="Arial"/>
                <w:sz w:val="13"/>
                <w:szCs w:val="13"/>
                <w:b w:val="1"/>
                <w:bCs w:val="1"/>
                <w:color w:val="auto"/>
              </w:rPr>
              <w:t>7,786</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115,926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115,926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699</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131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w:t>
            </w: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65</w:t>
            </w:r>
          </w:p>
        </w:tc>
        <w:tc>
          <w:tcPr>
            <w:tcW w:w="18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65</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(152)</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(7,553)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(7,553)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(96)</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348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1,672</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1,080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June 30, 2021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386,882</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7,009,971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603,191</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(4,051,958)</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7,826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3,975,912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6"/>
              <w:spacing w:after="0"/>
              <w:rPr>
                <w:sz w:val="20"/>
                <w:szCs w:val="20"/>
                <w:color w:val="auto"/>
              </w:rPr>
            </w:pPr>
            <w:r>
              <w:rPr>
                <w:rFonts w:ascii="Arial" w:cs="Arial" w:eastAsia="Arial" w:hAnsi="Arial"/>
                <w:sz w:val="13"/>
                <w:szCs w:val="13"/>
                <w:b w:val="1"/>
                <w:bCs w:val="1"/>
                <w:color w:val="auto"/>
              </w:rPr>
              <w:t>7,720</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39,683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39,683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1,750</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1,750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(469)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469</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372</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372</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(372)</w:t>
            </w: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64</w:t>
            </w: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64</w:t>
            </w:r>
          </w:p>
        </w:tc>
        <w:tc>
          <w:tcPr>
            <w:tcW w:w="180" w:type="dxa"/>
            <w:vAlign w:val="bottom"/>
          </w:tcPr>
          <w:p>
            <w:pPr>
              <w:spacing w:after="0"/>
              <w:rPr>
                <w:sz w:val="15"/>
                <w:szCs w:val="15"/>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b w:val="1"/>
                <w:bCs w:val="1"/>
                <w:color w:val="auto"/>
              </w:rPr>
              <w:t>64</w:t>
            </w: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(206)</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(206)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(7,496)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(7,496)</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(21,840)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(21,840)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Issuance of Class B common stock, net of restricted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stock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(188)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121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(67)</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8"/>
        </w:trPr>
        <w:tc>
          <w:tcPr>
            <w:tcW w:w="348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1,692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1,692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(16,126)</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(16,126)</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As of September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388,386</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7,042,061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587,065</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(4,073,677)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3,973,738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7,412</w:t>
            </w: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20"/>
              <w:spacing w:after="0" w:line="108" w:lineRule="exact"/>
              <w:rPr>
                <w:sz w:val="20"/>
                <w:szCs w:val="20"/>
                <w:color w:val="auto"/>
              </w:rPr>
            </w:pPr>
            <w:r>
              <w:rPr>
                <w:rFonts w:ascii="Arial" w:cs="Arial" w:eastAsia="Arial" w:hAnsi="Arial"/>
                <w:sz w:val="11"/>
                <w:szCs w:val="11"/>
                <w:color w:val="auto"/>
              </w:rPr>
              <w:t>Common</w:t>
            </w: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tcPr>
          <w:p>
            <w:pPr>
              <w:jc w:val="right"/>
              <w:ind w:right="214"/>
              <w:spacing w:after="0" w:line="108" w:lineRule="exact"/>
              <w:rPr>
                <w:sz w:val="20"/>
                <w:szCs w:val="20"/>
                <w:color w:val="auto"/>
              </w:rPr>
            </w:pPr>
            <w:r>
              <w:rPr>
                <w:rFonts w:ascii="Arial" w:cs="Arial" w:eastAsia="Arial" w:hAnsi="Arial"/>
                <w:sz w:val="11"/>
                <w:szCs w:val="11"/>
                <w:color w:val="auto"/>
              </w:rPr>
              <w:t>Retained</w:t>
            </w: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tcPr>
          <w:p>
            <w:pPr>
              <w:jc w:val="right"/>
              <w:ind w:right="255"/>
              <w:spacing w:after="0" w:line="108" w:lineRule="exact"/>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9"/>
                <w:szCs w:val="9"/>
                <w:color w:val="auto"/>
              </w:rPr>
            </w:pPr>
          </w:p>
        </w:tc>
        <w:tc>
          <w:tcPr>
            <w:tcW w:w="880" w:type="dxa"/>
            <w:vAlign w:val="bottom"/>
          </w:tcPr>
          <w:p>
            <w:pPr>
              <w:jc w:val="right"/>
              <w:ind w:right="95"/>
              <w:spacing w:after="0" w:line="108" w:lineRule="exact"/>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r>
      <w:tr>
        <w:trPr>
          <w:trHeight w:val="130"/>
        </w:trPr>
        <w:tc>
          <w:tcPr>
            <w:tcW w:w="35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1"/>
                <w:szCs w:val="1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1"/>
                <w:szCs w:val="11"/>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1"/>
                <w:szCs w:val="11"/>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Pr>
          <w:p>
            <w:pPr>
              <w:spacing w:after="0"/>
              <w:rPr>
                <w:sz w:val="11"/>
                <w:szCs w:val="11"/>
                <w:color w:val="auto"/>
              </w:rPr>
            </w:pPr>
          </w:p>
        </w:tc>
        <w:tc>
          <w:tcPr>
            <w:tcW w:w="84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1"/>
                <w:szCs w:val="11"/>
                <w:color w:val="auto"/>
              </w:rPr>
            </w:pPr>
          </w:p>
        </w:tc>
        <w:tc>
          <w:tcPr>
            <w:tcW w:w="880" w:type="dxa"/>
            <w:vAlign w:val="bottom"/>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1"/>
                <w:szCs w:val="11"/>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1"/>
                <w:szCs w:val="11"/>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7"/>
              </w:rPr>
              <w:t>Interest</w:t>
            </w: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2019</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381,669</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6,534,427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303,295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(3,920,152)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7,557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3,326,796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5,655</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(33,891)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(33,891)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(15,289)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(15,289)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(33,610)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(33,610)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5,335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5,335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1,568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(37,943)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(37,943)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383,237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6,485,893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265,352</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(3,948,427)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6,785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3,212,840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5,781</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18,862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18,862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6,005</w:t>
            </w: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(7,581)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(7,581)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(29,295)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(29,295)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1,567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17,068</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17,068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384,804</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6,497,166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282,420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(3,977,722)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6,748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3,213,416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11,831</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78,054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78,054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373</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(66)</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(276)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(7,100)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(7,100)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(60,250)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(60,250)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(146)</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1,768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21,263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21,263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As of September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386,506</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6,567,676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303,683</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(4,038,052)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3,246,658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11,897</w:t>
            </w: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seven television broadcasting stations, several websites and print publications, podcast content and a marketing solutions provider. The Company’s other business operations include manufacturing, automotive dealerships, consumer internet brands, restaurants and entertainment venues, custom framing services and home health and hospice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4" w:lineRule="exact"/>
        <w:rPr>
          <w:sz w:val="20"/>
          <w:szCs w:val="20"/>
          <w:color w:val="auto"/>
        </w:rPr>
      </w:pPr>
    </w:p>
    <w:p>
      <w:pPr>
        <w:ind w:right="40" w:firstLine="8"/>
        <w:spacing w:after="0" w:line="222"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2021 and 2020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2020.</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7"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September 30, 2021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goodwill and other long-lived asset impairment charges (see Note 6 and Note 8), there were no other impacts to the Company’s condensed consolidated financial statements as of and for the nine months ended September 30, 2021 resulting from our assessments. The Company’s assessments as of and for the nine months ended September 30, 2020 resulted in goodwill, indefinite-lived asset and other long-lived asset impairment charges (see Note 6 and Note</w:t>
      </w:r>
    </w:p>
    <w:p>
      <w:pPr>
        <w:ind w:right="160"/>
        <w:spacing w:after="0" w:line="235" w:lineRule="auto"/>
        <w:rPr>
          <w:sz w:val="20"/>
          <w:szCs w:val="20"/>
          <w:color w:val="auto"/>
        </w:rPr>
      </w:pPr>
      <w:r>
        <w:rPr>
          <w:rFonts w:ascii="Arial" w:cs="Arial" w:eastAsia="Arial" w:hAnsi="Arial"/>
          <w:sz w:val="18"/>
          <w:szCs w:val="18"/>
          <w:color w:val="auto"/>
        </w:rPr>
        <w:t>8). The Company’s future assessment of the magnitude and duration of COVID-19, as well as other factors, could result in material impacts to the Company’s condensed consolidated financial statements in future reporting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On June 14, 2021, the Company acquired all of the outstanding common shares of Leaf Group Ltd. (Leaf) for $308.6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the assumption of $9.2 million in liabilities related to their previous stock compensation plan, which will be paid in the future. Leaf is a consumer internet company that builds creator-driven brands in lifestyle and home and art design categories. The acquisition is expected to provide benefits in the future by diversifying the Company’s business operations and providing operating synergies with other business units. The Company includes Leaf in other businesses.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During 2020, the Company acquired three businesses: two in education and one in other businesses for $96.8 million in cash and contingent consideration. The assets and liabilities of the companies acquired were recorded at their estimated fair values at the date of acquisition.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right="1000"/>
        <w:spacing w:after="0" w:line="235" w:lineRule="auto"/>
        <w:rPr>
          <w:sz w:val="20"/>
          <w:szCs w:val="20"/>
          <w:color w:val="auto"/>
        </w:rPr>
      </w:pPr>
      <w:r>
        <w:rPr>
          <w:rFonts w:ascii="Arial" w:cs="Arial" w:eastAsia="Arial" w:hAnsi="Arial"/>
          <w:sz w:val="18"/>
          <w:szCs w:val="18"/>
          <w:color w:val="auto"/>
        </w:rPr>
        <w:t>In the first three months of 2020, Kaplan acquired two small businesses; one in its supplemental education division and one in its international division.</w:t>
      </w:r>
    </w:p>
    <w:p>
      <w:pPr>
        <w:spacing w:after="0" w:line="135"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Condensed Consolidated Balance Sheet (see Note 3).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35"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Acquisition-related costs for acquisitions that closed during the first nine months of 2021 and 2020 were $1.6 million and $1.1 million, respectively, and were expensed as incurred. The aggregate purchase price of the 2021 and 2020 acquisitions was allocated as follows (2021 on a preliminary basis), based on acquisition date fair values to the following assets and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Purchase Price Allocation</w:t>
            </w:r>
          </w:p>
        </w:tc>
      </w:tr>
      <w:tr>
        <w:trPr>
          <w:trHeight w:val="190"/>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41"/>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560" w:type="dxa"/>
            <w:vAlign w:val="bottom"/>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208"/>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2020</w:t>
            </w:r>
          </w:p>
        </w:tc>
      </w:tr>
      <w:tr>
        <w:trPr>
          <w:trHeight w:val="214"/>
        </w:trPr>
        <w:tc>
          <w:tcPr>
            <w:tcW w:w="76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16,080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25"/>
        </w:trPr>
        <w:tc>
          <w:tcPr>
            <w:tcW w:w="76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777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6,019</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3,346</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7,744</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6,580</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167,334</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73,951</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88,000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14,589</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4,507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40,850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15,958</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(49,823)</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(14,917)</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(7,742)</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(6,593)</w:t>
            </w:r>
          </w:p>
        </w:tc>
      </w:tr>
      <w:tr>
        <w:trPr>
          <w:trHeight w:val="243"/>
        </w:trPr>
        <w:tc>
          <w:tcPr>
            <w:tcW w:w="766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273,746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92,125</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2021 fair values recorded were based upon preliminary valuations and the estimates and assumptions used in such valuations are subject to change within the measurement period (up to one year from the acquisition date). The recording of deferred tax assets and liabilities, and the amounts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$43.4 million and $3.2 million of goodwill for income tax purposes for the acquisitions completed in 2021 and 2020, respectively.</w:t>
      </w:r>
    </w:p>
    <w:p>
      <w:pPr>
        <w:spacing w:after="0" w:line="1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for the third quarter of 2021 include aggregate revenues and operating losses for the company acquired in 2021 of $57.5 million and $7.2 million, respectively. The Company's Condensed Consolidated Statements of Operations include aggregate revenues and operating losses of $66.7 million and $9.1 million, respectively, for the first nine months of 2021. The following unaudited pro forma financial information presents the Company’s results as if the current year acquisitions had occurred at the beginning of 2020. The unaudited pro forma information also includes the 2020 acquisitions as if they occurred at the beginning of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2020</w:t>
            </w:r>
          </w:p>
        </w:tc>
      </w:tr>
      <w:tr>
        <w:trPr>
          <w:trHeight w:val="214"/>
        </w:trPr>
        <w:tc>
          <w:tcPr>
            <w:tcW w:w="54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809,810</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780,302</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2,416,109</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2,255,760</w:t>
            </w:r>
          </w:p>
        </w:tc>
      </w:tr>
      <w:tr>
        <w:trPr>
          <w:trHeight w:val="225"/>
        </w:trPr>
        <w:tc>
          <w:tcPr>
            <w:tcW w:w="5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40,066</w:t>
            </w:r>
          </w:p>
        </w:tc>
        <w:tc>
          <w:tcPr>
            <w:tcW w:w="56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75,328</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257,887</w:t>
            </w:r>
          </w:p>
        </w:tc>
        <w:tc>
          <w:tcPr>
            <w:tcW w:w="5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38,627</w:t>
            </w:r>
          </w:p>
        </w:tc>
      </w:tr>
    </w:tbl>
    <w:p>
      <w:pPr>
        <w:spacing w:after="0" w:line="2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p>
      <w:pPr>
        <w:ind w:right="40"/>
        <w:spacing w:after="0" w:line="227" w:lineRule="auto"/>
        <w:rPr>
          <w:sz w:val="20"/>
          <w:szCs w:val="20"/>
          <w:color w:val="auto"/>
        </w:rPr>
      </w:pPr>
      <w:r>
        <w:rPr>
          <w:rFonts w:ascii="Arial" w:cs="Arial" w:eastAsia="Arial" w:hAnsi="Arial"/>
          <w:sz w:val="18"/>
          <w:szCs w:val="18"/>
          <w:color w:val="auto"/>
        </w:rPr>
        <w:t>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December 2020, the Company completed the sale of Megaphone which was included in other businesses.</w:t>
      </w:r>
    </w:p>
    <w:p>
      <w:pPr>
        <w:spacing w:after="0" w:line="14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2021, Hoover’s minority shareholders put the remaining outstanding shares to the Company, which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value of $3.5 million. Following the redemption, the Company owns 100% of Hoover.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September 30, 2021 the Company had no money market investments, compared to $268.8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that are classified as cash and cash equivalents in the Company’s Condensed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148"/>
        </w:trPr>
        <w:tc>
          <w:tcPr>
            <w:tcW w:w="8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163"/>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00" w:type="dxa"/>
            <w:vAlign w:val="bottom"/>
          </w:tcPr>
          <w:p>
            <w:pPr>
              <w:jc w:val="right"/>
              <w:ind w:right="162"/>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2020</w:t>
            </w:r>
          </w:p>
        </w:tc>
      </w:tr>
      <w:tr>
        <w:trPr>
          <w:trHeight w:val="214"/>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275,825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232,847</w:t>
            </w:r>
          </w:p>
        </w:tc>
      </w:tr>
      <w:tr>
        <w:trPr>
          <w:trHeight w:val="225"/>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489,191</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340,255</w:t>
            </w:r>
          </w:p>
        </w:tc>
      </w:tr>
      <w:tr>
        <w:trPr>
          <w:trHeight w:val="24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(185)</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764,831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573,102</w:t>
            </w: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At September 30, 2021 and December 31, 2020, the Company owned 44,430 shares and 28,000 shares, respectively, in Markel Corporation (Markel) valued at $53.1 million and $28.9 million, respectively. The Co-Chief Executive Officer of Markel, Mr. Thomas S. Gayner, is a member of the Company’s Board of Directors. As of September 30, 2021, there was no marketable equity security holding that exceeded 5% of the Company’s total assets.</w:t>
      </w:r>
    </w:p>
    <w:p>
      <w:pPr>
        <w:spacing w:after="0" w:line="13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 purchased $48.0 million of marketable equity securities during the first nine months of 2021. There were no purchases of marketable equity securities during the first nine months of 2020.</w:t>
      </w:r>
    </w:p>
    <w:p>
      <w:pPr>
        <w:spacing w:after="0" w:line="135"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During the first nine months of 2021, the gross cumulative realized gains from the sales of marketable equity securities were $27.7 million. The total proceeds from such sales were $38.3 million. During the first nine months of 2020, the gross cumulative realized gains from the sales of marketable equity securities were $23.0 million. The total proceeds from such sales were $93.8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00" w:type="dxa"/>
            <w:vAlign w:val="bottom"/>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664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14,069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59,364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176,981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51"/>
        </w:trPr>
        <w:tc>
          <w:tcPr>
            <w:tcW w:w="664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411</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(7,750)</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13,382</w:t>
            </w:r>
          </w:p>
        </w:tc>
        <w:tc>
          <w:tcPr>
            <w:tcW w:w="0" w:type="dxa"/>
            <w:vAlign w:val="bottom"/>
          </w:tcPr>
          <w:p>
            <w:pPr>
              <w:spacing w:after="0"/>
              <w:rPr>
                <w:sz w:val="1"/>
                <w:szCs w:val="1"/>
                <w:color w:val="auto"/>
              </w:rPr>
            </w:pPr>
          </w:p>
        </w:tc>
      </w:tr>
      <w:tr>
        <w:trPr>
          <w:trHeight w:val="157"/>
        </w:trPr>
        <w:tc>
          <w:tcPr>
            <w:tcW w:w="66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unrealized gains in earnings from marketable equity securities still held at the</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14,480</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59,364</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169,231</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12"/>
        </w:trPr>
        <w:tc>
          <w:tcPr>
            <w:tcW w:w="6640" w:type="dxa"/>
            <w:vAlign w:val="bottom"/>
          </w:tcPr>
          <w:p>
            <w:pPr>
              <w:ind w:left="180"/>
              <w:spacing w:after="0"/>
              <w:rPr>
                <w:sz w:val="20"/>
                <w:szCs w:val="20"/>
                <w:color w:val="auto"/>
              </w:rPr>
            </w:pPr>
            <w:r>
              <w:rPr>
                <w:rFonts w:ascii="Arial" w:cs="Arial" w:eastAsia="Arial" w:hAnsi="Arial"/>
                <w:sz w:val="16"/>
                <w:szCs w:val="16"/>
                <w:b w:val="1"/>
                <w:bCs w:val="1"/>
                <w:color w:val="auto"/>
              </w:rPr>
              <w:t>end of the period</w:t>
            </w: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September 30, 2021,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Graham Healthcare Group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nine months ended September 30, 2021, the Company recorded $2.8 million and $8.0 million, respectively, in revenue for services provided to the affiliates of GHG. For the three and nine months ended September 30, 2020, the Company recorded $2.4 million and $7.1 million, respectively, in revenue for services provided to the affiliates of GHG.</w:t>
      </w:r>
    </w:p>
    <w:p>
      <w:pPr>
        <w:spacing w:after="0" w:line="137"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The Company had $51.3 million and $26.1 million in its investment account that represents cumulative undistributed income in its investments in affiliates as of September 30, 2021 and December 31, 2020,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1" w:name="page12"/>
    <w:bookmarkEnd w:id="11"/>
    <w:p>
      <w:pPr>
        <w:ind w:right="100"/>
        <w:spacing w:after="0" w:line="222" w:lineRule="auto"/>
        <w:rPr>
          <w:sz w:val="20"/>
          <w:szCs w:val="20"/>
          <w:color w:val="auto"/>
        </w:rPr>
      </w:pPr>
      <w:r>
        <w:rPr>
          <w:rFonts w:ascii="Arial" w:cs="Arial" w:eastAsia="Arial" w:hAnsi="Arial"/>
          <w:sz w:val="18"/>
          <w:szCs w:val="18"/>
          <w:color w:val="auto"/>
        </w:rPr>
        <w:t>In the third quarter of 2021, the Company recorded an impairment charge of $6.6 million on one of its investments in affiliates as a result of the challenging economic environment for this business following an announcement by the Chinese government to reform the education sector for private education companies. In the first quarter of 2020, the Company recorded impairment charges of $3.6 million on two of its investments in affiliates as a result of the challenging economic environment for these businesses, of which $2.7 million related to the Company’s investment in Framebridge. It is reasonably possible that further COVID-19 disruptions could result in additional impairment charges related to the Company’s investments in affiliates should the impact of COVID-19 not dissipate or have a worsening adverse impact on our affiliates in future periods.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nine months ended September 30, 2021 does not capture the impact of the COVID-19 pandemic on the earnings or losses of the affiliates whose financial results are recorded on a lag basis.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May 2020, the Company made an additional investment in Framebridge (see Note 2) that resulted in the Company obtaining control of the investee. The results of operations, cash flows, assets and liabilities of Framebridge are included in the condensed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loaned the joint venture £22 million, which loan is repayable over 25 years at an interest rate of 7% and guaranteed by the University of York. The loan is repayable by December 2041.</w:t>
      </w:r>
    </w:p>
    <w:p>
      <w:pPr>
        <w:spacing w:after="0" w:line="11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$48.5 million and $35.7 million as of September 30, 2021 and December 31, 2020, respectively. During the first nine months of 2021, the Company recorded gains of $ 10.5 million to those equity securities based on observable transactions. During the three and nine months ended September 30, 2020, the Company recorded gains of $ 1.6 million and $4.2 million, respectively, to those equity securities based on observable transactions. During the first nine months of 2020, the Company recorded impairment losses of $2.6 million to those equity securities.</w:t>
      </w:r>
    </w:p>
    <w:p>
      <w:pPr>
        <w:spacing w:after="0" w:line="115" w:lineRule="exact"/>
        <w:rPr>
          <w:sz w:val="20"/>
          <w:szCs w:val="20"/>
          <w:color w:val="auto"/>
        </w:rPr>
      </w:pPr>
    </w:p>
    <w:p>
      <w:pPr>
        <w:ind w:right="4360"/>
        <w:spacing w:after="0" w:line="443" w:lineRule="auto"/>
        <w:rPr>
          <w:sz w:val="20"/>
          <w:szCs w:val="20"/>
          <w:color w:val="auto"/>
        </w:rPr>
      </w:pPr>
      <w:r>
        <w:rPr>
          <w:rFonts w:ascii="Arial" w:cs="Arial" w:eastAsia="Arial" w:hAnsi="Arial"/>
          <w:sz w:val="18"/>
          <w:szCs w:val="18"/>
          <w:b w:val="1"/>
          <w:bCs w:val="1"/>
          <w:color w:val="auto"/>
        </w:rPr>
        <w:t xml:space="preserve">4. ACCOUNTS RECEIVABLE, ACCOUNTS PAYABLE AND ACCRUED LIABILITIES </w:t>
      </w:r>
      <w:r>
        <w:rPr>
          <w:rFonts w:ascii="Arial" w:cs="Arial" w:eastAsia="Arial" w:hAnsi="Arial"/>
          <w:sz w:val="18"/>
          <w:szCs w:val="18"/>
          <w:color w:val="auto"/>
        </w:rPr>
        <w:t>Accounts receivable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$21,866 and $21,494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550,853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519,577</w:t>
            </w:r>
          </w:p>
        </w:tc>
      </w:tr>
      <w:tr>
        <w:trPr>
          <w:trHeight w:val="238"/>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27,739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17,579</w:t>
            </w: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578,592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537,156</w:t>
            </w:r>
          </w:p>
        </w:tc>
      </w:tr>
      <w:tr>
        <w:trPr>
          <w:trHeight w:val="27"/>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Credit loss expense was $1.7 million and $1.0 million for the three months ended September 30, 2021 and 2020, respectively. Credit loss expense was $4.2 million and $8.2 million for the nine months ended September 30,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43"/>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b w:val="1"/>
                <w:bCs w:val="1"/>
                <w:color w:val="auto"/>
              </w:rPr>
              <w:t>105,143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106,215</w:t>
            </w:r>
          </w:p>
        </w:tc>
      </w:tr>
      <w:tr>
        <w:trPr>
          <w:trHeight w:val="225"/>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14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b w:val="1"/>
                <w:bCs w:val="1"/>
                <w:color w:val="auto"/>
              </w:rPr>
              <w:t>160,062</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135,493</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241,433</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278,528</w:t>
            </w: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506,638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520,236</w:t>
            </w:r>
          </w:p>
        </w:tc>
      </w:tr>
      <w:tr>
        <w:trPr>
          <w:trHeight w:val="27"/>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Cash overdrafts of $3.3 million and $2.1 million are included in accounts payable as of September 30, 2021 and December 31, 2020,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p>
      <w:pPr>
        <w:ind w:right="3940"/>
        <w:spacing w:after="0" w:line="443"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148"/>
        </w:trPr>
        <w:tc>
          <w:tcPr>
            <w:tcW w:w="8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2020</w:t>
            </w:r>
          </w:p>
        </w:tc>
      </w:tr>
      <w:tr>
        <w:trPr>
          <w:trHeight w:val="214"/>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43,045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45,382</w:t>
            </w:r>
          </w:p>
        </w:tc>
      </w:tr>
      <w:tr>
        <w:trPr>
          <w:trHeight w:val="225"/>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10,873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10,402</w:t>
            </w: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45,311</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64,061</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1,029</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777</w:t>
            </w:r>
          </w:p>
        </w:tc>
      </w:tr>
      <w:tr>
        <w:trPr>
          <w:trHeight w:val="223"/>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100,258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120,622</w:t>
            </w:r>
          </w:p>
        </w:tc>
      </w:tr>
      <w:tr>
        <w:trPr>
          <w:trHeight w:val="27"/>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Company finances new and used vehicle inventory through a standardized floor plan facility (the “floor plan facility”) with Truist Bank. The vehicle floor plan facility bears interest at variable rates that are based on LIBOR plus 1.15% per annum. The weighted average interest rate for the floor plan facility was 0.9% and 1.2% for the three months ended September 30, 2021 and 2020, respectively. The weighted average interest rate for the floor plan facility was 1.1% and 1.9% for the nine months ended September 30, 2021 and 2020, respectively. As of September 30, 2021, the aggregate capacity under the floor plan facility was $50 million, of which $10.9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9"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September 30, 2021.</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 Operations when the associated inventory is sold. For the three months ended September 30, 2021 and 2020, the Company recognized a reduction in cost of goods sold of $0.7 million and $0.6 million, respectively, related to manufacturer floor plan assistance. For the nine months ended September 30, 2021 and 2020, the Company recognized a reduction in cost of goods sold of $2.1 million and $1.5 million, respectively, related to manufacturer floor plan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changed the presentation of its segments in the third quarter of 2021 into the following seven segments: Kaplan International, Higher Education, Supplemental Education, Television Broadcasting, Manufacturing, Healthcare and Automotive (see Note 16).</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the third quarter of 2021, as a result of the emergence of the COVID-19 Delta variant and continued weak product demand in the commercial office electrical products and hospitality sectors caused by the COVID-19 pandemic, the Company performed an interim review of the goodwill and indefinite-lived intangibles of the Dekko reporting unit. As a result of the impairment review, the Company recorded a $26.7 million goodwill impairment charge. The Company estimated the fair value of the reporting unit by utilizing a discounted cash flow model. The carrying value of the reporting unit exceeded the estimated fair value, resulting in a goodwill impairment charge for the amount by which the carrying value exceeded the estimated fair value after taking into account the effect of deferred income taxes. Dekko is included in manufacturing.</w:t>
      </w:r>
    </w:p>
    <w:p>
      <w:pPr>
        <w:spacing w:after="0" w:line="1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Clyde’s Restaurant Group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is included in other businesses and the automotive dealerships are included in automotive.</w:t>
      </w:r>
    </w:p>
    <w:p>
      <w:pPr>
        <w:spacing w:after="0" w:line="135"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ind w:right="40"/>
        <w:spacing w:after="0" w:line="225" w:lineRule="auto"/>
        <w:rPr>
          <w:sz w:val="20"/>
          <w:szCs w:val="20"/>
          <w:color w:val="auto"/>
        </w:rPr>
      </w:pPr>
      <w:r>
        <w:rPr>
          <w:rFonts w:ascii="Arial" w:cs="Arial" w:eastAsia="Arial" w:hAnsi="Arial"/>
          <w:sz w:val="18"/>
          <w:szCs w:val="18"/>
          <w:color w:val="auto"/>
        </w:rPr>
        <w:t>Amortization of intangible assets for the three months ended September 30, 2021 and 2020, was $16.0 million and $14.2 million, respectively. Amortization of intangible assets for the nine months ended September 30, 2021 and 2020, was $ 43.8 million and $ 42.6 million, respectively. Amortization of intangible assets is estimated to be approximately $16 million for the remainder of 2021, $60 million in 2022, $51 million in 2023, $40 million in 2024, $33 million in 2025 and $48 million thereafter. The changes in the carrying amount of goodwill, by segment,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2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4"/>
                <w:szCs w:val="14"/>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color w:val="auto"/>
              </w:rPr>
              <w:t>Balance as of December 31,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1,183,379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39,121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91,351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1,838,080</w:t>
            </w:r>
          </w:p>
        </w:tc>
        <w:tc>
          <w:tcPr>
            <w:tcW w:w="0" w:type="dxa"/>
            <w:vAlign w:val="bottom"/>
          </w:tcPr>
          <w:p>
            <w:pPr>
              <w:spacing w:after="0"/>
              <w:rPr>
                <w:sz w:val="1"/>
                <w:szCs w:val="1"/>
                <w:color w:val="auto"/>
              </w:rPr>
            </w:pPr>
          </w:p>
        </w:tc>
      </w:tr>
      <w:tr>
        <w:trPr>
          <w:trHeight w:val="21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(14,563)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(353,330)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852,228</w:t>
            </w: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227,377</w:t>
            </w:r>
          </w:p>
        </w:tc>
        <w:tc>
          <w:tcPr>
            <w:tcW w:w="20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39,121</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76,788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167,334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167,334</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(26,686)</w:t>
            </w: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(26,686)</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(13,055)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(13,055)</w:t>
            </w:r>
          </w:p>
        </w:tc>
        <w:tc>
          <w:tcPr>
            <w:tcW w:w="0" w:type="dxa"/>
            <w:vAlign w:val="bottom"/>
          </w:tcPr>
          <w:p>
            <w:pPr>
              <w:spacing w:after="0"/>
              <w:rPr>
                <w:sz w:val="1"/>
                <w:szCs w:val="1"/>
                <w:color w:val="auto"/>
              </w:rPr>
            </w:pPr>
          </w:p>
        </w:tc>
      </w:tr>
      <w:tr>
        <w:trPr>
          <w:trHeight w:val="157"/>
        </w:trPr>
        <w:tc>
          <w:tcPr>
            <w:tcW w:w="24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as of September 30,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1,170,324</w:t>
            </w:r>
          </w:p>
        </w:tc>
        <w:tc>
          <w:tcPr>
            <w:tcW w:w="2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39,121</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258,685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1,992,359</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(34,302)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(380,016)</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839,173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39,121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244,122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1,612,343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3"/>
                <w:szCs w:val="13"/>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3"/>
                <w:szCs w:val="13"/>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3"/>
                <w:szCs w:val="13"/>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634,749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374,066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1,183,379</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634,749</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154,239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852,228</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(13,065)</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(13,055)</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621,684</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374,076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1,170,324</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621,684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154,249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839,173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2021</w:t>
            </w: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16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323,569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201,297</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122,272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294,077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178,075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116,002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160,411</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65,551</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94,860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109,809</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54,766</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55,043</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8,193</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9,207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6,888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10,512</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36,550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24,709</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11,841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34,864</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19,924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990</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937</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29,800</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19,744</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10,056</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24,800</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16,714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8,086</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568,730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320,484</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248,246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277,304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204,646</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87,085</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87,429</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120,093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120,437</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w:t>
            </w:r>
          </w:p>
        </w:tc>
      </w:tr>
      <w:tr>
        <w:trPr>
          <w:trHeight w:val="189"/>
        </w:trPr>
        <w:tc>
          <w:tcPr>
            <w:tcW w:w="8340" w:type="dxa"/>
            <w:vAlign w:val="bottom"/>
          </w:tcPr>
          <w:p>
            <w:pPr>
              <w:spacing w:after="0"/>
              <w:rPr>
                <w:sz w:val="16"/>
                <w:szCs w:val="16"/>
                <w:color w:val="auto"/>
              </w:rPr>
            </w:pPr>
          </w:p>
        </w:tc>
        <w:tc>
          <w:tcPr>
            <w:tcW w:w="1200" w:type="dxa"/>
            <w:vAlign w:val="bottom"/>
          </w:tcPr>
          <w:p>
            <w:pPr>
              <w:jc w:val="center"/>
              <w:ind w:left="88"/>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190"/>
        </w:trPr>
        <w:tc>
          <w:tcPr>
            <w:tcW w:w="8340" w:type="dxa"/>
            <w:vAlign w:val="bottom"/>
          </w:tcPr>
          <w:p>
            <w:pPr>
              <w:spacing w:after="0"/>
              <w:rPr>
                <w:sz w:val="20"/>
                <w:szCs w:val="20"/>
                <w:color w:val="auto"/>
              </w:rPr>
            </w:pPr>
            <w:r>
              <w:rPr>
                <w:rFonts w:ascii="Arial" w:cs="Arial" w:eastAsia="Arial" w:hAnsi="Arial"/>
                <w:sz w:val="14"/>
                <w:szCs w:val="14"/>
                <w:color w:val="auto"/>
              </w:rPr>
              <w:t>(in thousands)</w:t>
            </w: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660" w:type="dxa"/>
            <w:vAlign w:val="bottom"/>
          </w:tcPr>
          <w:p>
            <w:pPr>
              <w:jc w:val="right"/>
              <w:ind w:right="46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Revolving credit facility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note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term loan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line of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indebtedness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Debt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portion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Long-Term Debt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396,649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396,112</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122,251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74,686</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23,000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25,250</w:t>
            </w:r>
          </w:p>
        </w:tc>
      </w:tr>
      <w:tr>
        <w:trPr>
          <w:trHeight w:val="229"/>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9,840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10,692</w:t>
            </w:r>
          </w:p>
        </w:tc>
      </w:tr>
      <w:tr>
        <w:trPr>
          <w:trHeight w:val="230"/>
        </w:trPr>
        <w:tc>
          <w:tcPr>
            <w:tcW w:w="4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2,295</w:t>
            </w: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4,149</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555,889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512,555</w:t>
            </w:r>
          </w:p>
        </w:tc>
      </w:tr>
      <w:tr>
        <w:trPr>
          <w:trHeight w:val="238"/>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(44,254)</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511,635</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506,103</w:t>
            </w:r>
          </w:p>
        </w:tc>
      </w:tr>
      <w:tr>
        <w:trPr>
          <w:trHeight w:val="27"/>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p>
      <w:pPr>
        <w:sectPr>
          <w:pgSz w:w="11900" w:h="16838" w:orient="portrait"/>
          <w:cols w:equalWidth="0" w:num="2">
            <w:col w:w="7640" w:space="720"/>
            <w:col w:w="2860"/>
          </w:cols>
          <w:pgMar w:left="320" w:top="1035" w:right="359" w:bottom="1440" w:gutter="0" w:footer="0" w:header="0"/>
          <w:type w:val="continuous"/>
        </w:sect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$3.4 million and $3.9 million of unamortized debt issuance costs as of September 30, 2021 and December 31, 2020, respectively.</w:t>
      </w:r>
    </w:p>
    <w:p>
      <w:pPr>
        <w:spacing w:after="0" w:line="144"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outstanding balance on the Company’s revolving credit facility was $ 122.3 million as of September 30, 2021. Borrowings under the Company’s revolving credit facility consisted of borrowings of $40 million and £61 million under its U.S. dollar and multicurrency tranches, respectively, with interest payable at 1 month USD and 3 month GBP LIBOR, respectively, plus 1.50%. The Company’s other indebtedness at September 30, 2021 and December 31, 2020 is at interest rates of 0% to 16% and matures between 2023 and 2030.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financial covenants as of September 30, 2021.</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the three months ended September 30, 2021 and 2020, the Company had average borrowings outstanding of approximately $545.9 million and $515.1 million, respectively, at average annual interest rates of approximately 4.8% and 5.0%, respectively. During the three months ended September 30, 2021 and 2020, the Company incurred net interest expense of $9.4 million and $6.4 million, respectively.</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During the nine months ended September 30, 2021 and 2020, the Company had average borrowings outstanding of approximately $531.3 million and $512.8 million, respectively, at average annual interest rates of approximately 4.9% and 5.1%, respectively. During the nine months ended September 30, 2021 and 2020, the Company incurred net interest expense of $22.5 million and $19.3 million, respectively.</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During the three and nine months ended September 30, 2021, the Company recorded net interest expense of $2.6 million and $ 2.7 million, respectively, to adjust the fair value of the mandatorily redeemable noncontrolling interest. Fair value adjustments are presented within interest expense and interest income in the Company’s Condensed Consolidated Statements of Operations and are reclassified to present the net change in fair value for each reporting period. The fair value of the mandatorily redeemable noncontrolling interest was based on the fair value of the underlying subsidiaries owned by GHC One,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13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At September 30, 2021 and December 31, 2020, the fair value of the Company’s 5.75% unsecured notes, based on quoted market prices (Level 2 fair value assessment), totaled $417.7 million and $421.7 million, respectively, compared with the carrying amount of $396.6 million and $396.1 million, respectively. The carrying value of the Company’s other unsecured debt at September 30, 2021 and December 31, 2020 approximates fair value.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80" w:type="dxa"/>
            <w:vAlign w:val="bottom"/>
          </w:tcPr>
          <w:p>
            <w:pPr>
              <w:spacing w:after="0" w:line="24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764,831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764,831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(2)</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7,184</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7,058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772,015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7,058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779,073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29,950</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29,950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(3)</w:t>
            </w:r>
          </w:p>
        </w:tc>
        <w:tc>
          <w:tcPr>
            <w:tcW w:w="2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12,895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1,534</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11,921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31,484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24,816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(7)</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268,841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268,841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573,102</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(2)</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10,397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583,499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272,924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856,423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(3)</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31,178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31,178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37,174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2,342</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9,240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33,779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46,414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80" w:right="64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spacing w:after="0" w:line="30" w:lineRule="exact"/>
        <w:rPr>
          <w:rFonts w:ascii="Arial" w:cs="Arial" w:eastAsia="Arial" w:hAnsi="Arial"/>
          <w:sz w:val="14"/>
          <w:szCs w:val="14"/>
          <w:color w:val="auto"/>
        </w:rPr>
      </w:pPr>
    </w:p>
    <w:p>
      <w:pPr>
        <w:ind w:left="480" w:right="14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80" w:right="360" w:hanging="454"/>
        <w:spacing w:after="0" w:line="228"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1" w:lineRule="exact"/>
        <w:rPr>
          <w:rFonts w:ascii="Arial" w:cs="Arial" w:eastAsia="Arial" w:hAnsi="Arial"/>
          <w:sz w:val="14"/>
          <w:szCs w:val="14"/>
          <w:color w:val="auto"/>
        </w:rPr>
      </w:pPr>
    </w:p>
    <w:p>
      <w:pPr>
        <w:ind w:left="480" w:right="60" w:hanging="454"/>
        <w:spacing w:after="0" w:line="23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30" w:lineRule="exact"/>
        <w:rPr>
          <w:rFonts w:ascii="Arial" w:cs="Arial" w:eastAsia="Arial" w:hAnsi="Arial"/>
          <w:sz w:val="14"/>
          <w:szCs w:val="14"/>
          <w:color w:val="auto"/>
        </w:rPr>
      </w:pPr>
    </w:p>
    <w:p>
      <w:pPr>
        <w:ind w:left="480" w:right="20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80" w:right="80" w:hanging="454"/>
        <w:spacing w:after="0" w:line="23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30" w:lineRule="exact"/>
        <w:rPr>
          <w:rFonts w:ascii="Arial" w:cs="Arial" w:eastAsia="Arial" w:hAnsi="Arial"/>
          <w:sz w:val="14"/>
          <w:szCs w:val="14"/>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200" w:hanging="454"/>
        <w:spacing w:after="0" w:line="23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6" w:name="page17"/>
    <w:bookmarkEnd w:id="16"/>
    <w:p>
      <w:pPr>
        <w:ind w:right="440"/>
        <w:spacing w:after="0" w:line="235"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r>
      <w:tr>
        <w:trPr>
          <w:trHeight w:val="19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r>
      <w:tr>
        <w:trPr>
          <w:trHeight w:val="210"/>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37,174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9,240</w:t>
            </w: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(5,482)</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2,703</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8"/>
                <w:szCs w:val="18"/>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50</w:t>
            </w: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1,157</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(19,942)</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(72)</w:t>
            </w:r>
          </w:p>
        </w:tc>
      </w:tr>
      <w:tr>
        <w:trPr>
          <w:trHeight w:val="24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12,895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11,921</w:t>
            </w: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39"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79"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During the three and nine months ended September 30, 2021, the Company recorded goodwill and other long-lived asset impairment charges of $26.8 million and $31.6 million, respectively. During the three and nine months ended September 30, 2020, the Company recorded goodwill and other long-lived asset impairment charges of $1.9 million and $29.8 million, respectively (see Note 16). The remeasurement of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indefinite-lived intangible assets, and other long-lived assets. A market value approach was also utilized to supplement the discounted cash flow model. The Company made estimates and assumptions regarding future cash flows, royalty rates, discount rates, market values, and long-term growth rates.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During the nine months ended September 30, 2021, the Company recorded gains of $10.5 million to equity securities that are accounted for as cost method investments based on observable transactions for identical or similar investments of the same issuer. During the three and nine months ended September 30, 2020, the Company recorded gains of $1.6 million and $4.2 million, respectively, to an equity security that is accounted for as a cost method investment based on observable transactions for identical or similar investments of the same issuer. During the nine months ended September 30, 2020, the Company recorded impairment losses of $2.6 million to equity securities that are accounted for as cost method investments.</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During the third quarter of 2021, the Company recorded an impairment charge of $6.6 million on one of its investments in affiliates. During the first quarter of 2020, the Company recorded impairment charges of $3.6 million on two of its investments in affiliates (see Note 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Coronavirus Aid, Relief and Economic Security (CARES) Act, Cable One has the ability to carryback its 2019 taxable losses to the tax period from January 1, 2015 to June 30, 2015, the period in which Cable One was included in the Company’s 2015 tax return. As a result, the Company amended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an estimated $15.9 million current income tax receivable and a corresponding current liability to Cable One on its balance sheet as of September 30, 2021.</w:t>
      </w:r>
    </w:p>
    <w:p>
      <w:pPr>
        <w:spacing w:after="0" w:line="140"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The Company's effective tax rate for the first nine months of 2021 and 2020 was 22.6% and 29.6%, respectively. The Company’s effective tax rate for 2021 was favorably impacted by a $15.7 million deferred tax adjustment arising from a change in the estimated deferred state income tax rate attributable to the apportionment formula used in the calculation of deferred taxes related to the Company’s pension and other postretirement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Company generated 82% and 79% of its revenue from U.S. domestic sales for the three and nine months ended September 30, 2021. The remaining 18% and 21% of revenue was generated from non-U.S. sales for the three and nine months ended September 30, 2021, respectively. For the three and nine months ended September 30, 2020, 83% and 78% of revenue was from U.S. domestic sales and the remaining 17% and 22% of revenue was generated from non-U.S. sales.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7" w:name="page18"/>
    <w:bookmarkEnd w:id="17"/>
    <w:p>
      <w:pPr>
        <w:ind w:right="40"/>
        <w:spacing w:after="0" w:line="227" w:lineRule="auto"/>
        <w:rPr>
          <w:sz w:val="20"/>
          <w:szCs w:val="20"/>
          <w:color w:val="auto"/>
        </w:rPr>
      </w:pPr>
      <w:r>
        <w:rPr>
          <w:rFonts w:ascii="Arial" w:cs="Arial" w:eastAsia="Arial" w:hAnsi="Arial"/>
          <w:sz w:val="18"/>
          <w:szCs w:val="18"/>
          <w:color w:val="auto"/>
        </w:rPr>
        <w:t>For the three and nine months ended September 30, 2021, the Company recognized 66% and 67% of its revenue over time as control of the services and goods transferred to the customer, and the remaining 34% and 33% at a point in time, when the customer obtained control of the promised goods. For the three and nine months ended September 30, 2020, the Company recognized 71% and 73% of its revenue over time, and the remaining 29% and 27% at a point in time.</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 provide relief for lost revenues and expenses incurred in connection with COVID-19. The healthcare revenue for the three and nine months ended September 30, 2020 includes $0.2 million and $5.7 million, respectively, for lost revenues related to COVID-19.</w:t>
      </w:r>
    </w:p>
    <w:p>
      <w:pPr>
        <w:spacing w:after="0" w:line="11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2021, the Company recognized a contract asset of $13.4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$4.0 million related to this performance obligation within the next year. As of December 31, 2020, the contract asset was $8.7 million.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80" w:type="dxa"/>
            <w:vAlign w:val="bottom"/>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r>
      <w:tr>
        <w:trPr>
          <w:trHeight w:val="19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r>
      <w:tr>
        <w:trPr>
          <w:trHeight w:val="214"/>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376,803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343,322</w:t>
            </w:r>
          </w:p>
        </w:tc>
        <w:tc>
          <w:tcPr>
            <w:tcW w:w="1320" w:type="dxa"/>
            <w:vAlign w:val="bottom"/>
          </w:tcPr>
          <w:p>
            <w:pPr>
              <w:jc w:val="right"/>
              <w:ind w:right="505"/>
              <w:spacing w:after="0"/>
              <w:rPr>
                <w:sz w:val="20"/>
                <w:szCs w:val="20"/>
                <w:color w:val="auto"/>
              </w:rPr>
            </w:pPr>
            <w:r>
              <w:rPr>
                <w:rFonts w:ascii="Arial" w:cs="Arial" w:eastAsia="Arial" w:hAnsi="Arial"/>
                <w:sz w:val="16"/>
                <w:szCs w:val="16"/>
                <w:color w:val="auto"/>
              </w:rPr>
              <w:t>10</w:t>
            </w:r>
          </w:p>
        </w:tc>
      </w:tr>
    </w:tbl>
    <w:p>
      <w:pPr>
        <w:spacing w:after="0" w:line="257"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Department of Health and Human Services started to recoup this advance 365 days after the payment was issued and for the three and nine months ended September 30, 2021, $6.6 million and $11.6 million of the balance was recognized in revenue for claims submitted for eligible services. The remaining amount is included in the current deferred revenue balance on the Condensed Consolidated Balance Sheet as of September 30, 2021. As of December 31, 2020, the $ 31.5 million balance was included in the current and noncurrent deferred revenue balances on the Condensed Consolidated Balance Sheet.</w:t>
      </w:r>
    </w:p>
    <w:p>
      <w:pPr>
        <w:spacing w:after="0" w:line="13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majority of the change in deferred revenue balance is related to the cyclical nature of services in the Kaplan international division. During the nine months ended September 30, 2021, the Company recognized $257.4 million related to the Company’s deferred revenue balance as of December 31, 2020.</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2021, the deferred revenue balance related to certain medical and nursing qualifications with an original contract length greater than twelve months at Kaplan Supplemental Education was $9.4 million. Kaplan Supplemental Education expects to recognize 68%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vMerge w:val="restart"/>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vMerge w:val="restart"/>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4"/>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24,363</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23,907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(33,903)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978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15,345</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Other activity includes currency translation adjustments for the nine months ended September 30, 2021.</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18" w:name="page19"/>
    <w:bookmarkEnd w:id="18"/>
    <w:p>
      <w:pPr>
        <w:ind w:right="34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39,586</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267,394</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6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2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77,615</w:t>
            </w:r>
          </w:p>
        </w:tc>
        <w:tc>
          <w:tcPr>
            <w:tcW w:w="3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63,224</w:t>
            </w: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w:t>
            </w:r>
          </w:p>
        </w:tc>
        <w:tc>
          <w:tcPr>
            <w:tcW w:w="280" w:type="dxa"/>
            <w:vAlign w:val="bottom"/>
          </w:tcPr>
          <w:p>
            <w:pPr>
              <w:spacing w:after="0"/>
              <w:rPr>
                <w:sz w:val="18"/>
                <w:szCs w:val="18"/>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(7,496)</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(30,155)</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400"/>
              <w:spacing w:after="0"/>
              <w:rPr>
                <w:sz w:val="20"/>
                <w:szCs w:val="20"/>
                <w:color w:val="auto"/>
              </w:rPr>
            </w:pPr>
            <w:r>
              <w:rPr>
                <w:rFonts w:ascii="Arial" w:cs="Arial" w:eastAsia="Arial" w:hAnsi="Arial"/>
                <w:sz w:val="16"/>
                <w:szCs w:val="16"/>
                <w:color w:val="auto"/>
              </w:rPr>
              <w:t>shares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(7,100)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(29,970)</w:t>
            </w:r>
          </w:p>
        </w:tc>
        <w:tc>
          <w:tcPr>
            <w:tcW w:w="0" w:type="dxa"/>
            <w:vAlign w:val="bottom"/>
          </w:tcPr>
          <w:p>
            <w:pPr>
              <w:spacing w:after="0"/>
              <w:rPr>
                <w:sz w:val="1"/>
                <w:szCs w:val="1"/>
                <w:color w:val="auto"/>
              </w:rPr>
            </w:pPr>
          </w:p>
        </w:tc>
      </w:tr>
      <w:tr>
        <w:trPr>
          <w:trHeight w:val="215"/>
        </w:trPr>
        <w:tc>
          <w:tcPr>
            <w:tcW w:w="56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32,090</w:t>
            </w:r>
          </w:p>
        </w:tc>
        <w:tc>
          <w:tcPr>
            <w:tcW w:w="50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70,515</w:t>
            </w:r>
          </w:p>
        </w:tc>
        <w:tc>
          <w:tcPr>
            <w:tcW w:w="360" w:type="dxa"/>
            <w:vAlign w:val="bottom"/>
          </w:tcPr>
          <w:p>
            <w:pPr>
              <w:spacing w:after="0"/>
              <w:rPr>
                <w:sz w:val="18"/>
                <w:szCs w:val="18"/>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237,239</w:t>
            </w:r>
          </w:p>
        </w:tc>
        <w:tc>
          <w:tcPr>
            <w:tcW w:w="54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33,254</w:t>
            </w:r>
          </w:p>
        </w:tc>
        <w:tc>
          <w:tcPr>
            <w:tcW w:w="0" w:type="dxa"/>
            <w:vAlign w:val="bottom"/>
          </w:tcPr>
          <w:p>
            <w:pPr>
              <w:spacing w:after="0"/>
              <w:rPr>
                <w:sz w:val="1"/>
                <w:szCs w:val="1"/>
                <w:color w:val="auto"/>
              </w:rPr>
            </w:pPr>
          </w:p>
        </w:tc>
      </w:tr>
      <w:tr>
        <w:trPr>
          <w:trHeight w:val="241"/>
        </w:trPr>
        <w:tc>
          <w:tcPr>
            <w:tcW w:w="56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99.32 %</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99.43 %</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99.32 %</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99.43 %</w:t>
            </w:r>
          </w:p>
        </w:tc>
        <w:tc>
          <w:tcPr>
            <w:tcW w:w="0" w:type="dxa"/>
            <w:vAlign w:val="bottom"/>
          </w:tcPr>
          <w:p>
            <w:pPr>
              <w:spacing w:after="0"/>
              <w:rPr>
                <w:sz w:val="1"/>
                <w:szCs w:val="1"/>
                <w:color w:val="auto"/>
              </w:rPr>
            </w:pPr>
          </w:p>
        </w:tc>
      </w:tr>
      <w:tr>
        <w:trPr>
          <w:trHeight w:val="211"/>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31,872</w:t>
            </w:r>
          </w:p>
        </w:tc>
        <w:tc>
          <w:tcPr>
            <w:tcW w:w="50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70,116</w:t>
            </w:r>
          </w:p>
        </w:tc>
        <w:tc>
          <w:tcPr>
            <w:tcW w:w="360" w:type="dxa"/>
            <w:vAlign w:val="bottom"/>
          </w:tcPr>
          <w:p>
            <w:pPr>
              <w:spacing w:after="0"/>
              <w:rPr>
                <w:sz w:val="18"/>
                <w:szCs w:val="18"/>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235,633</w:t>
            </w:r>
          </w:p>
        </w:tc>
        <w:tc>
          <w:tcPr>
            <w:tcW w:w="54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33,066</w:t>
            </w:r>
          </w:p>
        </w:tc>
        <w:tc>
          <w:tcPr>
            <w:tcW w:w="0" w:type="dxa"/>
            <w:vAlign w:val="bottom"/>
          </w:tcPr>
          <w:p>
            <w:pPr>
              <w:spacing w:after="0"/>
              <w:rPr>
                <w:sz w:val="1"/>
                <w:szCs w:val="1"/>
                <w:color w:val="auto"/>
              </w:rPr>
            </w:pPr>
          </w:p>
        </w:tc>
      </w:tr>
      <w:tr>
        <w:trPr>
          <w:trHeight w:val="238"/>
        </w:trPr>
        <w:tc>
          <w:tcPr>
            <w:tcW w:w="56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7,447</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7,059</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29,953</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29,806</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39,319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77,175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265,586</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62,872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660" w:type="dxa"/>
            <w:vAlign w:val="bottom"/>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39,320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77,176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265,591</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62,873</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9"/>
                <w:szCs w:val="19"/>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4,961</w:t>
            </w:r>
          </w:p>
        </w:tc>
        <w:tc>
          <w:tcPr>
            <w:tcW w:w="500" w:type="dxa"/>
            <w:vAlign w:val="bottom"/>
          </w:tcPr>
          <w:p>
            <w:pPr>
              <w:spacing w:after="0"/>
              <w:rPr>
                <w:sz w:val="19"/>
                <w:szCs w:val="19"/>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5,060</w:t>
            </w:r>
          </w:p>
        </w:tc>
        <w:tc>
          <w:tcPr>
            <w:tcW w:w="360" w:type="dxa"/>
            <w:vAlign w:val="bottom"/>
          </w:tcPr>
          <w:p>
            <w:pPr>
              <w:spacing w:after="0"/>
              <w:rPr>
                <w:sz w:val="19"/>
                <w:szCs w:val="19"/>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4,966</w:t>
            </w:r>
          </w:p>
        </w:tc>
        <w:tc>
          <w:tcPr>
            <w:tcW w:w="540" w:type="dxa"/>
            <w:vAlign w:val="bottom"/>
          </w:tcPr>
          <w:p>
            <w:pPr>
              <w:spacing w:after="0"/>
              <w:rPr>
                <w:sz w:val="19"/>
                <w:szCs w:val="19"/>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16</w:t>
            </w: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14</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4,977</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5,072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4,980</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5,192</w:t>
            </w:r>
          </w:p>
        </w:tc>
        <w:tc>
          <w:tcPr>
            <w:tcW w:w="0" w:type="dxa"/>
            <w:vAlign w:val="bottom"/>
          </w:tcPr>
          <w:p>
            <w:pPr>
              <w:spacing w:after="0"/>
              <w:rPr>
                <w:sz w:val="1"/>
                <w:szCs w:val="1"/>
                <w:color w:val="auto"/>
              </w:rPr>
            </w:pPr>
          </w:p>
        </w:tc>
      </w:tr>
      <w:tr>
        <w:trPr>
          <w:trHeight w:val="21"/>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7.93</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80"/>
              <w:spacing w:after="0"/>
              <w:rPr>
                <w:sz w:val="20"/>
                <w:szCs w:val="20"/>
                <w:color w:val="auto"/>
              </w:rPr>
            </w:pPr>
            <w:r>
              <w:rPr>
                <w:rFonts w:ascii="Arial" w:cs="Arial" w:eastAsia="Arial" w:hAnsi="Arial"/>
                <w:sz w:val="16"/>
                <w:szCs w:val="16"/>
                <w:color w:val="auto"/>
              </w:rPr>
              <w:t>15.25</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53.49</w:t>
            </w:r>
          </w:p>
        </w:tc>
        <w:tc>
          <w:tcPr>
            <w:tcW w:w="54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20"/>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54"/>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7.90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15.22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53.33</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80" w:type="dxa"/>
            <w:vAlign w:val="bottom"/>
            <w:gridSpan w:val="2"/>
          </w:tcPr>
          <w:p>
            <w:pPr>
              <w:jc w:val="right"/>
              <w:ind w:right="704"/>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0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904"/>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2020</w:t>
            </w:r>
          </w:p>
        </w:tc>
        <w:tc>
          <w:tcPr>
            <w:tcW w:w="1680" w:type="dxa"/>
            <w:vAlign w:val="bottom"/>
            <w:tcBorders>
              <w:bottom w:val="single" w:sz="8" w:color="auto"/>
            </w:tcBorders>
          </w:tcPr>
          <w:p>
            <w:pPr>
              <w:jc w:val="right"/>
              <w:ind w:right="966"/>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color w:val="auto"/>
              </w:rPr>
              <w:t>2020</w:t>
            </w:r>
          </w:p>
        </w:tc>
      </w:tr>
      <w:tr>
        <w:trPr>
          <w:trHeight w:val="214"/>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400" w:type="dxa"/>
            <w:vAlign w:val="bottom"/>
          </w:tcPr>
          <w:p>
            <w:pPr>
              <w:jc w:val="right"/>
              <w:ind w:right="206"/>
              <w:spacing w:after="0"/>
              <w:rPr>
                <w:sz w:val="20"/>
                <w:szCs w:val="20"/>
                <w:color w:val="auto"/>
              </w:rPr>
            </w:pPr>
            <w:r>
              <w:rPr>
                <w:rFonts w:ascii="Arial" w:cs="Arial" w:eastAsia="Arial" w:hAnsi="Arial"/>
                <w:sz w:val="16"/>
                <w:szCs w:val="16"/>
                <w:b w:val="1"/>
                <w:bCs w:val="1"/>
                <w:color w:val="auto"/>
              </w:rPr>
              <w:t>14</w:t>
            </w:r>
          </w:p>
        </w:tc>
        <w:tc>
          <w:tcPr>
            <w:tcW w:w="1280" w:type="dxa"/>
            <w:vAlign w:val="bottom"/>
          </w:tcPr>
          <w:p>
            <w:pPr>
              <w:jc w:val="right"/>
              <w:ind w:right="244"/>
              <w:spacing w:after="0"/>
              <w:rPr>
                <w:sz w:val="20"/>
                <w:szCs w:val="20"/>
                <w:color w:val="auto"/>
              </w:rPr>
            </w:pPr>
            <w:r>
              <w:rPr>
                <w:rFonts w:ascii="Arial" w:cs="Arial" w:eastAsia="Arial" w:hAnsi="Arial"/>
                <w:sz w:val="16"/>
                <w:szCs w:val="16"/>
                <w:color w:val="auto"/>
              </w:rPr>
              <w:t>12</w:t>
            </w:r>
          </w:p>
        </w:tc>
        <w:tc>
          <w:tcPr>
            <w:tcW w:w="1680" w:type="dxa"/>
            <w:vAlign w:val="bottom"/>
          </w:tcPr>
          <w:p>
            <w:pPr>
              <w:jc w:val="right"/>
              <w:ind w:right="546"/>
              <w:spacing w:after="0"/>
              <w:rPr>
                <w:sz w:val="20"/>
                <w:szCs w:val="20"/>
                <w:color w:val="auto"/>
              </w:rPr>
            </w:pPr>
            <w:r>
              <w:rPr>
                <w:rFonts w:ascii="Arial" w:cs="Arial" w:eastAsia="Arial" w:hAnsi="Arial"/>
                <w:sz w:val="16"/>
                <w:szCs w:val="16"/>
                <w:b w:val="1"/>
                <w:bCs w:val="1"/>
                <w:color w:val="auto"/>
              </w:rPr>
              <w:t>11</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11</w:t>
            </w:r>
          </w:p>
        </w:tc>
      </w:tr>
    </w:tbl>
    <w:p>
      <w:pPr>
        <w:spacing w:after="0" w:line="2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diluted earnings per share amounts for the three and nine months ended September 30, 2021 exclude the effects of 104,000 stock options outstanding, as their inclusion would have been antidilutive due to a market condition. The diluted earnings per share amounts for the three and nine months ended September 30, 2020 exclude the effects of 181,258 and 104,000 stock options outstanding, respectively, as their inclusion would have been antidilutive due to a market condition.</w:t>
      </w:r>
    </w:p>
    <w:p>
      <w:pPr>
        <w:spacing w:after="0" w:line="135"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In the three and nine months ended September 30, 2021, the Company declared regular dividends totaling $ 1.51 and $ 6.04 per common share, respectively. In the three and nine months ended September 30, 2020, the Company declared regular dividends totaling $1.45 and $5.80 per common share,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5,775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5,457</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17,254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17,044</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6,754</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8,139</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20,162</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24,448</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(34,800)</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(28,347)</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(103,078)</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(85,081)</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711</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708</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2,134</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2,123</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(1,671)</w:t>
            </w: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(6,234)</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(23,231)</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(14,043)</w:t>
            </w:r>
          </w:p>
        </w:tc>
        <w:tc>
          <w:tcPr>
            <w:tcW w:w="3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(69,762)</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(41,466)</w:t>
            </w:r>
          </w:p>
        </w:tc>
      </w:tr>
      <w:tr>
        <w:trPr>
          <w:trHeight w:val="238"/>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7,783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1,118</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13,797</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(23,231)</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(68,644)</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(27,669)</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second quarter of 2021, the Company recorded $ 1.1 million in expenses related to a Separation Incentive Program (SIP) for certain Dekko employees, which will be funded from the assets of the Company’s pension plan. In the third quarter of 2020, the Company recorded $7.8 million in expenses related to a SIP for certain Kaplan employees, which was funded from the assets of the Company’s pension plan. In the second quarter of 2020, the Company recorded $6.0 million in expenses related to a SIP for certain Kaplan, Code3 and Decile employees, which was funded from the assets of the Company’s pension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256</w:t>
            </w:r>
          </w:p>
        </w:tc>
        <w:tc>
          <w:tcPr>
            <w:tcW w:w="90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767</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715</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736</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2,207</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2,759</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83</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248</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248</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1,482</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1,316</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4,447</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3,950</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84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2,557</w:t>
            </w:r>
          </w:p>
        </w:tc>
        <w:tc>
          <w:tcPr>
            <w:tcW w:w="9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2,557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7,669</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7,672</w:t>
            </w:r>
          </w:p>
        </w:tc>
      </w:tr>
      <w:tr>
        <w:trPr>
          <w:trHeight w:val="21"/>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plans were allocated as follows:</w:t>
      </w:r>
    </w:p>
    <w:p>
      <w:pPr>
        <w:spacing w:after="0" w:line="177" w:lineRule="exact"/>
        <w:rPr>
          <w:sz w:val="20"/>
          <w:szCs w:val="20"/>
          <w:color w:val="auto"/>
        </w:rPr>
      </w:pPr>
    </w:p>
    <w:tbl>
      <w:tblPr>
        <w:tblLayout w:type="fixed"/>
        <w:tblInd w:w="8240" w:type="dxa"/>
        <w:tblCellMar>
          <w:top w:w="0" w:type="dxa"/>
          <w:left w:w="0" w:type="dxa"/>
          <w:bottom w:w="0" w:type="dxa"/>
          <w:right w:w="0" w:type="dxa"/>
        </w:tblCellMar>
      </w:tblPr>
      <w:tr>
        <w:trPr>
          <w:trHeight w:val="196"/>
        </w:trPr>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189"/>
        </w:trPr>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190"/>
        </w:trPr>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60 %</w:t>
      </w:r>
      <w:r>
        <w:rPr>
          <w:sz w:val="20"/>
          <w:szCs w:val="20"/>
          <w:color w:val="auto"/>
        </w:rPr>
        <w:tab/>
      </w:r>
      <w:r>
        <w:rPr>
          <w:rFonts w:ascii="Arial" w:cs="Arial" w:eastAsia="Arial" w:hAnsi="Arial"/>
          <w:sz w:val="15"/>
          <w:szCs w:val="15"/>
          <w:color w:val="auto"/>
        </w:rPr>
        <w:t>58 %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5"/>
          <w:szCs w:val="15"/>
          <w:color w:val="auto"/>
        </w:rPr>
        <w:t>18 %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6"/>
          <w:szCs w:val="16"/>
          <w:color w:val="auto"/>
        </w:rPr>
        <w:t>8 %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4 %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31750</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31750</wp:posOffset>
            </wp:positionV>
            <wp:extent cx="1903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57785</wp:posOffset>
            </wp:positionV>
            <wp:extent cx="1903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5" w:right="339" w:bottom="1440" w:gutter="0" w:footer="0" w:header="0"/>
          <w:type w:val="continuous"/>
        </w:sectPr>
      </w:pPr>
    </w:p>
    <w:p>
      <w:pPr>
        <w:spacing w:after="0" w:line="14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Company manages approximately 40% of the pension assets internally, of which the majority is invested in a private investment fund with the remaining investments in Berkshire Hathaway stock, a U.S. stock index fund and 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0" w:name="page21"/>
    <w:bookmarkEnd w:id="20"/>
    <w:p>
      <w:pPr>
        <w:ind w:right="420"/>
        <w:spacing w:after="0" w:line="235" w:lineRule="auto"/>
        <w:rPr>
          <w:sz w:val="20"/>
          <w:szCs w:val="20"/>
          <w:color w:val="auto"/>
        </w:rPr>
      </w:pPr>
      <w:r>
        <w:rPr>
          <w:rFonts w:ascii="Arial" w:cs="Arial" w:eastAsia="Arial" w:hAnsi="Arial"/>
          <w:sz w:val="18"/>
          <w:szCs w:val="18"/>
          <w:color w:val="auto"/>
        </w:rPr>
        <w:t>investment managers cannot invest more than 10% of the assets in the securities of any other single issuer, except for obligations of the U.S. Government, without receiving prior approval from the Plan administrator.</w:t>
      </w:r>
    </w:p>
    <w:p>
      <w:pPr>
        <w:spacing w:after="0" w:line="135"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2021. Types of concentrations that were evaluated include, but are not limited to, investment concentrations in a single entity, type of industry, foreign country and individual fund. At September 30, 2021, the pension plan held investments in one common stock and one private investment fund that exceeded 10% of total plan assets, valued at $967.0 million, or approximately 30% of total plan assets. At December 31, 2020, the pension plan held investments in one common stock and one private investment fund that exceeded 10% of total plan assets, valued at $850.6 million, or approximately 30%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b w:val="1"/>
                <w:bCs w:val="1"/>
                <w:color w:val="auto"/>
              </w:rPr>
              <w:t>23</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69</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125</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(1)</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(5)</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(877)</w:t>
            </w: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(2,632)</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(855)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(2,568)</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5620" w:type="dxa"/>
            <w:vAlign w:val="bottom"/>
          </w:tcPr>
          <w:p>
            <w:pPr>
              <w:ind w:left="20"/>
              <w:spacing w:after="0"/>
              <w:rPr>
                <w:sz w:val="20"/>
                <w:szCs w:val="20"/>
                <w:color w:val="auto"/>
              </w:rPr>
            </w:pPr>
            <w:r>
              <w:rPr>
                <w:rFonts w:ascii="Arial" w:cs="Arial" w:eastAsia="Arial" w:hAnsi="Arial"/>
                <w:sz w:val="16"/>
                <w:szCs w:val="16"/>
                <w:color w:val="auto"/>
              </w:rPr>
              <w:t>Gain on cost method investments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1,638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10,506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4,209</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521</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6,793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1,039</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1,303</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755</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2,749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2,515</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Foreign currency (loss) gain, net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(2,343)</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674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877</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3,708</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(2,577)</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equity affiliates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1,370</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Other gain (loss), net</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3,921</w:t>
            </w: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6,938</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5,218</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27,660</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gains on cost method investments result from observable price changes in the fair value of the underlying equity securities accounted for under the cost method (see Notes 3 and 8).</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the three and nine months ended September 30, 2021, the Company recorded contingent consideration gains of $ 1.3 million and $2.8 million, respectively, related to the disposition of Kaplan University (KU) in 2018. During the three and nine months ended September 30, 2020, the Company recorded contingent consideration gains of $0.8 million and $2.5 million, respectively.</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the second quarter of 2020, the Company made an additional investment in Framebridge (see Notes 2 and 3)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0"/>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6"/>
                <w:szCs w:val="16"/>
                <w:color w:val="auto"/>
              </w:rPr>
            </w:pPr>
          </w:p>
        </w:tc>
        <w:tc>
          <w:tcPr>
            <w:tcW w:w="820" w:type="dxa"/>
            <w:vAlign w:val="bottom"/>
          </w:tcPr>
          <w:p>
            <w:pPr>
              <w:jc w:val="center"/>
              <w:ind w:right="203"/>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6"/>
                <w:szCs w:val="16"/>
                <w:color w:val="auto"/>
              </w:rPr>
            </w:pPr>
          </w:p>
        </w:tc>
        <w:tc>
          <w:tcPr>
            <w:tcW w:w="900" w:type="dxa"/>
            <w:vAlign w:val="bottom"/>
          </w:tcPr>
          <w:p>
            <w:pPr>
              <w:jc w:val="right"/>
              <w:ind w:right="161"/>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6"/>
                <w:szCs w:val="16"/>
                <w:color w:val="auto"/>
              </w:rPr>
            </w:pPr>
          </w:p>
        </w:tc>
        <w:tc>
          <w:tcPr>
            <w:tcW w:w="900" w:type="dxa"/>
            <w:vAlign w:val="bottom"/>
          </w:tcPr>
          <w:p>
            <w:pPr>
              <w:jc w:val="right"/>
              <w:ind w:right="121"/>
              <w:spacing w:after="0"/>
              <w:rPr>
                <w:sz w:val="20"/>
                <w:szCs w:val="20"/>
                <w:color w:val="auto"/>
              </w:rPr>
            </w:pPr>
            <w:r>
              <w:rPr>
                <w:rFonts w:ascii="Arial" w:cs="Arial" w:eastAsia="Arial" w:hAnsi="Arial"/>
                <w:sz w:val="14"/>
                <w:szCs w:val="14"/>
                <w:color w:val="auto"/>
                <w:w w:val="98"/>
              </w:rPr>
              <w:t>Before-Tax</w:t>
            </w:r>
          </w:p>
        </w:tc>
        <w:tc>
          <w:tcPr>
            <w:tcW w:w="240" w:type="dxa"/>
            <w:vAlign w:val="bottom"/>
          </w:tcPr>
          <w:p>
            <w:pPr>
              <w:spacing w:after="0"/>
              <w:rPr>
                <w:sz w:val="16"/>
                <w:szCs w:val="16"/>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6"/>
                <w:szCs w:val="16"/>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color w:val="auto"/>
              </w:rPr>
              <w:t>After-Tax</w:t>
            </w:r>
          </w:p>
        </w:tc>
      </w:tr>
      <w:tr>
        <w:trPr>
          <w:trHeight w:val="20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Tax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Tax</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Amount</w:t>
            </w: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2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(16,033)</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(16,033)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20,430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20,430</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793</w:t>
            </w:r>
          </w:p>
        </w:tc>
        <w:tc>
          <w:tcPr>
            <w:tcW w:w="240" w:type="dxa"/>
            <w:vAlign w:val="bottom"/>
          </w:tcPr>
          <w:p>
            <w:pPr>
              <w:spacing w:after="0"/>
              <w:rPr>
                <w:sz w:val="19"/>
                <w:szCs w:val="19"/>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b w:val="1"/>
                <w:bCs w:val="1"/>
                <w:color w:val="auto"/>
              </w:rPr>
              <w:t>(188)</w:t>
            </w:r>
          </w:p>
        </w:tc>
        <w:tc>
          <w:tcPr>
            <w:tcW w:w="20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605</w:t>
            </w:r>
          </w:p>
        </w:tc>
        <w:tc>
          <w:tcPr>
            <w:tcW w:w="18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671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491</w:t>
            </w:r>
          </w:p>
        </w:tc>
      </w:tr>
      <w:tr>
        <w:trPr>
          <w:trHeight w:val="242"/>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 included in net income</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(1,066)</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238</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(828)</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w:t>
            </w:r>
          </w:p>
        </w:tc>
      </w:tr>
      <w:tr>
        <w:trPr>
          <w:trHeight w:val="215"/>
        </w:trPr>
        <w:tc>
          <w:tcPr>
            <w:tcW w:w="4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(273)</w:t>
            </w:r>
          </w:p>
        </w:tc>
        <w:tc>
          <w:tcPr>
            <w:tcW w:w="24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50</w:t>
            </w:r>
          </w:p>
        </w:tc>
        <w:tc>
          <w:tcPr>
            <w:tcW w:w="2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(223)</w:t>
            </w:r>
          </w:p>
        </w:tc>
        <w:tc>
          <w:tcPr>
            <w:tcW w:w="18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975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712</w:t>
            </w:r>
          </w:p>
        </w:tc>
      </w:tr>
      <w:tr>
        <w:trPr>
          <w:trHeight w:val="225"/>
        </w:trPr>
        <w:tc>
          <w:tcPr>
            <w:tcW w:w="47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4760" w:type="dxa"/>
            <w:vAlign w:val="bottom"/>
          </w:tcPr>
          <w:p>
            <w:pPr>
              <w:ind w:left="140"/>
              <w:spacing w:after="0"/>
              <w:rPr>
                <w:sz w:val="20"/>
                <w:szCs w:val="20"/>
                <w:color w:val="auto"/>
              </w:rPr>
            </w:pPr>
            <w:r>
              <w:rPr>
                <w:rFonts w:ascii="Arial" w:cs="Arial" w:eastAsia="Arial" w:hAnsi="Arial"/>
                <w:sz w:val="16"/>
                <w:szCs w:val="16"/>
                <w:color w:val="auto"/>
              </w:rPr>
              <w:t>Gain for the period</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169</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(39)</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130</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2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(16,137)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(16,126)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21,263</w:t>
            </w:r>
          </w:p>
        </w:tc>
      </w:tr>
      <w:tr>
        <w:trPr>
          <w:trHeight w:val="21"/>
        </w:trPr>
        <w:tc>
          <w:tcPr>
            <w:tcW w:w="4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6"/>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0"/>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6"/>
                <w:szCs w:val="16"/>
                <w:color w:val="auto"/>
              </w:rPr>
            </w:pPr>
          </w:p>
        </w:tc>
        <w:tc>
          <w:tcPr>
            <w:tcW w:w="900" w:type="dxa"/>
            <w:vAlign w:val="bottom"/>
          </w:tcPr>
          <w:p>
            <w:pPr>
              <w:jc w:val="right"/>
              <w:ind w:right="141"/>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6"/>
                <w:szCs w:val="16"/>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6"/>
                <w:szCs w:val="16"/>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After-Tax</w:t>
            </w:r>
          </w:p>
        </w:tc>
      </w:tr>
      <w:tr>
        <w:trPr>
          <w:trHeight w:val="208"/>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Tax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Tax</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(15,352)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2,377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(615)</w:t>
            </w:r>
          </w:p>
        </w:tc>
        <w:tc>
          <w:tcPr>
            <w:tcW w:w="20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1,762</w:t>
            </w:r>
          </w:p>
        </w:tc>
        <w:tc>
          <w:tcPr>
            <w:tcW w:w="1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2,010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(542)</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1,468</w:t>
            </w:r>
          </w:p>
        </w:tc>
      </w:tr>
      <w:tr>
        <w:trPr>
          <w:trHeight w:val="242"/>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 included in net income</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(4,419)</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1,143</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(3,276)</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667</w:t>
            </w:r>
          </w:p>
        </w:tc>
      </w:tr>
      <w:tr>
        <w:trPr>
          <w:trHeight w:val="215"/>
        </w:trPr>
        <w:tc>
          <w:tcPr>
            <w:tcW w:w="4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(2,042)</w:t>
            </w:r>
          </w:p>
        </w:tc>
        <w:tc>
          <w:tcPr>
            <w:tcW w:w="24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b w:val="1"/>
                <w:bCs w:val="1"/>
                <w:color w:val="auto"/>
              </w:rPr>
              <w:t>528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(1,514)</w:t>
            </w:r>
          </w:p>
        </w:tc>
        <w:tc>
          <w:tcPr>
            <w:tcW w:w="18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2,924</w:t>
            </w:r>
          </w:p>
        </w:tc>
        <w:tc>
          <w:tcPr>
            <w:tcW w:w="2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(789)</w:t>
            </w: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2,135</w:t>
            </w:r>
          </w:p>
        </w:tc>
      </w:tr>
      <w:tr>
        <w:trPr>
          <w:trHeight w:val="225"/>
        </w:trPr>
        <w:tc>
          <w:tcPr>
            <w:tcW w:w="47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4760" w:type="dxa"/>
            <w:vAlign w:val="bottom"/>
          </w:tcPr>
          <w:p>
            <w:pPr>
              <w:ind w:left="140"/>
              <w:spacing w:after="0"/>
              <w:rPr>
                <w:sz w:val="20"/>
                <w:szCs w:val="20"/>
                <w:color w:val="auto"/>
              </w:rPr>
            </w:pPr>
            <w:r>
              <w:rPr>
                <w:rFonts w:ascii="Arial" w:cs="Arial" w:eastAsia="Arial" w:hAnsi="Arial"/>
                <w:sz w:val="16"/>
                <w:szCs w:val="16"/>
                <w:color w:val="auto"/>
              </w:rPr>
              <w:t>Gain (loss) for the period</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803</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617</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358</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w:t>
            </w:r>
          </w:p>
        </w:tc>
      </w:tr>
      <w:tr>
        <w:trPr>
          <w:trHeight w:val="23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388</w:t>
            </w:r>
          </w:p>
        </w:tc>
      </w:tr>
      <w:tr>
        <w:trPr>
          <w:trHeight w:val="20"/>
        </w:trPr>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3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9,754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595,287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603,314</w:t>
            </w:r>
          </w:p>
        </w:tc>
        <w:tc>
          <w:tcPr>
            <w:tcW w:w="0" w:type="dxa"/>
            <w:vAlign w:val="bottom"/>
          </w:tcPr>
          <w:p>
            <w:pPr>
              <w:spacing w:after="0"/>
              <w:rPr>
                <w:sz w:val="1"/>
                <w:szCs w:val="1"/>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(15,352)</w:t>
            </w:r>
          </w:p>
        </w:tc>
        <w:tc>
          <w:tcPr>
            <w:tcW w:w="200" w:type="dxa"/>
            <w:vAlign w:val="bottom"/>
          </w:tcPr>
          <w:p>
            <w:pPr>
              <w:spacing w:after="0"/>
              <w:rPr>
                <w:sz w:val="19"/>
                <w:szCs w:val="19"/>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161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(15,191)</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(1,514)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456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(1,058)</w:t>
            </w:r>
          </w:p>
        </w:tc>
        <w:tc>
          <w:tcPr>
            <w:tcW w:w="0" w:type="dxa"/>
            <w:vAlign w:val="bottom"/>
          </w:tcPr>
          <w:p>
            <w:pPr>
              <w:spacing w:after="0"/>
              <w:rPr>
                <w:sz w:val="1"/>
                <w:szCs w:val="1"/>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net of tax</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(15,352)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(1,514)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617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(16,249)</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(5,598)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593,773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587,065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28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2880" w:type="dxa"/>
            <w:vAlign w:val="bottom"/>
          </w:tcPr>
          <w:p>
            <w:pPr>
              <w:ind w:left="240"/>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9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2020</w:t>
            </w:r>
          </w:p>
        </w:tc>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214"/>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793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671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2,377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2,010</w:t>
            </w:r>
          </w:p>
        </w:tc>
        <w:tc>
          <w:tcPr>
            <w:tcW w:w="2880" w:type="dxa"/>
            <w:vAlign w:val="bottom"/>
          </w:tcPr>
          <w:p>
            <w:pPr>
              <w:ind w:left="140"/>
              <w:spacing w:after="0"/>
              <w:rPr>
                <w:sz w:val="20"/>
                <w:szCs w:val="20"/>
                <w:color w:val="auto"/>
              </w:rPr>
            </w:pPr>
            <w:r>
              <w:rPr>
                <w:rFonts w:ascii="Arial" w:cs="Arial" w:eastAsia="Arial" w:hAnsi="Arial"/>
                <w:sz w:val="14"/>
                <w:szCs w:val="14"/>
                <w:color w:val="auto"/>
              </w:rPr>
              <w:t>(1)</w:t>
            </w:r>
          </w:p>
        </w:tc>
      </w:tr>
      <w:tr>
        <w:trPr>
          <w:trHeight w:val="242"/>
        </w:trPr>
        <w:tc>
          <w:tcPr>
            <w:tcW w:w="412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(1,066)</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(4,419)</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2880" w:type="dxa"/>
            <w:vAlign w:val="bottom"/>
          </w:tcPr>
          <w:p>
            <w:pPr>
              <w:ind w:left="140"/>
              <w:spacing w:after="0"/>
              <w:rPr>
                <w:sz w:val="20"/>
                <w:szCs w:val="20"/>
                <w:color w:val="auto"/>
              </w:rPr>
            </w:pPr>
            <w:r>
              <w:rPr>
                <w:rFonts w:ascii="Arial" w:cs="Arial" w:eastAsia="Arial" w:hAnsi="Arial"/>
                <w:sz w:val="14"/>
                <w:szCs w:val="14"/>
                <w:color w:val="auto"/>
              </w:rPr>
              <w:t>(1)</w:t>
            </w:r>
          </w:p>
        </w:tc>
      </w:tr>
      <w:tr>
        <w:trPr>
          <w:trHeight w:val="21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28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975</w:t>
            </w:r>
          </w:p>
        </w:tc>
        <w:tc>
          <w:tcPr>
            <w:tcW w:w="2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(2,042)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2,924</w:t>
            </w:r>
          </w:p>
        </w:tc>
        <w:tc>
          <w:tcPr>
            <w:tcW w:w="2880" w:type="dxa"/>
            <w:vAlign w:val="bottom"/>
          </w:tcPr>
          <w:p>
            <w:pPr>
              <w:ind w:left="140"/>
              <w:spacing w:after="0"/>
              <w:rPr>
                <w:sz w:val="20"/>
                <w:szCs w:val="20"/>
                <w:color w:val="auto"/>
              </w:rPr>
            </w:pPr>
            <w:r>
              <w:rPr>
                <w:rFonts w:ascii="Arial" w:cs="Arial" w:eastAsia="Arial" w:hAnsi="Arial"/>
                <w:sz w:val="14"/>
                <w:szCs w:val="14"/>
                <w:color w:val="auto"/>
              </w:rPr>
              <w:t>Before tax</w:t>
            </w:r>
          </w:p>
        </w:tc>
      </w:tr>
      <w:tr>
        <w:trPr>
          <w:trHeight w:val="236"/>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50</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528</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2880" w:type="dxa"/>
            <w:vAlign w:val="bottom"/>
          </w:tcPr>
          <w:p>
            <w:pPr>
              <w:ind w:left="140"/>
              <w:spacing w:after="0"/>
              <w:rPr>
                <w:sz w:val="20"/>
                <w:szCs w:val="20"/>
                <w:color w:val="auto"/>
              </w:rPr>
            </w:pPr>
            <w:r>
              <w:rPr>
                <w:rFonts w:ascii="Arial" w:cs="Arial" w:eastAsia="Arial" w:hAnsi="Arial"/>
                <w:sz w:val="14"/>
                <w:szCs w:val="14"/>
                <w:color w:val="auto"/>
              </w:rPr>
              <w:t>(Benefit from) Provision for Income Taxes</w:t>
            </w: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(223)</w:t>
            </w:r>
          </w:p>
        </w:tc>
        <w:tc>
          <w:tcPr>
            <w:tcW w:w="28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712</w:t>
            </w:r>
          </w:p>
        </w:tc>
        <w:tc>
          <w:tcPr>
            <w:tcW w:w="2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(1,514)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2,135</w:t>
            </w:r>
          </w:p>
        </w:tc>
        <w:tc>
          <w:tcPr>
            <w:tcW w:w="2880" w:type="dxa"/>
            <w:vAlign w:val="bottom"/>
          </w:tcPr>
          <w:p>
            <w:pPr>
              <w:ind w:left="140"/>
              <w:spacing w:after="0"/>
              <w:rPr>
                <w:sz w:val="20"/>
                <w:szCs w:val="20"/>
                <w:color w:val="auto"/>
              </w:rPr>
            </w:pPr>
            <w:r>
              <w:rPr>
                <w:rFonts w:ascii="Arial" w:cs="Arial" w:eastAsia="Arial" w:hAnsi="Arial"/>
                <w:sz w:val="14"/>
                <w:szCs w:val="14"/>
                <w:color w:val="auto"/>
              </w:rPr>
              <w:t>Net of Tax</w:t>
            </w:r>
          </w:p>
        </w:tc>
      </w:tr>
      <w:tr>
        <w:trPr>
          <w:trHeight w:val="22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149</w:t>
            </w:r>
          </w:p>
        </w:tc>
        <w:tc>
          <w:tcPr>
            <w:tcW w:w="28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28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456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313</w:t>
            </w:r>
          </w:p>
        </w:tc>
        <w:tc>
          <w:tcPr>
            <w:tcW w:w="2880" w:type="dxa"/>
            <w:vAlign w:val="bottom"/>
          </w:tcPr>
          <w:p>
            <w:pPr>
              <w:ind w:left="140"/>
              <w:spacing w:after="0"/>
              <w:rPr>
                <w:sz w:val="20"/>
                <w:szCs w:val="20"/>
                <w:color w:val="auto"/>
              </w:rPr>
            </w:pPr>
            <w:r>
              <w:rPr>
                <w:rFonts w:ascii="Arial" w:cs="Arial" w:eastAsia="Arial" w:hAnsi="Arial"/>
                <w:sz w:val="14"/>
                <w:szCs w:val="14"/>
                <w:color w:val="auto"/>
              </w:rPr>
              <w:t>Interest expense</w:t>
            </w:r>
          </w:p>
        </w:tc>
      </w:tr>
      <w:tr>
        <w:trPr>
          <w:trHeight w:val="236"/>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80" w:type="dxa"/>
            <w:vAlign w:val="bottom"/>
          </w:tcPr>
          <w:p>
            <w:pPr>
              <w:ind w:left="140"/>
              <w:spacing w:after="0"/>
              <w:rPr>
                <w:sz w:val="20"/>
                <w:szCs w:val="20"/>
                <w:color w:val="auto"/>
              </w:rPr>
            </w:pPr>
            <w:r>
              <w:rPr>
                <w:rFonts w:ascii="Arial" w:cs="Arial" w:eastAsia="Arial" w:hAnsi="Arial"/>
                <w:sz w:val="14"/>
                <w:szCs w:val="14"/>
                <w:color w:val="auto"/>
              </w:rPr>
              <w:t>(Benefit from) Provision for Income Taxes</w:t>
            </w:r>
          </w:p>
        </w:tc>
      </w:tr>
      <w:tr>
        <w:trPr>
          <w:trHeight w:val="223"/>
        </w:trPr>
        <w:tc>
          <w:tcPr>
            <w:tcW w:w="4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149</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456</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2880" w:type="dxa"/>
            <w:vAlign w:val="bottom"/>
          </w:tcPr>
          <w:p>
            <w:pPr>
              <w:ind w:left="140"/>
              <w:spacing w:after="0"/>
              <w:rPr>
                <w:sz w:val="20"/>
                <w:szCs w:val="20"/>
                <w:color w:val="auto"/>
              </w:rPr>
            </w:pPr>
            <w:r>
              <w:rPr>
                <w:rFonts w:ascii="Arial" w:cs="Arial" w:eastAsia="Arial" w:hAnsi="Arial"/>
                <w:sz w:val="14"/>
                <w:szCs w:val="14"/>
                <w:color w:val="auto"/>
              </w:rPr>
              <w:t>Net of Tax</w:t>
            </w:r>
          </w:p>
        </w:tc>
      </w:tr>
      <w:tr>
        <w:trPr>
          <w:trHeight w:val="22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(1,058)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2880" w:type="dxa"/>
            <w:vAlign w:val="bottom"/>
          </w:tcPr>
          <w:p>
            <w:pPr>
              <w:ind w:left="140"/>
              <w:spacing w:after="0"/>
              <w:rPr>
                <w:sz w:val="20"/>
                <w:szCs w:val="20"/>
                <w:color w:val="auto"/>
              </w:rPr>
            </w:pPr>
            <w:r>
              <w:rPr>
                <w:rFonts w:ascii="Arial" w:cs="Arial" w:eastAsia="Arial" w:hAnsi="Arial"/>
                <w:sz w:val="14"/>
                <w:szCs w:val="14"/>
                <w:color w:val="auto"/>
              </w:rPr>
              <w:t>Net of Tax</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420" w:right="120" w:hanging="412"/>
        <w:spacing w:after="0" w:line="239"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2015, Kaplan sold substantially all of the assets of the Kaplan Higher Education Campuses (KHEC) business to Education Corporation of America. In 2018, certain subsidiaries of Kaplan contributed the institutional assets and operations of KU to a new university: an Indiana nonprofit, public-benefit corporation affiliated with Purdue University, known as Purdue University Global. Kaplan could be held liable to the current owners of KU and the KHEC schools related to the pre-sale conduct of the schools, and the pre-sale conduct of the schools has been and could be the subject of future compliance reviews, regulatory proceedings or lawsuits that could result in monetary liabilities or fines or other sanctions. In May 2021, Kaplan received a Notice from the U.S. Department of Education (ED) that the department would be requiring a fact-finding process pursuant to the borrower defense to repayment regulations to determine the validity of more than 800 borrower defense to repayment claims and a request for documents related to several of Kaplan’s previously-owned schools. In July 2021, Kaplan received information requests from the ED related to over 1,400 student claims for the ED to grant debt relief. If the ED grants any student claims, it is possible that the ED would seek reimbursement from Kaplan. Based on Kaplan’s review of the information received from the ED, Kaplan believes it has legal claims that would bar any student discharge or school liability and expects to vigorously defend any attempt by the ED to hold Kaplan liable for any ultimate student discharges. At this time, Kaplan is uncertain as to the total number of possible claims or the amount of potential liability.</w:t>
      </w:r>
    </w:p>
    <w:p>
      <w:pPr>
        <w:spacing w:after="0" w:line="14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due to non-compliance with minimum entry level requirements for admission and to teach out existing students in these programs. On August 23, 2021, CPE issued the same instructions in respect of the Kaplan Foundation diploma and four information technology diploma programs. In September 2021, CPE requested additional information related to admissions on a number of other awards. Kaplan Singapore has responded, and no additional instruction has been received from CPE to date. The impact from possible regulatory actions by the CPE could have a material adverse impact on Kaplan Singapore’s revenues, operating results and cash flows in the future.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To meet the quantitative threshold related to revenue required for separate disclosure, the Company changed the presentation of its segments in the third quarter of 2021 into the following seven reportable segments: Kaplan International, Kaplan Higher Education, Kaplan Supplemental Education, Television Broadcasting, Manufacturing, Healthcare and Automotive. Segment operating results have been restated to reflect this change.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related costs across all businesses in 2020 were recorded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jc w:val="right"/>
              <w:ind w:right="103"/>
              <w:spacing w:after="0"/>
              <w:rPr>
                <w:sz w:val="20"/>
                <w:szCs w:val="20"/>
                <w:color w:val="auto"/>
              </w:rPr>
            </w:pPr>
            <w:r>
              <w:rPr>
                <w:rFonts w:ascii="Arial" w:cs="Arial" w:eastAsia="Arial" w:hAnsi="Arial"/>
                <w:sz w:val="14"/>
                <w:szCs w:val="14"/>
                <w:b w:val="1"/>
                <w:bCs w:val="1"/>
                <w:color w:val="auto"/>
              </w:rPr>
              <w:t>Three Months Ended September 30, 2020</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color w:val="auto"/>
              </w:rPr>
              <w:t>Kaplan</w:t>
            </w:r>
          </w:p>
        </w:tc>
        <w:tc>
          <w:tcPr>
            <w:tcW w:w="18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Higher</w:t>
            </w:r>
          </w:p>
        </w:tc>
        <w:tc>
          <w:tcPr>
            <w:tcW w:w="16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color w:val="auto"/>
              </w:rPr>
              <w:t>Supplemental</w:t>
            </w:r>
          </w:p>
        </w:tc>
        <w:tc>
          <w:tcPr>
            <w:tcW w:w="160" w:type="dxa"/>
            <w:vAlign w:val="bottom"/>
          </w:tcPr>
          <w:p>
            <w:pPr>
              <w:spacing w:after="0"/>
              <w:rPr>
                <w:sz w:val="12"/>
                <w:szCs w:val="12"/>
                <w:color w:val="auto"/>
              </w:rPr>
            </w:pPr>
          </w:p>
        </w:tc>
        <w:tc>
          <w:tcPr>
            <w:tcW w:w="84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Kaplan</w:t>
            </w:r>
          </w:p>
        </w:tc>
        <w:tc>
          <w:tcPr>
            <w:tcW w:w="160" w:type="dxa"/>
            <w:vAlign w:val="bottom"/>
          </w:tcPr>
          <w:p>
            <w:pPr>
              <w:spacing w:after="0"/>
              <w:rPr>
                <w:sz w:val="12"/>
                <w:szCs w:val="12"/>
                <w:color w:val="auto"/>
              </w:rPr>
            </w:pPr>
          </w:p>
        </w:tc>
        <w:tc>
          <w:tcPr>
            <w:tcW w:w="8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20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rPr>
              <w:t>International</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Education</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rPr>
              <w:t>Education</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rPr>
              <w:t>Corporate</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Education</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rPr>
              <w:t>Businesses</w:t>
            </w: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20"/>
              <w:spacing w:after="0"/>
              <w:rPr>
                <w:sz w:val="20"/>
                <w:szCs w:val="20"/>
                <w:color w:val="auto"/>
              </w:rPr>
            </w:pPr>
            <w:r>
              <w:rPr>
                <w:rFonts w:ascii="Arial" w:cs="Arial" w:eastAsia="Arial" w:hAnsi="Arial"/>
                <w:sz w:val="16"/>
                <w:szCs w:val="16"/>
                <w:color w:val="auto"/>
              </w:rPr>
              <w:t xml:space="preserve">Severance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913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1,872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74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Arial" w:cs="Arial" w:eastAsia="Arial" w:hAnsi="Arial"/>
                <w:sz w:val="16"/>
                <w:szCs w:val="16"/>
                <w:color w:val="auto"/>
              </w:rPr>
              <w:t>Impairment of other long-lived assets: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40"/>
              <w:spacing w:after="0"/>
              <w:rPr>
                <w:sz w:val="20"/>
                <w:szCs w:val="20"/>
                <w:color w:val="auto"/>
              </w:rPr>
            </w:pPr>
            <w:r>
              <w:rPr>
                <w:rFonts w:ascii="Arial" w:cs="Arial" w:eastAsia="Arial" w:hAnsi="Arial"/>
                <w:sz w:val="16"/>
                <w:szCs w:val="16"/>
                <w:color w:val="auto"/>
              </w:rPr>
              <w:t>Lease right-of-use assets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1,710</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1,710</w:t>
            </w:r>
          </w:p>
        </w:tc>
        <w:tc>
          <w:tcPr>
            <w:tcW w:w="160" w:type="dxa"/>
            <w:vAlign w:val="bottom"/>
          </w:tcPr>
          <w:p>
            <w:pPr>
              <w:spacing w:after="0"/>
              <w:rPr>
                <w:sz w:val="21"/>
                <w:szCs w:val="21"/>
                <w:color w:val="auto"/>
              </w:rPr>
            </w:pPr>
          </w:p>
        </w:tc>
        <w:tc>
          <w:tcPr>
            <w:tcW w:w="1200" w:type="dxa"/>
            <w:vAlign w:val="bottom"/>
          </w:tcPr>
          <w:p>
            <w:pPr>
              <w:ind w:left="7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9"/>
                <w:szCs w:val="19"/>
                <w:color w:val="auto"/>
              </w:rPr>
            </w:pPr>
          </w:p>
        </w:tc>
        <w:tc>
          <w:tcPr>
            <w:tcW w:w="1200" w:type="dxa"/>
            <w:vAlign w:val="bottom"/>
          </w:tcPr>
          <w:p>
            <w:pPr>
              <w:ind w:left="7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6"/>
                <w:szCs w:val="16"/>
                <w:color w:val="auto"/>
              </w:rPr>
              <w:t>Non-operating pension and postretirement benefit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80"/>
              <w:spacing w:after="0"/>
              <w:rPr>
                <w:sz w:val="20"/>
                <w:szCs w:val="20"/>
                <w:color w:val="auto"/>
              </w:rPr>
            </w:pPr>
            <w:r>
              <w:rPr>
                <w:rFonts w:ascii="Arial" w:cs="Arial" w:eastAsia="Arial" w:hAnsi="Arial"/>
                <w:sz w:val="16"/>
                <w:szCs w:val="16"/>
                <w:color w:val="auto"/>
              </w:rPr>
              <w:t>income, net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6,287</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7,783</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7,783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Total Restructuring Related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11,571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color w:val="auto"/>
              </w:rPr>
              <w:t>Kaplan</w:t>
            </w:r>
          </w:p>
        </w:tc>
        <w:tc>
          <w:tcPr>
            <w:tcW w:w="18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Higher</w:t>
            </w:r>
          </w:p>
        </w:tc>
        <w:tc>
          <w:tcPr>
            <w:tcW w:w="16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color w:val="auto"/>
              </w:rPr>
              <w:t>Supplemental</w:t>
            </w:r>
          </w:p>
        </w:tc>
        <w:tc>
          <w:tcPr>
            <w:tcW w:w="160" w:type="dxa"/>
            <w:vAlign w:val="bottom"/>
          </w:tcPr>
          <w:p>
            <w:pPr>
              <w:spacing w:after="0"/>
              <w:rPr>
                <w:sz w:val="12"/>
                <w:szCs w:val="12"/>
                <w:color w:val="auto"/>
              </w:rPr>
            </w:pPr>
          </w:p>
        </w:tc>
        <w:tc>
          <w:tcPr>
            <w:tcW w:w="84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Kaplan</w:t>
            </w:r>
          </w:p>
        </w:tc>
        <w:tc>
          <w:tcPr>
            <w:tcW w:w="160" w:type="dxa"/>
            <w:vAlign w:val="bottom"/>
          </w:tcPr>
          <w:p>
            <w:pPr>
              <w:spacing w:after="0"/>
              <w:rPr>
                <w:sz w:val="12"/>
                <w:szCs w:val="12"/>
                <w:color w:val="auto"/>
              </w:rPr>
            </w:pPr>
          </w:p>
        </w:tc>
        <w:tc>
          <w:tcPr>
            <w:tcW w:w="8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20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9"/>
                <w:szCs w:val="9"/>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4"/>
                <w:szCs w:val="14"/>
                <w:color w:val="auto"/>
              </w:rPr>
              <w:t>International</w:t>
            </w:r>
          </w:p>
        </w:tc>
        <w:tc>
          <w:tcPr>
            <w:tcW w:w="180" w:type="dxa"/>
            <w:vAlign w:val="bottom"/>
          </w:tcPr>
          <w:p>
            <w:pPr>
              <w:spacing w:after="0"/>
              <w:rPr>
                <w:sz w:val="9"/>
                <w:szCs w:val="9"/>
                <w:color w:val="auto"/>
              </w:rPr>
            </w:pPr>
          </w:p>
        </w:tc>
        <w:tc>
          <w:tcPr>
            <w:tcW w:w="820" w:type="dxa"/>
            <w:vAlign w:val="bottom"/>
            <w:vMerge w:val="restart"/>
          </w:tcPr>
          <w:p>
            <w:pPr>
              <w:jc w:val="center"/>
              <w:ind w:right="63"/>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9"/>
                <w:szCs w:val="9"/>
                <w:color w:val="auto"/>
              </w:rPr>
            </w:pPr>
          </w:p>
        </w:tc>
        <w:tc>
          <w:tcPr>
            <w:tcW w:w="1060" w:type="dxa"/>
            <w:vAlign w:val="bottom"/>
            <w:vMerge w:val="restart"/>
          </w:tcPr>
          <w:p>
            <w:pPr>
              <w:jc w:val="center"/>
              <w:ind w:right="24"/>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9"/>
                <w:szCs w:val="9"/>
                <w:color w:val="auto"/>
              </w:rPr>
            </w:pPr>
          </w:p>
        </w:tc>
        <w:tc>
          <w:tcPr>
            <w:tcW w:w="840" w:type="dxa"/>
            <w:vAlign w:val="bottom"/>
            <w:vMerge w:val="restart"/>
          </w:tcPr>
          <w:p>
            <w:pPr>
              <w:jc w:val="center"/>
              <w:ind w:right="43"/>
              <w:spacing w:after="0"/>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9"/>
                <w:szCs w:val="9"/>
                <w:color w:val="auto"/>
              </w:rPr>
            </w:pPr>
          </w:p>
        </w:tc>
        <w:tc>
          <w:tcPr>
            <w:tcW w:w="8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rPr>
              <w:t>Education</w:t>
            </w:r>
          </w:p>
        </w:tc>
        <w:tc>
          <w:tcPr>
            <w:tcW w:w="160" w:type="dxa"/>
            <w:vAlign w:val="bottom"/>
          </w:tcPr>
          <w:p>
            <w:pPr>
              <w:spacing w:after="0"/>
              <w:rPr>
                <w:sz w:val="9"/>
                <w:szCs w:val="9"/>
                <w:color w:val="auto"/>
              </w:rPr>
            </w:pPr>
          </w:p>
        </w:tc>
        <w:tc>
          <w:tcPr>
            <w:tcW w:w="1200" w:type="dxa"/>
            <w:vAlign w:val="bottom"/>
            <w:vMerge w:val="restart"/>
          </w:tcPr>
          <w:p>
            <w:pPr>
              <w:jc w:val="center"/>
              <w:ind w:right="283"/>
              <w:spacing w:after="0"/>
              <w:rPr>
                <w:sz w:val="20"/>
                <w:szCs w:val="20"/>
                <w:color w:val="auto"/>
              </w:rPr>
            </w:pPr>
            <w:r>
              <w:rPr>
                <w:rFonts w:ascii="Arial" w:cs="Arial" w:eastAsia="Arial" w:hAnsi="Arial"/>
                <w:sz w:val="14"/>
                <w:szCs w:val="14"/>
                <w:b w:val="1"/>
                <w:bCs w:val="1"/>
                <w:color w:val="auto"/>
              </w:rPr>
              <w:t>Businesses</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Severance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Facility related costs: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360" w:right="20" w:hanging="80"/>
        <w:spacing w:after="0" w:line="242" w:lineRule="auto"/>
        <w:rPr>
          <w:sz w:val="20"/>
          <w:szCs w:val="20"/>
          <w:color w:val="auto"/>
        </w:rPr>
      </w:pPr>
      <w:r>
        <w:rPr>
          <w:rFonts w:ascii="Arial" w:cs="Arial" w:eastAsia="Arial" w:hAnsi="Arial"/>
          <w:sz w:val="16"/>
          <w:szCs w:val="16"/>
          <w:color w:val="auto"/>
        </w:rPr>
        <w:t>Accelerated depreciation of property, plant and equipment</w:t>
      </w:r>
    </w:p>
    <w:p>
      <w:pPr>
        <w:spacing w:after="0" w:line="14" w:lineRule="exact"/>
        <w:rPr>
          <w:sz w:val="20"/>
          <w:szCs w:val="20"/>
          <w:color w:val="auto"/>
        </w:rPr>
      </w:pPr>
    </w:p>
    <w:p>
      <w:pPr>
        <w:ind w:left="180" w:hanging="161"/>
        <w:spacing w:after="0" w:line="239" w:lineRule="auto"/>
        <w:rPr>
          <w:sz w:val="20"/>
          <w:szCs w:val="20"/>
          <w:color w:val="auto"/>
        </w:rPr>
      </w:pPr>
      <w:r>
        <w:rPr>
          <w:rFonts w:ascii="Arial" w:cs="Arial" w:eastAsia="Arial" w:hAnsi="Arial"/>
          <w:sz w:val="16"/>
          <w:szCs w:val="16"/>
          <w:b w:val="1"/>
          <w:bCs w:val="1"/>
          <w:color w:val="auto"/>
        </w:rPr>
        <w:t xml:space="preserve">Total Restructuring Costs Included in Segment Income (Loss) from Operations </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other long-lived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Lease right-of-use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80" w:right="80" w:hanging="80"/>
        <w:spacing w:after="0" w:line="242" w:lineRule="auto"/>
        <w:rPr>
          <w:sz w:val="20"/>
          <w:szCs w:val="20"/>
          <w:color w:val="auto"/>
        </w:rPr>
      </w:pPr>
      <w:r>
        <w:rPr>
          <w:rFonts w:ascii="Arial" w:cs="Arial" w:eastAsia="Arial" w:hAnsi="Arial"/>
          <w:sz w:val="16"/>
          <w:szCs w:val="16"/>
          <w:color w:val="auto"/>
        </w:rPr>
        <w:t>Non-operating pension and postretirement benefit income, net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Related Costs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2,183</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913</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3,096</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3,096</w:t>
            </w:r>
          </w:p>
        </w:tc>
      </w:tr>
      <w:tr>
        <w:trPr>
          <w:trHeight w:val="459"/>
        </w:trPr>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2,418</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3,296</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9,156</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9,156</w:t>
            </w:r>
          </w:p>
        </w:tc>
      </w:tr>
      <w:tr>
        <w:trPr>
          <w:trHeight w:val="418"/>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r>
      <w:tr>
        <w:trPr>
          <w:trHeight w:val="385"/>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15,620</w:t>
            </w:r>
          </w:p>
        </w:tc>
      </w:tr>
      <w:tr>
        <w:trPr>
          <w:trHeight w:val="426"/>
        </w:trPr>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3,790</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2,062</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3,908</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9,760</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11,165</w:t>
            </w:r>
          </w:p>
        </w:tc>
      </w:tr>
      <w:tr>
        <w:trPr>
          <w:trHeight w:val="230"/>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2,176</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2,262</w:t>
            </w:r>
          </w:p>
        </w:tc>
      </w:tr>
      <w:tr>
        <w:trPr>
          <w:trHeight w:val="418"/>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12,798</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13,797</w:t>
            </w:r>
          </w:p>
        </w:tc>
      </w:tr>
      <w:tr>
        <w:trPr>
          <w:trHeight w:val="223"/>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12,162</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8,006</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19,303</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40,354</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42,844</w:t>
            </w:r>
          </w:p>
        </w:tc>
      </w:tr>
      <w:tr>
        <w:trPr>
          <w:trHeight w:val="27"/>
        </w:trPr>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sectPr>
          <w:pgSz w:w="11900" w:h="16838" w:orient="portrait"/>
          <w:cols w:equalWidth="0" w:num="2">
            <w:col w:w="3640" w:space="140"/>
            <w:col w:w="7460"/>
          </w:cols>
          <w:pgMar w:left="320" w:top="1035" w:right="339" w:bottom="1440" w:gutter="0" w:footer="0" w:header="0"/>
          <w:type w:val="continuous"/>
        </w:sectPr>
      </w:pPr>
    </w:p>
    <w:p>
      <w:pPr>
        <w:ind w:left="420" w:right="160" w:hanging="412"/>
        <w:spacing w:after="0" w:line="239" w:lineRule="auto"/>
        <w:tabs>
          <w:tab w:leader="none" w:pos="348"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amounts are included in the segments’ Income (Loss) from Operations before Amortization of Intangible Assets and Impairment of Goodwill and Other Long-Lived Assets.</w:t>
      </w:r>
    </w:p>
    <w:p>
      <w:pPr>
        <w:spacing w:after="0" w:line="133"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$2.8 million and $5.7 million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2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335,999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302,467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1,005,300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992,020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126,498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133,828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360,089</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350,038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99,766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106,690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356,849</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303,387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55,445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51,426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160,184</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146,601</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84,702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76,790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242,702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182,288</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107,539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46,306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199,477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128,953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809,436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716,982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2,323,043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2,102,110</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13,869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9,584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57,238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45,022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41,911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54,105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113,212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116,229</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(6,942)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11,838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27,990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30,982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6,016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23,312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23,569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4,506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1,986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8,815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(19,752)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(17,429)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(57,533)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(54,864)</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(13,481)</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(42,831)</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26,127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56,310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130,203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126,676</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3,955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6,251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15,240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24,743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1,361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4,081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32,541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6,987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46,138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21,112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756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823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2,317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4,121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7,599</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12,396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42,734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16,066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75,375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72,470</w:t>
            </w: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9,914</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41,998</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3,333</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20,279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40,550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52,745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109,131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112,148</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(39,483)</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4,851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(18,148)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9,870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5,260</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8,142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20,995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20,129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4,506</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1,986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8,815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(23,873)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(18,074)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(65,132)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(67,260)</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(13,481)</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(42,831)</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(16,607)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40,244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54,828</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54,206</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2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12,964</w:t>
            </w:r>
          </w:p>
        </w:tc>
        <w:tc>
          <w:tcPr>
            <w:tcW w:w="5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4,092</w:t>
            </w:r>
          </w:p>
        </w:tc>
        <w:tc>
          <w:tcPr>
            <w:tcW w:w="3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28,168</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(9,422)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(6,357)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(22,457)</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(19,307)</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27,561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10,489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81,564</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41,028</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14,069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59,364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176,981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5,218</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27,660</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33,783</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108,054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346,744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89,525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60" w:type="dxa"/>
            <w:vAlign w:val="bottom"/>
            <w:vMerge w:val="continue"/>
          </w:tcPr>
          <w:p>
            <w:pPr>
              <w:spacing w:after="0"/>
              <w:rPr>
                <w:sz w:val="15"/>
                <w:szCs w:val="15"/>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8,217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23,479</w:t>
            </w: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6,822</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24,475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3,462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3,399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10,478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10,188</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2,402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2,557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7,346</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970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535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1,555</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3,649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4,589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7,578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12,211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480</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18,741</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18,481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51,886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3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374"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19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r>
      <w:tr>
        <w:trPr>
          <w:trHeight w:val="214"/>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60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2,339</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2,350</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7,020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7,527</w:t>
            </w:r>
          </w:p>
        </w:tc>
      </w:tr>
      <w:tr>
        <w:trPr>
          <w:trHeight w:val="230"/>
        </w:trPr>
        <w:tc>
          <w:tcPr>
            <w:tcW w:w="60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901</w:t>
            </w:r>
          </w:p>
        </w:tc>
        <w:tc>
          <w:tcPr>
            <w:tcW w:w="5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817</w:t>
            </w:r>
          </w:p>
        </w:tc>
        <w:tc>
          <w:tcPr>
            <w:tcW w:w="3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2,692</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2,449</w:t>
            </w:r>
          </w:p>
        </w:tc>
      </w:tr>
      <w:tr>
        <w:trPr>
          <w:trHeight w:val="229"/>
        </w:trPr>
        <w:tc>
          <w:tcPr>
            <w:tcW w:w="608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321</w:t>
            </w:r>
          </w:p>
        </w:tc>
        <w:tc>
          <w:tcPr>
            <w:tcW w:w="5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3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962</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230"/>
        </w:trPr>
        <w:tc>
          <w:tcPr>
            <w:tcW w:w="608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141</w:t>
            </w:r>
          </w:p>
        </w:tc>
        <w:tc>
          <w:tcPr>
            <w:tcW w:w="5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3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421</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29"/>
        </w:trPr>
        <w:tc>
          <w:tcPr>
            <w:tcW w:w="608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0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458</w:t>
            </w:r>
          </w:p>
        </w:tc>
        <w:tc>
          <w:tcPr>
            <w:tcW w:w="5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1,314</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1,276</w:t>
            </w:r>
          </w:p>
        </w:tc>
      </w:tr>
      <w:tr>
        <w:trPr>
          <w:trHeight w:val="243"/>
        </w:trPr>
        <w:tc>
          <w:tcPr>
            <w:tcW w:w="60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1,615</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1,426</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4,845</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w:t>
            </w:r>
          </w:p>
        </w:tc>
      </w:tr>
      <w:tr>
        <w:trPr>
          <w:trHeight w:val="223"/>
        </w:trPr>
        <w:tc>
          <w:tcPr>
            <w:tcW w:w="608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5,775</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5,457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17,254</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17,044</w:t>
            </w:r>
          </w:p>
        </w:tc>
      </w:tr>
    </w:tbl>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r>
      <w:tr>
        <w:trPr>
          <w:trHeight w:val="148"/>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214"/>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84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1,975,302</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1,975,104</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441,098</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453,988</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486,241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551,611</w:t>
            </w:r>
          </w:p>
        </w:tc>
      </w:tr>
      <w:tr>
        <w:trPr>
          <w:trHeight w:val="230"/>
        </w:trPr>
        <w:tc>
          <w:tcPr>
            <w:tcW w:w="84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163,286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160,654</w:t>
            </w:r>
          </w:p>
        </w:tc>
      </w:tr>
      <w:tr>
        <w:trPr>
          <w:trHeight w:val="229"/>
        </w:trPr>
        <w:tc>
          <w:tcPr>
            <w:tcW w:w="84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160,025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151,789</w:t>
            </w:r>
          </w:p>
        </w:tc>
      </w:tr>
      <w:tr>
        <w:trPr>
          <w:trHeight w:val="230"/>
        </w:trPr>
        <w:tc>
          <w:tcPr>
            <w:tcW w:w="84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660,385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365,744</w:t>
            </w:r>
          </w:p>
        </w:tc>
      </w:tr>
      <w:tr>
        <w:trPr>
          <w:trHeight w:val="242"/>
        </w:trPr>
        <w:tc>
          <w:tcPr>
            <w:tcW w:w="84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84,196</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348,045</w:t>
            </w:r>
          </w:p>
        </w:tc>
      </w:tr>
      <w:tr>
        <w:trPr>
          <w:trHeight w:val="223"/>
        </w:trPr>
        <w:tc>
          <w:tcPr>
            <w:tcW w:w="8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3,970,533</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4,006,935</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764,831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573,102</w:t>
            </w:r>
          </w:p>
        </w:tc>
      </w:tr>
      <w:tr>
        <w:trPr>
          <w:trHeight w:val="225"/>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171,249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155,777</w:t>
            </w:r>
          </w:p>
        </w:tc>
      </w:tr>
      <w:tr>
        <w:trPr>
          <w:trHeight w:val="24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1,772,859</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1,708,305</w:t>
            </w:r>
          </w:p>
        </w:tc>
      </w:tr>
      <w:tr>
        <w:trPr>
          <w:trHeight w:val="22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6,679,472</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6,444,119</w:t>
            </w:r>
          </w:p>
        </w:tc>
      </w:tr>
      <w:tr>
        <w:trPr>
          <w:trHeight w:val="27"/>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90" w:right="339" w:bottom="3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306"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2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168,143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123,768</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521,314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488,096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85,518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83,841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239,944</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243,831</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80,489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92,568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238,055</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253,641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3,761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3,194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10,739</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9,438</w:t>
            </w:r>
          </w:p>
        </w:tc>
        <w:tc>
          <w:tcPr>
            <w:tcW w:w="0" w:type="dxa"/>
            <w:vAlign w:val="bottom"/>
          </w:tcPr>
          <w:p>
            <w:pPr>
              <w:spacing w:after="0"/>
              <w:rPr>
                <w:sz w:val="1"/>
                <w:szCs w:val="1"/>
                <w:color w:val="auto"/>
              </w:rPr>
            </w:pPr>
          </w:p>
        </w:tc>
      </w:tr>
      <w:tr>
        <w:trPr>
          <w:trHeight w:val="242"/>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(1,912)</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(4,752)</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335,999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302,467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1,005,300</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992,020</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(999)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(13,759)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23,285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21,256</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9,525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18,152</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21,883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11,769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19,069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33,079</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12,849</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(6,426)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(17,375)</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(10,971)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13,869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9,584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57,238</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45,022</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3,888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4,335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11,967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12,807</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67</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1,916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3,273</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11,936</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(999)</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(13,759)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23,285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21,256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9,525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18,152</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21,883</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11,769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19,069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33,079</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12,849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(10,381)</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(8,830)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(32,615)</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(35,714)</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9,914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41,998</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5,516</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15,603</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4,585</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14,782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923</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2,648</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1,658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1,454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4,904</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8,217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23,479</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73</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221</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1,109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3,329</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954</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2,861</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609</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2,339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7,020</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7,527</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7"/>
              </w:rPr>
              <w:t>As of</w:t>
            </w:r>
          </w:p>
        </w:tc>
        <w:tc>
          <w:tcPr>
            <w:tcW w:w="1040" w:type="dxa"/>
            <w:vAlign w:val="bottom"/>
            <w:tcBorders>
              <w:bottom w:val="single" w:sz="8" w:color="auto"/>
            </w:tcBorders>
          </w:tcPr>
          <w:p>
            <w:pPr>
              <w:spacing w:after="0"/>
              <w:rPr>
                <w:sz w:val="17"/>
                <w:szCs w:val="17"/>
                <w:color w:val="auto"/>
              </w:rPr>
            </w:pPr>
          </w:p>
        </w:tc>
      </w:tr>
      <w:tr>
        <w:trPr>
          <w:trHeight w:val="148"/>
        </w:trPr>
        <w:tc>
          <w:tcPr>
            <w:tcW w:w="8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6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 2020</w:t>
            </w:r>
          </w:p>
        </w:tc>
      </w:tr>
      <w:tr>
        <w:trPr>
          <w:trHeight w:val="214"/>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82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1,445,125</w:t>
            </w:r>
          </w:p>
        </w:tc>
        <w:tc>
          <w:tcPr>
            <w:tcW w:w="60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1,455,722</w:t>
            </w:r>
          </w:p>
        </w:tc>
      </w:tr>
      <w:tr>
        <w:trPr>
          <w:trHeight w:val="229"/>
        </w:trPr>
        <w:tc>
          <w:tcPr>
            <w:tcW w:w="82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207,834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187,123</w:t>
            </w:r>
          </w:p>
        </w:tc>
      </w:tr>
      <w:tr>
        <w:trPr>
          <w:trHeight w:val="230"/>
        </w:trPr>
        <w:tc>
          <w:tcPr>
            <w:tcW w:w="82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263,169</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274,687</w:t>
            </w:r>
          </w:p>
        </w:tc>
      </w:tr>
      <w:tr>
        <w:trPr>
          <w:trHeight w:val="243"/>
        </w:trPr>
        <w:tc>
          <w:tcPr>
            <w:tcW w:w="82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59,174</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57,572</w:t>
            </w: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1,975,302</w:t>
            </w:r>
          </w:p>
        </w:tc>
        <w:tc>
          <w:tcPr>
            <w:tcW w:w="60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1,975,104</w:t>
            </w:r>
          </w:p>
        </w:tc>
      </w:tr>
      <w:tr>
        <w:trPr>
          <w:trHeight w:val="27"/>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reported net income attributable to common shares of $39.6 million ($7.90 per share) for the third quarter of 2021, compared to $77.6 million ($15.22 per share) for the third quarter of 2020.</w:t>
      </w:r>
    </w:p>
    <w:p>
      <w:pPr>
        <w:spacing w:after="0" w:line="10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and the first nine months of 2021, largely from reduced demand for the Company’s products and services. This significant adverse impact is expected to continue for several of the Company’s businesses for the remainder of 2021. The Company’s management has taken a variety of measures to reduce costs and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2021:</w:t>
      </w:r>
    </w:p>
    <w:p>
      <w:pPr>
        <w:spacing w:after="0" w:line="13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$1.7 million net credit related to a fair value change in contingent consideration from a prior acquisition;</w:t>
      </w:r>
    </w:p>
    <w:p>
      <w:pPr>
        <w:spacing w:after="0" w:line="144" w:lineRule="exact"/>
        <w:rPr>
          <w:rFonts w:ascii="Arial" w:cs="Arial" w:eastAsia="Arial" w:hAnsi="Arial"/>
          <w:sz w:val="18"/>
          <w:szCs w:val="18"/>
          <w:color w:val="auto"/>
        </w:rPr>
      </w:pPr>
    </w:p>
    <w:p>
      <w:pPr>
        <w:ind w:left="180" w:right="520" w:hanging="172"/>
        <w:spacing w:after="0" w:line="235"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$0.1 million reduction to operating expenses from property, plant and equipment gains in connection with the spectrum repacking mandate of the FCC;</w:t>
      </w:r>
    </w:p>
    <w:p>
      <w:pPr>
        <w:spacing w:after="0" w:line="107"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$26.8 million in goodwill and other long-lived asset impairment charges;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$14.1 million in net gains on marketable equity securities;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$16.7 million in net earnings of affiliates whose operations are not managed by the Company;</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non-operating loss of $6.4 million from the write-down of an equity method investment; and</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 million in net interest expense to adjust the fair value of the mandatorily redeemable noncontrolling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2020:</w:t>
      </w:r>
    </w:p>
    <w:p>
      <w:pPr>
        <w:spacing w:after="0" w:line="117"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 million in long-lived asset impairment charges at the education division;</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 million in restructuring charges at the education division;</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17" w:lineRule="exact"/>
        <w:rPr>
          <w:rFonts w:ascii="Arial" w:cs="Arial" w:eastAsia="Arial" w:hAnsi="Arial"/>
          <w:sz w:val="18"/>
          <w:szCs w:val="18"/>
          <w:color w:val="auto"/>
        </w:rPr>
      </w:pPr>
    </w:p>
    <w:p>
      <w:pPr>
        <w:ind w:left="180" w:right="520" w:hanging="172"/>
        <w:spacing w:after="0" w:line="235"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$1.2 million reduction to operating expenses from property, plant and equipment gains in connection with the spectrum repacking mandate of the FCC;</w:t>
      </w:r>
    </w:p>
    <w:p>
      <w:pPr>
        <w:spacing w:after="0" w:line="121"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$7.0 million in expenses related to non-operating Separation Incentive Programs at the education division;</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$59.4 million in net gains on marketable equity securities;</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$0.8 million in net earnings of affiliates whose operations are not managed by the Company;</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non-operating gain of $1.6 million from write-up of a cost method investment; and</w:t>
      </w:r>
    </w:p>
    <w:p>
      <w:pPr>
        <w:spacing w:after="0" w:line="117"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7" w:right="499" w:bottom="1440" w:gutter="0" w:footer="0" w:header="0"/>
        </w:sectPr>
      </w:pPr>
    </w:p>
    <w:bookmarkStart w:id="28" w:name="page29"/>
    <w:bookmarkEnd w:id="28"/>
    <w:p>
      <w:pPr>
        <w:spacing w:after="0" w:line="225" w:lineRule="auto"/>
        <w:rPr>
          <w:sz w:val="20"/>
          <w:szCs w:val="20"/>
          <w:color w:val="auto"/>
        </w:rPr>
      </w:pPr>
      <w:r>
        <w:rPr>
          <w:rFonts w:ascii="Arial" w:cs="Arial" w:eastAsia="Arial" w:hAnsi="Arial"/>
          <w:sz w:val="18"/>
          <w:szCs w:val="18"/>
          <w:color w:val="auto"/>
        </w:rPr>
        <w:t>Revenue for the third quarter of 2021 was $809.4 million, up 13% from $717.0 million in the third quarter of 2020. Revenues increased at education, healthcare, automotive and other businesses, offset by decreases at television broadcasting and manufacturing. The Company reported an operating loss of $16.6 million for the third quarter of 2021, compared to operating income of $40.2 million for the third quarter of 2020. Operating results declined at manufacturing, television broadcasting, healthcare and other businesses, offset by an improvement at education and 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2021:</w:t>
      </w:r>
    </w:p>
    <w:p>
      <w:pPr>
        <w:spacing w:after="0" w:line="144"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$3.9 million net credit related to fair value changes in contingent consideration from prior acquisitions;</w:t>
      </w:r>
    </w:p>
    <w:p>
      <w:pPr>
        <w:spacing w:after="0" w:line="144" w:lineRule="exact"/>
        <w:rPr>
          <w:rFonts w:ascii="Arial" w:cs="Arial" w:eastAsia="Arial" w:hAnsi="Arial"/>
          <w:sz w:val="18"/>
          <w:szCs w:val="18"/>
          <w:color w:val="auto"/>
        </w:rPr>
      </w:pPr>
    </w:p>
    <w:p>
      <w:pPr>
        <w:ind w:left="180" w:right="600" w:hanging="172"/>
        <w:spacing w:after="0" w:line="235"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$0.9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$30.2 million in goodwill and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at manufacturing;</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$177.0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$25.6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non-operating gain of $10.8 million from the sale, write-up and write-down of cost and equity method investments;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$2.7 million in net interest expense to adjust the fair value of the mandatorily redeemable noncontrolling interest;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2020:</w:t>
      </w:r>
    </w:p>
    <w:p>
      <w:pPr>
        <w:spacing w:after="0" w:line="14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$27.6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$12.1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w:t>
      </w:r>
    </w:p>
    <w:p>
      <w:pPr>
        <w:spacing w:after="0" w:line="144" w:lineRule="exact"/>
        <w:rPr>
          <w:rFonts w:ascii="Arial" w:cs="Arial" w:eastAsia="Arial" w:hAnsi="Arial"/>
          <w:sz w:val="18"/>
          <w:szCs w:val="18"/>
          <w:color w:val="auto"/>
        </w:rPr>
      </w:pPr>
    </w:p>
    <w:p>
      <w:pPr>
        <w:ind w:left="180" w:right="600" w:hanging="172"/>
        <w:spacing w:after="0" w:line="235"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$2.5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$2.9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non-operating gain, net, of $3.3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$0.9 million in non-operating foreign currency gains.</w:t>
      </w:r>
    </w:p>
    <w:p>
      <w:pPr>
        <w:spacing w:after="0" w:line="144"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Revenue for the first nine months of 2021 was $2,323.0 million, up 11% from $2,102.1 million in the first nine months of 2020. Revenues increased at all the Company’s divisions. The Company reported operating income of $ 54.8 million for the first nine months of 2021, compared to $ 54.2 million for the first nine months of 2020. Operating results improved at education and automotive, offset by declines at manufacturing and television broadcasting.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$336.0 million for the third quarter of 2021, up 11% from $302.5 million for the same period of 2020.</w:t>
      </w:r>
    </w:p>
    <w:p>
      <w:pPr>
        <w:spacing w:after="0"/>
        <w:rPr>
          <w:sz w:val="20"/>
          <w:szCs w:val="20"/>
          <w:color w:val="auto"/>
        </w:rPr>
      </w:pPr>
      <w:r>
        <w:rPr>
          <w:rFonts w:ascii="Arial" w:cs="Arial" w:eastAsia="Arial" w:hAnsi="Arial"/>
          <w:sz w:val="18"/>
          <w:szCs w:val="18"/>
          <w:color w:val="auto"/>
        </w:rPr>
        <w:t>Kaplan reported operating income of $9.9 million for the third quarter of 2021, compared to $3.3 million for the third quarter of 2020.</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9" w:right="419" w:bottom="1440" w:gutter="0" w:footer="0" w:header="0"/>
        </w:sectPr>
      </w:pPr>
    </w:p>
    <w:bookmarkStart w:id="29" w:name="page30"/>
    <w:bookmarkEnd w:id="29"/>
    <w:p>
      <w:pPr>
        <w:jc w:val="both"/>
        <w:ind w:right="360"/>
        <w:spacing w:after="0" w:line="229" w:lineRule="auto"/>
        <w:rPr>
          <w:sz w:val="20"/>
          <w:szCs w:val="20"/>
          <w:color w:val="auto"/>
        </w:rPr>
      </w:pPr>
      <w:r>
        <w:rPr>
          <w:rFonts w:ascii="Arial" w:cs="Arial" w:eastAsia="Arial" w:hAnsi="Arial"/>
          <w:sz w:val="18"/>
          <w:szCs w:val="18"/>
          <w:color w:val="auto"/>
        </w:rPr>
        <w:t>For the first nine months of 2021, education division revenue totaled $1,005.3 million, up 1% from revenue of $992.0 million for the same period of 2020. Kaplan reported operating income of $42.0 million for the first nine months of 2021, compared to $20.3 million for the first nine months of 2020.</w:t>
      </w:r>
    </w:p>
    <w:p>
      <w:pPr>
        <w:spacing w:after="0" w:line="137" w:lineRule="exact"/>
        <w:rPr>
          <w:sz w:val="20"/>
          <w:szCs w:val="20"/>
          <w:color w:val="auto"/>
        </w:rPr>
      </w:pPr>
    </w:p>
    <w:p>
      <w:pPr>
        <w:jc w:val="both"/>
        <w:ind w:right="380"/>
        <w:spacing w:after="0" w:line="235" w:lineRule="auto"/>
        <w:rPr>
          <w:sz w:val="20"/>
          <w:szCs w:val="20"/>
          <w:color w:val="auto"/>
        </w:rPr>
      </w:pPr>
      <w:r>
        <w:rPr>
          <w:rFonts w:ascii="Arial" w:cs="Arial" w:eastAsia="Arial" w:hAnsi="Arial"/>
          <w:sz w:val="18"/>
          <w:szCs w:val="18"/>
          <w:color w:val="auto"/>
        </w:rPr>
        <w:t>The COVID-19 pandemic adversely impacted Kaplan’s operating results beginning in February 2020 and continued through the first nine months of 2021.</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for the remainder of 2021, particularly at Kaplan International Languages (Languages).</w:t>
      </w:r>
    </w:p>
    <w:p>
      <w:pPr>
        <w:spacing w:after="0" w:line="13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To help mitigate the adverse impact of COVID-19, Kaplan implemented a number of significant cost reduction and restructuring activities across its businesses. Related to these restructuring activities, Kaplan recorded $0.1 million and $3.3 million in impairment of long-lived assets charges in the third quarter and first nine months of 2021, respectively. In the first nine months of 2020, Kaplan recorded $ 12.5 million in lease restructuring costs and in the third quarter and first nine months of 2020, Kaplan recorded $1.9 million and $3.1 million in severance restructuring costs, respectively. The lease restructuring costs included $3.4 million in accelerated depreciation expense in the first nine months of 2020. Kaplan also recorded $ 1.9 million and $11.9 million in lease impairment charges in connection with these restructuring plans in the third quarter and first nine months of 2020, respectively. These impairment charges included $0.2 million and $2.2 million in property, plant and equipment write-downs in the third quarter and first nine months, respectively. In the second and third quarters of 2020, the Company approved Separation Incentive Programs (SIP) that reduced the number of employees at all of Kaplan’s divisions, resulting in $7.8 million and $12.8 million in non-operating pension expense in the third quarter and first nine months of 2020, respectively. Kaplan management is continuing to monitor the ongoing COVID-19 disruptions and changes in its operating environment and may develop and implement further restructuring activities in 2021.</w:t>
      </w:r>
    </w:p>
    <w:p>
      <w:pPr>
        <w:spacing w:after="0" w:line="143"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 with students, universities and businesses. For financial reporting purposes, KNA is reported in two segments: Higher Education and Supplemental Education (combining Kaplan Test Prep and Kaplan Professional (U.S.) into one reporting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 Change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168,143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123,768</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36</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521,314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488,096</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85,518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83,841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239,944</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243,831</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80,489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92,568</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238,055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253,641</w:t>
            </w: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3,761</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10,739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9,438</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(1,912)</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(4,752)</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335,999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302,467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1,005,300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992,020</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(999)</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23,285</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(13,759)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93</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21,256</w:t>
            </w: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9,525</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6,853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18,152</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21,883</w:t>
            </w: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11,769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19,069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33,079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12,849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(6,426)</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(2,579)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(17,375)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(10,971)</w:t>
            </w: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(3,888)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(11,967)</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(12,807)</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(1,916)</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(3,273)</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(11,936)</w:t>
            </w:r>
          </w:p>
        </w:tc>
        <w:tc>
          <w:tcPr>
            <w:tcW w:w="10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97</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9,914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41,998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ind w:right="20"/>
        <w:spacing w:after="0" w:line="221"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36% and 7% for the third quarter and first nine months of 2021, respectively (increase of 31% and decrease of 1%, respectively, on a constant currency basis). The increase in the third quarter is due largely to growth at Pathways, UK Professional and Languages. The increase for the first nine months is due largely to growth at UK Professional and Pathways, partially offset by declines at Languages. Kaplan International reported an operating loss of $1.0 million in the third quarter of 2021, compared to $13.8 million in the third quarter of 2020. Operating income increased to $23.3 million in the first nine months of 2021, compared to $21.3 million in the first nine months of 2020. The increase in operating results in the third quarter and first nine months of 2021 is due to a reduction in losses at Languages, and improved results at Pathways and UK Professional. Overall, Kaplan International’s operating results were negatively impacted by $5 million and $ 31 million in losses, respectively, incurred at Languages from continued significant COVID-19 disruptions for the third quarter and first nine months of 2021. In addition, Kaplan International recorded $ 3.9 million of lease restructuring costs and $ 2.2 million of severance restructuring costs at Languages in the first nine months of 2020; the lease restructuring costs included $1.5 million in accelerated depreciation expense. Due to the travel restrictions imposed as a result of COVID-19, Kaplan expects the disruption of its Languages business operating environment to continue for the remainder of 2021.</w:t>
      </w:r>
    </w:p>
    <w:p>
      <w:pPr>
        <w:spacing w:after="0" w:line="14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In the third quarter of 2021, Higher Education revenue increased 2% due to an increase in the Purdue Global fee recorded, resulting in increased operating income for the quarter. For the first nine months of 2021, Higher Education revenue was down 2% and operating income declined due to a reduction in the overall Purdue Global fee recorded during this period. For the third quarter and first nine months of 2021, Kaplan recorded a portion of the fee with Purdue Global based on an assessment of its collectability under the TOSA with a lower fee recognized in the first half of 2021 due to less cash available for distribution at June 30, 2021 due to timing of cash receipts at Purdue Global. The Company will continue to assess the collectability of the fee with Purdue Global on a quarterly basis to make a determination as to whether to record all or part of the fee in the future and whether to make adjustments to fee amounts recognized in earlier periods. For the first nine months of 2020, Kaplan Higher Education recorded $3.5 million in lease restructuring costs, of which $0.1 million was accelerated depreciation expense.</w:t>
      </w:r>
    </w:p>
    <w:p>
      <w:pPr>
        <w:spacing w:after="0" w:line="140"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As of September 30, 2021, Kaplan had a total outstanding accounts receivable balance of $113.5 million from Purdue Global related to amounts due for reimbursements for services, fees earned and a deferred fee. Included in this total, Kaplan has a $19.1 million long-term receivable balance due from Purdue Global at September 30, 2021, related to the advance of $20 million during the initial KU Transaction.</w:t>
      </w:r>
    </w:p>
    <w:p>
      <w:pPr>
        <w:spacing w:after="0" w:line="130"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13% and 6%, respectively, for the third quarter and first nine months of 2021, due to additional revenue recognized in the third quarter of 2020 from product-life extensions made earlier in 2020 related to the postponement of various standardized test and certification exam dates due to COVID-19, offset in part by growth in securities and insurance programs. Operating results were down in the third quarter of 2021 due largely to additional revenue recognized in the third quarter of 2020 from product-life extensions made earlier in 2020 related to the postponement of various standardized test and certification exam dates due to COVID-19. Operating results improved in the first nine months of 2021 due to savings from restructuring activities implemented in 2020, $5.1 million of lease restructuring costs incurred in the second quarter of 2020 (of which $1.8 million was accelerated depreciation), and $0.9 million in severance restructuring costs incurred in the third quarter of 2020.</w:t>
      </w:r>
    </w:p>
    <w:p>
      <w:pPr>
        <w:spacing w:after="0" w:line="140"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the first nine months of 2021 due to normalization of compensation costs compared to 2020, which included salary abatements and reduced incentive compensation accruals.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6"/>
                <w:szCs w:val="16"/>
                <w:color w:val="auto"/>
              </w:rPr>
            </w:pPr>
          </w:p>
        </w:tc>
      </w:tr>
      <w:tr>
        <w:trPr>
          <w:trHeight w:val="208"/>
        </w:trPr>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8"/>
                <w:szCs w:val="18"/>
                <w:color w:val="auto"/>
              </w:rPr>
            </w:pPr>
          </w:p>
        </w:tc>
      </w:tr>
      <w:tr>
        <w:trPr>
          <w:trHeight w:val="19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14"/>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126,498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133,828</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360,089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350,038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r>
      <w:tr>
        <w:trPr>
          <w:trHeight w:val="225"/>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40,550</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52,745</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109,131</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112,148</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62"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Revenue at the television broadcasting division decreased 5% to $126.5 million in the third quarter of 2021, from $133.8 million in the same period of 2020. The revenue decrease is due to a $24.1 million decline in political advertising revenue, partially offset by increased local and national advertising revenues, which were adversely impacted in 2020 by reduced demand related to the COVID-19 pandemic, increased revenue from summer Olympics-related advertising revenue at the Company’s NBC affiliates, and a $2.8 million increase in retransmission revenues. The increase in local and national advertising was from growth in the home products, health and fitness,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1" w:name="page32"/>
    <w:bookmarkEnd w:id="31"/>
    <w:p>
      <w:pPr>
        <w:ind w:right="40"/>
        <w:spacing w:after="0" w:line="227" w:lineRule="auto"/>
        <w:rPr>
          <w:sz w:val="20"/>
          <w:szCs w:val="20"/>
          <w:color w:val="auto"/>
        </w:rPr>
      </w:pPr>
      <w:r>
        <w:rPr>
          <w:rFonts w:ascii="Arial" w:cs="Arial" w:eastAsia="Arial" w:hAnsi="Arial"/>
          <w:sz w:val="18"/>
          <w:szCs w:val="18"/>
          <w:color w:val="auto"/>
        </w:rPr>
        <w:t>and sports betting categories. In the third quarter of 2021 and 2020, the television broadcasting division recorded $0.1 million and $1.2 million, respectively, in reductions to operating expenses related to property, plant and equipment gains due to new equipment received at no cost in connection with the spectrum repacking mandate of the FCC. Operating income for the third quarter of 2021 decreased 23% to $40.6 million, from $52.7 million in the same period of 2020, due to reduced revenues and higher network fees.</w:t>
      </w:r>
    </w:p>
    <w:p>
      <w:pPr>
        <w:spacing w:after="0" w:line="135"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Revenue at the television broadcasting division increased 3% to $360.1 million in the first nine months of 2021, from $350.0 million in the same period of 2020. The revenue increase is due to increased local and national advertising revenues, which were adversely impacted in 2020 by reduced demand related to the COVID-19 pandemic, an $8.7 million increase in retransmission revenues, and increased revenue from summer Olympics-related advertising revenue at the Company’s NBC affiliates, partially offset by a $38.1 million decline in political advertising revenue. The increase in local and national advertising was from growth in the home products, health and fitness, and sports betting categories. In the first nine months of 2021 and 2020, the television broadcasting division recorded $0.9 million and $2.5 million, respectively, in reductions to operating expenses related to property, plant and equipment gains due to new equipment received at no cost in connection with the spectrum repacking mandate of the FCC. Operating income for the first nine months of 2021 decreased 3% to $109.1 million, from $112.1 million in the same period of 2020, due to higher network fees.</w:t>
      </w:r>
    </w:p>
    <w:p>
      <w:pPr>
        <w:spacing w:after="0" w:line="140"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In March 2021, the Company’s television stations located in Orlando, FL and Jacksonville, FL received approval of their FCC license renewals through February 1, 2029.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6"/>
                <w:szCs w:val="16"/>
                <w:color w:val="auto"/>
              </w:rPr>
            </w:pPr>
          </w:p>
        </w:tc>
      </w:tr>
      <w:tr>
        <w:trPr>
          <w:trHeight w:val="208"/>
        </w:trPr>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8"/>
                <w:szCs w:val="18"/>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1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99,766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106,690</w:t>
            </w:r>
          </w:p>
        </w:tc>
        <w:tc>
          <w:tcPr>
            <w:tcW w:w="1300" w:type="dxa"/>
            <w:vAlign w:val="bottom"/>
          </w:tcPr>
          <w:p>
            <w:pPr>
              <w:ind w:left="980"/>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356,849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303,387</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w:t>
            </w:r>
          </w:p>
        </w:tc>
      </w:tr>
      <w:tr>
        <w:trPr>
          <w:trHeight w:val="225"/>
        </w:trPr>
        <w:tc>
          <w:tcPr>
            <w:tcW w:w="410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4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(39,483)</w:t>
            </w:r>
          </w:p>
        </w:tc>
        <w:tc>
          <w:tcPr>
            <w:tcW w:w="3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4,851</w:t>
            </w:r>
          </w:p>
        </w:tc>
        <w:tc>
          <w:tcPr>
            <w:tcW w:w="1300" w:type="dxa"/>
            <w:vAlign w:val="bottom"/>
          </w:tcPr>
          <w:p>
            <w:pPr>
              <w:ind w:left="9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ind w:left="240"/>
              <w:spacing w:after="0"/>
              <w:rPr>
                <w:sz w:val="20"/>
                <w:szCs w:val="20"/>
                <w:color w:val="auto"/>
              </w:rPr>
            </w:pPr>
            <w:r>
              <w:rPr>
                <w:rFonts w:ascii="Arial" w:cs="Arial" w:eastAsia="Arial" w:hAnsi="Arial"/>
                <w:sz w:val="16"/>
                <w:szCs w:val="16"/>
                <w:b w:val="1"/>
                <w:bCs w:val="1"/>
                <w:color w:val="auto"/>
              </w:rPr>
              <w:t>(18,148)</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9,870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Manufacturing revenues decreased 6% in the third quarter of 2021, due primarily to a reduction in revenues at Hoover from lower wood prices during the quarter and lower product demand. Manufacturing revenue increased 18% in the first nine months of 2021, due primarily to significantly increased revenues at Hoover from substantially higher wood prices in 2021 and improved product demand, partially offset by reduced revenues at Dekko from lower product demand, particularly in the commercial office electrical products and hospitality sectors. Wood prices began to decline in June 2021 and this trend has continued through September 2021, which resulted in significant losses on inventory sales at Hoover in the third quarter of 2021. For the first nine months of 2021, Hoover’s operating results reflect overall gains on inventory sales. Manufacturing operating results declined in the third quarter of 2021 due to a significant loss at Hoover from substantial losses on inventory sales, and a $26.7 million goodwill impairment charge recorded at Dekko, due to continued weakness in demand for certain Dekko products related to the COVID-19 pandemic, increases in labor and commodity costs and related supply chain challenges. Manufacturing operating results declined in the first nine months of 2021 due primarily to the Dekko goodwill impairment charge.</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 manufacturing facilities. In connection with this activity, Dekko is in the process of implementing a SIP for the affected employees, resulting in $1.1 million in non-operating SIP expense recorded in the second quarter of 2021, to be funded by the assets of the Company's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6"/>
                <w:szCs w:val="16"/>
                <w:color w:val="auto"/>
              </w:rPr>
            </w:pPr>
          </w:p>
        </w:tc>
      </w:tr>
      <w:tr>
        <w:trPr>
          <w:trHeight w:val="209"/>
        </w:trPr>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8"/>
                <w:szCs w:val="18"/>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1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55,445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51,426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160,184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146,601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w:t>
            </w:r>
          </w:p>
        </w:tc>
      </w:tr>
      <w:tr>
        <w:trPr>
          <w:trHeight w:val="225"/>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5,260</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8,142</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20,995</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20,129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r>
    </w:tbl>
    <w:p>
      <w:pPr>
        <w:spacing w:after="0" w:line="24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Graham Healthcare Group (GHG) provides home health and hospice services in three states. GHG provides other healthcare services, including nursing care and prescription services for patients receiving in-home infusion treatments through its 75% interest in CSI Pharmacy Holdings Company, LLC (CSI). Healthcare revenues increased 8% and 9% for the third quarter and first nine months of 2021, respectively, largely due to growth at CSI</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spacing w:after="0" w:line="229" w:lineRule="auto"/>
        <w:rPr>
          <w:sz w:val="20"/>
          <w:szCs w:val="20"/>
          <w:color w:val="auto"/>
        </w:rPr>
      </w:pPr>
      <w:r>
        <w:rPr>
          <w:rFonts w:ascii="Arial" w:cs="Arial" w:eastAsia="Arial" w:hAnsi="Arial"/>
          <w:sz w:val="18"/>
          <w:szCs w:val="18"/>
          <w:color w:val="auto"/>
        </w:rPr>
        <w:t>and home health services. The decline in GHG operating results in the third quarter of 2021 was primarily due to lower patient census for hospice services and increased business development costs. The increase in GHG operating results in the first nine months of 2021 is due to improved results from home health services and CSI, offset by a decline in results from hospice services.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second quarter of 2020, GHG received $7.4 million from the Federal Coronavirus Aid, Relief, and Economic Security Act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and $0.2 million in revenue in the second and third quarters of 2020, respectively, to partially offset the impact of revenue reductions due to the COVID-19 pandemic from the curtailment of elective procedures by health systems and other factors. The remaining amount of $1.7 million was recorded as a credit to operating costs in the second quarter of 2020 to partially offset the impact of costs incurred to procure personal protective equipment for GHG employees and other COVID-19 related costs.</w:t>
      </w:r>
    </w:p>
    <w:p>
      <w:pPr>
        <w:spacing w:after="0" w:line="135"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The Company recorded equity in earnings of $2.5 million and $2.8 million for the third quarter of 2021 and 2020, respectively, from these joint ventures. The Company recorded equity in earnings of $8.0 million and $8.3 million for the first nine months of 2021 and 2020, respectively, from these joint ventures.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6"/>
                <w:szCs w:val="16"/>
                <w:color w:val="auto"/>
              </w:rPr>
            </w:pPr>
          </w:p>
        </w:tc>
      </w:tr>
      <w:tr>
        <w:trPr>
          <w:trHeight w:val="208"/>
        </w:trPr>
        <w:tc>
          <w:tcPr>
            <w:tcW w:w="4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right="16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8"/>
                <w:szCs w:val="18"/>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410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84,702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76,790</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242,702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182,288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33</w:t>
            </w:r>
          </w:p>
        </w:tc>
      </w:tr>
      <w:tr>
        <w:trPr>
          <w:trHeight w:val="225"/>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9"/>
                <w:szCs w:val="19"/>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b w:val="1"/>
                <w:bCs w:val="1"/>
                <w:color w:val="auto"/>
              </w:rPr>
              <w:t>4,506</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1,986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8,815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Automotive includes three automotive dealerships in the Washington, D.C. metropolitan area: Lexus of Rockville, Honda of Tysons Corner, and Ourisman Jeep of Bethesda. Revenues for the third quarter and first nine months of 2021 increased 10% and 33%, respectively, due to sales growth at each of the three dealerships, due partly to significantly reduced demand for sales and service in the first half of 2020 at the onset of the COVID-19 pandemic in March 2020, and higher average new and used car selling prices as a result of strong consumer demand and inventory shortages related to supply chain disruptions and production delays at vehicle manufacturers. In the first quarter of 2020, the Company’s automotive dealerships recorded a $6.7 million intangible asset impairment charge as a result of the pandemic and the related recessionary conditions. Operating earnings for the third quarter and first nine months of 2021 improved significantly from the prior year due to increased sales and margins, in addition to the impairment charge recorded in the first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mid-March 2020 through mid-June 2020, pursuant to government orders, maintaining limited operations for outdoor dining, delivery and pickup. CRG recorded a $9.7 million goodwill and intangible assets impairment charge in the first quarter of 2020. In June 2020, CRG made the decision to close its restaurant and entertainment venue in Columbia, MD effective July 19, 2020, resulting in accelerated depreciation of property, plant and equipment totaling $2.8 million in the second quarter of 2020; an additional $2.8 million in accelerated depreciation was recorded in the third quarter of 2020. In December 2020, CRG temporarily closed its restaurant dining rooms in Maryland and the District of Columbia for the second time, reopening again for limited indoor dining service in mid-February 2021. Dining restrictions from government orders were substantially lifted for all of CRG’s operations by the end of the second quarter of 2021.</w:t>
      </w:r>
    </w:p>
    <w:p>
      <w:pPr>
        <w:spacing w:after="0" w:line="140"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Overall, CRG incurred operating losses in each of the third quarters and first nine months of 2021 and 2020 due to limited revenues and costs incurred to maintain its facilities and support its employees; however, the losses incurred in 2021 were significantly lower than the losses incurred in 2020. While CRG revenues have been adversely impacted as a result of the pandemic, such revenues improved steadily in each of the first three quarters of 2021. CRG continues to develop and implement initiatives to increase sales and reduce costs to mitigate the impact of COVID-19.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ind w:right="80"/>
        <w:spacing w:after="0" w:line="225" w:lineRule="auto"/>
        <w:rPr>
          <w:sz w:val="20"/>
          <w:szCs w:val="20"/>
          <w:color w:val="auto"/>
        </w:rPr>
      </w:pPr>
      <w:r>
        <w:rPr>
          <w:rFonts w:ascii="Arial" w:cs="Arial" w:eastAsia="Arial" w:hAnsi="Arial"/>
          <w:sz w:val="18"/>
          <w:szCs w:val="18"/>
          <w:color w:val="auto"/>
        </w:rPr>
        <w:t>At the end of the third quarter of 2021, Framebridge had twelve retail locations in the Washington, DC, New York City, Atlanta, GA, Philadelphia, PA, Boston, MA and Chicago, IL areas and three manufacturing facilities in Kentucky and New Jersey. Framebridge expects to open four additional stores in the Chicago, IL and New York City areas in the fourth quarter of 2021, with plans for additional expansion in 2022. Framebridge revenues for the third quarter and first nine months of 2021 increased from the prior year. Framebridge is an investment stage business and reported significant operating losses in the first nine months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 3 revenue was up in the third quarter of 2021, due to strong growth in creative and commerce revenues. Code 3 revenue was down in the first nine months of 2021, due to overall sluggish marketing spending by some advertising clients, offset by strong growth in creative and commerce revenues. Code3 reported operating losses in the first nine months of 2021 and 2020. For the third quarter of 2021, however, Code 3 reported operating income due largely to revenue growth. In the second quarter of 2021, Code 3 recorded a $1.6 million lease impairment charge (including $0.4 million in property, plant and equipment write-downs). In the second quarter of 2020, Code3 recorded a $ 1.5 million lease impairment charge (including $0.1 million in property, plant and equipment write-downs) in connection with a restructuring plan that included other cost reduction initiatives. These initiatives included the approval of a SIP that reduced the number of employees at Code3, resulting in $1.0 million in non-operating pension expense in the second quarter of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June 14, 2021, the Company closed on the acquisition of all outstanding shares of common stock of Leaf Group Ltd. (Leaf) at $8.50 per share in an all cash transaction valued at approximately $322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135"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The Leaf operating results for the period June 14, 2021 to September 30, 2021 are included in other businesses. Leaf has three major operating divisions: Society6 Group and Saatchi Art Group (Marketplace businesses) and the Media Group. For the third quarter of 2021, revenue for Society6 Group declined, as Society6 Group reported rapid growth in the third quarter of 2020, largely related to the COVID-19 pandemic. The Media Group and Saatchi Art Group each reported revenue growth in the third quarter of 2021. Overall, Leaf reported an operating loss for the third quarter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 businesses, CyberVista, Decile and Pinna, as well as City Cast, a local daily podcast business that began operations in 2021. All of these businesses reported revenue increases in the first nine months of 2021. Losses from each of these six businesses in the first nine months of 2021 adversely affected operating results.</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Overall, for the third quarter of 2021, operating revenues for other businesses increased due largely to the Leaf acquisition and increases at CRG, partially offset by declines due to the sale of Megaphone in December 2020. For the first nine months of 2021, operating revenues for other businesses increased due largely to increases from the Framebridge and Leaf acquisitions and increases at CRG, partially offset due to the sale of Megaphone in December 2020. Operating results improved in the first nine months of 2021 primarily due to improvements at CRG, in addition to the goodwill and other long-lived asset impairment charges recorded in the first quarter of 2020 at CRG, partially offset by losses at Framebridge and Leaf.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increased in the first nine months of 2021 due primarily to higher compensation costs, offset by a credit related to the fair value change in contingent consideration related to the Framebridge acquisition.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At September 30, 2021, the Company held an approximate 12% interest in Intersection Holdings, LLC (Intersection),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Overall, the Company recorded equity in earnings of affiliates of $13.0 million for the third quarter of 2021, compared to $4.1 million for the third quarter of 2020. These amounts include $16.7 million and $0.8 million in net earnings for the third quarter of 2021 and 2020, respectively, from affiliates whose operations are not managed by the Company. The Company recorded $6.4 million in write-downs in equity in earnings of affiliates related to one of its investments in the third quarter of 2021.</w:t>
      </w:r>
    </w:p>
    <w:p>
      <w:pPr>
        <w:spacing w:after="0" w:line="13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recorded equity in earnings of affiliates of $28.2 million for the first nine months of 2021, compared to $3.7 million for the first nine months of 2020. These amounts include $25.6 million in net earnings for the first nine months of 2021 and $2.9 million in net losses for the first nine months of 2020 from affiliates whose operations are not managed by the Company; this includes losses from the Company’s investment in Intersection in the first nine months of 2021. The Company recorded $6.4 million in write-downs in equity in earnings of affiliates related to one of its investments in the third quarter of 2021 and $3.6 million in write-downs in equity in earnings of affiliates related to two of its investments in the first quarter of 2020.</w:t>
      </w:r>
    </w:p>
    <w:p>
      <w:pPr>
        <w:spacing w:after="0" w:line="137"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recessionary environment resulting from the COVID-19 pandemic adversely impacted the underlying businesses of Intersection due to lower marketing spending by advertising clients. The decline in revenues adversely impacted the operating results and liquidity of the business since the onset of the COVID-19 pandemic. The Company concluded that these events are not indicative of an other than temporary decline in the value of its investment to an amount less than its carrying value. Given the uncertain economic impact of the COVID-19 pandemic, it is possible that an other than temporary impairment charge could occur in the future should Intersection fail to execute on its operating strategy to address the decline in revenues and operating results. Further, the Company recorded a $13.1 million loss in equity earnings related to Intersection in the first nine months of 2021 and expects to record additional losses for the remainder of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incurred net interest expense of $9.4 million and $22.5 million for the third quarter and first nine months of 2021, respectively; compared to $6.4 million and $19.3 million for the third quarter and first nine months of 2020, respectively. The Company recorded net interest expense of $2.6 million in the third quarter of 2021 and $2.7 million in the first nine months of 2021 to adjust the fair value of the mandatorily redeemable noncontrolling interest at GHG.</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At September 30, 2021, the Company had $555.9 million in borrowings outstanding at an average interest rate of 4.8% and cash, marketable equity securities and other investments of $928.0 million. At September 30, 2021, the Company had $122.3 million outstanding on its $300 million revolving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$27.6 million and $ 81.6 million for the third quarter and first nine months of 2021, respectively; compared to $10.5 million and $41.0 million for the third quarter and first nine months of 2020, respectively.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 In the third quarter of 2020, the Company recorded $7.8 million in expenses related to a non-operating SIP at the education division. In the second quarter of 2020, the Company recorded $6.0 million in expenses related to non-operating SIPs at the education division and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Overall, the Company recognized $14.1 million and $177.0 million in net gains on marketable equity securities in the third quarter and first nine months of 2021, respectively; compared to $59.4 million in net gains and $1.1 million in net losses on marketable equity securities in the third quarter and first nine months of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recorded total other non-operating income, net, of $5.2 million for the third quarter of 2021, compared to $0.2 million for the third quarter of 2020. The 2021 amounts included other items. The 2020 amounts included a $1.6 million fair value increase on a cost method investment and other items; partially offset by $2.3 million in foreign currency losses.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5" w:name="page36"/>
    <w:bookmarkEnd w:id="35"/>
    <w:p>
      <w:pPr>
        <w:spacing w:after="0" w:line="225" w:lineRule="auto"/>
        <w:rPr>
          <w:sz w:val="20"/>
          <w:szCs w:val="20"/>
          <w:color w:val="auto"/>
        </w:rPr>
      </w:pPr>
      <w:r>
        <w:rPr>
          <w:rFonts w:ascii="Arial" w:cs="Arial" w:eastAsia="Arial" w:hAnsi="Arial"/>
          <w:sz w:val="18"/>
          <w:szCs w:val="18"/>
          <w:color w:val="auto"/>
        </w:rPr>
        <w:t>The Company recorded total other non-operating income, net of $27.7 million for the first nine months of 2021, compared to $11.0 million for the first nine months of 2020. The 2021 amounts included $6.8 million in gains on sales of cost method investments; $10.5 million in fair value increases on cost method investments and other items. The 2020 amounts included a $4.2 million fair value increase on a cost method investment; a $3.7 million gain on acquiring a controlling interest in an equity affiliate; $1.4 million net gain on sales of equity affiliates, $0.9 million in foreign currency gains and other items; partially offset by $2.6 million in impairments on cost method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Company’s effective tax rate for the first nine months of 2021 and 2020 was 22.6% and 29.6%, respectively. The Company’s effective tax rate for 2021 was favorably impacted by a $15.7 million deferred tax adjustment arising from a change in the estimated deferred state income tax rate attributable to the apportionment formula used in the calculation of deferred taxes related to the Company’s pension and other postretirement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calculation of diluted earnings per share for the third quarter and first nine months of 2021 was based on 4,976,998 and 4,980,056 weighted average shares outstanding, respectively, compared to 5,071,998 and 5,191,556, respectively, for the third quarter and first nine months of 2020. At September 30, 2021, there were 4,965,396 shares outstanding. On September 10, 2020, the Board of Directors authorized the Company to acquire up to 500,000 shares of its Class B common stock; the Company has remaining authorization for 327,640 shares as of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2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133,882</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413,991</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15,054</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779,073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587,582</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555,889</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512,555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 amounting to $177.7 million at September 30, 2021.</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 provide stimulus in the form of financial aid to businesses affected by the COVID-19 pandemic. Under the CARES Act, employers may defer the payment of the employer share of FICA taxes due for the period beginning on March 27, 2020, and ending December 31, 2020. As of September 30, 2021, the Company has deferred $21.4 million of FICA payments under this program, of which 50% is due by December 31, 2021 and the remaining balance due by December 31, 2022.</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the second quarter of 2020, GHG received $7.4 million under the CARES Act as a general distribution from the Provider Relief Fund to provide relief for lost revenues and expenses incurred in connection with C\OVID-19. In addition to the above distribution, in April 2020, GHG applied for and received $31.5 million under the expanded Medicare Accelerated and Advanced Payment Program, modified by the CARES Act. The Department of Health and Human Services (HHS) started to recoup this advance in April 2021 by withholding a portion of the amount reimbursed for claims submitted for services provided after the beginning of the recoupment period. During the three and nine months ended September 30, 2021, an amount of $6.6 million and $11.6 million, respectively, was withheld by HHS and the Company expects the remaining balance of $19.9 million to be withheld from claims submitted in the next twelve months.</w:t>
      </w:r>
    </w:p>
    <w:p>
      <w:pPr>
        <w:spacing w:after="0" w:line="135"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 payments, and loans. During the first nine months of 2021, Kaplan recorded benefits totaling $4.1 million related to job retention and payroll schemes, mostly at Kaplan International.</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the first nine months of 2021, the Company’s cash and cash equivalents decreased by $280.1 million, due to the acquisition of Leaf, the purchase of marketable equity securities, deferred payments on previous acquisitions, capital expenditures, dividend payments and share repurchases, which was offset by cash generated from</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6" w:name="page37"/>
    <w:bookmarkEnd w:id="36"/>
    <w:p>
      <w:pPr>
        <w:ind w:right="560"/>
        <w:spacing w:after="0" w:line="235" w:lineRule="auto"/>
        <w:rPr>
          <w:sz w:val="20"/>
          <w:szCs w:val="20"/>
          <w:color w:val="auto"/>
        </w:rPr>
      </w:pPr>
      <w:r>
        <w:rPr>
          <w:rFonts w:ascii="Arial" w:cs="Arial" w:eastAsia="Arial" w:hAnsi="Arial"/>
          <w:sz w:val="18"/>
          <w:szCs w:val="18"/>
          <w:color w:val="auto"/>
        </w:rPr>
        <w:t>operations and the proceeds from the sale of marketable equity securities. In the first nine months of 2021, the Company’s borrowings increased by $43.3 million, due to additional borrowings under the revolving credit facility, which were partially offset by repayments.</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had no money market investments as of September 30, 2021, compared to $268.8 million at December 31, 2020, which are included in cash and cash equivalents. At September 30, 2021, the Company held approximately $98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At September 30, 2021, the fair value of the Company’s investments in marketable equity securities was $764.8 million, which includes investments in the common stock of seven publicly traded companies. The Company purchased $48.0 million of marketable equity securities during the first nine months of 2021. During the first nine months of 2021, the Company sold marketable equity securities that generated proceeds of $38.3 million. At September 30, 2021, the net unrealized gain related to the Company’s investments totaled $489.0 million.</w:t>
      </w:r>
    </w:p>
    <w:p>
      <w:pPr>
        <w:spacing w:after="0" w:line="136"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The Company had working capital of $681.0 million and $ 824.5 million at September 30, 2021 and December 31, 2020,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At September 30, 2021 and December 31, 2020, the Company had borrowings outstanding of $555.9 million and $512.6 million, respectively. The Company’s borrowings at September 30, 2021 were mostly from $ 400.0 million of 5.75% unsecured notes due June 1, 2026, $122.3 million in outstanding borrowings under the Company’s revolving credit facility and a commercial note of $23.0 million at the Automotive subsidiary. The Company’s borrowings at December 31, 2020 were mostly from $400.0 million of 5.75% unsecured notes due June 1, 2026, £55 million in outstanding borrowings under the Company’s revolving credit facility and a commercial note of $25.3 million at the Automotive subsidiary. The interest on the $400.0 million of 5.75% unsecured notes is payable semiannually on June 1 and December 1.</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During the nine months ended September 30, 2021 and 2020, the Company had average borrowings outstanding of approximately $531.3 million and $512.8 million, respectively, at average annual interest rates of approximately 4.9% and 5.1%, respectively. During the nine months ended September 30, 2021 and 2020, the Company incurred net interest expense of $22.5 million and $19.3 million, respectively.</w:t>
      </w:r>
    </w:p>
    <w:p>
      <w:pPr>
        <w:spacing w:after="0" w:line="137"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On June 3, 2021, Moody’s affirmed the Company’s credit ratings, but revised the outlook from Negative to Stable. On April 27, 2021, Standard &amp; Poor’s affirmed the Company’s credit rating and revised the outlook from Negative to Stable.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30"/>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 expects to fund its estimated capital needs through existing cash balances and internally generated funds, and, as needed, from borrowings under its revolving credit facility. As of September 30, 2021, the Company had $122.3 million outstanding under the $300 million revolving credit facility, which borrowing was used to purchase land and buildings at Kaplan International’s sixth-form college in London, U.K. and at the automotive division in the third quarter of 2021, and to repay the £60 million Kaplan U.K. credit facility that matured at the end of June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8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197,271</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240,890</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(420,456)</w:t>
            </w:r>
          </w:p>
        </w:tc>
        <w:tc>
          <w:tcPr>
            <w:tcW w:w="5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12,722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(48,025)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(153,674)</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(2,908)</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(274,118)</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97,209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7" w:name="page38"/>
    <w:bookmarkEnd w:id="37"/>
    <w:p>
      <w:pPr>
        <w:ind w:right="34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268,244</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63,025</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127,261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130,568</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55,246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70,214</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(68,644)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(27,669)</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(156,326)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7,895</w:t>
            </w:r>
          </w:p>
        </w:tc>
      </w:tr>
      <w:tr>
        <w:trPr>
          <w:trHeight w:val="242"/>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(28,510)</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197,271</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the first nine months of 2021 compared to the first nine months of 2020, the decrease in net cash provided by operating activities is primarily driven by lower net income, net of non-cash adjustments, and changes in operating assets and liabilities. Changes in operating assets and liabilities were primarily the result of a decrease in the collection of cash from customers that were partially offset by lower vendor payments at Code3, and changes in the income tax receivable and inventory balances.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provided by investing activities were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right="2600"/>
        <w:spacing w:after="0" w:line="306" w:lineRule="auto"/>
        <w:rPr>
          <w:sz w:val="20"/>
          <w:szCs w:val="20"/>
          <w:color w:val="auto"/>
        </w:rPr>
      </w:pPr>
      <w:r>
        <w:rPr>
          <w:rFonts w:ascii="Arial" w:cs="Arial" w:eastAsia="Arial" w:hAnsi="Arial"/>
          <w:sz w:val="16"/>
          <w:szCs w:val="16"/>
          <w:color w:val="auto"/>
        </w:rPr>
        <w:t>Net (purchases of) proceeds from sales of marketable equity securities Investments in equity affiliates, cost method and other investments Other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(272,428)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(20,080)</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(140,935)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(56,121)</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(9,728)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93,775</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(6,610)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(8,298)</w:t>
            </w:r>
          </w:p>
        </w:tc>
      </w:tr>
      <w:tr>
        <w:trPr>
          <w:trHeight w:val="243"/>
        </w:trPr>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9,245</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3,446</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(420,456)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12,722</w:t>
            </w:r>
          </w:p>
        </w:tc>
      </w:tr>
      <w:tr>
        <w:trPr>
          <w:trHeight w:val="27"/>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20"/>
          </w:cols>
          <w:pgMar w:left="320" w:top="927" w:right="339" w:bottom="1440" w:gutter="0" w:footer="0" w:header="0"/>
          <w:type w:val="continuous"/>
        </w:sectPr>
      </w:pPr>
    </w:p>
    <w:p>
      <w:pPr>
        <w:spacing w:after="0" w:line="11" w:lineRule="exact"/>
        <w:rPr>
          <w:sz w:val="20"/>
          <w:szCs w:val="20"/>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nine months of 2021, the Company acquired all of the outstanding shares of Leaf for cash and the assumption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$9.2 million in liabilities related to their pre-acquisition stock compensation plan, which will be paid in the future. Leaf is included in other businesses. During the first nine months of 2020, the Company acquired three businesses: two small businesses in its education division and an additional interest in Framebridge, Inc., which is included in other businesses. The Framebridge purchase price includes $54.3 million in deferred payments and contingent consideration based on the acquiree achieving certain revenue milestones in the future.</w:t>
      </w:r>
    </w:p>
    <w:p>
      <w:pPr>
        <w:spacing w:after="0" w:line="120"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for the first nine months of 2021 were higher than the first nine months of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land and building purchases at Kaplan International’s sixth-form college in London, U.K. and at the automotive division. In addition, 2020 includes capital expenditures in connection with spectrum repacking at the Company’s television stations in Detroit, MI, Jacksonville, FL, and Roanoke, VA, as mandated by the FCC; these expenditures were largely reimbursed to the Company by the FCC. The amounts reflected in the Company’s Condensed Consolidated Statements of Cash Flows are based on cash payments made during the relevant periods, whereas the Company’s capital expenditures for the first nine months of 2021 of $140.7 million include assets acquired during the quarter. The Company estimates that its capital expenditures will be in the range of $155 million to $165 million in 2021.</w:t>
      </w:r>
    </w:p>
    <w:p>
      <w:pPr>
        <w:spacing w:after="0" w:line="12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i w:val="1"/>
          <w:iCs w:val="1"/>
          <w:color w:val="auto"/>
        </w:rPr>
        <w:t xml:space="preserve">Net (purchases of) proceeds from sale of investments. </w:t>
      </w:r>
      <w:r>
        <w:rPr>
          <w:rFonts w:ascii="Arial" w:cs="Arial" w:eastAsia="Arial" w:hAnsi="Arial"/>
          <w:sz w:val="18"/>
          <w:szCs w:val="18"/>
          <w:color w:val="auto"/>
        </w:rPr>
        <w:t>The Company purchased $48.0 million of marketable equity securities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2021. During the first nine months of 2021 and 2020, the Company sold marketable equity securities that generated proceeds of $38.3 million and $93.8 million,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5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4"/>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(22,659)</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(22,870)</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on vehicle floor plan payable</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(15,035)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borrowings under revolving credit facility</w:t>
            </w:r>
          </w:p>
        </w:tc>
        <w:tc>
          <w:tcPr>
            <w:tcW w:w="3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37,696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75,905</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(16,878)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(75,841)</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22,684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(21,840)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(123,155)</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rPr>
              <w:t>(31,993)</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rPr>
              <w:t>(48,025)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(153,674)</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$1.51 and $1.45 for the first nine months of 2021 and 2020, respectively.</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Vehicle Floor Plan Payable and Borrowings. </w:t>
      </w:r>
      <w:r>
        <w:rPr>
          <w:rFonts w:ascii="Arial" w:cs="Arial" w:eastAsia="Arial" w:hAnsi="Arial"/>
          <w:sz w:val="18"/>
          <w:szCs w:val="18"/>
          <w:color w:val="auto"/>
        </w:rPr>
        <w:t>In the first nine months of 2021 and 2020, the Company used vehicle floor plan financing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of new and used vehicles at its automotive division. In the first nine months of 2021, the Company borrowed against the $300 million revolving credit facility, which borrowing was used to purchase land and buildings at Kaplan International’s sixth-form college in London, U.K. and at the automotive division in the third quarter of 2021. In the first nine months of 2020, the Company borrowed £60 million against the $300 million revolving credit facility and used the proceeds to repay the £60 million outstanding balance under the Kaplan Credit Agreement that matured at the end of June 2020.</w:t>
      </w:r>
    </w:p>
    <w:p>
      <w:pPr>
        <w:spacing w:after="0" w:line="6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nine months of 2021, the Company purchased a total of 36,511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$21.8 million. During the first nine months of 2020, the Company purchased a total of 321,864 shares of its Class B common stock at a cost of approximately $123.2 million. On September 10, 2020, the Board of Directors authorized the Company to acquire up to 500,000 shares of its Class B common stock. The Company did not announce a ceiling price or time limit for the purchases. At September 30, 2021, the Company had remaining authorization from the Board of Directors to purchase up to 327,640 shares of Class B common stock.</w:t>
      </w:r>
    </w:p>
    <w:p>
      <w:pPr>
        <w:spacing w:after="0" w:line="11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nine months of 2021, the Company paid $30.9 million related to contingent consideration and deferred payments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mostly for the 2020 acquisition of Framebridge. In March 2021, Hoover’s minority shareholders put their remaining outstanding shares to the Company, which had a redemption value of $3.5 million. During the first nine months of 2021, the Company increased the borrowings under its cash overdraft facilities by $1.1 million. During the first nine months of 2020, the Company increased the borrowings under its cash overdraft by $6.5 million and received $5.3 million in proceeds from the exercise of stock options.</w:t>
      </w:r>
    </w:p>
    <w:p>
      <w:pPr>
        <w:spacing w:after="0" w:line="13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2020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September 30, 2021.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2021</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the Annual Report on Form 10-K and the subsequently filed information included on Forms 10-Q, investors should carefully consider the following risk factors. If any of the events or developments described below occurs, it could have a material adverse effect on the Company’s business, financial condition or results of operations.</w:t>
      </w:r>
    </w:p>
    <w:p>
      <w:pPr>
        <w:spacing w:after="0" w:line="115" w:lineRule="exact"/>
        <w:rPr>
          <w:sz w:val="20"/>
          <w:szCs w:val="20"/>
          <w:color w:val="auto"/>
        </w:rPr>
      </w:pPr>
    </w:p>
    <w:p>
      <w:pPr>
        <w:ind w:left="260" w:right="140" w:hanging="252"/>
        <w:spacing w:after="0" w:line="256" w:lineRule="auto"/>
        <w:tabs>
          <w:tab w:leader="none" w:pos="2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New regulations on mandatory COVID-19 vaccination of employees could have a material adverse impact on our business and results of operations.</w:t>
      </w:r>
    </w:p>
    <w:p>
      <w:pPr>
        <w:spacing w:after="0" w:line="120"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September 9, 2021, President Biden directed the Occupational Safety and Health Administration (OSHA) to develop an emergency temporary standard (ETS) requiring all employers with at least 100 employees to mandate vaccination or weekly testing for their unvaccinated employees. OSHA has not yet issued the ETS. It is currently not possible to predict the impact the ETS will have on our workforce. As a company with more than 100 employees, we would be required to mandate COVID-19 vaccination of our workforce or our unvaccinated employees would require weekly testing. Additional vaccine mandates may be announced in jurisdictions in which our businesses operate. This may result in employee attrition and difficulty in meeting labor needs, which could have an adverse effect on future revenues and costs, which could be material. Accordingly, the proposed new regulation when implemented could have a material adverse effect on our business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0" w:name="page41"/>
    <w:bookmarkEnd w:id="40"/>
    <w:p>
      <w:pPr>
        <w:ind w:right="5180"/>
        <w:spacing w:after="0" w:line="444"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b w:val="1"/>
          <w:bCs w:val="1"/>
          <w:i w:val="1"/>
          <w:iCs w:val="1"/>
          <w:color w:val="auto"/>
        </w:rPr>
        <w:t>Purchases of Equity Securities by the Issuer and Affiliated Purchasers</w:t>
      </w:r>
    </w:p>
    <w:p>
      <w:pPr>
        <w:spacing w:after="0" w:line="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During the quarter ended September 30, 2021, the Company purchased shares of its Class B Common Stock as set forth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July</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364,151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August</w:t>
            </w:r>
          </w:p>
        </w:tc>
        <w:tc>
          <w:tcPr>
            <w:tcW w:w="1320" w:type="dxa"/>
            <w:vAlign w:val="bottom"/>
          </w:tcPr>
          <w:p>
            <w:pPr>
              <w:jc w:val="right"/>
              <w:spacing w:after="0"/>
              <w:rPr>
                <w:sz w:val="20"/>
                <w:szCs w:val="20"/>
                <w:color w:val="auto"/>
              </w:rPr>
            </w:pPr>
            <w:r>
              <w:rPr>
                <w:rFonts w:ascii="Arial" w:cs="Arial" w:eastAsia="Arial" w:hAnsi="Arial"/>
                <w:sz w:val="16"/>
                <w:szCs w:val="16"/>
                <w:color w:val="auto"/>
              </w:rPr>
              <w:t>8,216</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608.71</w:t>
            </w:r>
          </w:p>
        </w:tc>
        <w:tc>
          <w:tcPr>
            <w:tcW w:w="1720" w:type="dxa"/>
            <w:vAlign w:val="bottom"/>
          </w:tcPr>
          <w:p>
            <w:pPr>
              <w:jc w:val="right"/>
              <w:spacing w:after="0"/>
              <w:rPr>
                <w:sz w:val="20"/>
                <w:szCs w:val="20"/>
                <w:color w:val="auto"/>
              </w:rPr>
            </w:pPr>
            <w:r>
              <w:rPr>
                <w:rFonts w:ascii="Arial" w:cs="Arial" w:eastAsia="Arial" w:hAnsi="Arial"/>
                <w:sz w:val="16"/>
                <w:szCs w:val="16"/>
                <w:color w:val="auto"/>
              </w:rPr>
              <w:t>8,216</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355,935</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September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28,295</w:t>
            </w:r>
          </w:p>
        </w:tc>
        <w:tc>
          <w:tcPr>
            <w:tcW w:w="240" w:type="dxa"/>
            <w:vAlign w:val="bottom"/>
          </w:tcPr>
          <w:p>
            <w:pPr>
              <w:spacing w:after="0"/>
              <w:rPr>
                <w:sz w:val="21"/>
                <w:szCs w:val="21"/>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595.11</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28,295</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327,640</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36,511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598.17</w:t>
            </w:r>
          </w:p>
        </w:tc>
        <w:tc>
          <w:tcPr>
            <w:tcW w:w="1720" w:type="dxa"/>
            <w:vAlign w:val="bottom"/>
          </w:tcPr>
          <w:p>
            <w:pPr>
              <w:jc w:val="right"/>
              <w:spacing w:after="0"/>
              <w:rPr>
                <w:sz w:val="20"/>
                <w:szCs w:val="20"/>
                <w:color w:val="auto"/>
              </w:rPr>
            </w:pPr>
            <w:r>
              <w:rPr>
                <w:rFonts w:ascii="Arial" w:cs="Arial" w:eastAsia="Arial" w:hAnsi="Arial"/>
                <w:sz w:val="16"/>
                <w:szCs w:val="16"/>
                <w:color w:val="auto"/>
              </w:rPr>
              <w:t>36,511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September 30, 2021 were open market transactions.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6080" w:type="dxa"/>
            <w:vAlign w:val="bottom"/>
            <w:gridSpan w:val="12"/>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6"/>
                <w:szCs w:val="16"/>
                <w:color w:val="auto"/>
              </w:rPr>
            </w:pPr>
          </w:p>
        </w:tc>
        <w:tc>
          <w:tcPr>
            <w:tcW w:w="60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0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3"/>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1">
              <w:r>
                <w:rPr>
                  <w:rFonts w:ascii="Arial" w:cs="Arial" w:eastAsia="Arial" w:hAnsi="Arial"/>
                  <w:sz w:val="16"/>
                  <w:szCs w:val="16"/>
                  <w:color w:val="0000FF"/>
                </w:rPr>
                <w:t>Annual Report on Form 10-K for the fiscal year ended December 28, 2003).</w:t>
              </w:r>
            </w:hyperlink>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9520" w:type="dxa"/>
            <w:vAlign w:val="bottom"/>
            <w:tcBorders>
              <w:bottom w:val="single" w:sz="8" w:color="0000FF"/>
            </w:tcBorders>
            <w:gridSpan w:val="8"/>
          </w:tcPr>
          <w:p>
            <w:pPr>
              <w:spacing w:after="0"/>
              <w:rPr>
                <w:rFonts w:ascii="Arial" w:cs="Arial" w:eastAsia="Arial" w:hAnsi="Arial"/>
                <w:sz w:val="16"/>
                <w:szCs w:val="16"/>
                <w:color w:val="0000FF"/>
              </w:rPr>
            </w:pPr>
            <w:hyperlink r:id="rId62">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reference to Exhibit 3.1 to the Company’s current Report on Form 8-K dated November 29, 2013).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9980" w:type="dxa"/>
            <w:vAlign w:val="bottom"/>
            <w:tcBorders>
              <w:bottom w:val="single" w:sz="8" w:color="0000FF"/>
            </w:tcBorders>
            <w:gridSpan w:val="11"/>
          </w:tcPr>
          <w:p>
            <w:pPr>
              <w:spacing w:after="0"/>
              <w:rPr>
                <w:rFonts w:ascii="Arial" w:cs="Arial" w:eastAsia="Arial" w:hAnsi="Arial"/>
                <w:sz w:val="16"/>
                <w:szCs w:val="16"/>
                <w:color w:val="0000FF"/>
              </w:rPr>
            </w:pPr>
            <w:hyperlink r:id="rId63">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Current Report on Form 8-K dated November 29, 2013).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9540" w:type="dxa"/>
            <w:vAlign w:val="bottom"/>
            <w:tcBorders>
              <w:bottom w:val="single" w:sz="8" w:color="0000FF"/>
            </w:tcBorders>
            <w:gridSpan w:val="9"/>
          </w:tcPr>
          <w:p>
            <w:pPr>
              <w:spacing w:after="0"/>
              <w:rPr>
                <w:rFonts w:ascii="Arial" w:cs="Arial" w:eastAsia="Arial" w:hAnsi="Arial"/>
                <w:sz w:val="16"/>
                <w:szCs w:val="16"/>
                <w:color w:val="0000FF"/>
              </w:rPr>
            </w:pPr>
            <w:hyperlink r:id="rId64">
              <w:r>
                <w:rPr>
                  <w:rFonts w:ascii="Arial" w:cs="Arial" w:eastAsia="Arial" w:hAnsi="Arial"/>
                  <w:sz w:val="16"/>
                  <w:szCs w:val="16"/>
                  <w:color w:val="0000FF"/>
                </w:rPr>
                <w:t>Senior Notes Indenture dated as of May 30, 2018, between the Company and The Bank of New York Mellon Trust Company, N.A., as</w:t>
              </w:r>
            </w:hyperlink>
          </w:p>
        </w:tc>
        <w:tc>
          <w:tcPr>
            <w:tcW w:w="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Trustee (incorporated by reference to Exhibit 4.1 to the Company’s Current Report on Form 8-K dated May 30, 2018).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13"/>
          </w:tcPr>
          <w:p>
            <w:pPr>
              <w:spacing w:after="0"/>
              <w:rPr>
                <w:rFonts w:ascii="Arial" w:cs="Arial" w:eastAsia="Arial" w:hAnsi="Arial"/>
                <w:sz w:val="16"/>
                <w:szCs w:val="16"/>
                <w:color w:val="0000FF"/>
              </w:rPr>
            </w:pPr>
            <w:hyperlink r:id="rId65">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3"/>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the Company, and The Bank of New York Mellon Trust Company, N.A., as trustee (incorporated by reference to Exhibit 4.2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Quarterly Report on Form 10-Q for the quarter ended March 31, 2020).</w:t>
              </w:r>
            </w:hyperlink>
          </w:p>
        </w:tc>
        <w:tc>
          <w:tcPr>
            <w:tcW w:w="496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7"/>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Rule 13a-14(a)/15d-14(a) Certification of the Chief Executive Officer.</w:t>
              </w:r>
            </w:hyperlink>
          </w:p>
        </w:tc>
        <w:tc>
          <w:tcPr>
            <w:tcW w:w="5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hanging="953"/>
        <w:spacing w:after="0"/>
        <w:tabs>
          <w:tab w:leader="none" w:pos="1100" w:val="left"/>
        </w:tabs>
        <w:numPr>
          <w:ilvl w:val="0"/>
          <w:numId w:val="15"/>
        </w:numPr>
        <w:rPr>
          <w:rFonts w:ascii="Arial" w:cs="Arial" w:eastAsia="Arial" w:hAnsi="Arial"/>
          <w:sz w:val="16"/>
          <w:szCs w:val="16"/>
          <w:color w:val="0000FF"/>
        </w:rPr>
      </w:pPr>
      <w:hyperlink w:anchor="page46">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0" w:lineRule="exact"/>
        <w:rPr>
          <w:sz w:val="20"/>
          <w:szCs w:val="20"/>
          <w:color w:val="auto"/>
        </w:rPr>
      </w:pP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195"/>
        </w:trPr>
        <w:tc>
          <w:tcPr>
            <w:tcW w:w="800" w:type="dxa"/>
            <w:vAlign w:val="bottom"/>
          </w:tcPr>
          <w:p>
            <w:pPr>
              <w:spacing w:after="0"/>
              <w:rPr>
                <w:sz w:val="16"/>
                <w:szCs w:val="16"/>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607"/>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0" w:lineRule="exact"/>
        <w:rPr>
          <w:sz w:val="20"/>
          <w:szCs w:val="20"/>
          <w:color w:val="auto"/>
        </w:rPr>
      </w:pPr>
    </w:p>
    <w:p>
      <w:pPr>
        <w:spacing w:after="0" w:line="213" w:lineRule="exact"/>
        <w:rPr>
          <w:sz w:val="20"/>
          <w:szCs w:val="20"/>
          <w:color w:val="auto"/>
        </w:rPr>
      </w:pPr>
    </w:p>
    <w:p>
      <w:pPr>
        <w:ind w:left="1100" w:hanging="953"/>
        <w:spacing w:after="0"/>
        <w:tabs>
          <w:tab w:leader="none" w:pos="11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5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43"/>
        </w:trPr>
        <w:tc>
          <w:tcPr>
            <w:tcW w:w="37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33"/>
        </w:trPr>
        <w:tc>
          <w:tcPr>
            <w:tcW w:w="3720" w:type="dxa"/>
            <w:vAlign w:val="bottom"/>
          </w:tcPr>
          <w:p>
            <w:pPr>
              <w:spacing w:after="0"/>
              <w:rPr>
                <w:sz w:val="20"/>
                <w:szCs w:val="20"/>
                <w:color w:val="auto"/>
              </w:rPr>
            </w:pPr>
            <w:r>
              <w:rPr>
                <w:rFonts w:ascii="Arial" w:cs="Arial" w:eastAsia="Arial" w:hAnsi="Arial"/>
                <w:sz w:val="18"/>
                <w:szCs w:val="18"/>
                <w:color w:val="auto"/>
              </w:rPr>
              <w:t>Date: November 3, 2021</w:t>
            </w:r>
          </w:p>
        </w:tc>
        <w:tc>
          <w:tcPr>
            <w:tcW w:w="344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49"/>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Timothy J. O’Shaughnessy,</w:t>
            </w:r>
          </w:p>
        </w:tc>
      </w:tr>
      <w:tr>
        <w:trPr>
          <w:trHeight w:val="135"/>
        </w:trPr>
        <w:tc>
          <w:tcPr>
            <w:tcW w:w="37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7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05"/>
        </w:trPr>
        <w:tc>
          <w:tcPr>
            <w:tcW w:w="3720" w:type="dxa"/>
            <w:vAlign w:val="bottom"/>
          </w:tcPr>
          <w:p>
            <w:pPr>
              <w:spacing w:after="0"/>
              <w:rPr>
                <w:sz w:val="20"/>
                <w:szCs w:val="20"/>
                <w:color w:val="auto"/>
              </w:rPr>
            </w:pPr>
            <w:r>
              <w:rPr>
                <w:rFonts w:ascii="Arial" w:cs="Arial" w:eastAsia="Arial" w:hAnsi="Arial"/>
                <w:sz w:val="18"/>
                <w:szCs w:val="18"/>
                <w:color w:val="auto"/>
              </w:rPr>
              <w:t>Date: November 3, 2021</w:t>
            </w:r>
          </w:p>
        </w:tc>
        <w:tc>
          <w:tcPr>
            <w:tcW w:w="344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49"/>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Wallace R. Cooney,</w:t>
            </w:r>
          </w:p>
        </w:tc>
      </w:tr>
      <w:tr>
        <w:trPr>
          <w:trHeight w:val="148"/>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90"/>
        </w:trPr>
        <w:tc>
          <w:tcPr>
            <w:tcW w:w="37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28"/>
        </w:trPr>
        <w:tc>
          <w:tcPr>
            <w:tcW w:w="3720" w:type="dxa"/>
            <w:vAlign w:val="bottom"/>
          </w:tcPr>
          <w:p>
            <w:pPr>
              <w:spacing w:after="0"/>
              <w:rPr>
                <w:sz w:val="24"/>
                <w:szCs w:val="24"/>
                <w:color w:val="auto"/>
              </w:rPr>
            </w:pPr>
          </w:p>
        </w:tc>
        <w:tc>
          <w:tcPr>
            <w:tcW w:w="3440" w:type="dxa"/>
            <w:vAlign w:val="bottom"/>
          </w:tcPr>
          <w:p>
            <w:pPr>
              <w:jc w:val="right"/>
              <w:ind w:right="1390"/>
              <w:spacing w:after="0"/>
              <w:rPr>
                <w:sz w:val="20"/>
                <w:szCs w:val="20"/>
                <w:color w:val="auto"/>
              </w:rPr>
            </w:pPr>
            <w:r>
              <w:rPr>
                <w:rFonts w:ascii="Arial" w:cs="Arial" w:eastAsia="Arial" w:hAnsi="Arial"/>
                <w:sz w:val="18"/>
                <w:szCs w:val="18"/>
                <w:color w:val="auto"/>
              </w:rPr>
              <w:t>41</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44"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2021</w:t>
      </w:r>
    </w:p>
    <w:p>
      <w:pPr>
        <w:sectPr>
          <w:pgSz w:w="11900" w:h="16838" w:orient="portrait"/>
          <w:cols w:equalWidth="0" w:num="1">
            <w:col w:w="11240"/>
          </w:cols>
          <w:pgMar w:left="320" w:top="116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2021</w:t>
      </w:r>
    </w:p>
    <w:p>
      <w:pPr>
        <w:sectPr>
          <w:pgSz w:w="11900" w:h="16838" w:orient="portrait"/>
          <w:cols w:equalWidth="0" w:num="1">
            <w:col w:w="11240"/>
          </w:cols>
          <w:pgMar w:left="320" w:top="116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2021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2021</w:t>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32"/>
    </w:lvl>
  </w:abstractNum>
  <w:abstractNum w:abstractNumId="15">
    <w:nsid w:val="519B500D"/>
    <w:multiLevelType w:val="hybridMultilevel"/>
    <w:lvl w:ilvl="0">
      <w:lvlJc w:val="left"/>
      <w:lvlText w:val="*"/>
      <w:numFmt w:val="bullet"/>
      <w:start w:val="1"/>
    </w:lvl>
    <w:lvl w:ilvl="1">
      <w:lvlJc w:val="left"/>
      <w:lvlText w:val="%2"/>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61" Type="http://schemas.openxmlformats.org/officeDocument/2006/relationships/hyperlink" Target="http://www.sec.gov/Archives/edgar/data/104889/000095013304000785/w94191exv3w1.htm" TargetMode="External"/><Relationship Id="rId62" Type="http://schemas.openxmlformats.org/officeDocument/2006/relationships/hyperlink" Target="http://www.sec.gov/Archives/edgar/data/104889/000095015713000428/ex3-1.htm" TargetMode="External"/><Relationship Id="rId63" Type="http://schemas.openxmlformats.org/officeDocument/2006/relationships/hyperlink" Target="http://www.sec.gov/Archives/edgar/data/104889/000095015713000428/ex3-2.htm" TargetMode="External"/><Relationship Id="rId64" Type="http://schemas.openxmlformats.org/officeDocument/2006/relationships/hyperlink" Target="http://www.sec.gov/Archives/edgar/data/104889/000095015718000572/ex4-1.htm" TargetMode="External"/><Relationship Id="rId65" Type="http://schemas.openxmlformats.org/officeDocument/2006/relationships/hyperlink" Target="http://www.sec.gov/Archives/edgar/data/104889/0000104889200000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2021-11-03T07:38:07Z</dcterms:created>
  <dcterms:modified xsi:type="dcterms:W3CDTF">2021-11-03T07:38:07Z</dcterms:modified>
</cp:coreProperties>
</file>