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 w:lineRule="exact"/>
        <w:rPr>
          <w:sz w:val="24"/>
          <w:szCs w:val="24"/>
          <w:color w:val="auto"/>
        </w:rPr>
      </w:pPr>
    </w:p>
    <w:p>
      <w:pPr>
        <w:jc w:val="center"/>
        <w:ind w:right="-599"/>
        <w:spacing w:after="0"/>
        <w:rPr>
          <w:sz w:val="20"/>
          <w:szCs w:val="20"/>
          <w:color w:val="auto"/>
        </w:rPr>
      </w:pPr>
      <w:r>
        <w:rPr>
          <w:rFonts w:ascii="Arial" w:cs="Arial" w:eastAsia="Arial" w:hAnsi="Arial"/>
          <w:sz w:val="22"/>
          <w:szCs w:val="22"/>
          <w:color w:val="auto"/>
        </w:rPr>
        <w:t>SECURITIES AND EXCHANGE COMMISSION</w:t>
      </w:r>
    </w:p>
    <w:p>
      <w:pPr>
        <w:ind w:left="48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210820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599"/>
        <w:spacing w:after="0"/>
        <w:rPr>
          <w:sz w:val="20"/>
          <w:szCs w:val="20"/>
          <w:color w:val="auto"/>
        </w:rPr>
      </w:pPr>
      <w:r>
        <w:rPr>
          <w:rFonts w:ascii="Arial" w:cs="Arial" w:eastAsia="Arial" w:hAnsi="Arial"/>
          <w:sz w:val="25"/>
          <w:szCs w:val="25"/>
          <w:color w:val="auto"/>
        </w:rPr>
        <w:t>SCHEDULE 13D</w:t>
      </w:r>
    </w:p>
    <w:p>
      <w:pPr>
        <w:spacing w:after="0" w:line="28"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Under the Securities Exchange Act of 1934</w:t>
      </w:r>
    </w:p>
    <w:p>
      <w:pPr>
        <w:spacing w:after="0" w:line="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639"/>
        <w:spacing w:after="0"/>
        <w:rPr>
          <w:sz w:val="20"/>
          <w:szCs w:val="20"/>
          <w:color w:val="auto"/>
        </w:rPr>
      </w:pPr>
      <w:r>
        <w:rPr>
          <w:rFonts w:ascii="Arial" w:cs="Arial" w:eastAsia="Arial" w:hAnsi="Arial"/>
          <w:sz w:val="32"/>
          <w:szCs w:val="32"/>
          <w:color w:val="auto"/>
        </w:rPr>
        <w:t>Corinthian Colleges, Inc.</w:t>
      </w:r>
    </w:p>
    <w:p>
      <w:pPr>
        <w:spacing w:after="0" w:line="32"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218868107</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74295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The Washington Post Company</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(202) 334-6000</w:t>
      </w:r>
    </w:p>
    <w:p>
      <w:pPr>
        <w:spacing w:after="0" w:line="238"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211455</wp:posOffset>
            </wp:positionV>
            <wp:extent cx="2186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April 26, 2013</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595630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550" w:right="81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CUSIP No. 218868107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8525" cy="6279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627951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Arial" w:cs="Arial" w:eastAsia="Arial" w:hAnsi="Arial"/>
          <w:sz w:val="28"/>
          <w:szCs w:val="28"/>
          <w:b w:val="1"/>
          <w:bCs w:val="1"/>
          <w:color w:val="auto"/>
        </w:rPr>
        <w:t>1</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I.R.S. IDENTIFICATION NOS. OF ABOVE PERSONS (ENTITIES ONLY)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I.R.S. I.D. #53-0182885</w:t>
      </w:r>
    </w:p>
    <w:p>
      <w:pPr>
        <w:spacing w:after="0" w:line="1" w:lineRule="exact"/>
        <w:rPr>
          <w:sz w:val="20"/>
          <w:szCs w:val="20"/>
          <w:color w:val="auto"/>
        </w:rPr>
      </w:pPr>
    </w:p>
    <w:p>
      <w:pPr>
        <w:sectPr>
          <w:pgSz w:w="11900" w:h="16838" w:orient="portrait"/>
          <w:cols w:equalWidth="0" w:num="2">
            <w:col w:w="660" w:space="660"/>
            <w:col w:w="10100"/>
          </w:cols>
          <w:pgMar w:left="240" w:top="97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2</w:t>
            </w:r>
          </w:p>
        </w:tc>
        <w:tc>
          <w:tcPr>
            <w:tcW w:w="420" w:type="dxa"/>
            <w:vAlign w:val="bottom"/>
            <w:tcBorders>
              <w:top w:val="single" w:sz="8" w:color="auto"/>
              <w:right w:val="single" w:sz="8" w:color="auto"/>
            </w:tcBorders>
          </w:tcPr>
          <w:p>
            <w:pPr>
              <w:spacing w:after="0"/>
              <w:rPr>
                <w:sz w:val="20"/>
                <w:szCs w:val="20"/>
                <w:color w:val="auto"/>
              </w:rPr>
            </w:pPr>
          </w:p>
        </w:tc>
        <w:tc>
          <w:tcPr>
            <w:tcW w:w="10280" w:type="dxa"/>
            <w:vAlign w:val="bottom"/>
            <w:tcBorders>
              <w:top w:val="single" w:sz="8" w:color="auto"/>
            </w:tcBorders>
            <w:gridSpan w:val="5"/>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1"/>
        </w:trPr>
        <w:tc>
          <w:tcPr>
            <w:tcW w:w="74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500" w:type="dxa"/>
            <w:vAlign w:val="bottom"/>
            <w:vMerge w:val="restart"/>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40" w:type="dxa"/>
            <w:vAlign w:val="bottom"/>
            <w:gridSpan w:val="2"/>
            <w:vMerge w:val="restart"/>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4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1240" w:type="dxa"/>
            <w:vAlign w:val="bottom"/>
            <w:tcBorders>
              <w:bottom w:val="single" w:sz="8" w:color="auto"/>
            </w:tcBorders>
            <w:gridSpan w:val="2"/>
            <w:vMerge w:val="continue"/>
          </w:tcPr>
          <w:p>
            <w:pPr>
              <w:spacing w:after="0"/>
              <w:rPr>
                <w:sz w:val="11"/>
                <w:szCs w:val="11"/>
                <w:color w:val="auto"/>
              </w:rPr>
            </w:pPr>
          </w:p>
        </w:tc>
        <w:tc>
          <w:tcPr>
            <w:tcW w:w="7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3</w:t>
            </w:r>
          </w:p>
        </w:tc>
        <w:tc>
          <w:tcPr>
            <w:tcW w:w="420" w:type="dxa"/>
            <w:vAlign w:val="bottom"/>
            <w:tcBorders>
              <w:right w:val="single" w:sz="8" w:color="auto"/>
            </w:tcBorders>
          </w:tcPr>
          <w:p>
            <w:pPr>
              <w:spacing w:after="0"/>
              <w:rPr>
                <w:sz w:val="19"/>
                <w:szCs w:val="19"/>
                <w:color w:val="auto"/>
              </w:rPr>
            </w:pPr>
          </w:p>
        </w:tc>
        <w:tc>
          <w:tcPr>
            <w:tcW w:w="1500" w:type="dxa"/>
            <w:vAlign w:val="bottom"/>
          </w:tcPr>
          <w:p>
            <w:pPr>
              <w:ind w:left="160"/>
              <w:spacing w:after="0"/>
              <w:rPr>
                <w:sz w:val="20"/>
                <w:szCs w:val="20"/>
                <w:color w:val="auto"/>
              </w:rPr>
            </w:pPr>
            <w:r>
              <w:rPr>
                <w:rFonts w:ascii="Arial" w:cs="Arial" w:eastAsia="Arial" w:hAnsi="Arial"/>
                <w:sz w:val="18"/>
                <w:szCs w:val="18"/>
                <w:color w:val="auto"/>
                <w:w w:val="99"/>
              </w:rPr>
              <w:t>SEC USE ONLY</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4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4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tcBorders>
            <w:gridSpan w:val="2"/>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4</w:t>
            </w:r>
          </w:p>
        </w:tc>
        <w:tc>
          <w:tcPr>
            <w:tcW w:w="420" w:type="dxa"/>
            <w:vAlign w:val="bottom"/>
            <w:tcBorders>
              <w:right w:val="single" w:sz="8" w:color="auto"/>
            </w:tcBorders>
          </w:tcPr>
          <w:p>
            <w:pPr>
              <w:spacing w:after="0"/>
              <w:rPr>
                <w:sz w:val="19"/>
                <w:szCs w:val="19"/>
                <w:color w:val="auto"/>
              </w:rPr>
            </w:pPr>
          </w:p>
        </w:tc>
        <w:tc>
          <w:tcPr>
            <w:tcW w:w="2740" w:type="dxa"/>
            <w:vAlign w:val="bottom"/>
            <w:gridSpan w:val="3"/>
          </w:tcPr>
          <w:p>
            <w:pPr>
              <w:ind w:left="160"/>
              <w:spacing w:after="0"/>
              <w:rPr>
                <w:sz w:val="20"/>
                <w:szCs w:val="20"/>
                <w:color w:val="auto"/>
              </w:rPr>
            </w:pPr>
            <w:r>
              <w:rPr>
                <w:rFonts w:ascii="Arial" w:cs="Arial" w:eastAsia="Arial" w:hAnsi="Arial"/>
                <w:sz w:val="18"/>
                <w:szCs w:val="18"/>
                <w:color w:val="auto"/>
              </w:rPr>
              <w:t>SOURCE OF FUNDS</w:t>
            </w:r>
          </w:p>
        </w:tc>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74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50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WC</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420" w:type="dxa"/>
            <w:vAlign w:val="bottom"/>
            <w:tcBorders>
              <w:right w:val="single" w:sz="8" w:color="auto"/>
            </w:tcBorders>
          </w:tcPr>
          <w:p>
            <w:pPr>
              <w:spacing w:after="0"/>
              <w:rPr>
                <w:sz w:val="19"/>
                <w:szCs w:val="19"/>
                <w:color w:val="auto"/>
              </w:rPr>
            </w:pPr>
          </w:p>
        </w:tc>
        <w:tc>
          <w:tcPr>
            <w:tcW w:w="10260" w:type="dxa"/>
            <w:vAlign w:val="bottom"/>
            <w:gridSpan w:val="4"/>
          </w:tcPr>
          <w:p>
            <w:pPr>
              <w:ind w:left="160"/>
              <w:spacing w:after="0"/>
              <w:rPr>
                <w:sz w:val="20"/>
                <w:szCs w:val="20"/>
                <w:color w:val="auto"/>
              </w:rPr>
            </w:pPr>
            <w:r>
              <w:rPr>
                <w:rFonts w:ascii="Arial" w:cs="Arial" w:eastAsia="Arial" w:hAnsi="Arial"/>
                <w:sz w:val="18"/>
                <w:szCs w:val="18"/>
                <w:color w:val="auto"/>
              </w:rPr>
              <w:t>CHECK BOX IF DISCLOSURE OF LEGAL PROCEEDINGS IS REQUIRED PURSUANT TO ITEM 2(d) OR 2(e)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4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5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4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420" w:type="dxa"/>
            <w:vAlign w:val="bottom"/>
            <w:tcBorders>
              <w:right w:val="single" w:sz="8" w:color="auto"/>
            </w:tcBorders>
          </w:tcPr>
          <w:p>
            <w:pPr>
              <w:spacing w:after="0"/>
              <w:rPr>
                <w:sz w:val="19"/>
                <w:szCs w:val="19"/>
                <w:color w:val="auto"/>
              </w:rPr>
            </w:pPr>
          </w:p>
        </w:tc>
        <w:tc>
          <w:tcPr>
            <w:tcW w:w="1026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740" w:type="dxa"/>
            <w:vAlign w:val="bottom"/>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50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Delaware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5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4"/>
                <w:szCs w:val="24"/>
                <w:color w:val="auto"/>
              </w:rPr>
            </w:pPr>
          </w:p>
        </w:tc>
        <w:tc>
          <w:tcPr>
            <w:tcW w:w="1920" w:type="dxa"/>
            <w:vAlign w:val="bottom"/>
            <w:gridSpan w:val="2"/>
            <w:vMerge w:val="restart"/>
          </w:tcPr>
          <w:p>
            <w:pPr>
              <w:jc w:val="center"/>
              <w:ind w:right="427"/>
              <w:spacing w:after="0"/>
              <w:rPr>
                <w:sz w:val="20"/>
                <w:szCs w:val="20"/>
                <w:color w:val="auto"/>
              </w:rPr>
            </w:pPr>
            <w:r>
              <w:rPr>
                <w:rFonts w:ascii="Arial" w:cs="Arial" w:eastAsia="Arial" w:hAnsi="Arial"/>
                <w:sz w:val="18"/>
                <w:szCs w:val="18"/>
                <w:color w:val="auto"/>
                <w:w w:val="96"/>
              </w:rPr>
              <w:t>NUMBER OF</w:t>
            </w:r>
          </w:p>
        </w:tc>
        <w:tc>
          <w:tcPr>
            <w:tcW w:w="24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20" w:type="dxa"/>
            <w:vAlign w:val="bottom"/>
            <w:vMerge w:val="restart"/>
          </w:tcPr>
          <w:p>
            <w:pPr>
              <w:ind w:left="160"/>
              <w:spacing w:after="0"/>
              <w:rPr>
                <w:sz w:val="20"/>
                <w:szCs w:val="20"/>
                <w:color w:val="auto"/>
              </w:rPr>
            </w:pPr>
            <w:r>
              <w:rPr>
                <w:rFonts w:ascii="Arial" w:cs="Arial" w:eastAsia="Arial" w:hAnsi="Arial"/>
                <w:sz w:val="22"/>
                <w:szCs w:val="22"/>
                <w:color w:val="auto"/>
              </w:rPr>
              <w:t>5,713,121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 w:type="dxa"/>
            <w:vAlign w:val="bottom"/>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752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1920" w:type="dxa"/>
            <w:vAlign w:val="bottom"/>
            <w:gridSpan w:val="2"/>
          </w:tcPr>
          <w:p>
            <w:pPr>
              <w:jc w:val="center"/>
              <w:ind w:right="427"/>
              <w:spacing w:after="0" w:line="182" w:lineRule="exact"/>
              <w:rPr>
                <w:sz w:val="20"/>
                <w:szCs w:val="20"/>
                <w:color w:val="auto"/>
              </w:rPr>
            </w:pPr>
            <w:r>
              <w:rPr>
                <w:rFonts w:ascii="Arial" w:cs="Arial" w:eastAsia="Arial" w:hAnsi="Arial"/>
                <w:sz w:val="18"/>
                <w:szCs w:val="18"/>
                <w:color w:val="auto"/>
                <w:w w:val="91"/>
              </w:rPr>
              <w:t>SHARES</w:t>
            </w:r>
          </w:p>
        </w:tc>
        <w:tc>
          <w:tcPr>
            <w:tcW w:w="2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520" w:type="dxa"/>
            <w:vAlign w:val="bottom"/>
          </w:tcPr>
          <w:p>
            <w:pPr>
              <w:ind w:left="160"/>
              <w:spacing w:after="0" w:line="182" w:lineRule="exact"/>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920" w:type="dxa"/>
            <w:vAlign w:val="bottom"/>
            <w:gridSpan w:val="2"/>
          </w:tcPr>
          <w:p>
            <w:pPr>
              <w:jc w:val="center"/>
              <w:ind w:right="427"/>
              <w:spacing w:after="0"/>
              <w:rPr>
                <w:sz w:val="20"/>
                <w:szCs w:val="20"/>
                <w:color w:val="auto"/>
              </w:rPr>
            </w:pPr>
            <w:r>
              <w:rPr>
                <w:rFonts w:ascii="Arial" w:cs="Arial" w:eastAsia="Arial" w:hAnsi="Arial"/>
                <w:sz w:val="18"/>
                <w:szCs w:val="18"/>
                <w:color w:val="auto"/>
              </w:rPr>
              <w:t>BENEFICIALLY</w:t>
            </w:r>
          </w:p>
        </w:tc>
        <w:tc>
          <w:tcPr>
            <w:tcW w:w="24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vMerge w:val="continue"/>
          </w:tcPr>
          <w:p>
            <w:pPr>
              <w:spacing w:after="0"/>
              <w:rPr>
                <w:sz w:val="20"/>
                <w:szCs w:val="20"/>
                <w:color w:val="auto"/>
              </w:rPr>
            </w:pPr>
          </w:p>
        </w:tc>
        <w:tc>
          <w:tcPr>
            <w:tcW w:w="75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1920" w:type="dxa"/>
            <w:vAlign w:val="bottom"/>
            <w:gridSpan w:val="2"/>
          </w:tcPr>
          <w:p>
            <w:pPr>
              <w:jc w:val="center"/>
              <w:ind w:right="427"/>
              <w:spacing w:after="0" w:line="201" w:lineRule="exact"/>
              <w:rPr>
                <w:sz w:val="20"/>
                <w:szCs w:val="20"/>
                <w:color w:val="auto"/>
              </w:rPr>
            </w:pPr>
            <w:r>
              <w:rPr>
                <w:rFonts w:ascii="Arial" w:cs="Arial" w:eastAsia="Arial" w:hAnsi="Arial"/>
                <w:sz w:val="18"/>
                <w:szCs w:val="18"/>
                <w:color w:val="auto"/>
                <w:w w:val="97"/>
              </w:rPr>
              <w:t>OWNED BY</w:t>
            </w:r>
          </w:p>
        </w:tc>
        <w:tc>
          <w:tcPr>
            <w:tcW w:w="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vMerge w:val="restart"/>
          </w:tcPr>
          <w:p>
            <w:pPr>
              <w:jc w:val="center"/>
              <w:ind w:right="847"/>
              <w:spacing w:after="0"/>
              <w:rPr>
                <w:sz w:val="20"/>
                <w:szCs w:val="20"/>
                <w:color w:val="auto"/>
              </w:rPr>
            </w:pPr>
            <w:r>
              <w:rPr>
                <w:rFonts w:ascii="Arial" w:cs="Arial" w:eastAsia="Arial" w:hAnsi="Arial"/>
                <w:sz w:val="18"/>
                <w:szCs w:val="18"/>
                <w:color w:val="auto"/>
                <w:w w:val="95"/>
              </w:rPr>
              <w:t>EACH</w:t>
            </w:r>
          </w:p>
        </w:tc>
        <w:tc>
          <w:tcPr>
            <w:tcW w:w="240" w:type="dxa"/>
            <w:vAlign w:val="bottom"/>
            <w:tcBorders>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520" w:type="dxa"/>
            <w:vAlign w:val="bottom"/>
          </w:tcPr>
          <w:p>
            <w:pPr>
              <w:ind w:left="160"/>
              <w:spacing w:after="0" w:line="169" w:lineRule="exact"/>
              <w:rPr>
                <w:sz w:val="20"/>
                <w:szCs w:val="20"/>
                <w:color w:val="auto"/>
              </w:rPr>
            </w:pPr>
            <w:r>
              <w:rPr>
                <w:rFonts w:ascii="Arial" w:cs="Arial" w:eastAsia="Arial" w:hAnsi="Arial"/>
                <w:sz w:val="18"/>
                <w:szCs w:val="18"/>
                <w:color w:val="auto"/>
              </w:rPr>
              <w:t>SOLE DISPOSITIVE POWER</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920" w:type="dxa"/>
            <w:vAlign w:val="bottom"/>
            <w:gridSpan w:val="2"/>
          </w:tcPr>
          <w:p>
            <w:pPr>
              <w:jc w:val="center"/>
              <w:ind w:right="427"/>
              <w:spacing w:after="0"/>
              <w:rPr>
                <w:sz w:val="20"/>
                <w:szCs w:val="20"/>
                <w:color w:val="auto"/>
              </w:rPr>
            </w:pPr>
            <w:r>
              <w:rPr>
                <w:rFonts w:ascii="Arial" w:cs="Arial" w:eastAsia="Arial" w:hAnsi="Arial"/>
                <w:sz w:val="18"/>
                <w:szCs w:val="18"/>
                <w:color w:val="auto"/>
                <w:w w:val="93"/>
              </w:rPr>
              <w:t>REPORTING</w:t>
            </w:r>
          </w:p>
        </w:tc>
        <w:tc>
          <w:tcPr>
            <w:tcW w:w="2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7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740" w:type="dxa"/>
            <w:vAlign w:val="bottom"/>
          </w:tcPr>
          <w:p>
            <w:pPr>
              <w:spacing w:after="0"/>
              <w:rPr>
                <w:sz w:val="11"/>
                <w:szCs w:val="11"/>
                <w:color w:val="auto"/>
              </w:rPr>
            </w:pPr>
          </w:p>
        </w:tc>
        <w:tc>
          <w:tcPr>
            <w:tcW w:w="1920" w:type="dxa"/>
            <w:vAlign w:val="bottom"/>
            <w:gridSpan w:val="2"/>
            <w:vMerge w:val="restart"/>
          </w:tcPr>
          <w:p>
            <w:pPr>
              <w:jc w:val="center"/>
              <w:ind w:right="427"/>
              <w:spacing w:after="0"/>
              <w:rPr>
                <w:sz w:val="20"/>
                <w:szCs w:val="20"/>
                <w:color w:val="auto"/>
              </w:rPr>
            </w:pPr>
            <w:r>
              <w:rPr>
                <w:rFonts w:ascii="Arial" w:cs="Arial" w:eastAsia="Arial" w:hAnsi="Arial"/>
                <w:sz w:val="18"/>
                <w:szCs w:val="18"/>
                <w:color w:val="auto"/>
                <w:w w:val="89"/>
              </w:rPr>
              <w:t>PERSON</w:t>
            </w:r>
          </w:p>
        </w:tc>
        <w:tc>
          <w:tcPr>
            <w:tcW w:w="2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7520" w:type="dxa"/>
            <w:vAlign w:val="bottom"/>
            <w:vMerge w:val="restart"/>
          </w:tcPr>
          <w:p>
            <w:pPr>
              <w:ind w:left="160"/>
              <w:spacing w:after="0" w:line="230" w:lineRule="exact"/>
              <w:rPr>
                <w:sz w:val="20"/>
                <w:szCs w:val="20"/>
                <w:color w:val="auto"/>
              </w:rPr>
            </w:pPr>
            <w:r>
              <w:rPr>
                <w:rFonts w:ascii="Arial" w:cs="Arial" w:eastAsia="Arial" w:hAnsi="Arial"/>
                <w:sz w:val="22"/>
                <w:szCs w:val="22"/>
                <w:color w:val="auto"/>
              </w:rPr>
              <w:t>5,713,121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4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7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00" w:type="dxa"/>
            <w:vAlign w:val="bottom"/>
            <w:vMerge w:val="restart"/>
          </w:tcPr>
          <w:p>
            <w:pPr>
              <w:jc w:val="center"/>
              <w:ind w:right="847"/>
              <w:spacing w:after="0"/>
              <w:rPr>
                <w:sz w:val="20"/>
                <w:szCs w:val="20"/>
                <w:color w:val="auto"/>
              </w:rPr>
            </w:pPr>
            <w:r>
              <w:rPr>
                <w:rFonts w:ascii="Arial" w:cs="Arial" w:eastAsia="Arial" w:hAnsi="Arial"/>
                <w:sz w:val="18"/>
                <w:szCs w:val="18"/>
                <w:color w:val="auto"/>
              </w:rPr>
              <w:t>WITH</w:t>
            </w:r>
          </w:p>
        </w:tc>
        <w:tc>
          <w:tcPr>
            <w:tcW w:w="240" w:type="dxa"/>
            <w:vAlign w:val="bottom"/>
            <w:tcBorders>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54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7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vMerge w:val="continue"/>
          </w:tcPr>
          <w:p>
            <w:pPr>
              <w:spacing w:after="0"/>
              <w:rPr>
                <w:sz w:val="24"/>
                <w:szCs w:val="24"/>
                <w:color w:val="auto"/>
              </w:rPr>
            </w:pPr>
          </w:p>
        </w:tc>
        <w:tc>
          <w:tcPr>
            <w:tcW w:w="75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134"/>
        </w:trPr>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11</w:t>
            </w:r>
          </w:p>
        </w:tc>
        <w:tc>
          <w:tcPr>
            <w:tcW w:w="420" w:type="dxa"/>
            <w:vAlign w:val="bottom"/>
            <w:tcBorders>
              <w:top w:val="single" w:sz="8" w:color="auto"/>
            </w:tcBorders>
          </w:tcPr>
          <w:p>
            <w:pPr>
              <w:spacing w:after="0"/>
              <w:rPr>
                <w:sz w:val="19"/>
                <w:szCs w:val="19"/>
                <w:color w:val="auto"/>
              </w:rPr>
            </w:pPr>
          </w:p>
        </w:tc>
        <w:tc>
          <w:tcPr>
            <w:tcW w:w="102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80"/>
        <w:spacing w:after="0"/>
        <w:rPr>
          <w:sz w:val="20"/>
          <w:szCs w:val="20"/>
          <w:color w:val="auto"/>
        </w:rPr>
      </w:pPr>
      <w:r>
        <w:rPr>
          <w:rFonts w:ascii="Arial" w:cs="Arial" w:eastAsia="Arial" w:hAnsi="Arial"/>
          <w:sz w:val="22"/>
          <w:szCs w:val="22"/>
          <w:color w:val="auto"/>
        </w:rPr>
        <w:t>5,713,121</w:t>
      </w:r>
    </w:p>
    <w:p>
      <w:pPr>
        <w:ind w:left="1180"/>
        <w:spacing w:after="0" w:line="190" w:lineRule="auto"/>
        <w:rPr>
          <w:sz w:val="20"/>
          <w:szCs w:val="20"/>
          <w:color w:val="auto"/>
        </w:rPr>
      </w:pPr>
      <w:r>
        <w:rPr>
          <w:rFonts w:ascii="Arial" w:cs="Arial" w:eastAsia="Arial" w:hAnsi="Arial"/>
          <w:sz w:val="15"/>
          <w:szCs w:val="15"/>
          <w:color w:val="auto"/>
        </w:rPr>
        <w:t>CHECK BOX IF THE AGGREGATE AMOUNT IN ROW (11) EXCLUDES CERTAIN SHARES</w:t>
      </w:r>
    </w:p>
    <w:p>
      <w:pPr>
        <w:ind w:left="360"/>
        <w:spacing w:after="0" w:line="194" w:lineRule="auto"/>
        <w:rPr>
          <w:sz w:val="20"/>
          <w:szCs w:val="20"/>
          <w:color w:val="auto"/>
        </w:rPr>
      </w:pPr>
      <w:r>
        <w:rPr>
          <w:rFonts w:ascii="Arial" w:cs="Arial" w:eastAsia="Arial" w:hAnsi="Arial"/>
          <w:sz w:val="32"/>
          <w:szCs w:val="32"/>
          <w:b w:val="1"/>
          <w:bCs w:val="1"/>
          <w:color w:val="auto"/>
        </w:rPr>
        <w:t>12</w:t>
      </w:r>
    </w:p>
    <w:p>
      <w:pPr>
        <w:ind w:left="1180"/>
        <w:spacing w:after="0" w:line="181" w:lineRule="exact"/>
        <w:rPr>
          <w:sz w:val="20"/>
          <w:szCs w:val="20"/>
          <w:color w:val="auto"/>
        </w:rPr>
      </w:pPr>
      <w:r>
        <w:rPr>
          <w:rFonts w:ascii="MS PGothic" w:cs="MS PGothic" w:eastAsia="MS PGothic" w:hAnsi="MS PGothic"/>
          <w:sz w:val="18"/>
          <w:szCs w:val="18"/>
          <w:color w:val="auto"/>
        </w:rPr>
        <w:t>☐</w:t>
      </w:r>
    </w:p>
    <w:p>
      <w:pPr>
        <w:ind w:left="1180"/>
        <w:spacing w:after="0" w:line="213" w:lineRule="auto"/>
        <w:rPr>
          <w:sz w:val="20"/>
          <w:szCs w:val="20"/>
          <w:color w:val="auto"/>
        </w:rPr>
      </w:pPr>
      <w:r>
        <w:rPr>
          <w:rFonts w:ascii="Arial" w:cs="Arial" w:eastAsia="Arial" w:hAnsi="Arial"/>
          <w:sz w:val="18"/>
          <w:szCs w:val="18"/>
          <w:color w:val="auto"/>
        </w:rPr>
        <w:t>PERCENT OF CLASS REPRESENTED BY AMOUNT IN ROW (11)</w:t>
      </w:r>
    </w:p>
    <w:p>
      <w:pPr>
        <w:ind w:left="360"/>
        <w:spacing w:after="0" w:line="198" w:lineRule="auto"/>
        <w:rPr>
          <w:sz w:val="20"/>
          <w:szCs w:val="20"/>
          <w:color w:val="auto"/>
        </w:rPr>
      </w:pPr>
      <w:r>
        <w:rPr>
          <w:rFonts w:ascii="Arial" w:cs="Arial" w:eastAsia="Arial" w:hAnsi="Arial"/>
          <w:sz w:val="32"/>
          <w:szCs w:val="32"/>
          <w:b w:val="1"/>
          <w:bCs w:val="1"/>
          <w:color w:val="auto"/>
        </w:rPr>
        <w:t>13</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6.6%</w:t>
      </w:r>
    </w:p>
    <w:p>
      <w:pPr>
        <w:ind w:left="1180"/>
        <w:spacing w:after="0" w:line="185" w:lineRule="auto"/>
        <w:rPr>
          <w:sz w:val="20"/>
          <w:szCs w:val="20"/>
          <w:color w:val="auto"/>
        </w:rPr>
      </w:pPr>
      <w:r>
        <w:rPr>
          <w:rFonts w:ascii="Arial" w:cs="Arial" w:eastAsia="Arial" w:hAnsi="Arial"/>
          <w:sz w:val="17"/>
          <w:szCs w:val="17"/>
          <w:color w:val="auto"/>
        </w:rPr>
        <w:t>TYPE OF REPORTING PERSON</w:t>
      </w:r>
    </w:p>
    <w:p>
      <w:pPr>
        <w:ind w:left="360"/>
        <w:spacing w:after="0" w:line="198" w:lineRule="auto"/>
        <w:rPr>
          <w:sz w:val="20"/>
          <w:szCs w:val="20"/>
          <w:color w:val="auto"/>
        </w:rPr>
      </w:pPr>
      <w:r>
        <w:rPr>
          <w:rFonts w:ascii="Arial" w:cs="Arial" w:eastAsia="Arial" w:hAnsi="Arial"/>
          <w:sz w:val="32"/>
          <w:szCs w:val="32"/>
          <w:b w:val="1"/>
          <w:bCs w:val="1"/>
          <w:color w:val="auto"/>
        </w:rPr>
        <w:t>14</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type w:val="continuous"/>
        </w:sectPr>
      </w:pPr>
    </w:p>
    <w:bookmarkStart w:id="2" w:name="page3"/>
    <w:bookmarkEnd w:id="2"/>
    <w:p>
      <w:pPr>
        <w:jc w:val="both"/>
        <w:ind w:right="40" w:firstLine="648"/>
        <w:spacing w:after="0" w:line="264" w:lineRule="auto"/>
        <w:rPr>
          <w:sz w:val="20"/>
          <w:szCs w:val="20"/>
          <w:color w:val="auto"/>
        </w:rPr>
      </w:pPr>
      <w:r>
        <w:rPr>
          <w:rFonts w:ascii="Arial" w:cs="Arial" w:eastAsia="Arial" w:hAnsi="Arial"/>
          <w:sz w:val="18"/>
          <w:szCs w:val="18"/>
          <w:color w:val="auto"/>
        </w:rPr>
        <w:t>This Amendment No. 1 amends and supplements the Schedule 13D filed with the Securities and Exchange Commission on February 15, 2008 (the “</w:t>
      </w:r>
      <w:r>
        <w:rPr>
          <w:rFonts w:ascii="Arial" w:cs="Arial" w:eastAsia="Arial" w:hAnsi="Arial"/>
          <w:sz w:val="18"/>
          <w:szCs w:val="18"/>
          <w:u w:val="single" w:color="auto"/>
          <w:color w:val="auto"/>
        </w:rPr>
        <w:t>Schedule 13D</w:t>
      </w:r>
      <w:r>
        <w:rPr>
          <w:rFonts w:ascii="Arial" w:cs="Arial" w:eastAsia="Arial" w:hAnsi="Arial"/>
          <w:sz w:val="18"/>
          <w:szCs w:val="18"/>
          <w:color w:val="auto"/>
        </w:rPr>
        <w:t>”), relating to the common stock, par value $0.0001 per share, of Corinthian Colleges, Inc., a Delaware corporation. All capitalized terms not otherwise defined herein shall have the meanings ascribed to them in the Schedule 13D.</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Schedule 13D is not amended, except in respect of Schedule A, which is amended and restated as attached hereto.</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amended and restated as follows: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6, 2008, the Company’s beneficial ownership of the Issuer’s Common Stock first exceeded 5% of the Issuer’s outstanding Common Stock. The Company purchased the Subject Shares for investment purposes after determining that such purchases represented an attractive investment</w:t>
      </w:r>
    </w:p>
    <w:p>
      <w:pPr>
        <w:ind w:right="80"/>
        <w:spacing w:after="0" w:line="261" w:lineRule="auto"/>
        <w:rPr>
          <w:sz w:val="20"/>
          <w:szCs w:val="20"/>
          <w:color w:val="auto"/>
        </w:rPr>
      </w:pPr>
      <w:r>
        <w:rPr>
          <w:rFonts w:ascii="Arial" w:cs="Arial" w:eastAsia="Arial" w:hAnsi="Arial"/>
          <w:sz w:val="18"/>
          <w:szCs w:val="18"/>
          <w:color w:val="auto"/>
        </w:rPr>
        <w:t>opportunity. Except as set forth herein, the Company currently has no plans or proposals which relate to or would result in any of the actions enumerated in paragraphs (a) through (j) of Item 4 of the form of Schedule 13D promulgated under the Act.</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may continue, subject to price, market conditions and other factors, to explore opportunities to dispose of some or all of the shares of Issuer Common Stock it currently holds.</w:t>
      </w:r>
    </w:p>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Paragraphs (a)-(e) of Item 5 of the Schedule 13D are hereby amended and restated as follows:</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(a)-(b) As of the date hereof, the Company owns 5,713,121 shares of Issuer Common Stock. The 5,713,121 shares of Issuer Common Stock constitute 6.6% of the issued and outstanding shares of Issuer Common Stock, based upon disclosure in the Issuer’s most recent Form 10-Q that there were 86,181,145 shares of Issuer Common Stock issued and outstanding as of April 25, 2013. The Company has the sole power to vote and dispose of the 5,713,121 shares of Issuer Common Stock.</w:t>
      </w:r>
    </w:p>
    <w:p>
      <w:pPr>
        <w:spacing w:after="0" w:line="214" w:lineRule="exact"/>
        <w:rPr>
          <w:sz w:val="20"/>
          <w:szCs w:val="20"/>
          <w:color w:val="auto"/>
        </w:rPr>
      </w:pPr>
    </w:p>
    <w:p>
      <w:pPr>
        <w:ind w:right="500" w:firstLine="656"/>
        <w:spacing w:after="0" w:line="308" w:lineRule="auto"/>
        <w:tabs>
          <w:tab w:leader="none" w:pos="893" w:val="left"/>
        </w:tabs>
        <w:numPr>
          <w:ilvl w:val="0"/>
          <w:numId w:val="1"/>
        </w:numPr>
        <w:rPr>
          <w:rFonts w:ascii="Arial" w:cs="Arial" w:eastAsia="Arial" w:hAnsi="Arial"/>
          <w:sz w:val="17"/>
          <w:szCs w:val="17"/>
          <w:color w:val="auto"/>
        </w:rPr>
      </w:pPr>
      <w:r>
        <w:rPr>
          <w:rFonts w:ascii="Arial" w:cs="Arial" w:eastAsia="Arial" w:hAnsi="Arial"/>
          <w:sz w:val="17"/>
          <w:szCs w:val="17"/>
          <w:color w:val="auto"/>
        </w:rPr>
        <w:t>Schedule B attached hereto lists all transactions in the Issuer Common Stock during the past 60 days by the Company. To the Company’s knowledge, no person named in Schedule A has effected any transaction in the Issuer Common Stock during the past 60 days.</w:t>
      </w:r>
    </w:p>
    <w:p>
      <w:pPr>
        <w:spacing w:after="0" w:line="173" w:lineRule="exact"/>
        <w:rPr>
          <w:rFonts w:ascii="Arial" w:cs="Arial" w:eastAsia="Arial" w:hAnsi="Arial"/>
          <w:sz w:val="17"/>
          <w:szCs w:val="17"/>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60" w:right="339" w:bottom="1440" w:gutter="0" w:footer="0" w:header="0"/>
        </w:sectPr>
      </w:pPr>
    </w:p>
    <w:bookmarkStart w:id="3" w:name="page4"/>
    <w:bookmarkEnd w:id="3"/>
    <w:p>
      <w:pPr>
        <w:ind w:left="8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Veronica Dillon,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General Counsel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00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list of the directors and executive officers of The Washington Post Company, setting forth the present principal occupation or employment and the name and principal business of any corporation or other organization in which such employment is conducted for each such person. Unless otherwise indicated, all directors and officers listed below are citizens of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of The Washington Post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w w:val="97"/>
              </w:rPr>
              <w:t>Present Principal Occupation</w:t>
            </w:r>
          </w:p>
        </w:tc>
        <w:tc>
          <w:tcPr>
            <w:tcW w:w="4040" w:type="dxa"/>
            <w:vAlign w:val="bottom"/>
            <w:gridSpan w:val="3"/>
          </w:tcPr>
          <w:p>
            <w:pPr>
              <w:ind w:left="60"/>
              <w:spacing w:after="0"/>
              <w:rPr>
                <w:sz w:val="20"/>
                <w:szCs w:val="20"/>
                <w:color w:val="auto"/>
              </w:rPr>
            </w:pPr>
            <w:r>
              <w:rPr>
                <w:rFonts w:ascii="Arial" w:cs="Arial" w:eastAsia="Arial" w:hAnsi="Arial"/>
                <w:sz w:val="18"/>
                <w:szCs w:val="18"/>
                <w:b w:val="1"/>
                <w:bCs w:val="1"/>
                <w:color w:val="auto"/>
              </w:rPr>
              <w:t>Business Address</w:t>
            </w: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38"/>
        </w:trPr>
        <w:tc>
          <w:tcPr>
            <w:tcW w:w="210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Chairman, Board of</w:t>
            </w:r>
          </w:p>
        </w:tc>
        <w:tc>
          <w:tcPr>
            <w:tcW w:w="2460" w:type="dxa"/>
            <w:vAlign w:val="bottom"/>
            <w:gridSpan w:val="2"/>
          </w:tcPr>
          <w:p>
            <w:pPr>
              <w:spacing w:after="0"/>
              <w:rPr>
                <w:sz w:val="20"/>
                <w:szCs w:val="20"/>
                <w:color w:val="auto"/>
              </w:rPr>
            </w:pPr>
            <w:r>
              <w:rPr>
                <w:rFonts w:ascii="Arial" w:cs="Arial" w:eastAsia="Arial" w:hAnsi="Arial"/>
                <w:sz w:val="18"/>
                <w:szCs w:val="18"/>
                <w:color w:val="auto"/>
              </w:rPr>
              <w:t>Chairman, Board of Directors;</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The Washington Post Company</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Directors; Chairman,</w:t>
            </w:r>
          </w:p>
        </w:tc>
        <w:tc>
          <w:tcPr>
            <w:tcW w:w="2460" w:type="dxa"/>
            <w:vAlign w:val="bottom"/>
            <w:gridSpan w:val="2"/>
          </w:tcPr>
          <w:p>
            <w:pPr>
              <w:spacing w:after="0"/>
              <w:rPr>
                <w:sz w:val="20"/>
                <w:szCs w:val="20"/>
                <w:color w:val="auto"/>
              </w:rPr>
            </w:pPr>
            <w:r>
              <w:rPr>
                <w:rFonts w:ascii="Arial" w:cs="Arial" w:eastAsia="Arial" w:hAnsi="Arial"/>
                <w:sz w:val="18"/>
                <w:szCs w:val="18"/>
                <w:color w:val="auto"/>
              </w:rPr>
              <w:t>Chief Executive Officer, The</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1150 15th Street, N.W.</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Executive Committee;</w:t>
            </w:r>
          </w:p>
        </w:tc>
        <w:tc>
          <w:tcPr>
            <w:tcW w:w="2460" w:type="dxa"/>
            <w:vAlign w:val="bottom"/>
            <w:gridSpan w:val="2"/>
          </w:tcPr>
          <w:p>
            <w:pPr>
              <w:spacing w:after="0"/>
              <w:rPr>
                <w:sz w:val="20"/>
                <w:szCs w:val="20"/>
                <w:color w:val="auto"/>
              </w:rPr>
            </w:pPr>
            <w:r>
              <w:rPr>
                <w:rFonts w:ascii="Arial" w:cs="Arial" w:eastAsia="Arial" w:hAnsi="Arial"/>
                <w:sz w:val="18"/>
                <w:szCs w:val="18"/>
                <w:color w:val="auto"/>
              </w:rPr>
              <w:t>Washington Post Company</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Washington, D.C. 20071</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Member, Finance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Lee C. Bollinger</w:t>
            </w: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Director; Member,</w:t>
            </w:r>
          </w:p>
        </w:tc>
        <w:tc>
          <w:tcPr>
            <w:tcW w:w="2460" w:type="dxa"/>
            <w:vAlign w:val="bottom"/>
            <w:gridSpan w:val="2"/>
          </w:tcPr>
          <w:p>
            <w:pPr>
              <w:spacing w:after="0"/>
              <w:rPr>
                <w:sz w:val="20"/>
                <w:szCs w:val="20"/>
                <w:color w:val="auto"/>
              </w:rPr>
            </w:pPr>
            <w:r>
              <w:rPr>
                <w:rFonts w:ascii="Arial" w:cs="Arial" w:eastAsia="Arial" w:hAnsi="Arial"/>
                <w:sz w:val="18"/>
                <w:szCs w:val="18"/>
                <w:color w:val="auto"/>
                <w:w w:val="99"/>
              </w:rPr>
              <w:t>President, Columbia University</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Columbia University in the City of New York</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Compensation Committee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2960 Broadway</w:t>
            </w: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New York, NY 10027</w:t>
            </w: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Christopher C. Davis</w:t>
            </w: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Director; Member, Audit</w:t>
            </w:r>
          </w:p>
        </w:tc>
        <w:tc>
          <w:tcPr>
            <w:tcW w:w="2460" w:type="dxa"/>
            <w:vAlign w:val="bottom"/>
            <w:gridSpan w:val="2"/>
          </w:tcPr>
          <w:p>
            <w:pPr>
              <w:spacing w:after="0"/>
              <w:rPr>
                <w:sz w:val="20"/>
                <w:szCs w:val="20"/>
                <w:color w:val="auto"/>
              </w:rPr>
            </w:pPr>
            <w:r>
              <w:rPr>
                <w:rFonts w:ascii="Arial" w:cs="Arial" w:eastAsia="Arial" w:hAnsi="Arial"/>
                <w:sz w:val="18"/>
                <w:szCs w:val="18"/>
                <w:color w:val="auto"/>
              </w:rPr>
              <w:t>Chairman, Davis Selected</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Davis Selected Advisors, Inc.</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Committee; Chairman,</w:t>
            </w:r>
          </w:p>
        </w:tc>
        <w:tc>
          <w:tcPr>
            <w:tcW w:w="2460" w:type="dxa"/>
            <w:vAlign w:val="bottom"/>
            <w:gridSpan w:val="2"/>
          </w:tcPr>
          <w:p>
            <w:pPr>
              <w:spacing w:after="0"/>
              <w:rPr>
                <w:sz w:val="20"/>
                <w:szCs w:val="20"/>
                <w:color w:val="auto"/>
              </w:rPr>
            </w:pPr>
            <w:r>
              <w:rPr>
                <w:rFonts w:ascii="Arial" w:cs="Arial" w:eastAsia="Arial" w:hAnsi="Arial"/>
                <w:sz w:val="18"/>
                <w:szCs w:val="18"/>
                <w:color w:val="auto"/>
              </w:rPr>
              <w:t>Advisers, Inc., an investment</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620 Fifth Avenue</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Finance Committee;</w:t>
            </w:r>
          </w:p>
        </w:tc>
        <w:tc>
          <w:tcPr>
            <w:tcW w:w="2460" w:type="dxa"/>
            <w:vAlign w:val="bottom"/>
            <w:gridSpan w:val="2"/>
          </w:tcPr>
          <w:p>
            <w:pPr>
              <w:spacing w:after="0"/>
              <w:rPr>
                <w:sz w:val="20"/>
                <w:szCs w:val="20"/>
                <w:color w:val="auto"/>
              </w:rPr>
            </w:pPr>
            <w:r>
              <w:rPr>
                <w:rFonts w:ascii="Arial" w:cs="Arial" w:eastAsia="Arial" w:hAnsi="Arial"/>
                <w:sz w:val="18"/>
                <w:szCs w:val="18"/>
                <w:color w:val="auto"/>
              </w:rPr>
              <w:t>counseling firm</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3rd Floor</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Member, Executive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New York, NY 10017</w:t>
            </w: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Director; Member,</w:t>
            </w:r>
          </w:p>
        </w:tc>
        <w:tc>
          <w:tcPr>
            <w:tcW w:w="2460" w:type="dxa"/>
            <w:vAlign w:val="bottom"/>
            <w:gridSpan w:val="2"/>
          </w:tcPr>
          <w:p>
            <w:pPr>
              <w:spacing w:after="0"/>
              <w:rPr>
                <w:sz w:val="20"/>
                <w:szCs w:val="20"/>
                <w:color w:val="auto"/>
              </w:rPr>
            </w:pPr>
            <w:r>
              <w:rPr>
                <w:rFonts w:ascii="Arial" w:cs="Arial" w:eastAsia="Arial" w:hAnsi="Arial"/>
                <w:sz w:val="18"/>
                <w:szCs w:val="18"/>
                <w:color w:val="auto"/>
                <w:w w:val="94"/>
              </w:rPr>
              <w:t>Chairman and Senior Executive,</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IAC/InterActiveCorp</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Compensation Committee;</w:t>
            </w:r>
          </w:p>
        </w:tc>
        <w:tc>
          <w:tcPr>
            <w:tcW w:w="2460" w:type="dxa"/>
            <w:vAlign w:val="bottom"/>
            <w:gridSpan w:val="2"/>
          </w:tcPr>
          <w:p>
            <w:pPr>
              <w:spacing w:after="0"/>
              <w:rPr>
                <w:sz w:val="20"/>
                <w:szCs w:val="20"/>
                <w:color w:val="auto"/>
              </w:rPr>
            </w:pPr>
            <w:r>
              <w:rPr>
                <w:rFonts w:ascii="Arial" w:cs="Arial" w:eastAsia="Arial" w:hAnsi="Arial"/>
                <w:sz w:val="18"/>
                <w:szCs w:val="18"/>
                <w:color w:val="auto"/>
                <w:w w:val="96"/>
              </w:rPr>
              <w:t>IAC/ InterActiveCorp; Chairman</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555 West 18th Street</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Member, Executive</w:t>
            </w:r>
          </w:p>
        </w:tc>
        <w:tc>
          <w:tcPr>
            <w:tcW w:w="2460" w:type="dxa"/>
            <w:vAlign w:val="bottom"/>
            <w:gridSpan w:val="2"/>
          </w:tcPr>
          <w:p>
            <w:pPr>
              <w:spacing w:after="0"/>
              <w:rPr>
                <w:sz w:val="20"/>
                <w:szCs w:val="20"/>
                <w:color w:val="auto"/>
              </w:rPr>
            </w:pPr>
            <w:r>
              <w:rPr>
                <w:rFonts w:ascii="Arial" w:cs="Arial" w:eastAsia="Arial" w:hAnsi="Arial"/>
                <w:sz w:val="18"/>
                <w:szCs w:val="18"/>
                <w:color w:val="auto"/>
                <w:w w:val="97"/>
              </w:rPr>
              <w:t>and Senior Executive, Expedia,</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New York, NY 10011</w:t>
            </w:r>
          </w:p>
        </w:tc>
      </w:tr>
      <w:tr>
        <w:trPr>
          <w:trHeight w:val="216"/>
        </w:trPr>
        <w:tc>
          <w:tcPr>
            <w:tcW w:w="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Committee; Member,</w:t>
            </w:r>
          </w:p>
        </w:tc>
        <w:tc>
          <w:tcPr>
            <w:tcW w:w="2460" w:type="dxa"/>
            <w:vAlign w:val="bottom"/>
            <w:gridSpan w:val="2"/>
          </w:tcPr>
          <w:p>
            <w:pPr>
              <w:spacing w:after="0"/>
              <w:rPr>
                <w:sz w:val="20"/>
                <w:szCs w:val="20"/>
                <w:color w:val="auto"/>
              </w:rPr>
            </w:pPr>
            <w:r>
              <w:rPr>
                <w:rFonts w:ascii="Arial" w:cs="Arial" w:eastAsia="Arial" w:hAnsi="Arial"/>
                <w:sz w:val="18"/>
                <w:szCs w:val="18"/>
                <w:color w:val="auto"/>
              </w:rPr>
              <w:t>Inc.; Chairman and Senior</w:t>
            </w: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20" w:type="dxa"/>
            <w:vAlign w:val="bottom"/>
            <w:gridSpan w:val="3"/>
          </w:tcPr>
          <w:p>
            <w:pPr>
              <w:ind w:left="580"/>
              <w:spacing w:after="0"/>
              <w:rPr>
                <w:sz w:val="20"/>
                <w:szCs w:val="20"/>
                <w:color w:val="auto"/>
              </w:rPr>
            </w:pPr>
            <w:r>
              <w:rPr>
                <w:rFonts w:ascii="Arial" w:cs="Arial" w:eastAsia="Arial" w:hAnsi="Arial"/>
                <w:sz w:val="18"/>
                <w:szCs w:val="18"/>
                <w:color w:val="auto"/>
              </w:rPr>
              <w:t>Finance Committee</w:t>
            </w:r>
          </w:p>
        </w:tc>
        <w:tc>
          <w:tcPr>
            <w:tcW w:w="2460" w:type="dxa"/>
            <w:vAlign w:val="bottom"/>
            <w:gridSpan w:val="2"/>
          </w:tcPr>
          <w:p>
            <w:pPr>
              <w:spacing w:after="0"/>
              <w:rPr>
                <w:sz w:val="20"/>
                <w:szCs w:val="20"/>
                <w:color w:val="auto"/>
              </w:rPr>
            </w:pPr>
            <w:r>
              <w:rPr>
                <w:rFonts w:ascii="Arial" w:cs="Arial" w:eastAsia="Arial" w:hAnsi="Arial"/>
                <w:sz w:val="18"/>
                <w:szCs w:val="18"/>
                <w:color w:val="auto"/>
              </w:rPr>
              <w:t>Executive, TripAdvisor, Inc.</w:t>
            </w: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212"/>
        </w:trPr>
        <w:tc>
          <w:tcPr>
            <w:tcW w:w="4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w w:val="95"/>
              </w:rPr>
              <w:t>Present Principal Occupation</w:t>
            </w:r>
          </w:p>
        </w:tc>
        <w:tc>
          <w:tcPr>
            <w:tcW w:w="4080" w:type="dxa"/>
            <w:vAlign w:val="bottom"/>
            <w:gridSpan w:val="3"/>
          </w:tcPr>
          <w:p>
            <w:pPr>
              <w:ind w:left="100"/>
              <w:spacing w:after="0"/>
              <w:rPr>
                <w:sz w:val="20"/>
                <w:szCs w:val="20"/>
                <w:color w:val="auto"/>
              </w:rPr>
            </w:pPr>
            <w:r>
              <w:rPr>
                <w:rFonts w:ascii="Arial" w:cs="Arial" w:eastAsia="Arial" w:hAnsi="Arial"/>
                <w:sz w:val="18"/>
                <w:szCs w:val="18"/>
                <w:b w:val="1"/>
                <w:bCs w:val="1"/>
                <w:color w:val="auto"/>
              </w:rPr>
              <w:t>Business Address</w:t>
            </w: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38"/>
        </w:trPr>
        <w:tc>
          <w:tcPr>
            <w:tcW w:w="2200" w:type="dxa"/>
            <w:vAlign w:val="bottom"/>
            <w:gridSpan w:val="2"/>
          </w:tcPr>
          <w:p>
            <w:pPr>
              <w:spacing w:after="0"/>
              <w:rPr>
                <w:sz w:val="20"/>
                <w:szCs w:val="20"/>
                <w:color w:val="auto"/>
              </w:rPr>
            </w:pPr>
            <w:r>
              <w:rPr>
                <w:rFonts w:ascii="Arial" w:cs="Arial" w:eastAsia="Arial" w:hAnsi="Arial"/>
                <w:sz w:val="18"/>
                <w:szCs w:val="18"/>
                <w:color w:val="auto"/>
              </w:rPr>
              <w:t>Thomas S. Gayner</w:t>
            </w: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Director; Chairman, Audit</w:t>
            </w:r>
          </w:p>
        </w:tc>
        <w:tc>
          <w:tcPr>
            <w:tcW w:w="2420" w:type="dxa"/>
            <w:vAlign w:val="bottom"/>
            <w:gridSpan w:val="2"/>
          </w:tcPr>
          <w:p>
            <w:pPr>
              <w:spacing w:after="0"/>
              <w:rPr>
                <w:sz w:val="20"/>
                <w:szCs w:val="20"/>
                <w:color w:val="auto"/>
              </w:rPr>
            </w:pPr>
            <w:r>
              <w:rPr>
                <w:rFonts w:ascii="Arial" w:cs="Arial" w:eastAsia="Arial" w:hAnsi="Arial"/>
                <w:sz w:val="18"/>
                <w:szCs w:val="18"/>
                <w:color w:val="auto"/>
                <w:w w:val="95"/>
              </w:rPr>
              <w:t>President and Chief Investment</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Markel Corporation</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Committee; Member,</w:t>
            </w:r>
          </w:p>
        </w:tc>
        <w:tc>
          <w:tcPr>
            <w:tcW w:w="2420" w:type="dxa"/>
            <w:vAlign w:val="bottom"/>
            <w:gridSpan w:val="2"/>
          </w:tcPr>
          <w:p>
            <w:pPr>
              <w:spacing w:after="0"/>
              <w:rPr>
                <w:sz w:val="20"/>
                <w:szCs w:val="20"/>
                <w:color w:val="auto"/>
              </w:rPr>
            </w:pPr>
            <w:r>
              <w:rPr>
                <w:rFonts w:ascii="Arial" w:cs="Arial" w:eastAsia="Arial" w:hAnsi="Arial"/>
                <w:sz w:val="18"/>
                <w:szCs w:val="18"/>
                <w:color w:val="auto"/>
              </w:rPr>
              <w:t>Officer, Markel Corporation</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4521 Highwoods Parkway</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Finance Committee</w:t>
            </w: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Glenn Allen, VA 23060</w:t>
            </w: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rPr>
              <w:t>David Goldberg</w:t>
            </w: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Director; Member, Finance</w:t>
            </w:r>
          </w:p>
        </w:tc>
        <w:tc>
          <w:tcPr>
            <w:tcW w:w="24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SurveyMonkey</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Committee</w:t>
            </w:r>
          </w:p>
        </w:tc>
        <w:tc>
          <w:tcPr>
            <w:tcW w:w="2420" w:type="dxa"/>
            <w:vAlign w:val="bottom"/>
            <w:gridSpan w:val="2"/>
          </w:tcPr>
          <w:p>
            <w:pPr>
              <w:spacing w:after="0"/>
              <w:rPr>
                <w:sz w:val="20"/>
                <w:szCs w:val="20"/>
                <w:color w:val="auto"/>
              </w:rPr>
            </w:pPr>
            <w:r>
              <w:rPr>
                <w:rFonts w:ascii="Arial" w:cs="Arial" w:eastAsia="Arial" w:hAnsi="Arial"/>
                <w:sz w:val="18"/>
                <w:szCs w:val="18"/>
                <w:color w:val="auto"/>
              </w:rPr>
              <w:t>SurveyMonkey</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285 Hamilton Avenue</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Suite 500</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Palo Alto, CA 94301</w:t>
            </w: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rPr>
              <w:t>Anne M. Mulcahy</w:t>
            </w: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Director; Chairman,</w:t>
            </w: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Retired Chairman of the Board</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The Washington Post Company</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Compensation Committee;</w:t>
            </w:r>
          </w:p>
        </w:tc>
        <w:tc>
          <w:tcPr>
            <w:tcW w:w="2420" w:type="dxa"/>
            <w:vAlign w:val="bottom"/>
            <w:gridSpan w:val="2"/>
          </w:tcPr>
          <w:p>
            <w:pPr>
              <w:spacing w:after="0"/>
              <w:rPr>
                <w:sz w:val="20"/>
                <w:szCs w:val="20"/>
                <w:color w:val="auto"/>
              </w:rPr>
            </w:pPr>
            <w:r>
              <w:rPr>
                <w:rFonts w:ascii="Arial" w:cs="Arial" w:eastAsia="Arial" w:hAnsi="Arial"/>
                <w:sz w:val="18"/>
                <w:szCs w:val="18"/>
                <w:color w:val="auto"/>
              </w:rPr>
              <w:t>and Chief Executive Officer,</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1150 15th Street, N.W.</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Member, Executive</w:t>
            </w:r>
          </w:p>
        </w:tc>
        <w:tc>
          <w:tcPr>
            <w:tcW w:w="2420" w:type="dxa"/>
            <w:vAlign w:val="bottom"/>
            <w:gridSpan w:val="2"/>
          </w:tcPr>
          <w:p>
            <w:pPr>
              <w:spacing w:after="0"/>
              <w:rPr>
                <w:sz w:val="20"/>
                <w:szCs w:val="20"/>
                <w:color w:val="auto"/>
              </w:rPr>
            </w:pPr>
            <w:r>
              <w:rPr>
                <w:rFonts w:ascii="Arial" w:cs="Arial" w:eastAsia="Arial" w:hAnsi="Arial"/>
                <w:sz w:val="18"/>
                <w:szCs w:val="18"/>
                <w:color w:val="auto"/>
              </w:rPr>
              <w:t>Xerox Corporation</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Washington, D.C. 20071</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Committee</w:t>
            </w: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rPr>
              <w:t>Ronald L. Olson</w:t>
            </w: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w w:val="97"/>
              </w:rPr>
              <w:t>Director; Member, Executive</w:t>
            </w:r>
          </w:p>
        </w:tc>
        <w:tc>
          <w:tcPr>
            <w:tcW w:w="2420" w:type="dxa"/>
            <w:vAlign w:val="bottom"/>
            <w:gridSpan w:val="2"/>
          </w:tcPr>
          <w:p>
            <w:pPr>
              <w:spacing w:after="0"/>
              <w:rPr>
                <w:sz w:val="20"/>
                <w:szCs w:val="20"/>
                <w:color w:val="auto"/>
              </w:rPr>
            </w:pPr>
            <w:r>
              <w:rPr>
                <w:rFonts w:ascii="Arial" w:cs="Arial" w:eastAsia="Arial" w:hAnsi="Arial"/>
                <w:sz w:val="18"/>
                <w:szCs w:val="18"/>
                <w:color w:val="auto"/>
              </w:rPr>
              <w:t>Attorney, Member of Munger,</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Munger, Tolles &amp; Olson LLP</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Committee</w:t>
            </w:r>
          </w:p>
        </w:tc>
        <w:tc>
          <w:tcPr>
            <w:tcW w:w="2420" w:type="dxa"/>
            <w:vAlign w:val="bottom"/>
            <w:gridSpan w:val="2"/>
          </w:tcPr>
          <w:p>
            <w:pPr>
              <w:spacing w:after="0"/>
              <w:rPr>
                <w:sz w:val="20"/>
                <w:szCs w:val="20"/>
                <w:color w:val="auto"/>
              </w:rPr>
            </w:pPr>
            <w:r>
              <w:rPr>
                <w:rFonts w:ascii="Arial" w:cs="Arial" w:eastAsia="Arial" w:hAnsi="Arial"/>
                <w:sz w:val="18"/>
                <w:szCs w:val="18"/>
                <w:color w:val="auto"/>
                <w:w w:val="99"/>
              </w:rPr>
              <w:t>Tolles &amp; Olsen LLP, a law firm</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355 South Grand Avenue</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35th Floor</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Los Angeles, CA 90071</w:t>
            </w: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rPr>
              <w:t>Larry D. Thompson</w:t>
            </w: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Director; Member,</w:t>
            </w:r>
          </w:p>
        </w:tc>
        <w:tc>
          <w:tcPr>
            <w:tcW w:w="242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PepsiCo, Inc.</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Compensation Committee</w:t>
            </w:r>
          </w:p>
        </w:tc>
        <w:tc>
          <w:tcPr>
            <w:tcW w:w="2420" w:type="dxa"/>
            <w:vAlign w:val="bottom"/>
            <w:gridSpan w:val="2"/>
          </w:tcPr>
          <w:p>
            <w:pPr>
              <w:spacing w:after="0"/>
              <w:rPr>
                <w:sz w:val="20"/>
                <w:szCs w:val="20"/>
                <w:color w:val="auto"/>
              </w:rPr>
            </w:pPr>
            <w:r>
              <w:rPr>
                <w:rFonts w:ascii="Arial" w:cs="Arial" w:eastAsia="Arial" w:hAnsi="Arial"/>
                <w:sz w:val="18"/>
                <w:szCs w:val="18"/>
                <w:color w:val="auto"/>
              </w:rPr>
              <w:t>Government Affairs, General</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700 Anderson Hill Road</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Counsel and Corporate</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Purchase, New York 10577</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Secretary, PepsiCo, Inc.</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rPr>
              <w:t>G. Richard Wagoner, Jr.</w:t>
            </w: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Director; Member, Audit</w:t>
            </w: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Retired Chairman of the Board</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The Washington Post Company</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Committee</w:t>
            </w:r>
          </w:p>
        </w:tc>
        <w:tc>
          <w:tcPr>
            <w:tcW w:w="2420" w:type="dxa"/>
            <w:vAlign w:val="bottom"/>
            <w:gridSpan w:val="2"/>
          </w:tcPr>
          <w:p>
            <w:pPr>
              <w:spacing w:after="0"/>
              <w:rPr>
                <w:sz w:val="20"/>
                <w:szCs w:val="20"/>
                <w:color w:val="auto"/>
              </w:rPr>
            </w:pPr>
            <w:r>
              <w:rPr>
                <w:rFonts w:ascii="Arial" w:cs="Arial" w:eastAsia="Arial" w:hAnsi="Arial"/>
                <w:sz w:val="18"/>
                <w:szCs w:val="18"/>
                <w:color w:val="auto"/>
              </w:rPr>
              <w:t>and Chief Executive Officer,</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1150 15th Street, N.W.</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General Motors Corporation</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Washington, D.C. 20071</w:t>
            </w: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rPr>
              <w:t>Katharine Weymouth</w:t>
            </w: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Director; Member, Finance</w:t>
            </w:r>
          </w:p>
        </w:tc>
        <w:tc>
          <w:tcPr>
            <w:tcW w:w="24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The Washington Post</w:t>
            </w:r>
          </w:p>
        </w:tc>
      </w:tr>
      <w:tr>
        <w:trPr>
          <w:trHeight w:val="216"/>
        </w:trPr>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Arial" w:cs="Arial" w:eastAsia="Arial" w:hAnsi="Arial"/>
                <w:sz w:val="18"/>
                <w:szCs w:val="18"/>
                <w:color w:val="auto"/>
              </w:rPr>
              <w:t>Committee</w:t>
            </w:r>
          </w:p>
        </w:tc>
        <w:tc>
          <w:tcPr>
            <w:tcW w:w="2420" w:type="dxa"/>
            <w:vAlign w:val="bottom"/>
            <w:gridSpan w:val="2"/>
          </w:tcPr>
          <w:p>
            <w:pPr>
              <w:spacing w:after="0"/>
              <w:rPr>
                <w:sz w:val="20"/>
                <w:szCs w:val="20"/>
                <w:color w:val="auto"/>
              </w:rPr>
            </w:pPr>
            <w:r>
              <w:rPr>
                <w:rFonts w:ascii="Arial" w:cs="Arial" w:eastAsia="Arial" w:hAnsi="Arial"/>
                <w:sz w:val="18"/>
                <w:szCs w:val="18"/>
                <w:color w:val="auto"/>
              </w:rPr>
              <w:t>Washington Post Media;</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1150 15th Street, N.W.</w:t>
            </w:r>
          </w:p>
        </w:tc>
      </w:tr>
      <w:tr>
        <w:trPr>
          <w:trHeight w:val="230"/>
        </w:trPr>
        <w:tc>
          <w:tcPr>
            <w:tcW w:w="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w w:val="93"/>
              </w:rPr>
              <w:t>Publisher, The Washington Post</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Washington, D.C. 20071</w:t>
            </w:r>
          </w:p>
        </w:tc>
      </w:tr>
      <w:tr>
        <w:trPr>
          <w:trHeight w:val="1212"/>
        </w:trPr>
        <w:tc>
          <w:tcPr>
            <w:tcW w:w="4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86"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 of The Washington Post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198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Position</w:t>
            </w:r>
          </w:p>
        </w:tc>
        <w:tc>
          <w:tcPr>
            <w:tcW w:w="8360" w:type="dxa"/>
            <w:vAlign w:val="bottom"/>
          </w:tcPr>
          <w:p>
            <w:pPr>
              <w:spacing w:after="0"/>
              <w:rPr>
                <w:sz w:val="17"/>
                <w:szCs w:val="17"/>
                <w:color w:val="auto"/>
              </w:rPr>
            </w:pPr>
          </w:p>
        </w:tc>
      </w:tr>
      <w:tr>
        <w:trPr>
          <w:trHeight w:val="438"/>
        </w:trPr>
        <w:tc>
          <w:tcPr>
            <w:tcW w:w="244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8980" w:type="dxa"/>
            <w:vAlign w:val="bottom"/>
            <w:gridSpan w:val="2"/>
          </w:tcPr>
          <w:p>
            <w:pPr>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Wallace R. Cooney</w:t>
            </w:r>
          </w:p>
        </w:tc>
        <w:tc>
          <w:tcPr>
            <w:tcW w:w="8980" w:type="dxa"/>
            <w:vAlign w:val="bottom"/>
            <w:gridSpan w:val="2"/>
          </w:tcPr>
          <w:p>
            <w:pPr>
              <w:spacing w:after="0"/>
              <w:rPr>
                <w:sz w:val="20"/>
                <w:szCs w:val="20"/>
                <w:color w:val="auto"/>
              </w:rPr>
            </w:pPr>
            <w:r>
              <w:rPr>
                <w:rFonts w:ascii="Arial" w:cs="Arial" w:eastAsia="Arial" w:hAnsi="Arial"/>
                <w:sz w:val="18"/>
                <w:szCs w:val="18"/>
                <w:color w:val="auto"/>
              </w:rPr>
              <w:t>Vice President-Finance and Chief</w:t>
            </w:r>
          </w:p>
        </w:tc>
      </w:tr>
      <w:tr>
        <w:trPr>
          <w:trHeight w:val="230"/>
        </w:trPr>
        <w:tc>
          <w:tcPr>
            <w:tcW w:w="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Veronica Dillon</w:t>
            </w:r>
          </w:p>
        </w:tc>
        <w:tc>
          <w:tcPr>
            <w:tcW w:w="89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w:t>
            </w:r>
          </w:p>
        </w:tc>
      </w:tr>
      <w:tr>
        <w:trPr>
          <w:trHeight w:val="230"/>
        </w:trPr>
        <w:tc>
          <w:tcPr>
            <w:tcW w:w="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Hal S. Jones</w:t>
            </w:r>
          </w:p>
        </w:tc>
        <w:tc>
          <w:tcPr>
            <w:tcW w:w="8980" w:type="dxa"/>
            <w:vAlign w:val="bottom"/>
            <w:gridSpan w:val="2"/>
          </w:tcPr>
          <w:p>
            <w:pPr>
              <w:spacing w:after="0"/>
              <w:rPr>
                <w:sz w:val="20"/>
                <w:szCs w:val="20"/>
                <w:color w:val="auto"/>
              </w:rPr>
            </w:pPr>
            <w:r>
              <w:rPr>
                <w:rFonts w:ascii="Arial" w:cs="Arial" w:eastAsia="Arial" w:hAnsi="Arial"/>
                <w:sz w:val="18"/>
                <w:szCs w:val="18"/>
                <w:color w:val="auto"/>
              </w:rPr>
              <w:t>Senior Vice President-Finance and Chief</w:t>
            </w:r>
          </w:p>
        </w:tc>
      </w:tr>
      <w:tr>
        <w:trPr>
          <w:trHeight w:val="230"/>
        </w:trPr>
        <w:tc>
          <w:tcPr>
            <w:tcW w:w="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Financial Officer</w:t>
            </w:r>
          </w:p>
        </w:tc>
      </w:tr>
      <w:tr>
        <w:trPr>
          <w:trHeight w:val="432"/>
        </w:trPr>
        <w:tc>
          <w:tcPr>
            <w:tcW w:w="2440" w:type="dxa"/>
            <w:vAlign w:val="bottom"/>
            <w:gridSpan w:val="2"/>
          </w:tcPr>
          <w:p>
            <w:pPr>
              <w:spacing w:after="0"/>
              <w:rPr>
                <w:sz w:val="20"/>
                <w:szCs w:val="20"/>
                <w:color w:val="auto"/>
              </w:rPr>
            </w:pPr>
            <w:r>
              <w:rPr>
                <w:rFonts w:ascii="Arial" w:cs="Arial" w:eastAsia="Arial" w:hAnsi="Arial"/>
                <w:sz w:val="18"/>
                <w:szCs w:val="18"/>
                <w:color w:val="auto"/>
              </w:rPr>
              <w:t>Ann L. McDaniel</w:t>
            </w:r>
          </w:p>
        </w:tc>
        <w:tc>
          <w:tcPr>
            <w:tcW w:w="89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Gerald M. Rosberg</w:t>
            </w:r>
          </w:p>
        </w:tc>
        <w:tc>
          <w:tcPr>
            <w:tcW w:w="8980" w:type="dxa"/>
            <w:vAlign w:val="bottom"/>
            <w:gridSpan w:val="2"/>
          </w:tcPr>
          <w:p>
            <w:pPr>
              <w:spacing w:after="0"/>
              <w:rPr>
                <w:sz w:val="20"/>
                <w:szCs w:val="20"/>
                <w:color w:val="auto"/>
              </w:rPr>
            </w:pPr>
            <w:r>
              <w:rPr>
                <w:rFonts w:ascii="Arial" w:cs="Arial" w:eastAsia="Arial" w:hAnsi="Arial"/>
                <w:sz w:val="18"/>
                <w:szCs w:val="18"/>
                <w:color w:val="auto"/>
              </w:rPr>
              <w:t>Senior Vice President-Planning and</w:t>
            </w:r>
          </w:p>
        </w:tc>
      </w:tr>
      <w:tr>
        <w:trPr>
          <w:trHeight w:val="230"/>
        </w:trPr>
        <w:tc>
          <w:tcPr>
            <w:tcW w:w="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Development</w:t>
            </w:r>
          </w:p>
        </w:tc>
      </w:tr>
      <w:tr>
        <w:trPr>
          <w:trHeight w:val="1428"/>
        </w:trPr>
        <w:tc>
          <w:tcPr>
            <w:tcW w:w="46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ind w:left="10320"/>
        <w:spacing w:after="0"/>
        <w:rPr>
          <w:sz w:val="20"/>
          <w:szCs w:val="20"/>
          <w:color w:val="auto"/>
        </w:rPr>
      </w:pPr>
      <w:r>
        <w:rPr>
          <w:rFonts w:ascii="Arial" w:cs="Arial" w:eastAsia="Arial" w:hAnsi="Arial"/>
          <w:sz w:val="17"/>
          <w:szCs w:val="17"/>
          <w:color w:val="auto"/>
        </w:rPr>
        <w:t>SCHEDULE B</w:t>
      </w:r>
    </w:p>
    <w:p>
      <w:pPr>
        <w:spacing w:after="0" w:line="200" w:lineRule="exact"/>
        <w:rPr>
          <w:sz w:val="20"/>
          <w:szCs w:val="20"/>
          <w:color w:val="auto"/>
        </w:rPr>
      </w:pPr>
    </w:p>
    <w:p>
      <w:pPr>
        <w:spacing w:after="0" w:line="3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sets forth information regarding all transactions by the Company with respect to Issuer Common Stock during the past 60 days. All such transactions were effected in the open market.</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60" w:type="dxa"/>
            <w:vAlign w:val="bottom"/>
            <w:tcBorders>
              <w:top w:val="single" w:sz="8" w:color="auto"/>
              <w:left w:val="single" w:sz="8" w:color="auto"/>
            </w:tcBorders>
          </w:tcPr>
          <w:p>
            <w:pPr>
              <w:spacing w:after="0"/>
              <w:rPr>
                <w:sz w:val="16"/>
                <w:szCs w:val="16"/>
                <w:color w:val="auto"/>
              </w:rPr>
            </w:pPr>
          </w:p>
        </w:tc>
        <w:tc>
          <w:tcPr>
            <w:tcW w:w="1300" w:type="dxa"/>
            <w:vAlign w:val="bottom"/>
            <w:tcBorders>
              <w:top w:val="single" w:sz="8" w:color="auto"/>
              <w:right w:val="single" w:sz="8" w:color="auto"/>
            </w:tcBorders>
            <w:gridSpan w:val="2"/>
          </w:tcPr>
          <w:p>
            <w:pPr>
              <w:jc w:val="center"/>
              <w:ind w:right="560"/>
              <w:spacing w:after="0" w:line="192" w:lineRule="exact"/>
              <w:rPr>
                <w:sz w:val="20"/>
                <w:szCs w:val="20"/>
                <w:color w:val="auto"/>
              </w:rPr>
            </w:pPr>
            <w:r>
              <w:rPr>
                <w:rFonts w:ascii="Arial" w:cs="Arial" w:eastAsia="Arial" w:hAnsi="Arial"/>
                <w:sz w:val="18"/>
                <w:szCs w:val="18"/>
                <w:b w:val="1"/>
                <w:bCs w:val="1"/>
                <w:color w:val="auto"/>
                <w:w w:val="89"/>
              </w:rPr>
              <w:t>Date Sold</w:t>
            </w:r>
          </w:p>
        </w:tc>
        <w:tc>
          <w:tcPr>
            <w:tcW w:w="640" w:type="dxa"/>
            <w:vAlign w:val="bottom"/>
            <w:tcBorders>
              <w:top w:val="single" w:sz="8" w:color="auto"/>
            </w:tcBorders>
          </w:tcPr>
          <w:p>
            <w:pPr>
              <w:spacing w:after="0"/>
              <w:rPr>
                <w:sz w:val="16"/>
                <w:szCs w:val="16"/>
                <w:color w:val="auto"/>
              </w:rPr>
            </w:pPr>
          </w:p>
        </w:tc>
        <w:tc>
          <w:tcPr>
            <w:tcW w:w="2060" w:type="dxa"/>
            <w:vAlign w:val="bottom"/>
            <w:tcBorders>
              <w:top w:val="single" w:sz="8" w:color="auto"/>
              <w:right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rPr>
              <w:t>No. of Shares Sold</w:t>
            </w:r>
          </w:p>
        </w:tc>
        <w:tc>
          <w:tcPr>
            <w:tcW w:w="3860" w:type="dxa"/>
            <w:vAlign w:val="bottom"/>
            <w:tcBorders>
              <w:top w:val="single" w:sz="8" w:color="auto"/>
              <w:right w:val="single" w:sz="8" w:color="auto"/>
            </w:tcBorders>
            <w:gridSpan w:val="3"/>
          </w:tcPr>
          <w:p>
            <w:pPr>
              <w:jc w:val="center"/>
              <w:ind w:right="20"/>
              <w:spacing w:after="0" w:line="192" w:lineRule="exact"/>
              <w:rPr>
                <w:sz w:val="20"/>
                <w:szCs w:val="20"/>
                <w:color w:val="auto"/>
              </w:rPr>
            </w:pPr>
            <w:r>
              <w:rPr>
                <w:rFonts w:ascii="Arial" w:cs="Arial" w:eastAsia="Arial" w:hAnsi="Arial"/>
                <w:sz w:val="18"/>
                <w:szCs w:val="18"/>
                <w:b w:val="1"/>
                <w:bCs w:val="1"/>
                <w:color w:val="auto"/>
                <w:w w:val="90"/>
              </w:rPr>
              <w:t xml:space="preserve">Average Sale Price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/Share)*</w:t>
            </w:r>
          </w:p>
        </w:tc>
        <w:tc>
          <w:tcPr>
            <w:tcW w:w="820" w:type="dxa"/>
            <w:vAlign w:val="bottom"/>
            <w:tcBorders>
              <w:top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2"/>
          </w:tcPr>
          <w:p>
            <w:pPr>
              <w:jc w:val="center"/>
              <w:ind w:right="860"/>
              <w:spacing w:after="0" w:line="192" w:lineRule="exact"/>
              <w:rPr>
                <w:sz w:val="20"/>
                <w:szCs w:val="20"/>
                <w:color w:val="auto"/>
              </w:rPr>
            </w:pPr>
            <w:r>
              <w:rPr>
                <w:rFonts w:ascii="Arial" w:cs="Arial" w:eastAsia="Arial" w:hAnsi="Arial"/>
                <w:sz w:val="18"/>
                <w:szCs w:val="18"/>
                <w:b w:val="1"/>
                <w:bCs w:val="1"/>
                <w:color w:val="auto"/>
                <w:w w:val="89"/>
              </w:rPr>
              <w:t>Transaction Type</w:t>
            </w:r>
          </w:p>
        </w:tc>
      </w:tr>
      <w:tr>
        <w:trPr>
          <w:trHeight w:val="456"/>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10"/>
        </w:trPr>
        <w:tc>
          <w:tcPr>
            <w:tcW w:w="1300" w:type="dxa"/>
            <w:vAlign w:val="bottom"/>
            <w:tcBorders>
              <w:left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1"/>
              </w:rPr>
              <w:t>3/4/2013</w:t>
            </w:r>
          </w:p>
        </w:tc>
        <w:tc>
          <w:tcPr>
            <w:tcW w:w="560" w:type="dxa"/>
            <w:vAlign w:val="bottom"/>
            <w:tcBorders>
              <w:right w:val="single" w:sz="8" w:color="auto"/>
            </w:tcBorders>
          </w:tcPr>
          <w:p>
            <w:pPr>
              <w:spacing w:after="0"/>
              <w:rPr>
                <w:sz w:val="18"/>
                <w:szCs w:val="18"/>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11,800</w:t>
            </w:r>
          </w:p>
        </w:tc>
        <w:tc>
          <w:tcPr>
            <w:tcW w:w="660" w:type="dxa"/>
            <w:vAlign w:val="bottom"/>
            <w:tcBorders>
              <w:right w:val="single" w:sz="8" w:color="auto"/>
            </w:tcBorders>
          </w:tcPr>
          <w:p>
            <w:pPr>
              <w:spacing w:after="0"/>
              <w:rPr>
                <w:sz w:val="18"/>
                <w:szCs w:val="18"/>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$2.0360</w:t>
            </w:r>
          </w:p>
        </w:tc>
        <w:tc>
          <w:tcPr>
            <w:tcW w:w="8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5"/>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1"/>
              </w:rPr>
              <w:t>3/5/2013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67,055</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$2.0536</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1"/>
              </w:rPr>
              <w:t>3/6/2013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30,656</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$2.0535</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1"/>
              </w:rPr>
              <w:t>3/7/2013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96,900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$2.0731</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1"/>
              </w:rPr>
              <w:t>3/8/2013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181,900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$2.1407</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1206"/>
        </w:trPr>
        <w:tc>
          <w:tcPr>
            <w:tcW w:w="5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192"/>
        </w:trPr>
        <w:tc>
          <w:tcPr>
            <w:tcW w:w="560" w:type="dxa"/>
            <w:vAlign w:val="bottom"/>
            <w:tcBorders>
              <w:top w:val="single" w:sz="8" w:color="auto"/>
              <w:left w:val="single" w:sz="8" w:color="auto"/>
            </w:tcBorders>
          </w:tcPr>
          <w:p>
            <w:pPr>
              <w:spacing w:after="0"/>
              <w:rPr>
                <w:sz w:val="16"/>
                <w:szCs w:val="16"/>
                <w:color w:val="auto"/>
              </w:rPr>
            </w:pPr>
          </w:p>
        </w:tc>
        <w:tc>
          <w:tcPr>
            <w:tcW w:w="1300" w:type="dxa"/>
            <w:vAlign w:val="bottom"/>
            <w:tcBorders>
              <w:top w:val="single" w:sz="8" w:color="auto"/>
              <w:right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rPr>
              <w:t>Date Sold</w:t>
            </w:r>
          </w:p>
        </w:tc>
        <w:tc>
          <w:tcPr>
            <w:tcW w:w="640" w:type="dxa"/>
            <w:vAlign w:val="bottom"/>
            <w:tcBorders>
              <w:top w:val="single" w:sz="8" w:color="auto"/>
            </w:tcBorders>
          </w:tcPr>
          <w:p>
            <w:pPr>
              <w:spacing w:after="0"/>
              <w:rPr>
                <w:sz w:val="16"/>
                <w:szCs w:val="16"/>
                <w:color w:val="auto"/>
              </w:rPr>
            </w:pPr>
          </w:p>
        </w:tc>
        <w:tc>
          <w:tcPr>
            <w:tcW w:w="2060" w:type="dxa"/>
            <w:vAlign w:val="bottom"/>
            <w:tcBorders>
              <w:top w:val="single" w:sz="8" w:color="auto"/>
              <w:right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rPr>
              <w:t>No. of Shares Sold</w:t>
            </w:r>
          </w:p>
        </w:tc>
        <w:tc>
          <w:tcPr>
            <w:tcW w:w="3860" w:type="dxa"/>
            <w:vAlign w:val="bottom"/>
            <w:tcBorders>
              <w:top w:val="single" w:sz="8" w:color="auto"/>
              <w:right w:val="single" w:sz="8" w:color="auto"/>
            </w:tcBorders>
            <w:gridSpan w:val="3"/>
          </w:tcPr>
          <w:p>
            <w:pPr>
              <w:jc w:val="center"/>
              <w:ind w:right="20"/>
              <w:spacing w:after="0" w:line="192" w:lineRule="exact"/>
              <w:rPr>
                <w:sz w:val="20"/>
                <w:szCs w:val="20"/>
                <w:color w:val="auto"/>
              </w:rPr>
            </w:pPr>
            <w:r>
              <w:rPr>
                <w:rFonts w:ascii="Arial" w:cs="Arial" w:eastAsia="Arial" w:hAnsi="Arial"/>
                <w:sz w:val="18"/>
                <w:szCs w:val="18"/>
                <w:b w:val="1"/>
                <w:bCs w:val="1"/>
                <w:color w:val="auto"/>
                <w:w w:val="90"/>
              </w:rPr>
              <w:t xml:space="preserve">Average Sale Price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/Share)*</w:t>
            </w:r>
          </w:p>
        </w:tc>
        <w:tc>
          <w:tcPr>
            <w:tcW w:w="820" w:type="dxa"/>
            <w:vAlign w:val="bottom"/>
            <w:tcBorders>
              <w:top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2"/>
          </w:tcPr>
          <w:p>
            <w:pPr>
              <w:jc w:val="center"/>
              <w:ind w:right="860"/>
              <w:spacing w:after="0" w:line="192" w:lineRule="exact"/>
              <w:rPr>
                <w:sz w:val="20"/>
                <w:szCs w:val="20"/>
                <w:color w:val="auto"/>
              </w:rPr>
            </w:pPr>
            <w:r>
              <w:rPr>
                <w:rFonts w:ascii="Arial" w:cs="Arial" w:eastAsia="Arial" w:hAnsi="Arial"/>
                <w:sz w:val="18"/>
                <w:szCs w:val="18"/>
                <w:b w:val="1"/>
                <w:bCs w:val="1"/>
                <w:color w:val="auto"/>
                <w:w w:val="89"/>
              </w:rPr>
              <w:t>Transaction Type</w:t>
            </w:r>
          </w:p>
        </w:tc>
      </w:tr>
      <w:tr>
        <w:trPr>
          <w:trHeight w:val="456"/>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10"/>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3/11/2013</w:t>
            </w:r>
          </w:p>
        </w:tc>
        <w:tc>
          <w:tcPr>
            <w:tcW w:w="560" w:type="dxa"/>
            <w:vAlign w:val="bottom"/>
            <w:tcBorders>
              <w:right w:val="single" w:sz="8" w:color="auto"/>
            </w:tcBorders>
          </w:tcPr>
          <w:p>
            <w:pPr>
              <w:spacing w:after="0"/>
              <w:rPr>
                <w:sz w:val="18"/>
                <w:szCs w:val="18"/>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130,200</w:t>
            </w:r>
          </w:p>
        </w:tc>
        <w:tc>
          <w:tcPr>
            <w:tcW w:w="660" w:type="dxa"/>
            <w:vAlign w:val="bottom"/>
            <w:tcBorders>
              <w:right w:val="single" w:sz="8" w:color="auto"/>
            </w:tcBorders>
          </w:tcPr>
          <w:p>
            <w:pPr>
              <w:spacing w:after="0"/>
              <w:rPr>
                <w:sz w:val="18"/>
                <w:szCs w:val="18"/>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$2.1683</w:t>
            </w:r>
          </w:p>
        </w:tc>
        <w:tc>
          <w:tcPr>
            <w:tcW w:w="8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5"/>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3/12/2013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16,300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$2.1544</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3/13/2013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24,847</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$2.1505</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3/14/2013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79,800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$2.1564</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3/15/2013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67,609</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$2.1532</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3/19/2013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8"/>
              </w:rPr>
              <w:t>5,300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$2.1500</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3/20/2013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58,956</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$2.1524</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3/21/2013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42,100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$2.1854</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3/22/2013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93"/>
              </w:rPr>
              <w:t>100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$2.1500</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3/25/2013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37,738</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$2.1728</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3/26/2013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93"/>
              </w:rPr>
              <w:t>500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$2.1600</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w w:val="89"/>
              </w:rPr>
              <w:t>3/28/2013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8"/>
              </w:rPr>
              <w:t>1,205</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$2.1500</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1206"/>
        </w:trPr>
        <w:tc>
          <w:tcPr>
            <w:tcW w:w="5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4"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192"/>
        </w:trPr>
        <w:tc>
          <w:tcPr>
            <w:tcW w:w="560" w:type="dxa"/>
            <w:vAlign w:val="bottom"/>
            <w:tcBorders>
              <w:top w:val="single" w:sz="8" w:color="auto"/>
              <w:left w:val="single" w:sz="8" w:color="auto"/>
            </w:tcBorders>
          </w:tcPr>
          <w:p>
            <w:pPr>
              <w:spacing w:after="0"/>
              <w:rPr>
                <w:sz w:val="16"/>
                <w:szCs w:val="16"/>
                <w:color w:val="auto"/>
              </w:rPr>
            </w:pPr>
          </w:p>
        </w:tc>
        <w:tc>
          <w:tcPr>
            <w:tcW w:w="1300" w:type="dxa"/>
            <w:vAlign w:val="bottom"/>
            <w:tcBorders>
              <w:top w:val="single" w:sz="8" w:color="auto"/>
              <w:right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rPr>
              <w:t>Date Sold</w:t>
            </w:r>
          </w:p>
        </w:tc>
        <w:tc>
          <w:tcPr>
            <w:tcW w:w="640" w:type="dxa"/>
            <w:vAlign w:val="bottom"/>
            <w:tcBorders>
              <w:top w:val="single" w:sz="8" w:color="auto"/>
            </w:tcBorders>
          </w:tcPr>
          <w:p>
            <w:pPr>
              <w:spacing w:after="0"/>
              <w:rPr>
                <w:sz w:val="16"/>
                <w:szCs w:val="16"/>
                <w:color w:val="auto"/>
              </w:rPr>
            </w:pPr>
          </w:p>
        </w:tc>
        <w:tc>
          <w:tcPr>
            <w:tcW w:w="2060" w:type="dxa"/>
            <w:vAlign w:val="bottom"/>
            <w:tcBorders>
              <w:top w:val="single" w:sz="8" w:color="auto"/>
              <w:right w:val="single" w:sz="8" w:color="auto"/>
            </w:tcBorders>
            <w:gridSpan w:val="2"/>
          </w:tcPr>
          <w:p>
            <w:pPr>
              <w:spacing w:after="0" w:line="192" w:lineRule="exact"/>
              <w:rPr>
                <w:sz w:val="20"/>
                <w:szCs w:val="20"/>
                <w:color w:val="auto"/>
              </w:rPr>
            </w:pPr>
            <w:r>
              <w:rPr>
                <w:rFonts w:ascii="Arial" w:cs="Arial" w:eastAsia="Arial" w:hAnsi="Arial"/>
                <w:sz w:val="18"/>
                <w:szCs w:val="18"/>
                <w:b w:val="1"/>
                <w:bCs w:val="1"/>
                <w:color w:val="auto"/>
              </w:rPr>
              <w:t>No. of Shares Sold</w:t>
            </w:r>
          </w:p>
        </w:tc>
        <w:tc>
          <w:tcPr>
            <w:tcW w:w="3860" w:type="dxa"/>
            <w:vAlign w:val="bottom"/>
            <w:tcBorders>
              <w:top w:val="single" w:sz="8" w:color="auto"/>
              <w:right w:val="single" w:sz="8" w:color="auto"/>
            </w:tcBorders>
            <w:gridSpan w:val="3"/>
          </w:tcPr>
          <w:p>
            <w:pPr>
              <w:jc w:val="center"/>
              <w:ind w:right="20"/>
              <w:spacing w:after="0" w:line="192" w:lineRule="exact"/>
              <w:rPr>
                <w:sz w:val="20"/>
                <w:szCs w:val="20"/>
                <w:color w:val="auto"/>
              </w:rPr>
            </w:pPr>
            <w:r>
              <w:rPr>
                <w:rFonts w:ascii="Arial" w:cs="Arial" w:eastAsia="Arial" w:hAnsi="Arial"/>
                <w:sz w:val="18"/>
                <w:szCs w:val="18"/>
                <w:b w:val="1"/>
                <w:bCs w:val="1"/>
                <w:color w:val="auto"/>
                <w:w w:val="90"/>
              </w:rPr>
              <w:t xml:space="preserve">Average Sale Price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/Share)*</w:t>
            </w:r>
          </w:p>
        </w:tc>
        <w:tc>
          <w:tcPr>
            <w:tcW w:w="820" w:type="dxa"/>
            <w:vAlign w:val="bottom"/>
            <w:tcBorders>
              <w:top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2"/>
          </w:tcPr>
          <w:p>
            <w:pPr>
              <w:jc w:val="center"/>
              <w:ind w:right="860"/>
              <w:spacing w:after="0" w:line="192" w:lineRule="exact"/>
              <w:rPr>
                <w:sz w:val="20"/>
                <w:szCs w:val="20"/>
                <w:color w:val="auto"/>
              </w:rPr>
            </w:pPr>
            <w:r>
              <w:rPr>
                <w:rFonts w:ascii="Arial" w:cs="Arial" w:eastAsia="Arial" w:hAnsi="Arial"/>
                <w:sz w:val="18"/>
                <w:szCs w:val="18"/>
                <w:b w:val="1"/>
                <w:bCs w:val="1"/>
                <w:color w:val="auto"/>
                <w:w w:val="89"/>
              </w:rPr>
              <w:t>Transaction Type</w:t>
            </w:r>
          </w:p>
        </w:tc>
      </w:tr>
      <w:tr>
        <w:trPr>
          <w:trHeight w:val="456"/>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10"/>
        </w:trPr>
        <w:tc>
          <w:tcPr>
            <w:tcW w:w="1300" w:type="dxa"/>
            <w:vAlign w:val="bottom"/>
            <w:tcBorders>
              <w:left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1"/>
              </w:rPr>
              <w:t>4/2/2013</w:t>
            </w:r>
          </w:p>
        </w:tc>
        <w:tc>
          <w:tcPr>
            <w:tcW w:w="560" w:type="dxa"/>
            <w:vAlign w:val="bottom"/>
            <w:tcBorders>
              <w:right w:val="single" w:sz="8" w:color="auto"/>
            </w:tcBorders>
          </w:tcPr>
          <w:p>
            <w:pPr>
              <w:spacing w:after="0"/>
              <w:rPr>
                <w:sz w:val="18"/>
                <w:szCs w:val="18"/>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15,000</w:t>
            </w:r>
          </w:p>
        </w:tc>
        <w:tc>
          <w:tcPr>
            <w:tcW w:w="660" w:type="dxa"/>
            <w:vAlign w:val="bottom"/>
            <w:tcBorders>
              <w:right w:val="single" w:sz="8" w:color="auto"/>
            </w:tcBorders>
          </w:tcPr>
          <w:p>
            <w:pPr>
              <w:spacing w:after="0"/>
              <w:rPr>
                <w:sz w:val="18"/>
                <w:szCs w:val="18"/>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$2.0188</w:t>
            </w:r>
          </w:p>
        </w:tc>
        <w:tc>
          <w:tcPr>
            <w:tcW w:w="8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5"/>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2"/>
              </w:rPr>
              <w:t>4/10/2013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59,665</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$2.0055</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2"/>
              </w:rPr>
              <w:t>4/23/2013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7"/>
              </w:rPr>
              <w:t>23,602</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$2.0000</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2"/>
              </w:rPr>
              <w:t>4/24/2013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88"/>
              </w:rPr>
              <w:t>4,200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$2.0064</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2"/>
              </w:rPr>
              <w:t>4/25/2013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265,361</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$2.0383</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2"/>
              </w:rPr>
              <w:t>4/26/2013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167,992</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2"/>
              </w:rPr>
              <w:t>$2.0303</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2"/>
              </w:rPr>
              <w:t>4/29/2013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right"/>
              <w:ind w:right="290"/>
              <w:spacing w:after="0"/>
              <w:rPr>
                <w:sz w:val="20"/>
                <w:szCs w:val="20"/>
                <w:color w:val="auto"/>
              </w:rPr>
            </w:pPr>
            <w:r>
              <w:rPr>
                <w:rFonts w:ascii="Arial" w:cs="Arial" w:eastAsia="Arial" w:hAnsi="Arial"/>
                <w:sz w:val="18"/>
                <w:szCs w:val="18"/>
                <w:color w:val="auto"/>
              </w:rPr>
              <w:t>152,120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right"/>
              <w:ind w:right="820"/>
              <w:spacing w:after="0"/>
              <w:rPr>
                <w:sz w:val="20"/>
                <w:szCs w:val="20"/>
                <w:color w:val="auto"/>
              </w:rPr>
            </w:pPr>
            <w:r>
              <w:rPr>
                <w:rFonts w:ascii="Arial" w:cs="Arial" w:eastAsia="Arial" w:hAnsi="Arial"/>
                <w:sz w:val="18"/>
                <w:szCs w:val="18"/>
                <w:color w:val="auto"/>
              </w:rPr>
              <w:t>$2.0161</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24"/>
        </w:trPr>
        <w:tc>
          <w:tcPr>
            <w:tcW w:w="1300" w:type="dxa"/>
            <w:vAlign w:val="bottom"/>
            <w:tcBorders>
              <w:left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92"/>
              </w:rPr>
              <w:t>4/30/2013</w:t>
            </w:r>
          </w:p>
        </w:tc>
        <w:tc>
          <w:tcPr>
            <w:tcW w:w="560" w:type="dxa"/>
            <w:vAlign w:val="bottom"/>
            <w:tcBorders>
              <w:right w:val="single" w:sz="8" w:color="auto"/>
            </w:tcBorders>
          </w:tcPr>
          <w:p>
            <w:pPr>
              <w:spacing w:after="0"/>
              <w:rPr>
                <w:sz w:val="19"/>
                <w:szCs w:val="19"/>
                <w:color w:val="auto"/>
              </w:rPr>
            </w:pPr>
          </w:p>
        </w:tc>
        <w:tc>
          <w:tcPr>
            <w:tcW w:w="2040" w:type="dxa"/>
            <w:vAlign w:val="bottom"/>
            <w:gridSpan w:val="2"/>
          </w:tcPr>
          <w:p>
            <w:pPr>
              <w:jc w:val="right"/>
              <w:ind w:right="350"/>
              <w:spacing w:after="0"/>
              <w:rPr>
                <w:sz w:val="20"/>
                <w:szCs w:val="20"/>
                <w:color w:val="auto"/>
              </w:rPr>
            </w:pPr>
            <w:r>
              <w:rPr>
                <w:rFonts w:ascii="Arial" w:cs="Arial" w:eastAsia="Arial" w:hAnsi="Arial"/>
                <w:sz w:val="18"/>
                <w:szCs w:val="18"/>
                <w:color w:val="auto"/>
              </w:rPr>
              <w:t>53,800</w:t>
            </w:r>
          </w:p>
        </w:tc>
        <w:tc>
          <w:tcPr>
            <w:tcW w:w="660" w:type="dxa"/>
            <w:vAlign w:val="bottom"/>
            <w:tcBorders>
              <w:right w:val="single" w:sz="8" w:color="auto"/>
            </w:tcBorders>
          </w:tcPr>
          <w:p>
            <w:pPr>
              <w:spacing w:after="0"/>
              <w:rPr>
                <w:sz w:val="19"/>
                <w:szCs w:val="19"/>
                <w:color w:val="auto"/>
              </w:rPr>
            </w:pPr>
          </w:p>
        </w:tc>
        <w:tc>
          <w:tcPr>
            <w:tcW w:w="3060" w:type="dxa"/>
            <w:vAlign w:val="bottom"/>
            <w:gridSpan w:val="2"/>
          </w:tcPr>
          <w:p>
            <w:pPr>
              <w:jc w:val="right"/>
              <w:ind w:right="820"/>
              <w:spacing w:after="0"/>
              <w:rPr>
                <w:sz w:val="20"/>
                <w:szCs w:val="20"/>
                <w:color w:val="auto"/>
              </w:rPr>
            </w:pPr>
            <w:r>
              <w:rPr>
                <w:rFonts w:ascii="Arial" w:cs="Arial" w:eastAsia="Arial" w:hAnsi="Arial"/>
                <w:sz w:val="18"/>
                <w:szCs w:val="18"/>
                <w:color w:val="auto"/>
              </w:rPr>
              <w:t>$2.0053</w:t>
            </w:r>
          </w:p>
        </w:tc>
        <w:tc>
          <w:tcPr>
            <w:tcW w:w="80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20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18"/>
                <w:szCs w:val="18"/>
                <w:color w:val="auto"/>
                <w:w w:val="93"/>
              </w:rPr>
              <w:t>Disposition</w:t>
            </w:r>
          </w:p>
        </w:tc>
      </w:tr>
      <w:tr>
        <w:trPr>
          <w:trHeight w:val="418"/>
        </w:trPr>
        <w:tc>
          <w:tcPr>
            <w:tcW w:w="56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*Average sale price excludes commissions.</w:t>
      </w:r>
    </w:p>
    <w:sectPr>
      <w:pgSz w:w="11900" w:h="16838" w:orient="portrait"/>
      <w:cols w:equalWidth="0" w:num="1">
        <w:col w:w="11420"/>
      </w:cols>
      <w:pgMar w:left="240" w:top="9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2019-12-16T15:26:06Z</dcterms:created>
  <dcterms:modified xsi:type="dcterms:W3CDTF">2019-12-16T15:26:06Z</dcterms:modified>
</cp:coreProperties>
</file>