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158750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190500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Quarterly Report Pursuant to Section 13 or 15(d)</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27, 2004</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1-6714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179070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WASHINGTON POST COMPANY</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154940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tbl>
      <w:tblPr>
        <w:tblLayout w:type="fixed"/>
        <w:tblInd w:w="1240" w:type="dxa"/>
        <w:tblCellMar>
          <w:top w:w="0" w:type="dxa"/>
          <w:left w:w="0" w:type="dxa"/>
          <w:bottom w:w="0" w:type="dxa"/>
          <w:right w:w="0" w:type="dxa"/>
        </w:tblCellMar>
      </w:tblPr>
      <w:tr>
        <w:trPr>
          <w:trHeight w:val="216"/>
        </w:trPr>
        <w:tc>
          <w:tcPr>
            <w:tcW w:w="6480" w:type="dxa"/>
            <w:vAlign w:val="bottom"/>
          </w:tcPr>
          <w:p>
            <w:pPr>
              <w:jc w:val="center"/>
              <w:ind w:right="3384"/>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1540" w:type="dxa"/>
            <w:vAlign w:val="bottom"/>
          </w:tcPr>
          <w:p>
            <w:pPr>
              <w:jc w:val="center"/>
              <w:ind w:left="424"/>
              <w:spacing w:after="0"/>
              <w:rPr>
                <w:sz w:val="20"/>
                <w:szCs w:val="20"/>
                <w:color w:val="auto"/>
              </w:rPr>
            </w:pPr>
            <w:r>
              <w:rPr>
                <w:rFonts w:ascii="Times New Roman" w:cs="Times New Roman" w:eastAsia="Times New Roman" w:hAnsi="Times New Roman"/>
                <w:sz w:val="18"/>
                <w:szCs w:val="18"/>
                <w:b w:val="1"/>
                <w:bCs w:val="1"/>
                <w:color w:val="auto"/>
                <w:w w:val="96"/>
              </w:rPr>
              <w:t>53-0182885</w:t>
            </w:r>
          </w:p>
        </w:tc>
      </w:tr>
      <w:tr>
        <w:trPr>
          <w:trHeight w:val="149"/>
        </w:trPr>
        <w:tc>
          <w:tcPr>
            <w:tcW w:w="6480" w:type="dxa"/>
            <w:vAlign w:val="bottom"/>
          </w:tcPr>
          <w:p>
            <w:pPr>
              <w:jc w:val="center"/>
              <w:ind w:right="3384"/>
              <w:spacing w:after="0" w:line="149" w:lineRule="exact"/>
              <w:rPr>
                <w:sz w:val="20"/>
                <w:szCs w:val="20"/>
                <w:color w:val="auto"/>
              </w:rPr>
            </w:pPr>
            <w:r>
              <w:rPr>
                <w:rFonts w:ascii="Times New Roman" w:cs="Times New Roman" w:eastAsia="Times New Roman" w:hAnsi="Times New Roman"/>
                <w:sz w:val="14"/>
                <w:szCs w:val="14"/>
                <w:b w:val="1"/>
                <w:bCs w:val="1"/>
                <w:color w:val="auto"/>
                <w:w w:val="97"/>
              </w:rPr>
              <w:t>(State or other jurisdiction of</w:t>
            </w:r>
          </w:p>
        </w:tc>
        <w:tc>
          <w:tcPr>
            <w:tcW w:w="1540" w:type="dxa"/>
            <w:vAlign w:val="bottom"/>
          </w:tcPr>
          <w:p>
            <w:pPr>
              <w:jc w:val="center"/>
              <w:ind w:left="424"/>
              <w:spacing w:after="0" w:line="149" w:lineRule="exact"/>
              <w:rPr>
                <w:sz w:val="20"/>
                <w:szCs w:val="20"/>
                <w:color w:val="auto"/>
              </w:rPr>
            </w:pPr>
            <w:r>
              <w:rPr>
                <w:rFonts w:ascii="Times New Roman" w:cs="Times New Roman" w:eastAsia="Times New Roman" w:hAnsi="Times New Roman"/>
                <w:sz w:val="14"/>
                <w:szCs w:val="14"/>
                <w:b w:val="1"/>
                <w:bCs w:val="1"/>
                <w:color w:val="auto"/>
                <w:w w:val="94"/>
              </w:rPr>
              <w:t>(I.R.S. Employer</w:t>
            </w:r>
          </w:p>
        </w:tc>
      </w:tr>
      <w:tr>
        <w:trPr>
          <w:trHeight w:val="178"/>
        </w:trPr>
        <w:tc>
          <w:tcPr>
            <w:tcW w:w="6480" w:type="dxa"/>
            <w:vAlign w:val="bottom"/>
          </w:tcPr>
          <w:p>
            <w:pPr>
              <w:jc w:val="center"/>
              <w:ind w:right="3384"/>
              <w:spacing w:after="0"/>
              <w:rPr>
                <w:sz w:val="20"/>
                <w:szCs w:val="20"/>
                <w:color w:val="auto"/>
              </w:rPr>
            </w:pPr>
            <w:r>
              <w:rPr>
                <w:rFonts w:ascii="Times New Roman" w:cs="Times New Roman" w:eastAsia="Times New Roman" w:hAnsi="Times New Roman"/>
                <w:sz w:val="14"/>
                <w:szCs w:val="14"/>
                <w:b w:val="1"/>
                <w:bCs w:val="1"/>
                <w:color w:val="auto"/>
                <w:w w:val="97"/>
              </w:rPr>
              <w:t>incorporation or organization)</w:t>
            </w:r>
          </w:p>
        </w:tc>
        <w:tc>
          <w:tcPr>
            <w:tcW w:w="1540" w:type="dxa"/>
            <w:vAlign w:val="bottom"/>
          </w:tcPr>
          <w:p>
            <w:pPr>
              <w:jc w:val="center"/>
              <w:ind w:left="424"/>
              <w:spacing w:after="0"/>
              <w:rPr>
                <w:sz w:val="20"/>
                <w:szCs w:val="20"/>
                <w:color w:val="auto"/>
              </w:rPr>
            </w:pPr>
            <w:r>
              <w:rPr>
                <w:rFonts w:ascii="Times New Roman" w:cs="Times New Roman" w:eastAsia="Times New Roman" w:hAnsi="Times New Roman"/>
                <w:sz w:val="14"/>
                <w:szCs w:val="14"/>
                <w:b w:val="1"/>
                <w:bCs w:val="1"/>
                <w:color w:val="auto"/>
                <w:w w:val="94"/>
              </w:rPr>
              <w:t>Identification No.)</w:t>
            </w:r>
          </w:p>
        </w:tc>
      </w:tr>
      <w:tr>
        <w:trPr>
          <w:trHeight w:val="348"/>
        </w:trPr>
        <w:tc>
          <w:tcPr>
            <w:tcW w:w="6480" w:type="dxa"/>
            <w:vAlign w:val="bottom"/>
          </w:tcPr>
          <w:p>
            <w:pPr>
              <w:jc w:val="center"/>
              <w:ind w:right="3384"/>
              <w:spacing w:after="0"/>
              <w:rPr>
                <w:sz w:val="20"/>
                <w:szCs w:val="20"/>
                <w:color w:val="auto"/>
              </w:rPr>
            </w:pPr>
            <w:r>
              <w:rPr>
                <w:rFonts w:ascii="Times New Roman" w:cs="Times New Roman" w:eastAsia="Times New Roman" w:hAnsi="Times New Roman"/>
                <w:sz w:val="18"/>
                <w:szCs w:val="18"/>
                <w:b w:val="1"/>
                <w:bCs w:val="1"/>
                <w:color w:val="auto"/>
                <w:w w:val="95"/>
              </w:rPr>
              <w:t>1150 15th Street, N.W. Washington, D.C.</w:t>
            </w:r>
          </w:p>
        </w:tc>
        <w:tc>
          <w:tcPr>
            <w:tcW w:w="1540" w:type="dxa"/>
            <w:vAlign w:val="bottom"/>
          </w:tcPr>
          <w:p>
            <w:pPr>
              <w:jc w:val="right"/>
              <w:ind w:right="284"/>
              <w:spacing w:after="0"/>
              <w:rPr>
                <w:sz w:val="20"/>
                <w:szCs w:val="20"/>
                <w:color w:val="auto"/>
              </w:rPr>
            </w:pPr>
            <w:r>
              <w:rPr>
                <w:rFonts w:ascii="Times New Roman" w:cs="Times New Roman" w:eastAsia="Times New Roman" w:hAnsi="Times New Roman"/>
                <w:sz w:val="18"/>
                <w:szCs w:val="18"/>
                <w:b w:val="1"/>
                <w:bCs w:val="1"/>
                <w:color w:val="auto"/>
              </w:rPr>
              <w:t>20071</w:t>
            </w:r>
          </w:p>
        </w:tc>
      </w:tr>
      <w:tr>
        <w:trPr>
          <w:trHeight w:val="178"/>
        </w:trPr>
        <w:tc>
          <w:tcPr>
            <w:tcW w:w="6480" w:type="dxa"/>
            <w:vAlign w:val="bottom"/>
          </w:tcPr>
          <w:p>
            <w:pPr>
              <w:jc w:val="center"/>
              <w:ind w:right="3384"/>
              <w:spacing w:after="0"/>
              <w:rPr>
                <w:sz w:val="20"/>
                <w:szCs w:val="20"/>
                <w:color w:val="auto"/>
              </w:rPr>
            </w:pPr>
            <w:r>
              <w:rPr>
                <w:rFonts w:ascii="Times New Roman" w:cs="Times New Roman" w:eastAsia="Times New Roman" w:hAnsi="Times New Roman"/>
                <w:sz w:val="14"/>
                <w:szCs w:val="14"/>
                <w:b w:val="1"/>
                <w:bCs w:val="1"/>
                <w:color w:val="auto"/>
                <w:w w:val="95"/>
              </w:rPr>
              <w:t>(Address of principal executive offices)</w:t>
            </w:r>
          </w:p>
        </w:tc>
        <w:tc>
          <w:tcPr>
            <w:tcW w:w="1540" w:type="dxa"/>
            <w:vAlign w:val="bottom"/>
          </w:tcPr>
          <w:p>
            <w:pPr>
              <w:jc w:val="center"/>
              <w:ind w:left="324"/>
              <w:spacing w:after="0"/>
              <w:rPr>
                <w:sz w:val="20"/>
                <w:szCs w:val="20"/>
                <w:color w:val="auto"/>
              </w:rPr>
            </w:pPr>
            <w:r>
              <w:rPr>
                <w:rFonts w:ascii="Times New Roman" w:cs="Times New Roman" w:eastAsia="Times New Roman" w:hAnsi="Times New Roman"/>
                <w:sz w:val="14"/>
                <w:szCs w:val="14"/>
                <w:b w:val="1"/>
                <w:bCs w:val="1"/>
                <w:color w:val="auto"/>
                <w:w w:val="95"/>
              </w:rPr>
              <w:t>(Zip Code)</w:t>
            </w:r>
          </w:p>
        </w:tc>
      </w:tr>
      <w:tr>
        <w:trPr>
          <w:trHeight w:val="335"/>
        </w:trPr>
        <w:tc>
          <w:tcPr>
            <w:tcW w:w="6480" w:type="dxa"/>
            <w:vAlign w:val="bottom"/>
          </w:tcPr>
          <w:p>
            <w:pPr>
              <w:jc w:val="right"/>
              <w:ind w:right="1384"/>
              <w:spacing w:after="0"/>
              <w:rPr>
                <w:sz w:val="20"/>
                <w:szCs w:val="20"/>
                <w:color w:val="auto"/>
              </w:rPr>
            </w:pPr>
            <w:r>
              <w:rPr>
                <w:rFonts w:ascii="Times New Roman" w:cs="Times New Roman" w:eastAsia="Times New Roman" w:hAnsi="Times New Roman"/>
                <w:sz w:val="18"/>
                <w:szCs w:val="18"/>
                <w:b w:val="1"/>
                <w:bCs w:val="1"/>
                <w:color w:val="auto"/>
              </w:rPr>
              <w:t>(202) 334-6000</w:t>
            </w:r>
          </w:p>
        </w:tc>
        <w:tc>
          <w:tcPr>
            <w:tcW w:w="1540" w:type="dxa"/>
            <w:vAlign w:val="bottom"/>
          </w:tcPr>
          <w:p>
            <w:pPr>
              <w:spacing w:after="0"/>
              <w:rPr>
                <w:sz w:val="24"/>
                <w:szCs w:val="24"/>
                <w:color w:val="auto"/>
              </w:rPr>
            </w:pPr>
          </w:p>
        </w:tc>
      </w:tr>
      <w:tr>
        <w:trPr>
          <w:trHeight w:val="178"/>
        </w:trPr>
        <w:tc>
          <w:tcPr>
            <w:tcW w:w="6480" w:type="dxa"/>
            <w:vAlign w:val="bottom"/>
          </w:tcPr>
          <w:p>
            <w:pPr>
              <w:jc w:val="center"/>
              <w:ind w:left="2384"/>
              <w:spacing w:after="0"/>
              <w:rPr>
                <w:sz w:val="20"/>
                <w:szCs w:val="20"/>
                <w:color w:val="auto"/>
              </w:rPr>
            </w:pPr>
            <w:r>
              <w:rPr>
                <w:rFonts w:ascii="Times New Roman" w:cs="Times New Roman" w:eastAsia="Times New Roman" w:hAnsi="Times New Roman"/>
                <w:sz w:val="14"/>
                <w:szCs w:val="14"/>
                <w:b w:val="1"/>
                <w:bCs w:val="1"/>
                <w:color w:val="auto"/>
                <w:w w:val="96"/>
              </w:rPr>
              <w:t>(Registrant’s telephone number, including area code)</w:t>
            </w:r>
          </w:p>
        </w:tc>
        <w:tc>
          <w:tcPr>
            <w:tcW w:w="154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154940</wp:posOffset>
            </wp:positionV>
            <wp:extent cx="1534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ind w:right="280" w:firstLine="456"/>
        <w:spacing w:after="0" w:line="28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314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requirements for the past 90 days.  Yes </w:t>
            </w:r>
            <w:r>
              <w:rPr>
                <w:rFonts w:ascii="MS PGothic" w:cs="MS PGothic" w:eastAsia="MS PGothic" w:hAnsi="MS PGothic"/>
                <w:sz w:val="18"/>
                <w:szCs w:val="18"/>
                <w:color w:val="auto"/>
              </w:rPr>
              <w:t>☒</w:t>
            </w:r>
          </w:p>
        </w:tc>
        <w:tc>
          <w:tcPr>
            <w:tcW w:w="4520" w:type="dxa"/>
            <w:vAlign w:val="bottom"/>
          </w:tcPr>
          <w:p>
            <w:pPr>
              <w:jc w:val="right"/>
              <w:ind w:right="3872"/>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3760" w:type="dxa"/>
            <w:vAlign w:val="bottom"/>
          </w:tcPr>
          <w:p>
            <w:pPr>
              <w:spacing w:after="0"/>
              <w:rPr>
                <w:sz w:val="23"/>
                <w:szCs w:val="23"/>
                <w:color w:val="auto"/>
              </w:rPr>
            </w:pPr>
          </w:p>
        </w:tc>
      </w:tr>
      <w:tr>
        <w:trPr>
          <w:trHeight w:val="306"/>
        </w:trPr>
        <w:tc>
          <w:tcPr>
            <w:tcW w:w="3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Shares outstanding at July 27, 2004:</w:t>
            </w:r>
          </w:p>
        </w:tc>
        <w:tc>
          <w:tcPr>
            <w:tcW w:w="45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71"/>
        </w:trPr>
        <w:tc>
          <w:tcPr>
            <w:tcW w:w="31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Class A Common Stock</w:t>
            </w:r>
          </w:p>
        </w:tc>
        <w:tc>
          <w:tcPr>
            <w:tcW w:w="4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1,722,250</w:t>
            </w: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w:t>
            </w:r>
          </w:p>
        </w:tc>
      </w:tr>
      <w:tr>
        <w:trPr>
          <w:trHeight w:val="228"/>
        </w:trPr>
        <w:tc>
          <w:tcPr>
            <w:tcW w:w="31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Class B Common Stock</w:t>
            </w:r>
          </w:p>
        </w:tc>
        <w:tc>
          <w:tcPr>
            <w:tcW w:w="4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7,845,447</w:t>
            </w: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w:t>
            </w:r>
          </w:p>
        </w:tc>
      </w:tr>
      <w:tr>
        <w:trPr>
          <w:trHeight w:val="201"/>
        </w:trPr>
        <w:tc>
          <w:tcPr>
            <w:tcW w:w="3140" w:type="dxa"/>
            <w:vAlign w:val="bottom"/>
            <w:tcBorders>
              <w:bottom w:val="single" w:sz="8" w:color="auto"/>
            </w:tcBorders>
          </w:tcPr>
          <w:p>
            <w:pPr>
              <w:spacing w:after="0"/>
              <w:rPr>
                <w:sz w:val="17"/>
                <w:szCs w:val="17"/>
                <w:color w:val="auto"/>
              </w:rPr>
            </w:pPr>
          </w:p>
        </w:tc>
        <w:tc>
          <w:tcPr>
            <w:tcW w:w="4520" w:type="dxa"/>
            <w:vAlign w:val="bottom"/>
            <w:tcBorders>
              <w:bottom w:val="single" w:sz="8" w:color="auto"/>
            </w:tcBorders>
          </w:tcPr>
          <w:p>
            <w:pPr>
              <w:spacing w:after="0"/>
              <w:rPr>
                <w:sz w:val="17"/>
                <w:szCs w:val="17"/>
                <w:color w:val="auto"/>
              </w:rPr>
            </w:pPr>
          </w:p>
        </w:tc>
        <w:tc>
          <w:tcPr>
            <w:tcW w:w="3760" w:type="dxa"/>
            <w:vAlign w:val="bottom"/>
            <w:tcBorders>
              <w:bottom w:val="single" w:sz="8" w:color="auto"/>
            </w:tcBorders>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20" w:type="dxa"/>
            <w:vAlign w:val="bottom"/>
            <w:gridSpan w:val="8"/>
          </w:tcPr>
          <w:p>
            <w:pPr>
              <w:jc w:val="center"/>
              <w:ind w:right="3160"/>
              <w:spacing w:after="0"/>
              <w:rPr>
                <w:sz w:val="20"/>
                <w:szCs w:val="20"/>
                <w:color w:val="auto"/>
              </w:rPr>
            </w:pPr>
            <w:r>
              <w:rPr>
                <w:rFonts w:ascii="Times New Roman" w:cs="Times New Roman" w:eastAsia="Times New Roman" w:hAnsi="Times New Roman"/>
                <w:sz w:val="18"/>
                <w:szCs w:val="18"/>
                <w:b w:val="1"/>
                <w:bCs w:val="1"/>
                <w:color w:val="auto"/>
                <w:w w:val="96"/>
              </w:rPr>
              <w:t>THE WASHINGTON POST COMPANY</w:t>
            </w:r>
          </w:p>
        </w:tc>
        <w:tc>
          <w:tcPr>
            <w:tcW w:w="420" w:type="dxa"/>
            <w:vAlign w:val="bottom"/>
          </w:tcPr>
          <w:p>
            <w:pPr>
              <w:spacing w:after="0"/>
              <w:rPr>
                <w:sz w:val="20"/>
                <w:szCs w:val="20"/>
                <w:color w:val="auto"/>
              </w:rPr>
            </w:pPr>
          </w:p>
        </w:tc>
      </w:tr>
      <w:tr>
        <w:trPr>
          <w:trHeight w:val="365"/>
        </w:trPr>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180" w:type="dxa"/>
            <w:vAlign w:val="bottom"/>
            <w:gridSpan w:val="7"/>
          </w:tcPr>
          <w:p>
            <w:pPr>
              <w:jc w:val="center"/>
              <w:ind w:right="4400"/>
              <w:spacing w:after="0"/>
              <w:rPr>
                <w:sz w:val="20"/>
                <w:szCs w:val="20"/>
                <w:color w:val="auto"/>
              </w:rPr>
            </w:pPr>
            <w:r>
              <w:rPr>
                <w:rFonts w:ascii="Times New Roman" w:cs="Times New Roman" w:eastAsia="Times New Roman" w:hAnsi="Times New Roman"/>
                <w:sz w:val="18"/>
                <w:szCs w:val="18"/>
                <w:b w:val="1"/>
                <w:bCs w:val="1"/>
                <w:color w:val="auto"/>
                <w:w w:val="97"/>
              </w:rPr>
              <w:t>Index to Form 10-Q</w:t>
            </w:r>
          </w:p>
        </w:tc>
        <w:tc>
          <w:tcPr>
            <w:tcW w:w="420" w:type="dxa"/>
            <w:vAlign w:val="bottom"/>
          </w:tcPr>
          <w:p>
            <w:pPr>
              <w:spacing w:after="0"/>
              <w:rPr>
                <w:sz w:val="24"/>
                <w:szCs w:val="24"/>
                <w:color w:val="auto"/>
              </w:rPr>
            </w:pPr>
          </w:p>
        </w:tc>
      </w:tr>
      <w:tr>
        <w:trPr>
          <w:trHeight w:val="32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 I.</w:t>
            </w:r>
          </w:p>
        </w:tc>
        <w:tc>
          <w:tcPr>
            <w:tcW w:w="22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5"/>
              </w:rPr>
            </w:pPr>
            <w:hyperlink w:anchor="page3">
              <w:r>
                <w:rPr>
                  <w:rFonts w:ascii="Times New Roman" w:cs="Times New Roman" w:eastAsia="Times New Roman" w:hAnsi="Times New Roman"/>
                  <w:sz w:val="18"/>
                  <w:szCs w:val="18"/>
                  <w:color w:val="0000EE"/>
                  <w:w w:val="95"/>
                </w:rPr>
                <w:t>FINANCIAL INFORMATION</w:t>
              </w:r>
            </w:hyperlink>
          </w:p>
        </w:tc>
        <w:tc>
          <w:tcPr>
            <w:tcW w:w="7640" w:type="dxa"/>
            <w:vAlign w:val="bottom"/>
            <w:gridSpan w:val="9"/>
          </w:tcPr>
          <w:p>
            <w:pPr>
              <w:spacing w:after="0"/>
              <w:rPr>
                <w:sz w:val="24"/>
                <w:szCs w:val="24"/>
                <w:color w:val="auto"/>
              </w:rPr>
            </w:pPr>
          </w:p>
        </w:tc>
        <w:tc>
          <w:tcPr>
            <w:tcW w:w="420" w:type="dxa"/>
            <w:vAlign w:val="bottom"/>
          </w:tcPr>
          <w:p>
            <w:pPr>
              <w:spacing w:after="0"/>
              <w:rPr>
                <w:sz w:val="24"/>
                <w:szCs w:val="24"/>
                <w:color w:val="auto"/>
              </w:rPr>
            </w:pPr>
          </w:p>
        </w:tc>
      </w:tr>
      <w:tr>
        <w:trPr>
          <w:trHeight w:val="30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840" w:type="dxa"/>
            <w:vAlign w:val="bottom"/>
            <w:gridSpan w:val="17"/>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42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40" w:type="dxa"/>
            <w:vAlign w:val="bottom"/>
            <w:gridSpan w:val="17"/>
          </w:tcPr>
          <w:p>
            <w:pPr>
              <w:spacing w:after="0"/>
              <w:rPr>
                <w:rFonts w:ascii="Times New Roman" w:cs="Times New Roman" w:eastAsia="Times New Roman" w:hAnsi="Times New Roman"/>
                <w:sz w:val="18"/>
                <w:szCs w:val="18"/>
                <w:color w:val="auto"/>
                <w:w w:val="99"/>
              </w:rPr>
            </w:pPr>
            <w:r>
              <w:rPr>
                <w:rFonts w:ascii="Times New Roman" w:cs="Times New Roman" w:eastAsia="Times New Roman" w:hAnsi="Times New Roman"/>
                <w:sz w:val="18"/>
                <w:szCs w:val="18"/>
                <w:color w:val="auto"/>
                <w:w w:val="99"/>
              </w:rPr>
              <w:t xml:space="preserve">a. </w:t>
            </w:r>
            <w:hyperlink w:anchor="page3">
              <w:r>
                <w:rPr>
                  <w:rFonts w:ascii="Times New Roman" w:cs="Times New Roman" w:eastAsia="Times New Roman" w:hAnsi="Times New Roman"/>
                  <w:sz w:val="18"/>
                  <w:szCs w:val="18"/>
                  <w:color w:val="0000EE"/>
                  <w:w w:val="99"/>
                </w:rPr>
                <w:t>Condensed Consolidated Statements of Income (Unaudited) for the Thirteen and Twenty-six Weeks Ended June 27, 2004 and June 29,</w:t>
              </w:r>
            </w:hyperlink>
          </w:p>
        </w:tc>
        <w:tc>
          <w:tcPr>
            <w:tcW w:w="42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Borders>
              <w:top w:val="single" w:sz="8" w:color="0000EE"/>
            </w:tcBorders>
            <w:gridSpan w:val="3"/>
          </w:tcPr>
          <w:p>
            <w:pPr>
              <w:ind w:left="60"/>
              <w:spacing w:after="0" w:line="196" w:lineRule="exact"/>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2003</w:t>
              </w:r>
            </w:hyperlink>
          </w:p>
        </w:tc>
        <w:tc>
          <w:tcPr>
            <w:tcW w:w="9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5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40" w:type="dxa"/>
            <w:vAlign w:val="bottom"/>
            <w:gridSpan w:val="17"/>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w:t>
            </w:r>
            <w:hyperlink w:anchor="page4">
              <w:r>
                <w:rPr>
                  <w:rFonts w:ascii="Times New Roman" w:cs="Times New Roman" w:eastAsia="Times New Roman" w:hAnsi="Times New Roman"/>
                  <w:sz w:val="18"/>
                  <w:szCs w:val="18"/>
                  <w:color w:val="0000EE"/>
                </w:rPr>
                <w:t>Condensed Consolidated Statements of Comprehensive Income (Unaudited) for the Thirteen and Twenty-six Weeks Ended June 27,</w:t>
              </w:r>
            </w:hyperlink>
          </w:p>
        </w:tc>
        <w:tc>
          <w:tcPr>
            <w:tcW w:w="42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92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2004 and June 29, 2003</w:t>
              </w:r>
            </w:hyperlink>
          </w:p>
        </w:tc>
        <w:tc>
          <w:tcPr>
            <w:tcW w:w="400" w:type="dxa"/>
            <w:vAlign w:val="bottom"/>
            <w:gridSpan w:val="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40" w:type="dxa"/>
            <w:vAlign w:val="bottom"/>
            <w:gridSpan w:val="17"/>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 </w:t>
            </w:r>
            <w:hyperlink w:anchor="page5">
              <w:r>
                <w:rPr>
                  <w:rFonts w:ascii="Times New Roman" w:cs="Times New Roman" w:eastAsia="Times New Roman" w:hAnsi="Times New Roman"/>
                  <w:sz w:val="18"/>
                  <w:szCs w:val="18"/>
                  <w:color w:val="0000EE"/>
                </w:rPr>
                <w:t>Condensed Consolidated Balance Sheets at June 27, 2004 (Unaudited) and December 28, 2003</w:t>
              </w:r>
            </w:hyperlink>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40" w:type="dxa"/>
            <w:vAlign w:val="bottom"/>
            <w:gridSpan w:val="17"/>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 </w:t>
            </w:r>
            <w:hyperlink w:anchor="page6">
              <w:r>
                <w:rPr>
                  <w:rFonts w:ascii="Times New Roman" w:cs="Times New Roman" w:eastAsia="Times New Roman" w:hAnsi="Times New Roman"/>
                  <w:sz w:val="18"/>
                  <w:szCs w:val="18"/>
                  <w:color w:val="0000EE"/>
                </w:rPr>
                <w:t>Condensed Consolidated Statements of Cash Flows (Unaudited) for the Twenty-six Weeks Ended June 27, 2004 and June 29, 2003</w:t>
              </w:r>
            </w:hyperlink>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40" w:type="dxa"/>
            <w:vAlign w:val="bottom"/>
            <w:gridSpan w:val="17"/>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 </w:t>
            </w:r>
            <w:hyperlink w:anchor="page7">
              <w:r>
                <w:rPr>
                  <w:rFonts w:ascii="Times New Roman" w:cs="Times New Roman" w:eastAsia="Times New Roman" w:hAnsi="Times New Roman"/>
                  <w:sz w:val="18"/>
                  <w:szCs w:val="18"/>
                  <w:color w:val="0000EE"/>
                </w:rPr>
                <w:t>Notes to Condensed Consolidated Financial Statements (Unaudited)</w:t>
              </w:r>
            </w:hyperlink>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0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3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7"/>
              </w:rPr>
            </w:pPr>
            <w:hyperlink w:anchor="page16">
              <w:r>
                <w:rPr>
                  <w:rFonts w:ascii="Times New Roman" w:cs="Times New Roman" w:eastAsia="Times New Roman" w:hAnsi="Times New Roman"/>
                  <w:sz w:val="18"/>
                  <w:szCs w:val="18"/>
                  <w:color w:val="0000EE"/>
                  <w:w w:val="97"/>
                </w:rPr>
                <w:t>Management’s Discussion and Analysis of Results of Operations and Financial Condition</w:t>
              </w:r>
            </w:hyperlink>
          </w:p>
        </w:tc>
        <w:tc>
          <w:tcPr>
            <w:tcW w:w="3540" w:type="dxa"/>
            <w:vAlign w:val="bottom"/>
            <w:gridSpan w:val="5"/>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0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840" w:type="dxa"/>
            <w:vAlign w:val="bottom"/>
            <w:gridSpan w:val="17"/>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Controls and Procedures</w:t>
              </w:r>
            </w:hyperlink>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20" w:type="dxa"/>
            <w:vAlign w:val="bottom"/>
            <w:gridSpan w:val="6"/>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18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0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 II.</w:t>
            </w:r>
          </w:p>
        </w:tc>
        <w:tc>
          <w:tcPr>
            <w:tcW w:w="18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6"/>
              </w:rPr>
            </w:pPr>
            <w:hyperlink w:anchor="page24">
              <w:r>
                <w:rPr>
                  <w:rFonts w:ascii="Times New Roman" w:cs="Times New Roman" w:eastAsia="Times New Roman" w:hAnsi="Times New Roman"/>
                  <w:sz w:val="18"/>
                  <w:szCs w:val="18"/>
                  <w:color w:val="0000EE"/>
                  <w:w w:val="96"/>
                </w:rPr>
                <w:t>OTHER INFORMATION</w:t>
              </w:r>
            </w:hyperlink>
          </w:p>
        </w:tc>
        <w:tc>
          <w:tcPr>
            <w:tcW w:w="7960" w:type="dxa"/>
            <w:vAlign w:val="bottom"/>
            <w:gridSpan w:val="10"/>
          </w:tcPr>
          <w:p>
            <w:pPr>
              <w:spacing w:after="0"/>
              <w:rPr>
                <w:sz w:val="24"/>
                <w:szCs w:val="24"/>
                <w:color w:val="auto"/>
              </w:rPr>
            </w:pPr>
          </w:p>
        </w:tc>
        <w:tc>
          <w:tcPr>
            <w:tcW w:w="420" w:type="dxa"/>
            <w:vAlign w:val="bottom"/>
          </w:tcPr>
          <w:p>
            <w:pPr>
              <w:spacing w:after="0"/>
              <w:rPr>
                <w:sz w:val="24"/>
                <w:szCs w:val="24"/>
                <w:color w:val="auto"/>
              </w:rPr>
            </w:pPr>
          </w:p>
        </w:tc>
      </w:tr>
      <w:tr>
        <w:trPr>
          <w:trHeight w:val="30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840" w:type="dxa"/>
            <w:vAlign w:val="bottom"/>
            <w:gridSpan w:val="17"/>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Submission of Matters to a Vote of Security Holders</w:t>
              </w:r>
            </w:hyperlink>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0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3660" w:type="dxa"/>
            <w:vAlign w:val="bottom"/>
            <w:tcBorders>
              <w:top w:val="single" w:sz="8" w:color="0000EE"/>
            </w:tcBorders>
            <w:gridSpan w:val="10"/>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Exhibits and Reports on Form 8-K</w:t>
              </w:r>
            </w:hyperlink>
          </w:p>
        </w:tc>
        <w:tc>
          <w:tcPr>
            <w:tcW w:w="6180" w:type="dxa"/>
            <w:vAlign w:val="bottom"/>
            <w:gridSpan w:val="7"/>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04"/>
        </w:trPr>
        <w:tc>
          <w:tcPr>
            <w:tcW w:w="1160" w:type="dxa"/>
            <w:vAlign w:val="bottom"/>
            <w:gridSpan w:val="2"/>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Signatures</w:t>
              </w:r>
            </w:hyperlink>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83"/>
        </w:trPr>
        <w:tc>
          <w:tcPr>
            <w:tcW w:w="7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4960" w:type="dxa"/>
            <w:vAlign w:val="bottom"/>
            <w:gridSpan w:val="11"/>
          </w:tcPr>
          <w:p>
            <w:pPr>
              <w:jc w:val="center"/>
              <w:ind w:left="4052"/>
              <w:spacing w:after="0"/>
              <w:rPr>
                <w:sz w:val="20"/>
                <w:szCs w:val="20"/>
                <w:color w:val="auto"/>
              </w:rPr>
            </w:pPr>
            <w:r>
              <w:rPr>
                <w:rFonts w:ascii="Times New Roman" w:cs="Times New Roman" w:eastAsia="Times New Roman" w:hAnsi="Times New Roman"/>
                <w:sz w:val="18"/>
                <w:szCs w:val="18"/>
                <w:color w:val="auto"/>
              </w:rPr>
              <w:t>2.</w:t>
            </w: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2"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 FINANCIAL INFORMATION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Washington Post Company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Income (Unaudited)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6"/>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15"/>
                <w:szCs w:val="15"/>
                <w:color w:val="auto"/>
              </w:rPr>
            </w:pPr>
          </w:p>
        </w:tc>
        <w:tc>
          <w:tcPr>
            <w:tcW w:w="226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w w:val="96"/>
              </w:rPr>
              <w:t>June 27,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w w:val="96"/>
              </w:rPr>
              <w:t>June 29,</w:t>
            </w:r>
          </w:p>
        </w:tc>
        <w:tc>
          <w:tcPr>
            <w:tcW w:w="100" w:type="dxa"/>
            <w:vAlign w:val="bottom"/>
          </w:tcPr>
          <w:p>
            <w:pPr>
              <w:spacing w:after="0"/>
              <w:rPr>
                <w:sz w:val="20"/>
                <w:szCs w:val="20"/>
                <w:color w:val="auto"/>
              </w:rPr>
            </w:pPr>
          </w:p>
        </w:tc>
        <w:tc>
          <w:tcPr>
            <w:tcW w:w="1340" w:type="dxa"/>
            <w:vAlign w:val="bottom"/>
            <w:gridSpan w:val="3"/>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June 27,</w:t>
            </w:r>
          </w:p>
        </w:tc>
        <w:tc>
          <w:tcPr>
            <w:tcW w:w="10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June 29,</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2004</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2003</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2004</w:t>
            </w: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1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4780" w:type="dxa"/>
            <w:vAlign w:val="bottom"/>
            <w:gridSpan w:val="2"/>
            <w:vMerge w:val="continue"/>
          </w:tcPr>
          <w:p>
            <w:pPr>
              <w:spacing w:after="0"/>
              <w:rPr>
                <w:sz w:val="7"/>
                <w:szCs w:val="7"/>
                <w:color w:val="auto"/>
              </w:rPr>
            </w:pPr>
          </w:p>
        </w:tc>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Advertising</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340,985</w:t>
            </w:r>
          </w:p>
        </w:tc>
        <w:tc>
          <w:tcPr>
            <w:tcW w:w="6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318,927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643,151</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598,724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Circulation and subscriber</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185,728</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176,348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365,988</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348,534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Education</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276,696</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195,560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534,967</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14,982</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16,105</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33,254</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818,391</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706,940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1,577,360</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1,347,380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4780" w:type="dxa"/>
            <w:vAlign w:val="bottom"/>
            <w:gridSpan w:val="2"/>
            <w:vMerge w:val="continue"/>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Operating</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420,407</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368,974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830,089</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717,608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203,334</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187,493</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401,465</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356,663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44,769</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88,628</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672,391</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600,042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1,326,443</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1,161,390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146,000</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106,898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250,917</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Equity in losses of affiliates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(353)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(5,524)</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(2,069)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 income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expense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(6,830)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(6,658)</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(13,691)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(13,896)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net</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139,204</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97,448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236,630</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54,300</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36,800</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92,300</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84,904</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60,648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144,330</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Redeemable preferred stock dividends</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9"/>
                <w:szCs w:val="19"/>
                <w:color w:val="auto"/>
              </w:rPr>
            </w:pPr>
          </w:p>
        </w:tc>
        <w:tc>
          <w:tcPr>
            <w:tcW w:w="134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available for common shares</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84,659</w:t>
            </w:r>
          </w:p>
        </w:tc>
        <w:tc>
          <w:tcPr>
            <w:tcW w:w="6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60,390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143,583</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6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6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6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average number of common shares outstanding</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9,563</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9,557</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average number of common shares outstanding</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9,596</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9,555</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9,588</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1620" w:type="dxa"/>
            <w:vAlign w:val="bottom"/>
            <w:vMerge w:val="restart"/>
          </w:tcPr>
          <w:p>
            <w:pPr>
              <w:jc w:val="right"/>
              <w:ind w:right="53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4067810</wp:posOffset>
            </wp:positionH>
            <wp:positionV relativeFrom="paragraph">
              <wp:posOffset>-1715135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-1715135</wp:posOffset>
            </wp:positionV>
            <wp:extent cx="2159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-1715135</wp:posOffset>
            </wp:positionV>
            <wp:extent cx="3873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-1715135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-1715135</wp:posOffset>
            </wp:positionV>
            <wp:extent cx="2159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-1715135</wp:posOffset>
            </wp:positionV>
            <wp:extent cx="3873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-1715135</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-1715135</wp:posOffset>
            </wp:positionV>
            <wp:extent cx="2159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-1715135</wp:posOffset>
            </wp:positionV>
            <wp:extent cx="3873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-1715135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-1715135</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-1715135</wp:posOffset>
            </wp:positionV>
            <wp:extent cx="3873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-1415415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-1415415</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-1415415</wp:posOffset>
            </wp:positionV>
            <wp:extent cx="3873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-1415415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-1415415</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-1415415</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-1415415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-1415415</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-1415415</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-1415415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-1415415</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-1415415</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-1115060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-1115060</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-1115060</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-1115060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-1115060</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-1115060</wp:posOffset>
            </wp:positionV>
            <wp:extent cx="3873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-1115060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-1115060</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-1115060</wp:posOffset>
            </wp:positionV>
            <wp:extent cx="3873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-1115060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-1115060</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-1115060</wp:posOffset>
            </wp:positionV>
            <wp:extent cx="3873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-814705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-814705</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-814705</wp:posOffset>
            </wp:positionV>
            <wp:extent cx="3873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-814705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-814705</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-814705</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-814705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-814705</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-814705</wp:posOffset>
            </wp:positionV>
            <wp:extent cx="3873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-814705</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-814705</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-814705</wp:posOffset>
            </wp:positionV>
            <wp:extent cx="3873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 (Unaudited)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100" w:type="dxa"/>
            <w:vAlign w:val="bottom"/>
          </w:tcPr>
          <w:p>
            <w:pPr>
              <w:spacing w:after="0"/>
              <w:rPr>
                <w:sz w:val="15"/>
                <w:szCs w:val="15"/>
                <w:color w:val="auto"/>
              </w:rPr>
            </w:pPr>
          </w:p>
        </w:tc>
        <w:tc>
          <w:tcPr>
            <w:tcW w:w="228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02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11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June 27,</w:t>
            </w:r>
          </w:p>
        </w:tc>
        <w:tc>
          <w:tcPr>
            <w:tcW w:w="20" w:type="dxa"/>
            <w:vAlign w:val="bottom"/>
          </w:tcPr>
          <w:p>
            <w:pPr>
              <w:spacing w:after="0"/>
              <w:rPr>
                <w:sz w:val="20"/>
                <w:szCs w:val="20"/>
                <w:color w:val="auto"/>
              </w:rPr>
            </w:pP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June 29,</w:t>
            </w:r>
          </w:p>
        </w:tc>
        <w:tc>
          <w:tcPr>
            <w:tcW w:w="12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June 27,</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June 29,</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100" w:type="dxa"/>
            <w:vAlign w:val="bottom"/>
          </w:tcPr>
          <w:p>
            <w:pPr>
              <w:spacing w:after="0"/>
              <w:rPr>
                <w:sz w:val="15"/>
                <w:szCs w:val="15"/>
                <w:color w:val="auto"/>
              </w:rPr>
            </w:pPr>
          </w:p>
        </w:tc>
        <w:tc>
          <w:tcPr>
            <w:tcW w:w="60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2004</w:t>
            </w:r>
          </w:p>
        </w:tc>
        <w:tc>
          <w:tcPr>
            <w:tcW w:w="540" w:type="dxa"/>
            <w:vAlign w:val="bottom"/>
          </w:tcPr>
          <w:p>
            <w:pPr>
              <w:spacing w:after="0"/>
              <w:rPr>
                <w:sz w:val="15"/>
                <w:szCs w:val="15"/>
                <w:color w:val="auto"/>
              </w:rPr>
            </w:pPr>
          </w:p>
        </w:tc>
        <w:tc>
          <w:tcPr>
            <w:tcW w:w="60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2003</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2004</w:t>
            </w:r>
          </w:p>
        </w:tc>
        <w:tc>
          <w:tcPr>
            <w:tcW w:w="540" w:type="dxa"/>
            <w:vAlign w:val="bottom"/>
          </w:tcPr>
          <w:p>
            <w:pPr>
              <w:spacing w:after="0"/>
              <w:rPr>
                <w:sz w:val="15"/>
                <w:szCs w:val="15"/>
                <w:color w:val="auto"/>
              </w:rPr>
            </w:pPr>
          </w:p>
        </w:tc>
        <w:tc>
          <w:tcPr>
            <w:tcW w:w="7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7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120" w:type="dxa"/>
            <w:vAlign w:val="bottom"/>
            <w:gridSpan w:val="2"/>
            <w:vMerge w:val="continue"/>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$ 84,904</w:t>
            </w: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$ 60,648</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$ 144,330</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$ 133,710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0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(1,708)</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(2,103)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Less: reclassification adjustment on sale of affiliate investment</w:t>
            </w:r>
          </w:p>
        </w:tc>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Change in unrealized gain on available-for-sale securities</w:t>
            </w: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(7,333)</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23,370</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18,577</w:t>
            </w: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Less: reclassification adjustment for realized losses included in net income</w:t>
            </w:r>
          </w:p>
        </w:tc>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0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(9,041)</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28,458</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16,474</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Income tax benefit (expense) related to other comprehensive income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540" w:type="dxa"/>
            <w:vAlign w:val="bottom"/>
          </w:tcPr>
          <w:p>
            <w:pPr>
              <w:spacing w:after="0"/>
              <w:rPr>
                <w:sz w:val="19"/>
                <w:szCs w:val="19"/>
                <w:color w:val="auto"/>
              </w:rPr>
            </w:pPr>
          </w:p>
        </w:tc>
        <w:tc>
          <w:tcPr>
            <w:tcW w:w="114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color w:val="auto"/>
                <w:w w:val="95"/>
              </w:rPr>
              <w:t>(9,114)</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(7,278)</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1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(6,185)</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19,344</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9,196</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0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$ 78,719</w:t>
            </w: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$ 79,992</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$ 153,526</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$ 141,408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120" w:type="dxa"/>
            <w:vAlign w:val="bottom"/>
            <w:gridSpan w:val="2"/>
            <w:vMerge w:val="restart"/>
          </w:tcPr>
          <w:p>
            <w:pPr>
              <w:jc w:val="right"/>
              <w:ind w:right="1252"/>
              <w:spacing w:after="0"/>
              <w:rPr>
                <w:sz w:val="20"/>
                <w:szCs w:val="20"/>
                <w:color w:val="auto"/>
              </w:rPr>
            </w:pPr>
            <w:r>
              <w:rPr>
                <w:rFonts w:ascii="Times New Roman" w:cs="Times New Roman" w:eastAsia="Times New Roman" w:hAnsi="Times New Roman"/>
                <w:sz w:val="18"/>
                <w:szCs w:val="18"/>
                <w:color w:val="auto"/>
              </w:rPr>
              <w:t>4.</w:t>
            </w:r>
          </w:p>
        </w:tc>
        <w:tc>
          <w:tcPr>
            <w:tcW w:w="6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712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-325755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-325755</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-325755</wp:posOffset>
            </wp:positionV>
            <wp:extent cx="3873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-325755</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-325755</wp:posOffset>
            </wp:positionV>
            <wp:extent cx="2159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-325755</wp:posOffset>
            </wp:positionV>
            <wp:extent cx="3873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-325755</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-325755</wp:posOffset>
            </wp:positionV>
            <wp:extent cx="2159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-325755</wp:posOffset>
            </wp:positionV>
            <wp:extent cx="3873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-325755</wp:posOffset>
            </wp:positionV>
            <wp:extent cx="2159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w w:val="96"/>
              </w:rPr>
              <w:t>June 27,</w:t>
            </w: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9"/>
              </w:rPr>
              <w:t>2004</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88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8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21"/>
                <w:szCs w:val="21"/>
                <w:color w:val="auto"/>
              </w:rPr>
            </w:pPr>
          </w:p>
        </w:tc>
        <w:tc>
          <w:tcPr>
            <w:tcW w:w="146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w w:val="97"/>
              </w:rPr>
              <w:t>(unaudited)</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Investments in marketable equity securities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11,488</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343,286</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29,193</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Income taxes receivable</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41,639</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470,171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Buildings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295,676</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Machinery, equipment and fixtures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1,712,558</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1,656,111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112,108</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2,120,342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2,047,825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 w:type="dxa"/>
            <w:vAlign w:val="bottom"/>
          </w:tcPr>
          <w:p>
            <w:pPr>
              <w:spacing w:after="0"/>
              <w:rPr>
                <w:sz w:val="19"/>
                <w:szCs w:val="19"/>
                <w:color w:val="auto"/>
              </w:rPr>
            </w:pPr>
          </w:p>
        </w:tc>
        <w:tc>
          <w:tcPr>
            <w:tcW w:w="14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w w:val="97"/>
              </w:rPr>
              <w:t>(1,164,473)</w:t>
            </w: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(1,084,790)</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955,869</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963,035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Land</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37,267</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70,518</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1,063,654</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1,055,630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marketable equity securities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259,535</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affiliates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57,498</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Goodwill, net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1,014,458</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965,694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Indefinite-lived intangible assets, net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487,872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Amortized intangible assets, net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6,675</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pension cost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534,735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514,801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72,960</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3,967,558</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3,901,558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363,244</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189,811</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Dividends declared</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16,743</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Federal and state income taxes payable</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Short-term borrowings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75,519</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649,685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711,873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Postretirement benefits other than pensions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143,564</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220,411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321,756</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429,401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1,764,817</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1,814,077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12,267</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shareholders’ 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176,018</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3,458,057</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3,364,407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Cumulative foreign currency translation adjustment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Unrealized gain on available-for-sale securities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48,504</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Cost of Class B common stock held in treasury</w:t>
            </w:r>
          </w:p>
        </w:tc>
        <w:tc>
          <w:tcPr>
            <w:tcW w:w="100" w:type="dxa"/>
            <w:vAlign w:val="bottom"/>
          </w:tcPr>
          <w:p>
            <w:pPr>
              <w:spacing w:after="0"/>
              <w:rPr>
                <w:sz w:val="19"/>
                <w:szCs w:val="19"/>
                <w:color w:val="auto"/>
              </w:rPr>
            </w:pPr>
          </w:p>
        </w:tc>
        <w:tc>
          <w:tcPr>
            <w:tcW w:w="14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w w:val="97"/>
              </w:rPr>
              <w:t>(1,514,274)</w:t>
            </w: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(1,517,894)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5637530</wp:posOffset>
            </wp:positionH>
            <wp:positionV relativeFrom="paragraph">
              <wp:posOffset>-3910965</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-3910965</wp:posOffset>
            </wp:positionV>
            <wp:extent cx="2159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-3910965</wp:posOffset>
            </wp:positionV>
            <wp:extent cx="3873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-3910965</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-3910965</wp:posOffset>
            </wp:positionV>
            <wp:extent cx="2159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-3910965</wp:posOffset>
            </wp:positionV>
            <wp:extent cx="3873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5639435</wp:posOffset>
            </wp:positionH>
            <wp:positionV relativeFrom="paragraph">
              <wp:posOffset>60960</wp:posOffset>
            </wp:positionV>
            <wp:extent cx="5575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6625590</wp:posOffset>
            </wp:positionH>
            <wp:positionV relativeFrom="paragraph">
              <wp:posOffset>60960</wp:posOffset>
            </wp:positionV>
            <wp:extent cx="55753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ectPr>
          <w:pgSz w:w="11900" w:h="16838" w:orient="portrait"/>
          <w:cols w:equalWidth="0" w:num="1">
            <w:col w:w="11420"/>
          </w:cols>
          <w:pgMar w:left="240" w:top="274" w:right="239" w:bottom="5" w:gutter="0" w:footer="0" w:header="0"/>
        </w:sect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2,190,474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5639435</wp:posOffset>
            </wp:positionH>
            <wp:positionV relativeFrom="paragraph">
              <wp:posOffset>83820</wp:posOffset>
            </wp:positionV>
            <wp:extent cx="55753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19"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color w:val="auto"/>
        </w:rPr>
        <w:t>$ 3,967,558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81280</wp:posOffset>
            </wp:positionV>
            <wp:extent cx="5873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737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2,074,941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55753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$ 3,901,558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5873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73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760" w:space="680"/>
            <w:col w:w="980"/>
          </w:cols>
          <w:pgMar w:left="240" w:top="274" w:right="239" w:bottom="5" w:gutter="0" w:footer="0" w:header="0"/>
          <w:type w:val="continuous"/>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74" w:right="239" w:bottom="5"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Cash Flows (Unaudited)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9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June 27,</w:t>
            </w:r>
          </w:p>
        </w:tc>
        <w:tc>
          <w:tcPr>
            <w:tcW w:w="10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2"/>
              </w:rPr>
              <w:t>June 29,</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2004</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9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2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144,330</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133,710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88,628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Amortization of goodwill and other intangibles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Net pension benefit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(20,087)</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Early retirement program expense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Gain from sale of affiliate</w:t>
            </w:r>
          </w:p>
        </w:tc>
        <w:tc>
          <w:tcPr>
            <w:tcW w:w="100" w:type="dxa"/>
            <w:vAlign w:val="bottom"/>
          </w:tcPr>
          <w:p>
            <w:pPr>
              <w:spacing w:after="0"/>
              <w:rPr>
                <w:sz w:val="18"/>
                <w:szCs w:val="18"/>
                <w:color w:val="auto"/>
              </w:rPr>
            </w:pPr>
          </w:p>
        </w:tc>
        <w:tc>
          <w:tcPr>
            <w:tcW w:w="13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Cost method and other investment write-downs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Equity in losses of affiliates, net of distributions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Provision for deferred income taxes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Increase in accounts receivable, net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(6,756)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Increase in inventories</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(1,484)</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Increase in accounts payable and accrued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Increase in deferred revenue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17,064</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Increase (decrease) in income taxes payable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(Increase) decrease in other assets and other liabilities,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(16,754)</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255,497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178,431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(92,487)</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Investments in certain businesses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(48,279)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the sale of business</w:t>
            </w:r>
          </w:p>
        </w:tc>
        <w:tc>
          <w:tcPr>
            <w:tcW w:w="100" w:type="dxa"/>
            <w:vAlign w:val="bottom"/>
          </w:tcPr>
          <w:p>
            <w:pPr>
              <w:spacing w:after="0"/>
              <w:rPr>
                <w:sz w:val="18"/>
                <w:szCs w:val="18"/>
                <w:color w:val="auto"/>
              </w:rPr>
            </w:pPr>
          </w:p>
        </w:tc>
        <w:tc>
          <w:tcPr>
            <w:tcW w:w="13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investments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(5,977)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96"/>
              </w:rPr>
              <w:t>(139,870)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(76,866)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repayment of commercial paper</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w w:val="96"/>
              </w:rPr>
              <w:t>(126,936)</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Principal payments on debt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(8,305)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Dividends paid</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(33,932)</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96"/>
              </w:rPr>
              <w:t>(158,353)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(99,305)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Effect of currency exchange rate change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(42,872)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Beginning cash and cash equivalents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87,437</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220" w:type="dxa"/>
            <w:vAlign w:val="bottom"/>
            <w:gridSpan w:val="2"/>
            <w:vMerge w:val="restart"/>
          </w:tcPr>
          <w:p>
            <w:pPr>
              <w:jc w:val="right"/>
              <w:ind w:right="335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92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-325755</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-325755</wp:posOffset>
            </wp:positionV>
            <wp:extent cx="2159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-325755</wp:posOffset>
            </wp:positionV>
            <wp:extent cx="3873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-325755</wp:posOffset>
            </wp:positionV>
            <wp:extent cx="2159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14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Results of operations, when examined on a quarterly basis, reflect the seasonality of advertising that affects the newspaper, magazine and broadcasting operations. Advertising revenues in the second and fourth quarters are typically higher than first and third quarter revenues. All adjustments reflected in the interim financial statements are of a normal recurring nature.</w:t>
      </w:r>
    </w:p>
    <w:p>
      <w:pPr>
        <w:spacing w:after="0" w:line="119" w:lineRule="exact"/>
        <w:rPr>
          <w:sz w:val="20"/>
          <w:szCs w:val="20"/>
          <w:color w:val="auto"/>
        </w:rPr>
      </w:pPr>
    </w:p>
    <w:p>
      <w:pPr>
        <w:ind w:right="720"/>
        <w:spacing w:after="0" w:line="275" w:lineRule="auto"/>
        <w:rPr>
          <w:sz w:val="20"/>
          <w:szCs w:val="20"/>
          <w:color w:val="auto"/>
        </w:rPr>
      </w:pPr>
      <w:r>
        <w:rPr>
          <w:rFonts w:ascii="Times New Roman" w:cs="Times New Roman" w:eastAsia="Times New Roman" w:hAnsi="Times New Roman"/>
          <w:sz w:val="18"/>
          <w:szCs w:val="18"/>
          <w:color w:val="auto"/>
        </w:rPr>
        <w:t>The Company generally reports on a 13 week fiscal quarter ending on the Sunday nearest the calendar quarter-end. With the exception of the newspaper publishing operations, subsidiaries of the Company report on a calendar-quarter basis.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amounts in previously issued financial statements have been reclassified to conform with the 2004 presentation.</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Note 1: Acquisitions and Dispositions.</w:t>
      </w:r>
    </w:p>
    <w:p>
      <w:pPr>
        <w:spacing w:after="0" w:line="77" w:lineRule="exact"/>
        <w:rPr>
          <w:sz w:val="20"/>
          <w:szCs w:val="20"/>
          <w:color w:val="auto"/>
        </w:rPr>
      </w:pPr>
    </w:p>
    <w:p>
      <w:pPr>
        <w:jc w:val="both"/>
        <w:ind w:right="260"/>
        <w:spacing w:after="0" w:line="262" w:lineRule="auto"/>
        <w:rPr>
          <w:sz w:val="20"/>
          <w:szCs w:val="20"/>
          <w:color w:val="auto"/>
        </w:rPr>
      </w:pPr>
      <w:r>
        <w:rPr>
          <w:rFonts w:ascii="Times New Roman" w:cs="Times New Roman" w:eastAsia="Times New Roman" w:hAnsi="Times New Roman"/>
          <w:sz w:val="18"/>
          <w:szCs w:val="18"/>
          <w:color w:val="auto"/>
        </w:rPr>
        <w:t>In the second quarter of 2004, Kaplan acquired two businesses in their higher education and professional divisions totaling $4.5 million, financed through cash and debt, with $0.3 million remaining to be paid. In addition, the cable division completed two small transactions for $1.8 million. In May 2004, the Company acquired El Tiempo Latino, a leading Spanish-language weekly newspaper in the greater Washington area.</w:t>
      </w:r>
    </w:p>
    <w:p>
      <w:pPr>
        <w:spacing w:after="0" w:line="11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In the first quarter of 2004, Kaplan acquired three businesses in their higher education and test preparation divisions, totaling $49.8 million, financed through cash and debt. Most of the purchase price has been allocated to goodwill on a preliminary basis.</w:t>
      </w:r>
    </w:p>
    <w:p>
      <w:pPr>
        <w:spacing w:after="0" w:line="106"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In the second quarter of 2003, Kaplan acquired two businesses in its higher education and professional divisions for a total of $17.5 million. In addition, the cable division acquired a system in North Dakota for $1.5 million.</w:t>
      </w:r>
    </w:p>
    <w:p>
      <w:pPr>
        <w:spacing w:after="0" w:line="106"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In March 2003, Kaplan completed its acquisition of the stock of Financial Training Company (FTC), for £55.3 million ($87.4 million). Headquartered in London, FTC provides test preparation services for accountants and financial services professionals, with training centers in the United Kingdom and Asia.</w:t>
      </w:r>
    </w:p>
    <w:p>
      <w:pPr>
        <w:spacing w:after="0" w:line="106"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On January 1, 2003, the Company sold its 50 percent interest in the International Herald Tribune for $65 million and the Company recorded an after-tax non-operating gain of $32.3 million in the first quarter of 2003.</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Investments.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in marketable equity securities at June 27, 2004 and December 28, 2003 consist of the following (in thousands):</w:t>
      </w:r>
    </w:p>
    <w:p>
      <w:pPr>
        <w:spacing w:after="0" w:line="14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June 27,</w:t>
            </w:r>
          </w:p>
        </w:tc>
        <w:tc>
          <w:tcPr>
            <w:tcW w:w="20" w:type="dxa"/>
            <w:vAlign w:val="bottom"/>
          </w:tcPr>
          <w:p>
            <w:pPr>
              <w:spacing w:after="0"/>
              <w:rPr>
                <w:sz w:val="13"/>
                <w:szCs w:val="13"/>
                <w:color w:val="auto"/>
              </w:rPr>
            </w:pPr>
          </w:p>
        </w:tc>
        <w:tc>
          <w:tcPr>
            <w:tcW w:w="140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w w:val="93"/>
              </w:rPr>
              <w:t>December 28,</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3420" w:type="dxa"/>
            <w:vAlign w:val="bottom"/>
            <w:gridSpan w:val="2"/>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2004</w:t>
            </w: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27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80" w:type="dxa"/>
            <w:vAlign w:val="bottom"/>
          </w:tcPr>
          <w:p>
            <w:pPr>
              <w:spacing w:after="0"/>
              <w:rPr>
                <w:sz w:val="8"/>
                <w:szCs w:val="8"/>
                <w:color w:val="auto"/>
              </w:rPr>
            </w:pPr>
          </w:p>
        </w:tc>
        <w:tc>
          <w:tcPr>
            <w:tcW w:w="2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w:t>
            </w:r>
          </w:p>
        </w:tc>
        <w:tc>
          <w:tcPr>
            <w:tcW w:w="3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$ 191,353</w:t>
            </w:r>
          </w:p>
        </w:tc>
        <w:tc>
          <w:tcPr>
            <w:tcW w:w="7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186,954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Gross unrealized gains</w:t>
            </w:r>
          </w:p>
        </w:tc>
        <w:tc>
          <w:tcPr>
            <w:tcW w:w="3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79,670</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61,004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27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80" w:type="dxa"/>
            <w:vAlign w:val="bottom"/>
          </w:tcPr>
          <w:p>
            <w:pPr>
              <w:spacing w:after="0"/>
              <w:rPr>
                <w:sz w:val="8"/>
                <w:szCs w:val="8"/>
                <w:color w:val="auto"/>
              </w:rPr>
            </w:pPr>
          </w:p>
        </w:tc>
        <w:tc>
          <w:tcPr>
            <w:tcW w:w="2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fair value</w:t>
            </w:r>
          </w:p>
        </w:tc>
        <w:tc>
          <w:tcPr>
            <w:tcW w:w="3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$ 271,023</w:t>
            </w:r>
          </w:p>
        </w:tc>
        <w:tc>
          <w:tcPr>
            <w:tcW w:w="7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247,958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-29210</wp:posOffset>
            </wp:positionV>
            <wp:extent cx="2159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50165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0165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sales of marketable equity securities in the first six months of 2004 or 2003.</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274" w:right="239" w:bottom="1440" w:gutter="0" w:footer="0" w:header="0"/>
        </w:sectPr>
      </w:pPr>
    </w:p>
    <w:bookmarkStart w:id="7" w:name="page8"/>
    <w:bookmarkEnd w:id="7"/>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June 27, 2004 and December 28, 2003, the carrying value of the Company’s cost method investments was $4.6 million and $9.6 million, respectively. In June 2004, one of the Company’s cost method investments went public and is now reported as a marketable equity security, recorded at fair value in the consolidated balance sheet, with the change in fair value during the period excluded from earnings and recorded net of tax as a separate component of comprehensive income. The Company recorded charges of $0 and $0.7 million during the second quarter and first six months of 2004, respectively, to write-down certain of its investments to estimated fair value; for the same periods of 2003, the Company recorded charges of $0 and $1.1 million, respectively.</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Note 3: Borrowings.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consists of the following (in millions):</w:t>
      </w:r>
    </w:p>
    <w:p>
      <w:pPr>
        <w:spacing w:after="0" w:line="14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June 27,</w:t>
            </w:r>
          </w:p>
        </w:tc>
        <w:tc>
          <w:tcPr>
            <w:tcW w:w="122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2"/>
              </w:rPr>
              <w:t>2004</w:t>
            </w: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 borrowings</w:t>
            </w:r>
          </w:p>
        </w:tc>
        <w:tc>
          <w:tcPr>
            <w:tcW w:w="5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5.5 percent unsecured notes due February 15, 2009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398.8</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4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4.0 percent notes due 2004-2006 (£13.2 million and £16.7 million at June 27, 2004 and</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December 28, 2003, respectively)</w:t>
            </w: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Other indebtedness</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504.9</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(75.5)</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(208.6)</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5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429.4</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-29210</wp:posOffset>
            </wp:positionV>
            <wp:extent cx="34734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2159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873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commercial paper borrowings at June 27, 2004 were at an average interest rate of 1.1% and mature through July 2004; the Company’s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 paper borrowings at December 28, 2003 were at an average interest rate of 1.1% and matured through February 2004. During 2003, the notes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£16.7 million were issued to current FTC employees who were former FTC shareholders in connection with the acquisition. The noteholders, at their discretion,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had the option of electing to receive 25% of their outstanding balance in January 2004. As a result, payments of $6.2 million were made in January 2004.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2004, 50% of the original outstanding balance (less the amount paid in January 2004) is due for payment. The remaining balance outstanding is due for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repayment in August 2006. The Company’s other indebtedness at June 27, 2004 and December 28, 2003 is at interest rates of 6% to 7% and matures from 2004 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2009.</w:t>
      </w:r>
    </w:p>
    <w:p>
      <w:pPr>
        <w:spacing w:after="0" w:line="14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During the second quarter of 2004 and 2003, the Company had average borrowings outstanding of approximately $529.9 million and $633.2 million, respectively, at average annual interest rates of approximately 4.8 percent and 4.1 percent, respectively. During the second quarter of 2004 and 2003, the Company incurred net interest expense on borrowings of $6.4 million and $6.2 million, respectively.</w:t>
      </w:r>
    </w:p>
    <w:p>
      <w:pPr>
        <w:spacing w:after="0" w:line="119" w:lineRule="exact"/>
        <w:rPr>
          <w:sz w:val="20"/>
          <w:szCs w:val="20"/>
          <w:color w:val="auto"/>
        </w:rPr>
      </w:pPr>
    </w:p>
    <w:p>
      <w:pPr>
        <w:ind w:right="620"/>
        <w:spacing w:after="0" w:line="262" w:lineRule="auto"/>
        <w:rPr>
          <w:sz w:val="20"/>
          <w:szCs w:val="20"/>
          <w:color w:val="auto"/>
        </w:rPr>
      </w:pPr>
      <w:r>
        <w:rPr>
          <w:rFonts w:ascii="Times New Roman" w:cs="Times New Roman" w:eastAsia="Times New Roman" w:hAnsi="Times New Roman"/>
          <w:sz w:val="18"/>
          <w:szCs w:val="18"/>
          <w:color w:val="auto"/>
        </w:rPr>
        <w:t>During the first six months of 2004 and 2003, the Company had average borrowings outstanding of approximately $553.3 million and $617.4 million, respectively, at average annual interest rates of approximately 4.5 percent and 4.1 percent, respectively. During the first six months of 2004 and 2003, the Company incurred net interest expense on borrowings of $12.9 million and $13.3 million, respectively.</w:t>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Note 4: Business Segments.</w:t>
      </w:r>
    </w:p>
    <w:p>
      <w:pPr>
        <w:spacing w:after="0" w:line="77"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The following table summarizes financial information related to each of the Company’s business segments. The 2004 and 2003 asset information is as of June 27, 2004 and December 28, 2003, respectively.</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274" w:right="2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Second Quarter Period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Newspaper</w:t>
            </w:r>
          </w:p>
        </w:tc>
        <w:tc>
          <w:tcPr>
            <w:tcW w:w="100" w:type="dxa"/>
            <w:vAlign w:val="bottom"/>
          </w:tcPr>
          <w:p>
            <w:pPr>
              <w:spacing w:after="0"/>
              <w:rPr>
                <w:sz w:val="13"/>
                <w:szCs w:val="13"/>
                <w:color w:val="auto"/>
              </w:rPr>
            </w:pPr>
          </w:p>
        </w:tc>
        <w:tc>
          <w:tcPr>
            <w:tcW w:w="68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2"/>
              </w:rPr>
              <w:t>Television</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5"/>
              </w:rPr>
              <w:t>Magazine</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7"/>
              </w:rPr>
              <w:t>Cable</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6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6"/>
              </w:rPr>
              <w:t>Corporate</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2004</w:t>
            </w:r>
          </w:p>
        </w:tc>
        <w:tc>
          <w:tcPr>
            <w:tcW w:w="3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Publishing</w:t>
            </w: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3"/>
              </w:rPr>
              <w:t>Broadcasting</w:t>
            </w:r>
          </w:p>
        </w:tc>
        <w:tc>
          <w:tcPr>
            <w:tcW w:w="340" w:type="dxa"/>
            <w:vAlign w:val="bottom"/>
          </w:tcPr>
          <w:p>
            <w:pPr>
              <w:spacing w:after="0"/>
              <w:rPr>
                <w:sz w:val="15"/>
                <w:szCs w:val="15"/>
                <w:color w:val="auto"/>
              </w:rPr>
            </w:pPr>
          </w:p>
        </w:tc>
        <w:tc>
          <w:tcPr>
            <w:tcW w:w="78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Publishing</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2"/>
              </w:rPr>
              <w:t>Television</w:t>
            </w:r>
          </w:p>
        </w:tc>
        <w:tc>
          <w:tcPr>
            <w:tcW w:w="112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Education</w:t>
            </w:r>
          </w:p>
        </w:tc>
        <w:tc>
          <w:tcPr>
            <w:tcW w:w="12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Office</w:t>
            </w: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6"/>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3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233,979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90,243</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91,047</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126,426</w:t>
            </w:r>
          </w:p>
        </w:tc>
        <w:tc>
          <w:tcPr>
            <w:tcW w:w="4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1"/>
              </w:rPr>
              <w:t>$ 276,696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818,391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37,678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43,706</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17,633</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25,197</w:t>
            </w:r>
          </w:p>
        </w:tc>
        <w:tc>
          <w:tcPr>
            <w:tcW w:w="4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29,443</w:t>
            </w: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(7,657)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losses of affiliates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3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9,358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24,923</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6,862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3,842</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Net pension credit</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9,084</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Identifiable assets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681,321</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408,919</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542,166</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4"/>
              </w:rPr>
              <w:t>1,116,811</w:t>
            </w:r>
          </w:p>
        </w:tc>
        <w:tc>
          <w:tcPr>
            <w:tcW w:w="11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w w:val="91"/>
              </w:rPr>
              <w:t>$ 883,689</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6,131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$ 3,639,037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3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marketable equity securities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in affiliates</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3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$ 3,967,558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Newspaper</w:t>
            </w:r>
          </w:p>
        </w:tc>
        <w:tc>
          <w:tcPr>
            <w:tcW w:w="100" w:type="dxa"/>
            <w:vAlign w:val="bottom"/>
          </w:tcPr>
          <w:p>
            <w:pPr>
              <w:spacing w:after="0"/>
              <w:rPr>
                <w:sz w:val="11"/>
                <w:szCs w:val="11"/>
                <w:color w:val="auto"/>
              </w:rPr>
            </w:pPr>
          </w:p>
        </w:tc>
        <w:tc>
          <w:tcPr>
            <w:tcW w:w="68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2"/>
              </w:rPr>
              <w:t>Television</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5"/>
              </w:rPr>
              <w:t>Magazine</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7"/>
              </w:rPr>
              <w:t>Cable</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6"/>
              </w:rPr>
              <w:t>Corporate</w:t>
            </w: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2003</w:t>
            </w:r>
          </w:p>
        </w:tc>
        <w:tc>
          <w:tcPr>
            <w:tcW w:w="3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Publishing</w:t>
            </w: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3"/>
              </w:rPr>
              <w:t>Broadcasting</w:t>
            </w:r>
          </w:p>
        </w:tc>
        <w:tc>
          <w:tcPr>
            <w:tcW w:w="340" w:type="dxa"/>
            <w:vAlign w:val="bottom"/>
          </w:tcPr>
          <w:p>
            <w:pPr>
              <w:spacing w:after="0"/>
              <w:rPr>
                <w:sz w:val="15"/>
                <w:szCs w:val="15"/>
                <w:color w:val="auto"/>
              </w:rPr>
            </w:pPr>
          </w:p>
        </w:tc>
        <w:tc>
          <w:tcPr>
            <w:tcW w:w="78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Publishing</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2"/>
              </w:rPr>
              <w:t>Television</w:t>
            </w:r>
          </w:p>
        </w:tc>
        <w:tc>
          <w:tcPr>
            <w:tcW w:w="112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Education</w:t>
            </w:r>
          </w:p>
        </w:tc>
        <w:tc>
          <w:tcPr>
            <w:tcW w:w="12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Office</w:t>
            </w: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6"/>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80" w:type="dxa"/>
            <w:vAlign w:val="bottom"/>
            <w:gridSpan w:val="2"/>
          </w:tcPr>
          <w:p>
            <w:pPr>
              <w:spacing w:after="0"/>
              <w:rPr>
                <w:sz w:val="8"/>
                <w:szCs w:val="8"/>
                <w:color w:val="auto"/>
              </w:rPr>
            </w:pPr>
          </w:p>
        </w:tc>
        <w:tc>
          <w:tcPr>
            <w:tcW w:w="480" w:type="dxa"/>
            <w:vAlign w:val="bottom"/>
            <w:gridSpan w:val="2"/>
          </w:tcPr>
          <w:p>
            <w:pPr>
              <w:spacing w:after="0"/>
              <w:rPr>
                <w:sz w:val="8"/>
                <w:szCs w:val="8"/>
                <w:color w:val="auto"/>
              </w:rPr>
            </w:pPr>
          </w:p>
        </w:tc>
        <w:tc>
          <w:tcPr>
            <w:tcW w:w="96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gridSpan w:val="2"/>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gridSpan w:val="2"/>
          </w:tcPr>
          <w:p>
            <w:pPr>
              <w:spacing w:after="0"/>
              <w:rPr>
                <w:sz w:val="8"/>
                <w:szCs w:val="8"/>
                <w:color w:val="auto"/>
              </w:rPr>
            </w:pPr>
          </w:p>
        </w:tc>
        <w:tc>
          <w:tcPr>
            <w:tcW w:w="1160" w:type="dxa"/>
            <w:vAlign w:val="bottom"/>
            <w:gridSpan w:val="2"/>
          </w:tcPr>
          <w:p>
            <w:pPr>
              <w:spacing w:after="0"/>
              <w:rPr>
                <w:sz w:val="8"/>
                <w:szCs w:val="8"/>
                <w:color w:val="auto"/>
              </w:rPr>
            </w:pPr>
          </w:p>
        </w:tc>
        <w:tc>
          <w:tcPr>
            <w:tcW w:w="1120" w:type="dxa"/>
            <w:vAlign w:val="bottom"/>
            <w:gridSpan w:val="3"/>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3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223,142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81,825</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91,861</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114,552</w:t>
            </w:r>
          </w:p>
        </w:tc>
        <w:tc>
          <w:tcPr>
            <w:tcW w:w="11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1"/>
              </w:rPr>
              <w:t>$ 195,560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706,940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37,030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38,986</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12,404</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21,248</w:t>
            </w:r>
          </w:p>
        </w:tc>
        <w:tc>
          <w:tcPr>
            <w:tcW w:w="4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3,527</w:t>
            </w: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(6,297)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losses of affiliates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8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3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80" w:type="dxa"/>
            <w:vAlign w:val="bottom"/>
            <w:gridSpan w:val="2"/>
          </w:tcPr>
          <w:p>
            <w:pPr>
              <w:spacing w:after="0"/>
              <w:rPr>
                <w:sz w:val="11"/>
                <w:szCs w:val="11"/>
                <w:color w:val="auto"/>
              </w:rPr>
            </w:pPr>
          </w:p>
        </w:tc>
        <w:tc>
          <w:tcPr>
            <w:tcW w:w="480" w:type="dxa"/>
            <w:vAlign w:val="bottom"/>
            <w:gridSpan w:val="2"/>
          </w:tcPr>
          <w:p>
            <w:pPr>
              <w:spacing w:after="0"/>
              <w:rPr>
                <w:sz w:val="11"/>
                <w:szCs w:val="11"/>
                <w:color w:val="auto"/>
              </w:rPr>
            </w:pPr>
          </w:p>
        </w:tc>
        <w:tc>
          <w:tcPr>
            <w:tcW w:w="96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10,451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22,964</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6,094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pension credit (expense)</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8,998</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(243)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Identifiable assets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673,631</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410,580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533,305</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4"/>
              </w:rPr>
              <w:t>1,119,826</w:t>
            </w:r>
          </w:p>
        </w:tc>
        <w:tc>
          <w:tcPr>
            <w:tcW w:w="11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w w:val="91"/>
              </w:rPr>
              <w:t>$ 845,983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8,963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$ 3,592,288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marketable equity securities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in affiliates</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$ 3,901,558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vMerge w:val="restart"/>
          </w:tcPr>
          <w:p>
            <w:pPr>
              <w:jc w:val="right"/>
              <w:ind w:right="92"/>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6666230</wp:posOffset>
            </wp:positionH>
            <wp:positionV relativeFrom="paragraph">
              <wp:posOffset>-4639945</wp:posOffset>
            </wp:positionV>
            <wp:extent cx="54419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4419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-3155950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-3155950</wp:posOffset>
            </wp:positionV>
            <wp:extent cx="2159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-3155950</wp:posOffset>
            </wp:positionV>
            <wp:extent cx="3873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-1595120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-1595120</wp:posOffset>
            </wp:positionV>
            <wp:extent cx="2159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-1595120</wp:posOffset>
            </wp:positionV>
            <wp:extent cx="3873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-325755</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Six Month Period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Newspaper</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Television</w:t>
            </w:r>
          </w:p>
        </w:tc>
        <w:tc>
          <w:tcPr>
            <w:tcW w:w="100" w:type="dxa"/>
            <w:vAlign w:val="bottom"/>
          </w:tcPr>
          <w:p>
            <w:pPr>
              <w:spacing w:after="0"/>
              <w:rPr>
                <w:sz w:val="13"/>
                <w:szCs w:val="13"/>
                <w:color w:val="auto"/>
              </w:rPr>
            </w:pPr>
          </w:p>
        </w:tc>
        <w:tc>
          <w:tcPr>
            <w:tcW w:w="68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95"/>
              </w:rPr>
              <w:t>Magazine</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7"/>
              </w:rPr>
              <w:t>Cable</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6"/>
              </w:rPr>
              <w:t>Corporate</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2004</w:t>
            </w:r>
          </w:p>
        </w:tc>
        <w:tc>
          <w:tcPr>
            <w:tcW w:w="346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Publishing</w:t>
            </w:r>
          </w:p>
        </w:tc>
        <w:tc>
          <w:tcPr>
            <w:tcW w:w="340" w:type="dxa"/>
            <w:vAlign w:val="bottom"/>
          </w:tcPr>
          <w:p>
            <w:pPr>
              <w:spacing w:after="0"/>
              <w:rPr>
                <w:sz w:val="15"/>
                <w:szCs w:val="15"/>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Broadcasting</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Publishing</w:t>
            </w:r>
          </w:p>
        </w:tc>
        <w:tc>
          <w:tcPr>
            <w:tcW w:w="320" w:type="dxa"/>
            <w:vAlign w:val="bottom"/>
          </w:tcPr>
          <w:p>
            <w:pPr>
              <w:spacing w:after="0"/>
              <w:rPr>
                <w:sz w:val="15"/>
                <w:szCs w:val="15"/>
                <w:color w:val="auto"/>
              </w:rPr>
            </w:pPr>
          </w:p>
        </w:tc>
        <w:tc>
          <w:tcPr>
            <w:tcW w:w="112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5"/>
              </w:rPr>
              <w:t>Television</w:t>
            </w:r>
          </w:p>
        </w:tc>
        <w:tc>
          <w:tcPr>
            <w:tcW w:w="94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Education</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8"/>
              </w:rPr>
              <w:t>Office</w:t>
            </w: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6"/>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4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3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452,804</w:t>
            </w:r>
          </w:p>
        </w:tc>
        <w:tc>
          <w:tcPr>
            <w:tcW w:w="4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166,560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175,589</w:t>
            </w:r>
          </w:p>
        </w:tc>
        <w:tc>
          <w:tcPr>
            <w:tcW w:w="1440" w:type="dxa"/>
            <w:vAlign w:val="bottom"/>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$ 247,440</w:t>
            </w:r>
          </w:p>
        </w:tc>
        <w:tc>
          <w:tcPr>
            <w:tcW w:w="9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4"/>
              </w:rPr>
              <w:t>$ 534,967</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$ 1,577,360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69,667</w:t>
            </w:r>
          </w:p>
        </w:tc>
        <w:tc>
          <w:tcPr>
            <w:tcW w:w="4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74,981</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24,454</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47,839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50,080</w:t>
            </w:r>
          </w:p>
        </w:tc>
        <w:tc>
          <w:tcPr>
            <w:tcW w:w="12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(16,104)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losses of affiliates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3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19,021</w:t>
            </w:r>
          </w:p>
        </w:tc>
        <w:tc>
          <w:tcPr>
            <w:tcW w:w="4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49,177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13,201</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6,180</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pension credit (expense)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4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18,168</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(726)</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Newspaper</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Television</w:t>
            </w:r>
          </w:p>
        </w:tc>
        <w:tc>
          <w:tcPr>
            <w:tcW w:w="100" w:type="dxa"/>
            <w:vAlign w:val="bottom"/>
          </w:tcPr>
          <w:p>
            <w:pPr>
              <w:spacing w:after="0"/>
              <w:rPr>
                <w:sz w:val="24"/>
                <w:szCs w:val="24"/>
                <w:color w:val="auto"/>
              </w:rPr>
            </w:pPr>
          </w:p>
        </w:tc>
        <w:tc>
          <w:tcPr>
            <w:tcW w:w="68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95"/>
              </w:rPr>
              <w:t>Magazine</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7"/>
              </w:rPr>
              <w:t>Cable</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6"/>
              </w:rPr>
              <w:t>Corporate</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2003</w:t>
            </w:r>
          </w:p>
        </w:tc>
        <w:tc>
          <w:tcPr>
            <w:tcW w:w="346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Publishing</w:t>
            </w:r>
          </w:p>
        </w:tc>
        <w:tc>
          <w:tcPr>
            <w:tcW w:w="340" w:type="dxa"/>
            <w:vAlign w:val="bottom"/>
          </w:tcPr>
          <w:p>
            <w:pPr>
              <w:spacing w:after="0"/>
              <w:rPr>
                <w:sz w:val="15"/>
                <w:szCs w:val="15"/>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Broadcasting</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Publishing</w:t>
            </w:r>
          </w:p>
        </w:tc>
        <w:tc>
          <w:tcPr>
            <w:tcW w:w="320" w:type="dxa"/>
            <w:vAlign w:val="bottom"/>
          </w:tcPr>
          <w:p>
            <w:pPr>
              <w:spacing w:after="0"/>
              <w:rPr>
                <w:sz w:val="15"/>
                <w:szCs w:val="15"/>
                <w:color w:val="auto"/>
              </w:rPr>
            </w:pPr>
          </w:p>
        </w:tc>
        <w:tc>
          <w:tcPr>
            <w:tcW w:w="112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5"/>
              </w:rPr>
              <w:t>Television</w:t>
            </w:r>
          </w:p>
        </w:tc>
        <w:tc>
          <w:tcPr>
            <w:tcW w:w="94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Education</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8"/>
              </w:rPr>
              <w:t>Office</w:t>
            </w: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6"/>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2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gridSpan w:val="2"/>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40" w:type="dxa"/>
            <w:vAlign w:val="bottom"/>
            <w:gridSpan w:val="4"/>
          </w:tcPr>
          <w:p>
            <w:pPr>
              <w:spacing w:after="0"/>
              <w:rPr>
                <w:sz w:val="8"/>
                <w:szCs w:val="8"/>
                <w:color w:val="auto"/>
              </w:rPr>
            </w:pPr>
          </w:p>
        </w:tc>
        <w:tc>
          <w:tcPr>
            <w:tcW w:w="940" w:type="dxa"/>
            <w:vAlign w:val="bottom"/>
            <w:gridSpan w:val="3"/>
          </w:tcPr>
          <w:p>
            <w:pPr>
              <w:spacing w:after="0"/>
              <w:rPr>
                <w:sz w:val="8"/>
                <w:szCs w:val="8"/>
                <w:color w:val="auto"/>
              </w:rPr>
            </w:pPr>
          </w:p>
        </w:tc>
        <w:tc>
          <w:tcPr>
            <w:tcW w:w="300" w:type="dxa"/>
            <w:vAlign w:val="bottom"/>
            <w:gridSpan w:val="2"/>
          </w:tcPr>
          <w:p>
            <w:pPr>
              <w:spacing w:after="0"/>
              <w:rPr>
                <w:sz w:val="8"/>
                <w:szCs w:val="8"/>
                <w:color w:val="auto"/>
              </w:rPr>
            </w:pPr>
          </w:p>
        </w:tc>
        <w:tc>
          <w:tcPr>
            <w:tcW w:w="980" w:type="dxa"/>
            <w:vAlign w:val="bottom"/>
            <w:gridSpan w:val="2"/>
          </w:tcPr>
          <w:p>
            <w:pPr>
              <w:spacing w:after="0"/>
              <w:rPr>
                <w:sz w:val="8"/>
                <w:szCs w:val="8"/>
                <w:color w:val="auto"/>
              </w:rPr>
            </w:pPr>
          </w:p>
        </w:tc>
        <w:tc>
          <w:tcPr>
            <w:tcW w:w="82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346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427,182</w:t>
            </w:r>
          </w:p>
        </w:tc>
        <w:tc>
          <w:tcPr>
            <w:tcW w:w="4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152,577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169,363</w:t>
            </w:r>
          </w:p>
        </w:tc>
        <w:tc>
          <w:tcPr>
            <w:tcW w:w="1440" w:type="dxa"/>
            <w:vAlign w:val="bottom"/>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$ 224,920</w:t>
            </w:r>
          </w:p>
        </w:tc>
        <w:tc>
          <w:tcPr>
            <w:tcW w:w="9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4"/>
              </w:rPr>
              <w:t>$ 373,338</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$ 1,347,380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58,388</w:t>
            </w:r>
          </w:p>
        </w:tc>
        <w:tc>
          <w:tcPr>
            <w:tcW w:w="4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65,333</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13,241</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42,010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19,454</w:t>
            </w:r>
          </w:p>
        </w:tc>
        <w:tc>
          <w:tcPr>
            <w:tcW w:w="12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(12,436)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losses of affiliates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2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3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2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gridSpan w:val="2"/>
          </w:tcPr>
          <w:p>
            <w:pPr>
              <w:spacing w:after="0"/>
              <w:rPr>
                <w:sz w:val="11"/>
                <w:szCs w:val="11"/>
                <w:color w:val="auto"/>
              </w:rPr>
            </w:pPr>
          </w:p>
        </w:tc>
        <w:tc>
          <w:tcPr>
            <w:tcW w:w="98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spacing w:after="0"/>
              <w:rPr>
                <w:sz w:val="11"/>
                <w:szCs w:val="11"/>
                <w:color w:val="auto"/>
              </w:rPr>
            </w:pPr>
          </w:p>
        </w:tc>
        <w:tc>
          <w:tcPr>
            <w:tcW w:w="300" w:type="dxa"/>
            <w:vAlign w:val="bottom"/>
            <w:gridSpan w:val="2"/>
          </w:tcPr>
          <w:p>
            <w:pPr>
              <w:spacing w:after="0"/>
              <w:rPr>
                <w:sz w:val="11"/>
                <w:szCs w:val="11"/>
                <w:color w:val="auto"/>
              </w:rPr>
            </w:pPr>
          </w:p>
        </w:tc>
        <w:tc>
          <w:tcPr>
            <w:tcW w:w="98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21,748</w:t>
            </w:r>
          </w:p>
        </w:tc>
        <w:tc>
          <w:tcPr>
            <w:tcW w:w="4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45,677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11,781</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429</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pension credit (expense)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5,749</w:t>
            </w:r>
          </w:p>
        </w:tc>
        <w:tc>
          <w:tcPr>
            <w:tcW w:w="4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17,995</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(485)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(704)</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6666230</wp:posOffset>
            </wp:positionH>
            <wp:positionV relativeFrom="paragraph">
              <wp:posOffset>-2710180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-2710180</wp:posOffset>
            </wp:positionV>
            <wp:extent cx="2159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-2710180</wp:posOffset>
            </wp:positionV>
            <wp:extent cx="3873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-737870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-737870</wp:posOffset>
            </wp:positionV>
            <wp:extent cx="2159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-737870</wp:posOffset>
            </wp:positionV>
            <wp:extent cx="3873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0" w:name="page11"/>
    <w:bookmarkEnd w:id="10"/>
    <w:p>
      <w:pPr>
        <w:ind w:right="50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Newspaper publishing includes the publication of newspapers in the Washington, D.C. area and Everett, Washington; newsprint warehousing and recycling facilities; and the Company’s electronic media publishing business (primarily washingtonpost.com).</w:t>
      </w:r>
    </w:p>
    <w:p>
      <w:pPr>
        <w:spacing w:after="0" w:line="10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The magazine publishing division consists of the publication of a weekly news magazine, Newsweek, which has one domestic and three international editions, the publication of Arthur Frommer’s Budget Travel, and the publication of business periodicals for the computer services industry and the Washington-area technology community.</w:t>
      </w:r>
    </w:p>
    <w:p>
      <w:pPr>
        <w:spacing w:after="0" w:line="119"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Television broadcasting operations are conducted through six VHF, television stations serving the Detroit, Houston, Miami, San Antonio, Orlando and Jacksonville television markets. All stations are network-affiliated (except for WJXT in Jacksonville) with revenues derived primarily from sales of advertising time.</w:t>
      </w:r>
    </w:p>
    <w:p>
      <w:pPr>
        <w:spacing w:after="0" w:line="119" w:lineRule="exact"/>
        <w:rPr>
          <w:sz w:val="20"/>
          <w:szCs w:val="20"/>
          <w:color w:val="auto"/>
        </w:rPr>
      </w:pPr>
    </w:p>
    <w:p>
      <w:pPr>
        <w:ind w:right="780"/>
        <w:spacing w:after="0" w:line="275" w:lineRule="auto"/>
        <w:rPr>
          <w:sz w:val="20"/>
          <w:szCs w:val="20"/>
          <w:color w:val="auto"/>
        </w:rPr>
      </w:pPr>
      <w:r>
        <w:rPr>
          <w:rFonts w:ascii="Times New Roman" w:cs="Times New Roman" w:eastAsia="Times New Roman" w:hAnsi="Times New Roman"/>
          <w:sz w:val="18"/>
          <w:szCs w:val="18"/>
          <w:color w:val="auto"/>
        </w:rPr>
        <w:t>Cable television operations consist of cable systems offering basic cable, digital cable, pay television, cable modem and other services to subscribers in midwestern, western, and southern states. The principal source of revenue is monthly subscription fees charged for services.</w:t>
      </w:r>
    </w:p>
    <w:p>
      <w:pPr>
        <w:spacing w:after="0" w:line="10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Education products and services are provided through the Company’s wholly-owned subsidiary Kaplan, Inc. Kaplan’s businesses include supplemental education services, which is made up of Kaplan Test Prep and Admissions, providing test preparation services for college and graduate school entrance exams; Kaplan Professional, providing education and career services to business people and other professionals; and Score!, offering multi-media learning and private tutoring to children and educational resources to parents. Kaplan’s businesses also include higher education services, which includes all of Kaplan’s post-secondary education businesses, including fixed facility colleges which offer Bachelor’s degrees, Associate’s degrees and diploma programs primarily in the fields of healthcare, business and information technology; and online post-secondary and career programs (various distance-learning businesses, including kaplancollege.com).</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office includes the expenses of the Company’s corporate office.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5: Goodwill and Other Intangible Assets.</w:t>
      </w:r>
    </w:p>
    <w:p>
      <w:pPr>
        <w:spacing w:after="0" w:line="7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Company’s intangible assets with an indefinite life are principally from franchise agreements at its cable division, as the Company expects its cable franchise agreements to provide the Company with substantial benefit for a period that extends beyond the foreseeable horizon, and the Company’s cable division historically has obtained renewals and extensions of such agreements for nominal costs and without any material modifications to the agreements. Amortized intangible assets are primarily non-compete agreements, with amortization periods up to five years.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274"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Company’s goodwill and other intangible assets as of June 27, 2004 and December 28, 2003 were as follows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3"/>
              </w:rPr>
              <w:t>Accumulated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7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Amortization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7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2004</w:t>
            </w: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7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1,312,860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651,678</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Amortized intangible assets</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15,744</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9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1,980,282</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471,277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7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2003</w:t>
            </w:r>
          </w:p>
        </w:tc>
        <w:tc>
          <w:tcPr>
            <w:tcW w:w="12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8"/>
        </w:trPr>
        <w:tc>
          <w:tcPr>
            <w:tcW w:w="7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1,264,096</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650,462</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Amortized intangible assets</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8,034</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9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1,922,592</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465,016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79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-2016760</wp:posOffset>
            </wp:positionV>
            <wp:extent cx="724662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-1742440</wp:posOffset>
            </wp:positionV>
            <wp:extent cx="724662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-1322070</wp:posOffset>
            </wp:positionV>
            <wp:extent cx="724662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-1118235</wp:posOffset>
            </wp:positionV>
            <wp:extent cx="138493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8493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-927735</wp:posOffset>
            </wp:positionV>
            <wp:extent cx="724662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-653415</wp:posOffset>
            </wp:positionV>
            <wp:extent cx="724662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-233045</wp:posOffset>
            </wp:positionV>
            <wp:extent cx="724662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-29210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-29210</wp:posOffset>
            </wp:positionV>
            <wp:extent cx="2159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2159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Activity related to the Company’s goodwill and other intangible assets during the six months ended June 27, 2004 was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5"/>
              </w:rPr>
              <w:t>Newspaper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Television</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Magazine</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Cable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Publishing</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Broadcasting</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Publishing</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5"/>
              </w:rPr>
              <w:t>Television</w:t>
            </w:r>
          </w:p>
        </w:tc>
        <w:tc>
          <w:tcPr>
            <w:tcW w:w="100" w:type="dxa"/>
            <w:vAlign w:val="bottom"/>
          </w:tcPr>
          <w:p>
            <w:pPr>
              <w:spacing w:after="0"/>
              <w:rPr>
                <w:sz w:val="15"/>
                <w:szCs w:val="15"/>
                <w:color w:val="auto"/>
              </w:rPr>
            </w:pPr>
          </w:p>
        </w:tc>
        <w:tc>
          <w:tcPr>
            <w:tcW w:w="7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Education</w:t>
            </w:r>
          </w:p>
        </w:tc>
        <w:tc>
          <w:tcPr>
            <w:tcW w:w="0" w:type="dxa"/>
            <w:vAlign w:val="bottom"/>
          </w:tcPr>
          <w:p>
            <w:pPr>
              <w:spacing w:after="0"/>
              <w:rPr>
                <w:sz w:val="1"/>
                <w:szCs w:val="1"/>
                <w:color w:val="auto"/>
              </w:rPr>
            </w:pPr>
          </w:p>
        </w:tc>
      </w:tr>
      <w:tr>
        <w:trPr>
          <w:trHeight w:val="95"/>
        </w:trPr>
        <w:tc>
          <w:tcPr>
            <w:tcW w:w="3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Goodwill, net</w:t>
            </w: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37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Beginning of year</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$ 71,277</w:t>
            </w:r>
          </w:p>
        </w:tc>
        <w:tc>
          <w:tcPr>
            <w:tcW w:w="20" w:type="dxa"/>
            <w:vAlign w:val="bottom"/>
          </w:tcPr>
          <w:p>
            <w:pPr>
              <w:spacing w:after="0"/>
              <w:rPr>
                <w:sz w:val="18"/>
                <w:szCs w:val="18"/>
                <w:color w:val="auto"/>
              </w:rPr>
            </w:pPr>
          </w:p>
        </w:tc>
        <w:tc>
          <w:tcPr>
            <w:tcW w:w="62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w w:val="95"/>
              </w:rPr>
              <w:t>203,165</w:t>
            </w:r>
          </w:p>
        </w:tc>
        <w:tc>
          <w:tcPr>
            <w:tcW w:w="1040" w:type="dxa"/>
            <w:vAlign w:val="bottom"/>
            <w:gridSpan w:val="7"/>
          </w:tcPr>
          <w:p>
            <w:pPr>
              <w:ind w:left="440"/>
              <w:spacing w:after="0"/>
              <w:rPr>
                <w:sz w:val="20"/>
                <w:szCs w:val="20"/>
                <w:color w:val="auto"/>
              </w:rPr>
            </w:pPr>
            <w:r>
              <w:rPr>
                <w:rFonts w:ascii="Times New Roman" w:cs="Times New Roman" w:eastAsia="Times New Roman" w:hAnsi="Times New Roman"/>
                <w:sz w:val="18"/>
                <w:szCs w:val="18"/>
                <w:color w:val="auto"/>
                <w:w w:val="91"/>
              </w:rPr>
              <w:t>$ 69,556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$ 85,666</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5"/>
              </w:rPr>
              <w:t>536,030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Acquisitions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46,491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27, 2004</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$ 72,667</w:t>
            </w:r>
          </w:p>
        </w:tc>
        <w:tc>
          <w:tcPr>
            <w:tcW w:w="20" w:type="dxa"/>
            <w:vAlign w:val="bottom"/>
          </w:tcPr>
          <w:p>
            <w:pPr>
              <w:spacing w:after="0"/>
              <w:rPr>
                <w:sz w:val="24"/>
                <w:szCs w:val="24"/>
                <w:color w:val="auto"/>
              </w:rPr>
            </w:pPr>
          </w:p>
        </w:tc>
        <w:tc>
          <w:tcPr>
            <w:tcW w:w="62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w w:val="95"/>
              </w:rPr>
              <w:t>203,165</w:t>
            </w:r>
          </w:p>
        </w:tc>
        <w:tc>
          <w:tcPr>
            <w:tcW w:w="1040" w:type="dxa"/>
            <w:vAlign w:val="bottom"/>
            <w:gridSpan w:val="7"/>
          </w:tcPr>
          <w:p>
            <w:pPr>
              <w:ind w:left="440"/>
              <w:spacing w:after="0"/>
              <w:rPr>
                <w:sz w:val="20"/>
                <w:szCs w:val="20"/>
                <w:color w:val="auto"/>
              </w:rPr>
            </w:pPr>
            <w:r>
              <w:rPr>
                <w:rFonts w:ascii="Times New Roman" w:cs="Times New Roman" w:eastAsia="Times New Roman" w:hAnsi="Times New Roman"/>
                <w:sz w:val="18"/>
                <w:szCs w:val="18"/>
                <w:color w:val="auto"/>
                <w:w w:val="91"/>
              </w:rPr>
              <w:t>$ 69,556</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$ 85,666</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4"/>
                <w:szCs w:val="24"/>
                <w:color w:val="auto"/>
              </w:rPr>
            </w:pP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5"/>
              </w:rPr>
              <w:t>583,404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gridSpan w:val="2"/>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85"/>
        </w:trPr>
        <w:tc>
          <w:tcPr>
            <w:tcW w:w="3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5"/>
              </w:rPr>
              <w:t>Newspaper</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Television</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6"/>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5"/>
              </w:rPr>
              <w:t>Magazine</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4"/>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7"/>
              </w:rPr>
              <w:t>Cable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Publishing</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3"/>
              </w:rPr>
              <w:t>Broadcasting</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6"/>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7"/>
              </w:rPr>
              <w:t>Publishing</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5"/>
              </w:rPr>
              <w:t>Television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w w:val="94"/>
              </w:rPr>
              <w:t>Education</w:t>
            </w:r>
          </w:p>
        </w:tc>
        <w:tc>
          <w:tcPr>
            <w:tcW w:w="0" w:type="dxa"/>
            <w:vAlign w:val="bottom"/>
          </w:tcPr>
          <w:p>
            <w:pPr>
              <w:spacing w:after="0"/>
              <w:rPr>
                <w:sz w:val="1"/>
                <w:szCs w:val="1"/>
                <w:color w:val="auto"/>
              </w:rPr>
            </w:pPr>
          </w:p>
        </w:tc>
      </w:tr>
      <w:tr>
        <w:trPr>
          <w:trHeight w:val="95"/>
        </w:trPr>
        <w:tc>
          <w:tcPr>
            <w:tcW w:w="3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Indefinite-Lived Intangible Assets, net</w:t>
            </w: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37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Beginning of year</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4"/>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484,556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Acquisitions</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gridSpan w:val="4"/>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0"/>
        </w:trPr>
        <w:tc>
          <w:tcPr>
            <w:tcW w:w="3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gridSpan w:val="2"/>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gridSpan w:val="2"/>
          </w:tcPr>
          <w:p>
            <w:pPr>
              <w:spacing w:after="0"/>
              <w:rPr>
                <w:sz w:val="9"/>
                <w:szCs w:val="9"/>
                <w:color w:val="auto"/>
              </w:rPr>
            </w:pPr>
          </w:p>
        </w:tc>
        <w:tc>
          <w:tcPr>
            <w:tcW w:w="240" w:type="dxa"/>
            <w:vAlign w:val="bottom"/>
            <w:tcBorders>
              <w:bottom w:val="single" w:sz="8" w:color="auto"/>
            </w:tcBorders>
            <w:gridSpan w:val="2"/>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27, 2004</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gridSpan w:val="4"/>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485,772</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gridSpan w:val="2"/>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Borders>
              <w:bottom w:val="single" w:sz="8" w:color="auto"/>
            </w:tcBorders>
            <w:gridSpan w:val="3"/>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bottom w:val="single" w:sz="8" w:color="auto"/>
            </w:tcBorders>
            <w:gridSpan w:val="3"/>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Borders>
              <w:bottom w:val="single" w:sz="8" w:color="auto"/>
            </w:tcBorders>
            <w:gridSpan w:val="3"/>
          </w:tcPr>
          <w:p>
            <w:pPr>
              <w:spacing w:after="0"/>
              <w:rPr>
                <w:sz w:val="11"/>
                <w:szCs w:val="11"/>
                <w:color w:val="auto"/>
              </w:rPr>
            </w:pPr>
          </w:p>
        </w:tc>
        <w:tc>
          <w:tcPr>
            <w:tcW w:w="240" w:type="dxa"/>
            <w:vAlign w:val="bottom"/>
            <w:tcBorders>
              <w:bottom w:val="single" w:sz="8" w:color="auto"/>
            </w:tcBorders>
            <w:gridSpan w:val="2"/>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85"/>
        </w:trPr>
        <w:tc>
          <w:tcPr>
            <w:tcW w:w="3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Newspaper</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Television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Magazine</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Cable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Publishing</w:t>
            </w:r>
          </w:p>
        </w:tc>
        <w:tc>
          <w:tcPr>
            <w:tcW w:w="460" w:type="dxa"/>
            <w:vAlign w:val="bottom"/>
          </w:tcPr>
          <w:p>
            <w:pPr>
              <w:spacing w:after="0"/>
              <w:rPr>
                <w:sz w:val="15"/>
                <w:szCs w:val="15"/>
                <w:color w:val="auto"/>
              </w:rPr>
            </w:pPr>
          </w:p>
        </w:tc>
        <w:tc>
          <w:tcPr>
            <w:tcW w:w="1300" w:type="dxa"/>
            <w:vAlign w:val="bottom"/>
            <w:gridSpan w:val="10"/>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8"/>
              </w:rPr>
              <w:t>Broadcasting</w:t>
            </w:r>
          </w:p>
        </w:tc>
        <w:tc>
          <w:tcPr>
            <w:tcW w:w="80" w:type="dxa"/>
            <w:vAlign w:val="bottom"/>
          </w:tcPr>
          <w:p>
            <w:pPr>
              <w:spacing w:after="0"/>
              <w:rPr>
                <w:sz w:val="15"/>
                <w:szCs w:val="15"/>
                <w:color w:val="auto"/>
              </w:rPr>
            </w:pPr>
          </w:p>
        </w:tc>
        <w:tc>
          <w:tcPr>
            <w:tcW w:w="1220" w:type="dxa"/>
            <w:vAlign w:val="bottom"/>
            <w:gridSpan w:val="7"/>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w w:val="93"/>
              </w:rPr>
              <w:t>Publishing</w:t>
            </w:r>
          </w:p>
        </w:tc>
        <w:tc>
          <w:tcPr>
            <w:tcW w:w="20" w:type="dxa"/>
            <w:vAlign w:val="bottom"/>
          </w:tcPr>
          <w:p>
            <w:pPr>
              <w:spacing w:after="0"/>
              <w:rPr>
                <w:sz w:val="15"/>
                <w:szCs w:val="15"/>
                <w:color w:val="auto"/>
              </w:rPr>
            </w:pPr>
          </w:p>
        </w:tc>
        <w:tc>
          <w:tcPr>
            <w:tcW w:w="120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Television</w:t>
            </w:r>
          </w:p>
        </w:tc>
        <w:tc>
          <w:tcPr>
            <w:tcW w:w="100" w:type="dxa"/>
            <w:vAlign w:val="bottom"/>
          </w:tcPr>
          <w:p>
            <w:pPr>
              <w:spacing w:after="0"/>
              <w:rPr>
                <w:sz w:val="15"/>
                <w:szCs w:val="15"/>
                <w:color w:val="auto"/>
              </w:rPr>
            </w:pPr>
          </w:p>
        </w:tc>
        <w:tc>
          <w:tcPr>
            <w:tcW w:w="7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Education</w:t>
            </w:r>
          </w:p>
        </w:tc>
        <w:tc>
          <w:tcPr>
            <w:tcW w:w="0" w:type="dxa"/>
            <w:vAlign w:val="bottom"/>
          </w:tcPr>
          <w:p>
            <w:pPr>
              <w:spacing w:after="0"/>
              <w:rPr>
                <w:sz w:val="1"/>
                <w:szCs w:val="1"/>
                <w:color w:val="auto"/>
              </w:rPr>
            </w:pPr>
          </w:p>
        </w:tc>
      </w:tr>
      <w:tr>
        <w:trPr>
          <w:trHeight w:val="95"/>
        </w:trPr>
        <w:tc>
          <w:tcPr>
            <w:tcW w:w="3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Amortized intangible assets, net</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37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Beginning of year</w:t>
            </w:r>
          </w:p>
        </w:tc>
        <w:tc>
          <w:tcPr>
            <w:tcW w:w="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4,115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Acquisitions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5,791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4"/>
          </w:tcPr>
          <w:p>
            <w:pPr>
              <w:jc w:val="center"/>
              <w:ind w:right="5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Amortization</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(73)</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5"/>
              </w:rPr>
              <w:t>(6,180)</w:t>
            </w:r>
          </w:p>
        </w:tc>
        <w:tc>
          <w:tcPr>
            <w:tcW w:w="0" w:type="dxa"/>
            <w:vAlign w:val="bottom"/>
          </w:tcPr>
          <w:p>
            <w:pPr>
              <w:spacing w:after="0"/>
              <w:rPr>
                <w:sz w:val="1"/>
                <w:szCs w:val="1"/>
                <w:color w:val="auto"/>
              </w:rPr>
            </w:pPr>
          </w:p>
        </w:tc>
      </w:tr>
      <w:tr>
        <w:trPr>
          <w:trHeight w:val="110"/>
        </w:trPr>
        <w:tc>
          <w:tcPr>
            <w:tcW w:w="3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gridSpan w:val="2"/>
          </w:tcPr>
          <w:p>
            <w:pPr>
              <w:spacing w:after="0"/>
              <w:rPr>
                <w:sz w:val="9"/>
                <w:szCs w:val="9"/>
                <w:color w:val="auto"/>
              </w:rPr>
            </w:pPr>
          </w:p>
        </w:tc>
        <w:tc>
          <w:tcPr>
            <w:tcW w:w="440" w:type="dxa"/>
            <w:vAlign w:val="bottom"/>
            <w:tcBorders>
              <w:bottom w:val="single" w:sz="8" w:color="auto"/>
            </w:tcBorders>
            <w:gridSpan w:val="2"/>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27, 2004</w:t>
            </w:r>
          </w:p>
        </w:tc>
        <w:tc>
          <w:tcPr>
            <w:tcW w:w="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3,746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-3775075</wp:posOffset>
            </wp:positionV>
            <wp:extent cx="724662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-3500120</wp:posOffset>
            </wp:positionV>
            <wp:extent cx="7246620"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-3080385</wp:posOffset>
            </wp:positionV>
            <wp:extent cx="7246620"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-2876550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-2876550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-2876550</wp:posOffset>
            </wp:positionV>
            <wp:extent cx="2159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-2876550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-2876550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-2876550</wp:posOffset>
            </wp:positionV>
            <wp:extent cx="2159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-2876550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-2876550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-2876550</wp:posOffset>
            </wp:positionV>
            <wp:extent cx="2159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-2876550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-2876550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-2876550</wp:posOffset>
            </wp:positionV>
            <wp:extent cx="2159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-2876550</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-2876550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-2876550</wp:posOffset>
            </wp:positionV>
            <wp:extent cx="2159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-2351405</wp:posOffset>
            </wp:positionV>
            <wp:extent cx="7246620"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-2077085</wp:posOffset>
            </wp:positionV>
            <wp:extent cx="7246620"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-1793875</wp:posOffset>
            </wp:positionV>
            <wp:extent cx="7246620" cy="1371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-1590040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-1590040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-1590040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-1590040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-1590040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-1590040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-1590040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-1590040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-1590040</wp:posOffset>
            </wp:positionV>
            <wp:extent cx="2159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-1590040</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-1590040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-1590040</wp:posOffset>
            </wp:positionV>
            <wp:extent cx="2159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-1064895</wp:posOffset>
            </wp:positionV>
            <wp:extent cx="7246620" cy="1371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-790575</wp:posOffset>
            </wp:positionV>
            <wp:extent cx="7246620" cy="137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-516255</wp:posOffset>
            </wp:positionV>
            <wp:extent cx="7246620" cy="1371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-233045</wp:posOffset>
            </wp:positionV>
            <wp:extent cx="7246620" cy="1371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-29210</wp:posOffset>
            </wp:positionV>
            <wp:extent cx="44132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-29210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-29210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-29210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-29210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-29210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-29210</wp:posOffset>
            </wp:positionV>
            <wp:extent cx="2159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-29210</wp:posOffset>
            </wp:positionV>
            <wp:extent cx="3873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-29210</wp:posOffset>
            </wp:positionV>
            <wp:extent cx="2159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-29210</wp:posOffset>
            </wp:positionV>
            <wp:extent cx="3873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Activity related to the Company’s goodwill and other intangible assets during the six-months ended June 29, 2003 was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2"/>
              </w:rPr>
              <w:t>Newspaper</w:t>
            </w:r>
          </w:p>
        </w:tc>
        <w:tc>
          <w:tcPr>
            <w:tcW w:w="100" w:type="dxa"/>
            <w:vAlign w:val="bottom"/>
          </w:tcPr>
          <w:p>
            <w:pPr>
              <w:spacing w:after="0"/>
              <w:rPr>
                <w:sz w:val="13"/>
                <w:szCs w:val="13"/>
                <w:color w:val="auto"/>
              </w:rPr>
            </w:pPr>
          </w:p>
        </w:tc>
        <w:tc>
          <w:tcPr>
            <w:tcW w:w="68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92"/>
              </w:rPr>
              <w:t>Television</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5"/>
              </w:rPr>
              <w:t>Magazine</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Cable</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4940" w:type="dxa"/>
            <w:vAlign w:val="bottom"/>
          </w:tcPr>
          <w:p>
            <w:pPr>
              <w:spacing w:after="0"/>
              <w:rPr>
                <w:sz w:val="15"/>
                <w:szCs w:val="15"/>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w w:val="93"/>
              </w:rPr>
              <w:t>Publishing</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Broadcasting</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Publishing</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Television</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94"/>
              </w:rPr>
              <w:t>Education</w:t>
            </w:r>
          </w:p>
        </w:tc>
        <w:tc>
          <w:tcPr>
            <w:tcW w:w="0" w:type="dxa"/>
            <w:vAlign w:val="bottom"/>
          </w:tcPr>
          <w:p>
            <w:pPr>
              <w:spacing w:after="0"/>
              <w:rPr>
                <w:sz w:val="1"/>
                <w:szCs w:val="1"/>
                <w:color w:val="auto"/>
              </w:rPr>
            </w:pPr>
          </w:p>
        </w:tc>
      </w:tr>
      <w:tr>
        <w:trPr>
          <w:trHeight w:val="95"/>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Goodwill, net</w:t>
            </w:r>
          </w:p>
        </w:tc>
        <w:tc>
          <w:tcPr>
            <w:tcW w:w="6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494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Beginning of year</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$ 72,738</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203,165</w:t>
            </w:r>
          </w:p>
        </w:tc>
        <w:tc>
          <w:tcPr>
            <w:tcW w:w="1060" w:type="dxa"/>
            <w:vAlign w:val="bottom"/>
            <w:gridSpan w:val="4"/>
          </w:tcPr>
          <w:p>
            <w:pPr>
              <w:jc w:val="center"/>
              <w:ind w:left="332"/>
              <w:spacing w:after="0"/>
              <w:rPr>
                <w:sz w:val="20"/>
                <w:szCs w:val="20"/>
                <w:color w:val="auto"/>
              </w:rPr>
            </w:pPr>
            <w:r>
              <w:rPr>
                <w:rFonts w:ascii="Times New Roman" w:cs="Times New Roman" w:eastAsia="Times New Roman" w:hAnsi="Times New Roman"/>
                <w:sz w:val="18"/>
                <w:szCs w:val="18"/>
                <w:color w:val="auto"/>
                <w:w w:val="95"/>
              </w:rPr>
              <w:t>$ 69,556</w:t>
            </w:r>
          </w:p>
        </w:tc>
        <w:tc>
          <w:tcPr>
            <w:tcW w:w="4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$ 85,666</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339,736</w:t>
            </w:r>
          </w:p>
        </w:tc>
        <w:tc>
          <w:tcPr>
            <w:tcW w:w="0" w:type="dxa"/>
            <w:vAlign w:val="bottom"/>
          </w:tcPr>
          <w:p>
            <w:pPr>
              <w:spacing w:after="0"/>
              <w:rPr>
                <w:sz w:val="1"/>
                <w:szCs w:val="1"/>
                <w:color w:val="auto"/>
              </w:rPr>
            </w:pPr>
          </w:p>
        </w:tc>
      </w:tr>
      <w:tr>
        <w:trPr>
          <w:trHeight w:val="216"/>
        </w:trPr>
        <w:tc>
          <w:tcPr>
            <w:tcW w:w="4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Acquisitions</w:t>
            </w: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101,719</w:t>
            </w:r>
          </w:p>
        </w:tc>
        <w:tc>
          <w:tcPr>
            <w:tcW w:w="0" w:type="dxa"/>
            <w:vAlign w:val="bottom"/>
          </w:tcPr>
          <w:p>
            <w:pPr>
              <w:spacing w:after="0"/>
              <w:rPr>
                <w:sz w:val="1"/>
                <w:szCs w:val="1"/>
                <w:color w:val="auto"/>
              </w:rPr>
            </w:pPr>
          </w:p>
        </w:tc>
      </w:tr>
      <w:tr>
        <w:trPr>
          <w:trHeight w:val="216"/>
        </w:trPr>
        <w:tc>
          <w:tcPr>
            <w:tcW w:w="4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Disposition</w:t>
            </w: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0" w:type="dxa"/>
            <w:vAlign w:val="bottom"/>
          </w:tcPr>
          <w:p>
            <w:pPr>
              <w:spacing w:after="0"/>
              <w:rPr>
                <w:sz w:val="1"/>
                <w:szCs w:val="1"/>
                <w:color w:val="auto"/>
              </w:rPr>
            </w:pPr>
          </w:p>
        </w:tc>
      </w:tr>
      <w:tr>
        <w:trPr>
          <w:trHeight w:val="110"/>
        </w:trPr>
        <w:tc>
          <w:tcPr>
            <w:tcW w:w="494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29, 2003</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$ 71,277</w:t>
            </w:r>
          </w:p>
        </w:tc>
        <w:tc>
          <w:tcPr>
            <w:tcW w:w="5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203,165</w:t>
            </w:r>
          </w:p>
        </w:tc>
        <w:tc>
          <w:tcPr>
            <w:tcW w:w="1060" w:type="dxa"/>
            <w:vAlign w:val="bottom"/>
            <w:gridSpan w:val="4"/>
          </w:tcPr>
          <w:p>
            <w:pPr>
              <w:jc w:val="center"/>
              <w:ind w:left="332"/>
              <w:spacing w:after="0"/>
              <w:rPr>
                <w:sz w:val="20"/>
                <w:szCs w:val="20"/>
                <w:color w:val="auto"/>
              </w:rPr>
            </w:pPr>
            <w:r>
              <w:rPr>
                <w:rFonts w:ascii="Times New Roman" w:cs="Times New Roman" w:eastAsia="Times New Roman" w:hAnsi="Times New Roman"/>
                <w:sz w:val="18"/>
                <w:szCs w:val="18"/>
                <w:color w:val="auto"/>
                <w:w w:val="95"/>
              </w:rPr>
              <w:t>$ 69,556</w:t>
            </w:r>
          </w:p>
        </w:tc>
        <w:tc>
          <w:tcPr>
            <w:tcW w:w="42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$ 85,666</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445,284</w:t>
            </w:r>
          </w:p>
        </w:tc>
        <w:tc>
          <w:tcPr>
            <w:tcW w:w="0" w:type="dxa"/>
            <w:vAlign w:val="bottom"/>
          </w:tcPr>
          <w:p>
            <w:pPr>
              <w:spacing w:after="0"/>
              <w:rPr>
                <w:sz w:val="1"/>
                <w:szCs w:val="1"/>
                <w:color w:val="auto"/>
              </w:rPr>
            </w:pPr>
          </w:p>
        </w:tc>
      </w:tr>
      <w:tr>
        <w:trPr>
          <w:trHeight w:val="134"/>
        </w:trPr>
        <w:tc>
          <w:tcPr>
            <w:tcW w:w="494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-1064895</wp:posOffset>
            </wp:positionV>
            <wp:extent cx="7246620" cy="1371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-790575</wp:posOffset>
            </wp:positionV>
            <wp:extent cx="7246620" cy="1371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-516255</wp:posOffset>
            </wp:positionV>
            <wp:extent cx="7246620" cy="1371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-233045</wp:posOffset>
            </wp:positionV>
            <wp:extent cx="7246620" cy="1371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-29210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-29210</wp:posOffset>
            </wp:positionV>
            <wp:extent cx="2159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-29210</wp:posOffset>
            </wp:positionV>
            <wp:extent cx="3873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-29210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-29210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-29210</wp:posOffset>
            </wp:positionV>
            <wp:extent cx="2159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-29210</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-29210</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-29210</wp:posOffset>
            </wp:positionV>
            <wp:extent cx="2159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-29210</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-29210</wp:posOffset>
            </wp:positionV>
            <wp:extent cx="2159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2159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ind w:left="345"/>
        <w:spacing w:after="0"/>
        <w:rPr>
          <w:sz w:val="20"/>
          <w:szCs w:val="20"/>
          <w:color w:val="auto"/>
        </w:rPr>
      </w:pPr>
      <w:r>
        <w:rPr>
          <w:rFonts w:ascii="Times New Roman" w:cs="Times New Roman" w:eastAsia="Times New Roman" w:hAnsi="Times New Roman"/>
          <w:sz w:val="14"/>
          <w:szCs w:val="14"/>
          <w:b w:val="1"/>
          <w:bCs w:val="1"/>
          <w:color w:val="auto"/>
        </w:rPr>
        <w:t>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57467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205" w:hanging="205"/>
        <w:spacing w:after="0"/>
        <w:tabs>
          <w:tab w:leader="none" w:pos="205"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1,014,458</w:t>
      </w:r>
    </w:p>
    <w:p>
      <w:pPr>
        <w:spacing w:after="0" w:line="44" w:lineRule="exact"/>
        <w:rPr>
          <w:rFonts w:ascii="Times New Roman" w:cs="Times New Roman" w:eastAsia="Times New Roman" w:hAnsi="Times New Roman"/>
          <w:sz w:val="16"/>
          <w:szCs w:val="16"/>
          <w:color w:val="auto"/>
        </w:rPr>
      </w:pPr>
    </w:p>
    <w:p>
      <w:pPr>
        <w:ind w:left="32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487,872</w:t>
      </w:r>
    </w:p>
    <w:p>
      <w:pPr>
        <w:spacing w:after="0" w:line="32" w:lineRule="exact"/>
        <w:rPr>
          <w:rFonts w:ascii="Times New Roman" w:cs="Times New Roman" w:eastAsia="Times New Roman" w:hAnsi="Times New Roman"/>
          <w:sz w:val="16"/>
          <w:szCs w:val="16"/>
          <w:color w:val="auto"/>
        </w:rPr>
      </w:pPr>
    </w:p>
    <w:p>
      <w:pPr>
        <w:ind w:left="50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6,675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90170</wp:posOffset>
            </wp:positionV>
            <wp:extent cx="57467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2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  1,509,005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95885</wp:posOffset>
            </wp:positionV>
            <wp:extent cx="57848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7848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25" w:hanging="325"/>
        <w:spacing w:after="0"/>
        <w:tabs>
          <w:tab w:leader="none" w:pos="325"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965,694</w:t>
      </w:r>
    </w:p>
    <w:p>
      <w:pPr>
        <w:spacing w:after="0" w:line="44" w:lineRule="exact"/>
        <w:rPr>
          <w:rFonts w:ascii="Times New Roman" w:cs="Times New Roman" w:eastAsia="Times New Roman" w:hAnsi="Times New Roman"/>
          <w:sz w:val="16"/>
          <w:szCs w:val="16"/>
          <w:color w:val="auto"/>
        </w:rPr>
      </w:pPr>
    </w:p>
    <w:p>
      <w:pPr>
        <w:ind w:left="32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486,656</w:t>
      </w:r>
    </w:p>
    <w:p>
      <w:pPr>
        <w:spacing w:after="0" w:line="32" w:lineRule="exact"/>
        <w:rPr>
          <w:rFonts w:ascii="Times New Roman" w:cs="Times New Roman" w:eastAsia="Times New Roman" w:hAnsi="Times New Roman"/>
          <w:sz w:val="16"/>
          <w:szCs w:val="16"/>
          <w:color w:val="auto"/>
        </w:rPr>
      </w:pPr>
    </w:p>
    <w:p>
      <w:pPr>
        <w:ind w:left="50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90170</wp:posOffset>
            </wp:positionV>
            <wp:extent cx="57467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2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  1,457,576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95885</wp:posOffset>
            </wp:positionV>
            <wp:extent cx="57848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7848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05"/>
        <w:spacing w:after="0"/>
        <w:rPr>
          <w:sz w:val="20"/>
          <w:szCs w:val="20"/>
          <w:color w:val="auto"/>
        </w:rPr>
      </w:pPr>
      <w:r>
        <w:rPr>
          <w:rFonts w:ascii="Times New Roman" w:cs="Times New Roman" w:eastAsia="Times New Roman" w:hAnsi="Times New Roman"/>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57467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325" w:hanging="325"/>
        <w:spacing w:after="0"/>
        <w:tabs>
          <w:tab w:leader="none" w:pos="325"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965,694</w:t>
      </w:r>
    </w:p>
    <w:p>
      <w:pPr>
        <w:spacing w:after="0" w:line="44" w:lineRule="exact"/>
        <w:rPr>
          <w:rFonts w:ascii="Times New Roman" w:cs="Times New Roman" w:eastAsia="Times New Roman" w:hAnsi="Times New Roman"/>
          <w:sz w:val="16"/>
          <w:szCs w:val="16"/>
          <w:color w:val="auto"/>
        </w:rPr>
      </w:pPr>
    </w:p>
    <w:p>
      <w:pPr>
        <w:ind w:left="42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47,881</w:t>
      </w:r>
    </w:p>
    <w:p>
      <w:pPr>
        <w:spacing w:after="0" w:line="32" w:lineRule="exact"/>
        <w:rPr>
          <w:rFonts w:ascii="Times New Roman" w:cs="Times New Roman" w:eastAsia="Times New Roman" w:hAnsi="Times New Roman"/>
          <w:sz w:val="16"/>
          <w:szCs w:val="16"/>
          <w:color w:val="auto"/>
        </w:rPr>
      </w:pPr>
    </w:p>
    <w:p>
      <w:pPr>
        <w:ind w:left="64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90170</wp:posOffset>
            </wp:positionV>
            <wp:extent cx="57467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2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  1,014,458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95885</wp:posOffset>
            </wp:positionV>
            <wp:extent cx="57848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78485" cy="2984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left="365"/>
        <w:spacing w:after="0"/>
        <w:rPr>
          <w:sz w:val="20"/>
          <w:szCs w:val="20"/>
          <w:color w:val="auto"/>
        </w:rPr>
      </w:pPr>
      <w:r>
        <w:rPr>
          <w:rFonts w:ascii="Times New Roman" w:cs="Times New Roman" w:eastAsia="Times New Roman" w:hAnsi="Times New Roman"/>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71120</wp:posOffset>
            </wp:positionV>
            <wp:extent cx="48895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325" w:hanging="190"/>
        <w:spacing w:after="0"/>
        <w:tabs>
          <w:tab w:leader="none" w:pos="325"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486,656</w:t>
      </w:r>
    </w:p>
    <w:p>
      <w:pPr>
        <w:spacing w:after="0" w:line="44" w:lineRule="exact"/>
        <w:rPr>
          <w:rFonts w:ascii="Times New Roman" w:cs="Times New Roman" w:eastAsia="Times New Roman" w:hAnsi="Times New Roman"/>
          <w:sz w:val="16"/>
          <w:szCs w:val="16"/>
          <w:color w:val="auto"/>
        </w:rPr>
      </w:pPr>
    </w:p>
    <w:p>
      <w:pPr>
        <w:ind w:left="50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90170</wp:posOffset>
            </wp:positionV>
            <wp:extent cx="48895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$ 487,872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81280</wp:posOffset>
            </wp:positionV>
            <wp:extent cx="49276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92760" cy="2984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365"/>
        <w:spacing w:after="0"/>
        <w:rPr>
          <w:sz w:val="20"/>
          <w:szCs w:val="20"/>
          <w:color w:val="auto"/>
        </w:rPr>
      </w:pPr>
      <w:r>
        <w:rPr>
          <w:rFonts w:ascii="Times New Roman" w:cs="Times New Roman" w:eastAsia="Times New Roman" w:hAnsi="Times New Roman"/>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71120</wp:posOffset>
            </wp:positionV>
            <wp:extent cx="36004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405" w:hanging="175"/>
        <w:spacing w:after="0"/>
        <w:tabs>
          <w:tab w:leader="none" w:pos="40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5,226</w:t>
      </w:r>
    </w:p>
    <w:p>
      <w:pPr>
        <w:spacing w:after="0" w:line="21" w:lineRule="exact"/>
        <w:rPr>
          <w:rFonts w:ascii="Times New Roman" w:cs="Times New Roman" w:eastAsia="Times New Roman" w:hAnsi="Times New Roman"/>
          <w:sz w:val="18"/>
          <w:szCs w:val="18"/>
          <w:color w:val="auto"/>
        </w:rPr>
      </w:pPr>
    </w:p>
    <w:p>
      <w:pPr>
        <w:ind w:left="40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7,690</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20</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(6,261)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75565</wp:posOffset>
            </wp:positionV>
            <wp:extent cx="36004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06" w:lineRule="exact"/>
        <w:rPr>
          <w:sz w:val="20"/>
          <w:szCs w:val="20"/>
          <w:color w:val="auto"/>
        </w:rPr>
      </w:pPr>
    </w:p>
    <w:p>
      <w:pPr>
        <w:ind w:left="225"/>
        <w:spacing w:after="0"/>
        <w:rPr>
          <w:sz w:val="20"/>
          <w:szCs w:val="20"/>
          <w:color w:val="auto"/>
        </w:rPr>
      </w:pPr>
      <w:r>
        <w:rPr>
          <w:rFonts w:ascii="Times New Roman" w:cs="Times New Roman" w:eastAsia="Times New Roman" w:hAnsi="Times New Roman"/>
          <w:sz w:val="18"/>
          <w:szCs w:val="18"/>
          <w:color w:val="auto"/>
        </w:rPr>
        <w:t>$ 6,675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81280</wp:posOffset>
            </wp:positionV>
            <wp:extent cx="38989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8989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05"/>
        <w:spacing w:after="0"/>
        <w:rPr>
          <w:sz w:val="20"/>
          <w:szCs w:val="20"/>
          <w:color w:val="auto"/>
        </w:rPr>
      </w:pPr>
      <w:r>
        <w:rPr>
          <w:rFonts w:ascii="Times New Roman" w:cs="Times New Roman" w:eastAsia="Times New Roman" w:hAnsi="Times New Roman"/>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71120</wp:posOffset>
            </wp:positionV>
            <wp:extent cx="43751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225" w:hanging="117"/>
        <w:spacing w:after="0"/>
        <w:tabs>
          <w:tab w:leader="none" w:pos="22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770,861</w:t>
      </w:r>
    </w:p>
    <w:p>
      <w:pPr>
        <w:spacing w:after="0" w:line="21" w:lineRule="exact"/>
        <w:rPr>
          <w:rFonts w:ascii="Times New Roman" w:cs="Times New Roman" w:eastAsia="Times New Roman" w:hAnsi="Times New Roman"/>
          <w:sz w:val="18"/>
          <w:szCs w:val="18"/>
          <w:color w:val="auto"/>
        </w:rPr>
      </w:pPr>
    </w:p>
    <w:p>
      <w:pPr>
        <w:ind w:left="22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101,719</w:t>
      </w:r>
    </w:p>
    <w:p>
      <w:pPr>
        <w:spacing w:after="0" w:line="9" w:lineRule="exact"/>
        <w:rPr>
          <w:rFonts w:ascii="Times New Roman" w:cs="Times New Roman" w:eastAsia="Times New Roman" w:hAnsi="Times New Roman"/>
          <w:sz w:val="18"/>
          <w:szCs w:val="18"/>
          <w:color w:val="auto"/>
        </w:rPr>
      </w:pPr>
    </w:p>
    <w:p>
      <w:pPr>
        <w:ind w:left="34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(1,461)</w:t>
      </w:r>
    </w:p>
    <w:p>
      <w:pPr>
        <w:spacing w:after="0" w:line="9" w:lineRule="exact"/>
        <w:rPr>
          <w:rFonts w:ascii="Times New Roman" w:cs="Times New Roman" w:eastAsia="Times New Roman" w:hAnsi="Times New Roman"/>
          <w:sz w:val="18"/>
          <w:szCs w:val="18"/>
          <w:color w:val="auto"/>
        </w:rPr>
      </w:pPr>
    </w:p>
    <w:p>
      <w:pPr>
        <w:ind w:left="40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75565</wp:posOffset>
            </wp:positionV>
            <wp:extent cx="43751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206" w:lineRule="exact"/>
        <w:rPr>
          <w:sz w:val="20"/>
          <w:szCs w:val="20"/>
          <w:color w:val="auto"/>
        </w:rPr>
      </w:pPr>
    </w:p>
    <w:p>
      <w:pPr>
        <w:ind w:left="105"/>
        <w:spacing w:after="0"/>
        <w:rPr>
          <w:sz w:val="20"/>
          <w:szCs w:val="20"/>
          <w:color w:val="auto"/>
        </w:rPr>
      </w:pPr>
      <w:r>
        <w:rPr>
          <w:rFonts w:ascii="Times New Roman" w:cs="Times New Roman" w:eastAsia="Times New Roman" w:hAnsi="Times New Roman"/>
          <w:sz w:val="18"/>
          <w:szCs w:val="18"/>
          <w:color w:val="auto"/>
        </w:rPr>
        <w:t>$ 874,948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81280</wp:posOffset>
            </wp:positionV>
            <wp:extent cx="46736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67360" cy="29845"/>
                    </a:xfrm>
                    <a:prstGeom prst="rect">
                      <a:avLst/>
                    </a:prstGeom>
                    <a:noFill/>
                  </pic:spPr>
                </pic:pic>
              </a:graphicData>
            </a:graphic>
          </wp:anchor>
        </w:drawing>
      </w:r>
    </w:p>
    <w:p>
      <w:pPr>
        <w:spacing w:after="0" w:line="375" w:lineRule="exact"/>
        <w:rPr>
          <w:sz w:val="20"/>
          <w:szCs w:val="20"/>
          <w:color w:val="auto"/>
        </w:rPr>
      </w:pPr>
    </w:p>
    <w:p>
      <w:pPr>
        <w:sectPr>
          <w:pgSz w:w="11900" w:h="16838" w:orient="portrait"/>
          <w:cols w:equalWidth="0" w:num="2">
            <w:col w:w="10200" w:space="315"/>
            <w:col w:w="905"/>
          </w:cols>
          <w:pgMar w:left="240" w:top="274" w:right="239" w:bottom="1440" w:gutter="0" w:footer="0" w:header="0"/>
        </w:sectPr>
      </w:pP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1420"/>
          </w:cols>
          <w:pgMar w:left="240" w:top="274" w:right="2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Newspaper</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gridSpan w:val="5"/>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5"/>
              </w:rPr>
              <w:t>Television</w:t>
            </w:r>
          </w:p>
        </w:tc>
        <w:tc>
          <w:tcPr>
            <w:tcW w:w="88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Magazine</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Cable</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Publishing</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gridSpan w:val="5"/>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5"/>
              </w:rPr>
              <w:t>Broadcasting</w:t>
            </w:r>
          </w:p>
        </w:tc>
        <w:tc>
          <w:tcPr>
            <w:tcW w:w="88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Publishing</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7"/>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w w:val="92"/>
              </w:rPr>
              <w:t>Television</w:t>
            </w:r>
          </w:p>
        </w:tc>
        <w:tc>
          <w:tcPr>
            <w:tcW w:w="118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Education</w:t>
            </w:r>
          </w:p>
        </w:tc>
        <w:tc>
          <w:tcPr>
            <w:tcW w:w="140" w:type="dxa"/>
            <w:vAlign w:val="bottom"/>
          </w:tcPr>
          <w:p>
            <w:pPr>
              <w:spacing w:after="0"/>
              <w:rPr>
                <w:sz w:val="15"/>
                <w:szCs w:val="15"/>
                <w:color w:val="auto"/>
              </w:rPr>
            </w:pPr>
          </w:p>
        </w:tc>
        <w:tc>
          <w:tcPr>
            <w:tcW w:w="6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Indefinite-Lived Intangible Assets, net</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Beginning of year</w:t>
            </w:r>
          </w:p>
        </w:tc>
        <w:tc>
          <w:tcPr>
            <w:tcW w:w="24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482,419</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482,419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Acquisitions</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gridSpan w:val="2"/>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29, 2003</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483,919</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gridSpan w:val="2"/>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Newspaper</w:t>
            </w:r>
          </w:p>
        </w:tc>
        <w:tc>
          <w:tcPr>
            <w:tcW w:w="300" w:type="dxa"/>
            <w:vAlign w:val="bottom"/>
          </w:tcPr>
          <w:p>
            <w:pPr>
              <w:spacing w:after="0"/>
              <w:rPr>
                <w:sz w:val="24"/>
                <w:szCs w:val="24"/>
                <w:color w:val="auto"/>
              </w:rPr>
            </w:pPr>
          </w:p>
        </w:tc>
        <w:tc>
          <w:tcPr>
            <w:tcW w:w="104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2"/>
              </w:rPr>
              <w:t>Television</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Magazine</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w w:val="97"/>
              </w:rPr>
              <w:t>Cable</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Publishing</w:t>
            </w:r>
          </w:p>
        </w:tc>
        <w:tc>
          <w:tcPr>
            <w:tcW w:w="300" w:type="dxa"/>
            <w:vAlign w:val="bottom"/>
          </w:tcPr>
          <w:p>
            <w:pPr>
              <w:spacing w:after="0"/>
              <w:rPr>
                <w:sz w:val="15"/>
                <w:szCs w:val="15"/>
                <w:color w:val="auto"/>
              </w:rPr>
            </w:pPr>
          </w:p>
        </w:tc>
        <w:tc>
          <w:tcPr>
            <w:tcW w:w="104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Broadcasting</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3"/>
              </w:rPr>
              <w:t>Publishing</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Television</w:t>
            </w:r>
          </w:p>
        </w:tc>
        <w:tc>
          <w:tcPr>
            <w:tcW w:w="80" w:type="dxa"/>
            <w:vAlign w:val="bottom"/>
          </w:tcPr>
          <w:p>
            <w:pPr>
              <w:spacing w:after="0"/>
              <w:rPr>
                <w:sz w:val="15"/>
                <w:szCs w:val="15"/>
                <w:color w:val="auto"/>
              </w:rPr>
            </w:pPr>
          </w:p>
        </w:tc>
        <w:tc>
          <w:tcPr>
            <w:tcW w:w="11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Education</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Amortized intangible assets, net</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Beginning of year</w:t>
            </w: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color w:val="auto"/>
              </w:rPr>
              <w:t>1,232</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color w:val="auto"/>
              </w:rPr>
              <w:t>876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2"/>
              </w:rPr>
              <w:t>$ 2,153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Acquisitions</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3"/>
              </w:rPr>
              <w:t>4,391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(429)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3"/>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29, 2003</w:t>
            </w: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4"/>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1,157</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3"/>
              </w:rPr>
              <w:t>4,838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2"/>
              </w:rPr>
              <w:t>$ 6,032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-1452880</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-1452880</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-1452880</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-1452880</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-1452880</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-1452880</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-1452880</wp:posOffset>
            </wp:positionV>
            <wp:extent cx="49276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-1452880</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-1452880</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-1452880</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-1452880</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-1452880</wp:posOffset>
            </wp:positionV>
            <wp:extent cx="2159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-29210</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-29210</wp:posOffset>
            </wp:positionV>
            <wp:extent cx="2159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-29210</wp:posOffset>
            </wp:positionV>
            <wp:extent cx="3873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-29210</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-29210</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-29210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-29210</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-29210</wp:posOffset>
            </wp:positionV>
            <wp:extent cx="40703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07035"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40703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070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-29210</wp:posOffset>
            </wp:positionV>
            <wp:extent cx="3556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5560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6: Change in Accounting Method – Stock Options.</w:t>
      </w:r>
    </w:p>
    <w:p>
      <w:pPr>
        <w:spacing w:after="0" w:line="7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Effective the first day of the Company’s 2002 fiscal year, the Company adopted the fair-value-based method of accounting for Company stock options as outlined in Statement of Financial Accounting Standards No. 123, “Accounting for Stock-Based Compensation” (SFAS 123). This change in accounting method was applied prospectively to all awards granted from the beginning of the Company’s fiscal year 2002 and thereafter. Stock options awarded prior to fiscal 2002 are accounted for under the intrinsic value method under Accounting Principles Board Opinion No. 25, “Accounting for Stock Issued to Employees.” The following table presents what the Company’s results would have been had the fair values of options granted after 1995, but prior to 2002, been recognized as compensation expense in the second quarter and first six-months of 2004 and 2003 (in thousands, except per share amounts).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gridSpan w:val="5"/>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00" w:type="dxa"/>
            <w:vAlign w:val="bottom"/>
          </w:tcPr>
          <w:p>
            <w:pPr>
              <w:spacing w:after="0"/>
              <w:rPr>
                <w:sz w:val="15"/>
                <w:szCs w:val="15"/>
                <w:color w:val="auto"/>
              </w:rPr>
            </w:pPr>
          </w:p>
        </w:tc>
        <w:tc>
          <w:tcPr>
            <w:tcW w:w="192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Six-months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June 27,</w:t>
            </w:r>
          </w:p>
        </w:tc>
        <w:tc>
          <w:tcPr>
            <w:tcW w:w="114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June 29,</w:t>
            </w:r>
          </w:p>
        </w:tc>
        <w:tc>
          <w:tcPr>
            <w:tcW w:w="100" w:type="dxa"/>
            <w:vAlign w:val="bottom"/>
          </w:tcPr>
          <w:p>
            <w:pPr>
              <w:spacing w:after="0"/>
              <w:rPr>
                <w:sz w:val="20"/>
                <w:szCs w:val="20"/>
                <w:color w:val="auto"/>
              </w:rPr>
            </w:pPr>
          </w:p>
        </w:tc>
        <w:tc>
          <w:tcPr>
            <w:tcW w:w="112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6"/>
              </w:rPr>
              <w:t>June 27,</w:t>
            </w:r>
          </w:p>
        </w:tc>
        <w:tc>
          <w:tcPr>
            <w:tcW w:w="100" w:type="dxa"/>
            <w:vAlign w:val="bottom"/>
          </w:tcPr>
          <w:p>
            <w:pPr>
              <w:spacing w:after="0"/>
              <w:rPr>
                <w:sz w:val="20"/>
                <w:szCs w:val="20"/>
                <w:color w:val="auto"/>
              </w:rPr>
            </w:pPr>
          </w:p>
        </w:tc>
        <w:tc>
          <w:tcPr>
            <w:tcW w:w="7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2"/>
              </w:rPr>
              <w:t>June 29,</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2004</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2003</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2004</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available for common shares, as reported</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2"/>
              </w:rPr>
              <w:t>84,659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60,390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5"/>
              </w:rPr>
              <w:t>143,583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132,935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Add: Company stock option compensation expense included in net income, net of related tax</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2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Deduct: Total Company stock option compensation expense determined under the fair value</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based method for all awards, net of related tax effects</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(1,708)</w:t>
            </w:r>
          </w:p>
        </w:tc>
        <w:tc>
          <w:tcPr>
            <w:tcW w:w="10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(1,753)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income available for common shares</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2"/>
              </w:rPr>
              <w:t>83,928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59,600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5"/>
              </w:rPr>
              <w:t>142,121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131,355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 as reported</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15.02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Pro forma basic earnings per share</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 as reported</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Pro forma diluted earnings per share</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14.82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13.75</w:t>
            </w:r>
          </w:p>
        </w:tc>
        <w:tc>
          <w:tcPr>
            <w:tcW w:w="0" w:type="dxa"/>
            <w:vAlign w:val="bottom"/>
          </w:tcPr>
          <w:p>
            <w:pPr>
              <w:spacing w:after="0"/>
              <w:rPr>
                <w:sz w:val="1"/>
                <w:szCs w:val="1"/>
                <w:color w:val="auto"/>
              </w:rPr>
            </w:pPr>
          </w:p>
        </w:tc>
      </w:tr>
      <w:tr>
        <w:trPr>
          <w:trHeight w:val="350"/>
        </w:trPr>
        <w:tc>
          <w:tcPr>
            <w:tcW w:w="6840" w:type="dxa"/>
            <w:vAlign w:val="bottom"/>
            <w:gridSpan w:val="2"/>
          </w:tcPr>
          <w:p>
            <w:pPr>
              <w:jc w:val="right"/>
              <w:ind w:right="932"/>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-875030</wp:posOffset>
            </wp:positionV>
            <wp:extent cx="40703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07035"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-875030</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-875030</wp:posOffset>
            </wp:positionV>
            <wp:extent cx="2159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-875030</wp:posOffset>
            </wp:positionV>
            <wp:extent cx="3873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-875030</wp:posOffset>
            </wp:positionV>
            <wp:extent cx="124777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47775" cy="29845"/>
                    </a:xfrm>
                    <a:prstGeom prst="rect">
                      <a:avLst/>
                    </a:prstGeom>
                    <a:noFill/>
                  </pic:spPr>
                </pic:pic>
              </a:graphicData>
            </a:graphic>
          </wp:anchor>
        </w:drawing>
      </w:r>
    </w:p>
    <w:p>
      <w:pPr>
        <w:sectPr>
          <w:pgSz w:w="11900" w:h="16838" w:orient="portrait"/>
          <w:cols w:equalWidth="0" w:num="1">
            <w:col w:w="11420"/>
          </w:cols>
          <w:pgMar w:left="240" w:top="259"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 7: Antidilutive Securities.</w:t>
      </w:r>
    </w:p>
    <w:p>
      <w:pPr>
        <w:spacing w:after="0" w:line="77"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There were no antidilutive stock options outstanding during the second quarter and first six months of 2004. The second quarter and first six months of 2003 diluted earnings per share amount excludes the effects of 11,500 stock options outstanding as their inclusion would be antidilutive.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8: Kaplan Stock Option Plan.</w:t>
      </w:r>
    </w:p>
    <w:p>
      <w:pPr>
        <w:spacing w:after="0" w:line="7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maintains a stock option plan at its Kaplan subsidiary that provides for the issuance of Kaplan stock options to certain members of Kaplan’s management. The fair value of Kaplan’s common stock is determined by the Company’s compensation committee of the Board of Directors. In September 2003, the committee set the fair value price of Kaplan common stock at $1,625 per share, which is determined after deducting intercompany debt from Kaplan’s enterprise value. Also in September 2003, the Company announced an offer totaling $138 million for approximately 55% of the stock options outstanding at Kaplan. The Company’s offer included a 10% premium over the current valuation price of Kaplan common stock of $1,625 per share; by the end of October 2003, 100% of the eligible stock options were tendered. The Company paid out $118.7 million in the fourth quarter of 2003 and the remainder of the payouts, related to 14,463 tendered stock options, will be made at the time of their scheduled vesting from 2004 to 2007 if the option holder is still employed at Kaplan. Additionally, stock compensation expense will be recorded on these remaining exercised options over the remaining vesting periods of 2004 to 2007. A small number of key Kaplan executives continue to hold the remaining 68,000 outstanding Kaplan stock options, with roughly half of these options expiring in 2007 and half expiring in 2011. The remaining 68,000 of outstanding Kaplan stock options represent 4.8% of Kaplan’s common stock at June 30, 2004. The Company does not expect to issue additional Kaplan stock options in the future.</w:t>
      </w:r>
    </w:p>
    <w:p>
      <w:pPr>
        <w:spacing w:after="0" w:line="12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Company recorded expense of $8.0 million and $20.0 million for the second quarter of 2004 and 2003, respectively, and $17.8 million and $30.0 million for the first six months of 2004 and 2003, respectively, related to this plan.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9: Pension and Postretirement Plans.</w:t>
      </w:r>
    </w:p>
    <w:p>
      <w:pPr>
        <w:spacing w:after="0" w:line="77"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18"/>
          <w:szCs w:val="18"/>
          <w:color w:val="auto"/>
        </w:rPr>
        <w:t>The total (income) cost arising from the Company’s defined benefit pension for the second quarter and six months ended June 27, 2004 and June 29, 2003 consists of the following components (in thousands):</w:t>
      </w:r>
    </w:p>
    <w:p>
      <w:pPr>
        <w:spacing w:after="0" w:line="104" w:lineRule="exact"/>
        <w:rPr>
          <w:sz w:val="20"/>
          <w:szCs w:val="20"/>
          <w:color w:val="auto"/>
        </w:rPr>
      </w:pPr>
    </w:p>
    <w:tbl>
      <w:tblPr>
        <w:tblLayout w:type="fixed"/>
        <w:tblInd w:w="58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7"/>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June 27,</w:t>
            </w:r>
          </w:p>
        </w:tc>
        <w:tc>
          <w:tcPr>
            <w:tcW w:w="300" w:type="dxa"/>
            <w:vAlign w:val="bottom"/>
          </w:tcPr>
          <w:p>
            <w:pPr>
              <w:spacing w:after="0"/>
              <w:rPr>
                <w:sz w:val="20"/>
                <w:szCs w:val="20"/>
                <w:color w:val="auto"/>
              </w:rPr>
            </w:pPr>
          </w:p>
        </w:tc>
        <w:tc>
          <w:tcPr>
            <w:tcW w:w="102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June 29,</w:t>
            </w:r>
          </w:p>
        </w:tc>
        <w:tc>
          <w:tcPr>
            <w:tcW w:w="300" w:type="dxa"/>
            <w:vAlign w:val="bottom"/>
          </w:tcPr>
          <w:p>
            <w:pPr>
              <w:spacing w:after="0"/>
              <w:rPr>
                <w:sz w:val="20"/>
                <w:szCs w:val="20"/>
                <w:color w:val="auto"/>
              </w:rPr>
            </w:pPr>
          </w:p>
        </w:tc>
        <w:tc>
          <w:tcPr>
            <w:tcW w:w="100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June 27,</w:t>
            </w:r>
          </w:p>
        </w:tc>
        <w:tc>
          <w:tcPr>
            <w:tcW w:w="300" w:type="dxa"/>
            <w:vAlign w:val="bottom"/>
          </w:tcPr>
          <w:p>
            <w:pPr>
              <w:spacing w:after="0"/>
              <w:rPr>
                <w:sz w:val="20"/>
                <w:szCs w:val="20"/>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June 29,</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2004</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2003</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2004</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4,861</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assets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4"/>
              </w:rPr>
              <w:t>(23,765)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4"/>
              </w:rPr>
              <w:t>(23,404)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4"/>
              </w:rPr>
              <w:t>(47,530)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(46,807)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transition Asset</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(252)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(503)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Recognized actuarial gain</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(1,909)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(3,570)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(3,819)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(7,142)</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4"/>
              </w:rPr>
              <w:t>(10,044)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4"/>
              </w:rPr>
              <w:t>(13,425)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4"/>
              </w:rPr>
              <w:t>(20,087)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(26,850)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Early retirement program expense</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benefit</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(9,912)</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4"/>
              </w:rPr>
              <w:t>(11,260)</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4"/>
              </w:rPr>
              <w:t>(19,955)</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(24,685)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880" w:type="dxa"/>
            <w:vAlign w:val="bottom"/>
            <w:vMerge w:val="restart"/>
          </w:tcPr>
          <w:p>
            <w:pPr>
              <w:jc w:val="right"/>
              <w:ind w:right="272"/>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-325755</wp:posOffset>
            </wp:positionV>
            <wp:extent cx="44132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-325755</wp:posOffset>
            </wp:positionV>
            <wp:extent cx="44132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-325755</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-325755</wp:posOffset>
            </wp:positionV>
            <wp:extent cx="2159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-325755</wp:posOffset>
            </wp:positionV>
            <wp:extent cx="3873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-325755</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-325755</wp:posOffset>
            </wp:positionV>
            <wp:extent cx="2159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-325755</wp:posOffset>
            </wp:positionV>
            <wp:extent cx="3873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300"/>
          </w:cols>
          <w:pgMar w:left="240" w:top="274" w:right="359" w:bottom="1440" w:gutter="0" w:footer="0" w:header="0"/>
        </w:sectPr>
      </w:pPr>
    </w:p>
    <w:bookmarkStart w:id="14" w:name="page15"/>
    <w:bookmarkEnd w:id="14"/>
    <w:p>
      <w:pPr>
        <w:ind w:right="16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total (income) cost arising from the Company’s postretirement plans for the second quarter and six months ended June 27, 2004 and June 29, 2003, consists of the following components (in thousands):</w:t>
      </w:r>
    </w:p>
    <w:p>
      <w:pPr>
        <w:spacing w:after="0" w:line="104" w:lineRule="exact"/>
        <w:rPr>
          <w:sz w:val="20"/>
          <w:szCs w:val="20"/>
          <w:color w:val="auto"/>
        </w:rPr>
      </w:pPr>
    </w:p>
    <w:tbl>
      <w:tblPr>
        <w:tblLayout w:type="fixed"/>
        <w:tblInd w:w="58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20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360" w:type="dxa"/>
            <w:vAlign w:val="bottom"/>
          </w:tcPr>
          <w:p>
            <w:pPr>
              <w:spacing w:after="0"/>
              <w:rPr>
                <w:sz w:val="15"/>
                <w:szCs w:val="15"/>
                <w:color w:val="auto"/>
              </w:rPr>
            </w:pPr>
          </w:p>
        </w:tc>
        <w:tc>
          <w:tcPr>
            <w:tcW w:w="184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2"/>
              </w:rPr>
              <w:t>June 27,</w:t>
            </w:r>
          </w:p>
        </w:tc>
        <w:tc>
          <w:tcPr>
            <w:tcW w:w="380" w:type="dxa"/>
            <w:vAlign w:val="bottom"/>
          </w:tcPr>
          <w:p>
            <w:pPr>
              <w:spacing w:after="0"/>
              <w:rPr>
                <w:sz w:val="20"/>
                <w:szCs w:val="20"/>
                <w:color w:val="auto"/>
              </w:rPr>
            </w:pPr>
          </w:p>
        </w:tc>
        <w:tc>
          <w:tcPr>
            <w:tcW w:w="88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2"/>
              </w:rPr>
              <w:t>June 29,</w:t>
            </w:r>
          </w:p>
        </w:tc>
        <w:tc>
          <w:tcPr>
            <w:tcW w:w="360" w:type="dxa"/>
            <w:vAlign w:val="bottom"/>
          </w:tcPr>
          <w:p>
            <w:pPr>
              <w:spacing w:after="0"/>
              <w:rPr>
                <w:sz w:val="20"/>
                <w:szCs w:val="20"/>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2"/>
              </w:rPr>
              <w:t>June 27,</w:t>
            </w:r>
          </w:p>
        </w:tc>
        <w:tc>
          <w:tcPr>
            <w:tcW w:w="360" w:type="dxa"/>
            <w:vAlign w:val="bottom"/>
          </w:tcPr>
          <w:p>
            <w:pPr>
              <w:spacing w:after="0"/>
              <w:rPr>
                <w:sz w:val="20"/>
                <w:szCs w:val="20"/>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2"/>
              </w:rPr>
              <w:t>June 29,</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226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2004</w:t>
            </w:r>
          </w:p>
        </w:tc>
        <w:tc>
          <w:tcPr>
            <w:tcW w:w="440" w:type="dxa"/>
            <w:vAlign w:val="bottom"/>
          </w:tcPr>
          <w:p>
            <w:pPr>
              <w:spacing w:after="0"/>
              <w:rPr>
                <w:sz w:val="15"/>
                <w:szCs w:val="15"/>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2003</w:t>
            </w:r>
          </w:p>
        </w:tc>
        <w:tc>
          <w:tcPr>
            <w:tcW w:w="380" w:type="dxa"/>
            <w:vAlign w:val="bottom"/>
          </w:tcPr>
          <w:p>
            <w:pPr>
              <w:spacing w:after="0"/>
              <w:rPr>
                <w:sz w:val="15"/>
                <w:szCs w:val="15"/>
                <w:color w:val="auto"/>
              </w:rPr>
            </w:pPr>
          </w:p>
        </w:tc>
        <w:tc>
          <w:tcPr>
            <w:tcW w:w="86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2004</w:t>
            </w:r>
          </w:p>
        </w:tc>
        <w:tc>
          <w:tcPr>
            <w:tcW w:w="380" w:type="dxa"/>
            <w:vAlign w:val="bottom"/>
          </w:tcPr>
          <w:p>
            <w:pPr>
              <w:spacing w:after="0"/>
              <w:rPr>
                <w:sz w:val="15"/>
                <w:szCs w:val="15"/>
                <w:color w:val="auto"/>
              </w:rPr>
            </w:pPr>
          </w:p>
        </w:tc>
        <w:tc>
          <w:tcPr>
            <w:tcW w:w="86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4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$1,291</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440" w:type="dxa"/>
            <w:vAlign w:val="bottom"/>
          </w:tcPr>
          <w:p>
            <w:pPr>
              <w:spacing w:after="0"/>
              <w:rPr>
                <w:sz w:val="18"/>
                <w:szCs w:val="18"/>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1,849</w:t>
            </w:r>
          </w:p>
        </w:tc>
        <w:tc>
          <w:tcPr>
            <w:tcW w:w="3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3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27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(146)</w:t>
            </w:r>
          </w:p>
        </w:tc>
        <w:tc>
          <w:tcPr>
            <w:tcW w:w="126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(90)</w:t>
            </w:r>
          </w:p>
        </w:tc>
        <w:tc>
          <w:tcPr>
            <w:tcW w:w="12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(292)</w:t>
            </w: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Recognized actuarial gain</w:t>
            </w:r>
          </w:p>
        </w:tc>
        <w:tc>
          <w:tcPr>
            <w:tcW w:w="27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(413)</w:t>
            </w:r>
          </w:p>
        </w:tc>
        <w:tc>
          <w:tcPr>
            <w:tcW w:w="126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(419)</w:t>
            </w:r>
          </w:p>
        </w:tc>
        <w:tc>
          <w:tcPr>
            <w:tcW w:w="12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(826)</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4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$2,631</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4102100</wp:posOffset>
            </wp:positionH>
            <wp:positionV relativeFrom="paragraph">
              <wp:posOffset>-29210</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-29210</wp:posOffset>
            </wp:positionV>
            <wp:extent cx="2159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-29210</wp:posOffset>
            </wp:positionV>
            <wp:extent cx="3873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-29210</wp:posOffset>
            </wp:positionV>
            <wp:extent cx="34734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2159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3873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2159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3873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expected rate of return on plan assets is 7.5% in 2004.</w:t>
      </w:r>
    </w:p>
    <w:p>
      <w:pPr>
        <w:spacing w:after="0" w:line="158"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In December of 2003, the Medicare Prescription Drug, Improvement, and Modernization Act of 2003 (the Act) was enacted. The Act introduced a prescription drug benefit under Medicare, as well as a federal subsidy to sponsors of retiree health benefit plans that provide a benefit that meets certain criteria. The Company’s other postretirement plans covering retirees currently provide certain prescription benefits to eligible participants. In accordance with FASB Staff Position No. 106-2, “Accounting and Disclosure Requirements Related to the Medicare Prescription Drug, Improvement, and Modernization Act of 2003,” the Company has concluded that the Act is not significant to the Company’s other postretirement plans; therefore, the effects of the Act shall be incorporated in the December 31, 2004 measurement of plan obligations.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10: Recent Accounting Pronouncements.</w:t>
      </w:r>
    </w:p>
    <w:p>
      <w:pPr>
        <w:spacing w:after="0" w:line="77"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auto"/>
        </w:rPr>
        <w:t>In January 2003, the Financial Accounting Standards Board (the FASB) released Interpretation No. 46, “Consolidation of Variable Interest Entities” (FIN 46). FIN 46 requires primary beneficiaries of Variable Interest Entities (VIEs) to consolidate those entities. In December 2003, the FASB published a revision of FIN 46 (FIN 46R) to clarify some of the provisions of FIN 46 and to defer the effective date of implementation for certain entities. Under the guidance of FIN 46R, entities that did not have interests in structures that are commonly referred to as SPEs are required to apply the provisions of the interpretation in financial statements for periods ending after March 14, 2004. Based on the provisions of FIN 46 and FIN 46R, the Company does not have any unconsolidated interests that are now required to be consolidated, and therefore, FIN 46 and FIN 46R did not have any impact on the Company in 2003 or 2004.</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274" w:right="239" w:bottom="1440" w:gutter="0" w:footer="0" w:header="0"/>
        </w:sectPr>
      </w:pPr>
    </w:p>
    <w:bookmarkStart w:id="15" w:name="page16"/>
    <w:bookmarkEnd w:id="15"/>
    <w:p>
      <w:pPr>
        <w:ind w:right="3840"/>
        <w:spacing w:after="0" w:line="424"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Item 2. Management’s Discussion and Analysis of Results of Operations and Financial Condition </w:t>
      </w:r>
      <w:r>
        <w:rPr>
          <w:rFonts w:ascii="Times New Roman" w:cs="Times New Roman" w:eastAsia="Times New Roman" w:hAnsi="Times New Roman"/>
          <w:sz w:val="16"/>
          <w:szCs w:val="16"/>
          <w:color w:val="auto"/>
        </w:rPr>
        <w:t>This analysis should be read in conjunction with the consolidated financial statements and the notes thereto.</w:t>
      </w:r>
    </w:p>
    <w:p>
      <w:pPr>
        <w:ind w:right="800"/>
        <w:spacing w:after="0" w:line="275" w:lineRule="auto"/>
        <w:rPr>
          <w:sz w:val="20"/>
          <w:szCs w:val="20"/>
          <w:color w:val="auto"/>
        </w:rPr>
      </w:pPr>
      <w:r>
        <w:rPr>
          <w:rFonts w:ascii="Times New Roman" w:cs="Times New Roman" w:eastAsia="Times New Roman" w:hAnsi="Times New Roman"/>
          <w:sz w:val="18"/>
          <w:szCs w:val="18"/>
          <w:color w:val="auto"/>
        </w:rPr>
        <w:t>Revenues and expenses in the first and third quarters are customarily lower than those in the second and fourth quarters because of significant seasonal fluctuations in advertising volume.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79"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Net income for the second quarter of 2004 was $84.9 million ($8.82 per share), up from net income of $60.6 million ($6.32 per share) for the second quarter of last year.</w:t>
      </w:r>
    </w:p>
    <w:p>
      <w:pPr>
        <w:spacing w:after="0" w:line="106"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Results for the second quarter of 2003 included an early retirement program charge at The Washington Post newspaper (after-tax impact of $1.3 million, or $0.14 per share).</w:t>
      </w:r>
    </w:p>
    <w:p>
      <w:pPr>
        <w:spacing w:after="0" w:line="106" w:lineRule="exact"/>
        <w:rPr>
          <w:sz w:val="20"/>
          <w:szCs w:val="20"/>
          <w:color w:val="auto"/>
        </w:rPr>
      </w:pPr>
    </w:p>
    <w:p>
      <w:pPr>
        <w:jc w:val="both"/>
        <w:ind w:right="200"/>
        <w:spacing w:after="0" w:line="262" w:lineRule="auto"/>
        <w:rPr>
          <w:sz w:val="20"/>
          <w:szCs w:val="20"/>
          <w:color w:val="auto"/>
        </w:rPr>
      </w:pPr>
      <w:r>
        <w:rPr>
          <w:rFonts w:ascii="Times New Roman" w:cs="Times New Roman" w:eastAsia="Times New Roman" w:hAnsi="Times New Roman"/>
          <w:sz w:val="18"/>
          <w:szCs w:val="18"/>
          <w:color w:val="auto"/>
        </w:rPr>
        <w:t>Revenue for the second quarter of 2004 was $818.4 million, up 16% from $706.9 million in 2003. The increase in revenue is due mostly to significant revenue growth at the education division. Revenue at the Company’s cable, broadcast and newspaper publishing divisions also increased for the second quarter of 2004, while revenues were down slightly at the magazine publishing division.</w:t>
      </w:r>
    </w:p>
    <w:p>
      <w:pPr>
        <w:spacing w:after="0" w:line="119"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Operating income was up 37% for the second quarter of 2004 to $146.0 million, from $106.9 million in 2003. The Company benefited from improved results at each of its operating divisions, particularly at the education division, offset by a reduced net pension credit.</w:t>
      </w:r>
    </w:p>
    <w:p>
      <w:pPr>
        <w:spacing w:after="0" w:line="106"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For the first six months of 2004, net income totaled $144.3 million ($14.98 per share), compared with $133.7 million ($13.91 per share) for the same period of 2003. Results for the first six months of 2003 included an after-tax non-operating gain from the sale of the Company’s 50 percent interest in the International Herald Tribune (after-tax impact of $32.3 million, or $3.38 per share) and an early retirement program charge at The Washington Post newspaper (after-tax impact of $1.3 million, or $0.14 per share).</w:t>
      </w:r>
    </w:p>
    <w:p>
      <w:pPr>
        <w:spacing w:after="0" w:line="123" w:lineRule="exact"/>
        <w:rPr>
          <w:sz w:val="20"/>
          <w:szCs w:val="20"/>
          <w:color w:val="auto"/>
        </w:rPr>
      </w:pPr>
    </w:p>
    <w:p>
      <w:pPr>
        <w:jc w:val="both"/>
        <w:ind w:right="260"/>
        <w:spacing w:after="0" w:line="262" w:lineRule="auto"/>
        <w:rPr>
          <w:sz w:val="20"/>
          <w:szCs w:val="20"/>
          <w:color w:val="auto"/>
        </w:rPr>
      </w:pPr>
      <w:r>
        <w:rPr>
          <w:rFonts w:ascii="Times New Roman" w:cs="Times New Roman" w:eastAsia="Times New Roman" w:hAnsi="Times New Roman"/>
          <w:sz w:val="18"/>
          <w:szCs w:val="18"/>
          <w:color w:val="auto"/>
        </w:rPr>
        <w:t>Revenue for the first half of 2004 was $1,577.4 million, up 17% over revenue of $1,347.4 million for the first six months of 2003. Operating income increased 35% to $250.9 million, from $186.0 million in 2003. Consistent with the Company’s results for the second quarter of 2004, the Company’s year-to-date results benefited from improved operating results at each of its operating divisions, particularly at the education division.</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Excluding charges related to early retirement programs, the Company’s operating income for the second quarter and first six months of 2004 includes $10.0 million and $20.1 million of net pension credits, respectively, compared to $13.4 million and $26.9 million for the same periods of 2003. At December 28, 2003, the Company reduced its assumption on the discount rate from 6.75% to 6.25%. Overall, the pension credit for 2004 is expected to be down by approximately $14 million compared to 2003, excluding charges related to early retirement programs.</w:t>
      </w:r>
    </w:p>
    <w:p>
      <w:pPr>
        <w:spacing w:after="0" w:line="121"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Newspaper Publishing Division. </w:t>
      </w:r>
      <w:r>
        <w:rPr>
          <w:rFonts w:ascii="Times New Roman" w:cs="Times New Roman" w:eastAsia="Times New Roman" w:hAnsi="Times New Roman"/>
          <w:sz w:val="18"/>
          <w:szCs w:val="18"/>
          <w:color w:val="auto"/>
        </w:rPr>
        <w:t>Newspaper publishing division revenue totaled $234.0 million for the second quarter of 2004, an increase of 5% from $223.1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the second quarter of 2003; division revenue increased 6% to $452.8 million for the first six months of 2004, from $427.2 million for the first six months of 2003. Division operating income for the second quarter increased 2% to $37.7 million, from</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272" w:right="239" w:bottom="1440" w:gutter="0" w:footer="0" w:header="0"/>
        </w:sectPr>
      </w:pPr>
    </w:p>
    <w:bookmarkStart w:id="16" w:name="page17"/>
    <w:bookmarkEnd w:id="16"/>
    <w:p>
      <w:pPr>
        <w:ind w:right="80"/>
        <w:spacing w:after="0" w:line="29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$37.0 million in the second quarter of 2003; operating income increased 19% to $69.7 million for the first six months of 2004, compared to $58.4 million for the first six months of 2003. Second quarter operating results in 2004 reflect higher print and online advertising revenue, payroll savings from early retirement programs implemented at The Post in 2003, an 8% increase in newsprint expense at The Post, and a $3.2 million reduction in the net pension credit, excluding charges related to early retirement programs. Second quarter operating results in 2003 included a $2.2 million pre-tax early retirement program charge at The Washington Post newspaper and incremental costs associated with the war in Iraq. The increase in operating income for the first six months of 2004 is due to increased advertising revenue and cost control initiatives employed throughout the division, the early retirement program charge noted above, offset by a 7% increase in newsprint expense at The Post, and a $6.4 million reduction in the net pension credit, excluding charges related to early retirement programs.</w:t>
      </w:r>
    </w:p>
    <w:p>
      <w:pPr>
        <w:spacing w:after="0" w:line="10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Print advertising revenue at The Washington Post newspaper in the second quarter increased 1% to $150.0 million, from $148.1 million in 2003, and increased 4% to $292.2 million for the first six months of 2004, from $280.6 million for the first six months of 2003. Classified recruitment advertising revenue was up 21% to $19.0 million in the second quarter of 2004, a $3.3 million increase compared to the second quarter of 2003. The increase in print advertising revenue for the first six months of 2003 is primarily due to increases in preprint, general and classified recruitment. Classified recruitment advertising revenue was up 20% to $38.6 million, a $6.5 million increase compared to the first half of 2003.</w:t>
      </w:r>
    </w:p>
    <w:p>
      <w:pPr>
        <w:spacing w:after="0" w:line="125"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For the first six months of 2004, Post daily and Sunday circulation declined 3.3% and 2.6%, respectively, compared to the same period of the prior year. For the six months ended June 27, 2004, average daily circulation at The Post totaled 721,100 and average Sunday circulation totaled 1,021,000.</w:t>
      </w:r>
    </w:p>
    <w:p>
      <w:pPr>
        <w:spacing w:after="0" w:line="106" w:lineRule="exact"/>
        <w:rPr>
          <w:sz w:val="20"/>
          <w:szCs w:val="20"/>
          <w:color w:val="auto"/>
        </w:rPr>
      </w:pPr>
    </w:p>
    <w:p>
      <w:pPr>
        <w:ind w:right="40"/>
        <w:spacing w:after="0" w:line="301" w:lineRule="auto"/>
        <w:rPr>
          <w:sz w:val="20"/>
          <w:szCs w:val="20"/>
          <w:color w:val="auto"/>
        </w:rPr>
      </w:pPr>
      <w:r>
        <w:rPr>
          <w:rFonts w:ascii="Times New Roman" w:cs="Times New Roman" w:eastAsia="Times New Roman" w:hAnsi="Times New Roman"/>
          <w:sz w:val="16"/>
          <w:szCs w:val="16"/>
          <w:color w:val="auto"/>
        </w:rPr>
        <w:t>Revenue generated by the Company’s online publishing activities, primarily washingtonpost.com, increased 39% to $15.4 million for the second quarter of 2004, from $11.1 million in the second quarter of 2003; online revenues increased 40% to $28.8 million for the first six months of 2004, from $20.6 million in the first six months of 2003. Local and national online advertising revenues grew 61% and 62% for the second quarter and first six months of 2004, respectively. Online classified advertising revenue on washingtonpost.com increased 37% in the second quarter of 2004 and 41% for the first six months of 2004.</w:t>
      </w:r>
    </w:p>
    <w:p>
      <w:pPr>
        <w:spacing w:after="0" w:line="90"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In May 2004, the Company announced the acquisition of El Tiempo Latino, a leading Spanish-language weekly newspaper in the greater Washington area. It is published on Friday of each week and has ABC-audited weekly free circulation of 34,000.</w:t>
      </w:r>
    </w:p>
    <w:p>
      <w:pPr>
        <w:spacing w:after="0" w:line="10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Television Broadcasting Division. </w:t>
      </w:r>
      <w:r>
        <w:rPr>
          <w:rFonts w:ascii="Times New Roman" w:cs="Times New Roman" w:eastAsia="Times New Roman" w:hAnsi="Times New Roman"/>
          <w:sz w:val="18"/>
          <w:szCs w:val="18"/>
          <w:color w:val="auto"/>
        </w:rPr>
        <w:t>Revenue for the television broadcasting division increased 10% in the second quarter of 2004 to $90.2 million, from $81.8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2003, due primarily to $4.5 million in political advertising. For the first six months of 2004, revenue increased 9% to $166.6 million, from $152.6 million in 2003, due to $7.2 million in political advertising in the first half of 2004 and several days of commercial-free coverage in connection with the Iraq war in March 2003.</w:t>
      </w:r>
    </w:p>
    <w:p>
      <w:pPr>
        <w:spacing w:after="0" w:line="12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Operating income for the second quarter and first six months of 2004 increased 12% and 15%, respectively, to $43.7 million and $75.0 million, respectively, from $39.0 million and $65.3 million for the second quarter and first six months of 2003, respectively. The operating income increases are primarily related to the revenue growth discussed above.</w:t>
      </w:r>
    </w:p>
    <w:p>
      <w:pPr>
        <w:spacing w:after="0" w:line="11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b w:val="1"/>
          <w:bCs w:val="1"/>
          <w:color w:val="auto"/>
        </w:rPr>
        <w:t>Magazine Publishing Division</w:t>
      </w:r>
      <w:r>
        <w:rPr>
          <w:rFonts w:ascii="Times New Roman" w:cs="Times New Roman" w:eastAsia="Times New Roman" w:hAnsi="Times New Roman"/>
          <w:sz w:val="18"/>
          <w:szCs w:val="18"/>
          <w:color w:val="auto"/>
        </w:rPr>
        <w:t>. Revenue for the magazine publishing division totaled $91.0 million for the second quarter of 2004, a 1% decline from $91.9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for the second quarter of 2003; division revenue totaled $175.6 million for the first six months of 2004, a 4% increase from $169.4 million for the first six months of</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80"/>
          </w:cols>
          <w:pgMar w:left="240" w:top="274" w:right="279" w:bottom="1440" w:gutter="0" w:footer="0" w:header="0"/>
        </w:sectPr>
      </w:pPr>
    </w:p>
    <w:bookmarkStart w:id="17" w:name="page18"/>
    <w:bookmarkEnd w:id="17"/>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2003. The revenue decrease for the second quarter was primarily due to the timing of the primary trade show of PostNewsweek Tech Media, which was in the first quarter of 2004 versus the second quarter of 2003. Advertising revenue at Newsweek increased 14% in the second quarter of 2004 due to increases in ad pages at both the domestic and international editions, despite one fewer issue of the international edition. Travel-related advertising revenues at the Pacific edition of Newsweek suffered in the second quarter of 2003 due to the SARS outbreak. The increase in revenues for the first six months of 2004 is primarily due to increased advertising revenue at Newsweek as a result of increased ad pages at the domestic and international editions, despite one fewer international edition issue in 2004.</w:t>
      </w:r>
    </w:p>
    <w:p>
      <w:pPr>
        <w:spacing w:after="0" w:line="126"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Operating income totaled $17.6 million for the second quarter of 2004, a 42% increase from $12.4 million in the second quarter of 2003. The increase in operating income is primarily due to the increase in Newsweek advertising revenue and a reduction in subscription, manufacturing and distribution expenses at the international editions of Newsweek, offset by operating income from the primary trade show of PostNewsweek Tech Media in the second quarter of 2003. Operating income totaled $24.5 million for the first six months of 2004, up 85% from $13.2 million for the first six months of 2003. The year-to-date improvement in operating results is primarily attributable to increased advertising revenue and continued cost controls at Newsweek.</w:t>
      </w:r>
    </w:p>
    <w:p>
      <w:pPr>
        <w:spacing w:after="0" w:line="123"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Cable Television Division</w:t>
      </w:r>
      <w:r>
        <w:rPr>
          <w:rFonts w:ascii="Times New Roman" w:cs="Times New Roman" w:eastAsia="Times New Roman" w:hAnsi="Times New Roman"/>
          <w:sz w:val="18"/>
          <w:szCs w:val="18"/>
          <w:color w:val="auto"/>
        </w:rPr>
        <w:t>. Cable division revenue of $126.4 million for the second quarter of 2004 represents a 10% increase over 2003 second quarter revenue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$114.6 million; for the first six months of 2004, revenue increased 10% to $247.4 million, from $224.9 million in 2003. The 2004 revenue increase is due to continued growth in the division’s cable modem and digital service revenues and a $2 monthly rate increase for basic cable service, effective March 1, 2004, at most of the cable division’s systems.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Cable division operating income for the second quarter of 2004 increased 19% to $25.2 million, from $21.2 million for the second quarter of 2003. The increase in operating income is due mostly to the division’s revenue growth, offset by higher depreciation and programming expenses and increases in internet costs. Cable division operating income for the first six months of 2004 increased 14% to $47.8 million, from $42.0 million for the first six months of 2003. The increase is due mostly to the division’s significant revenue growth, offset by higher depreciation and programming expenses, along with an increase in internet and employee benefits costs.</w:t>
      </w:r>
    </w:p>
    <w:p>
      <w:pPr>
        <w:spacing w:after="0" w:line="1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increase in depreciation expense is due to significant capital spending in recent years that has enabled the cable division to offer digital and broadband cable services to its subscribers. At June 30, 2004, the cable division had approximately 220,400 digital cable subscribers, down slightly from 222,900 at December 31, 2003, but up from 203,900 at the end of June 2003. This represents a 31% penetration of the subscriber base. At June 30, 2004, the cable division had 152,300 CableONE.net service subscribers, compared to 106,600 at the end of June 2003. Both digital and cable modem services are now offered in virtually all of the cable division’s markets.</w:t>
      </w:r>
    </w:p>
    <w:p>
      <w:pPr>
        <w:spacing w:after="0" w:line="125"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At June 30, 2004, the cable division had 711,900 basic subscribers, compared to 714,500 at the end of June 2003. The decrease is due to small losses associated with the basic rate increase discussed above.</w:t>
      </w:r>
    </w:p>
    <w:p>
      <w:pPr>
        <w:spacing w:after="0" w:line="106" w:lineRule="exact"/>
        <w:rPr>
          <w:sz w:val="20"/>
          <w:szCs w:val="20"/>
          <w:color w:val="auto"/>
        </w:rPr>
      </w:pPr>
    </w:p>
    <w:p>
      <w:pPr>
        <w:ind w:right="300"/>
        <w:spacing w:after="0" w:line="310" w:lineRule="auto"/>
        <w:rPr>
          <w:sz w:val="20"/>
          <w:szCs w:val="20"/>
          <w:color w:val="auto"/>
        </w:rPr>
      </w:pPr>
      <w:r>
        <w:rPr>
          <w:rFonts w:ascii="Times New Roman" w:cs="Times New Roman" w:eastAsia="Times New Roman" w:hAnsi="Times New Roman"/>
          <w:sz w:val="16"/>
          <w:szCs w:val="16"/>
          <w:color w:val="auto"/>
        </w:rPr>
        <w:t>At June 30, 2004, Revenue Generating Units (RGUs), as defined by the NCTA Standard Reporting Categories, totaled 1,084,600 compared to 1,025,400 as of June 30, 2003. The increase is due to an increase in the number of digital cable and high speed data customers. RGUs include about 7,000 subscribers who receive free basic cable service, primarily local governments, schools and other organizations as required by the various franchise agreements.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274" w:right="239" w:bottom="1440" w:gutter="0" w:footer="0" w:header="0"/>
        </w:sectPr>
      </w:pPr>
    </w:p>
    <w:bookmarkStart w:id="18" w:name="page19"/>
    <w:bookmarkEnd w:id="18"/>
    <w:p>
      <w:pPr>
        <w:ind w:right="66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Below are details of Cable division capital expenditures for the six months of 2004 and 2003, as defined by the NCTA Standard Reporting Categories (in millions):</w:t>
      </w:r>
    </w:p>
    <w:p>
      <w:pPr>
        <w:spacing w:after="0" w:line="104"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3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2004</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28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2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Premise Equipment</w:t>
            </w:r>
          </w:p>
        </w:tc>
        <w:tc>
          <w:tcPr>
            <w:tcW w:w="3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Commercial</w:t>
            </w:r>
          </w:p>
        </w:tc>
        <w:tc>
          <w:tcPr>
            <w:tcW w:w="2840" w:type="dxa"/>
            <w:vAlign w:val="bottom"/>
          </w:tcPr>
          <w:p>
            <w:pPr>
              <w:spacing w:after="0"/>
              <w:rPr>
                <w:sz w:val="18"/>
                <w:szCs w:val="18"/>
                <w:color w:val="auto"/>
              </w:rPr>
            </w:pP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Scaleable Infrastructure</w:t>
            </w:r>
          </w:p>
        </w:tc>
        <w:tc>
          <w:tcPr>
            <w:tcW w:w="3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Line Extensions</w:t>
            </w:r>
          </w:p>
        </w:tc>
        <w:tc>
          <w:tcPr>
            <w:tcW w:w="3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Upgrade/Rebuild</w:t>
            </w:r>
          </w:p>
        </w:tc>
        <w:tc>
          <w:tcPr>
            <w:tcW w:w="3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14.5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Support Capital</w:t>
            </w:r>
          </w:p>
        </w:tc>
        <w:tc>
          <w:tcPr>
            <w:tcW w:w="3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28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2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w:t>
            </w:r>
          </w:p>
        </w:tc>
        <w:tc>
          <w:tcPr>
            <w:tcW w:w="3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34.8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5671820</wp:posOffset>
            </wp:positionH>
            <wp:positionV relativeFrom="paragraph">
              <wp:posOffset>-29210</wp:posOffset>
            </wp:positionV>
            <wp:extent cx="1270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1270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2159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1270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2159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7" w:lineRule="exact"/>
        <w:rPr>
          <w:sz w:val="20"/>
          <w:szCs w:val="20"/>
          <w:color w:val="auto"/>
        </w:rPr>
      </w:pPr>
    </w:p>
    <w:p>
      <w:pPr>
        <w:ind w:right="60"/>
        <w:spacing w:after="0" w:line="285" w:lineRule="auto"/>
        <w:rPr>
          <w:sz w:val="20"/>
          <w:szCs w:val="20"/>
          <w:color w:val="auto"/>
        </w:rPr>
      </w:pPr>
      <w:r>
        <w:rPr>
          <w:rFonts w:ascii="Times New Roman" w:cs="Times New Roman" w:eastAsia="Times New Roman" w:hAnsi="Times New Roman"/>
          <w:sz w:val="16"/>
          <w:szCs w:val="16"/>
          <w:b w:val="1"/>
          <w:bCs w:val="1"/>
          <w:color w:val="auto"/>
        </w:rPr>
        <w:t>Education Division</w:t>
      </w:r>
      <w:r>
        <w:rPr>
          <w:rFonts w:ascii="Times New Roman" w:cs="Times New Roman" w:eastAsia="Times New Roman" w:hAnsi="Times New Roman"/>
          <w:sz w:val="16"/>
          <w:szCs w:val="16"/>
          <w:color w:val="auto"/>
        </w:rPr>
        <w:t>. Education division revenue totaled $276.7 million for the second quarter of 2004, a 41% increase over revenue of $195.6 million for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same period of 2003. Kaplan reported operating income for the second quarter of 2004 of $29.4 million, compared to $3.5 million in the second quarter of 2003. Approximately 27% of the increase in Kaplan revenue is from acquired businesses, primarily in the higher education division and the professional training schools that are part of supplemental education. Excluding revenue from acquired businesses, education division revenue increased 30% for the second quarter of 2004. For the first six months of 2004, education division revenue totaled $535.0 million, a 43% increase over revenue of $373.3 million for the same period of</w:t>
      </w:r>
    </w:p>
    <w:p>
      <w:pPr>
        <w:spacing w:after="0" w:line="2"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2003. Kaplan reported operating income of $50.1 million for the first six months of 2004, compared to $19.5 million for the first six months of 2003. Approximately 41% of the increase in Kaplan revenue is from acquired businesses, primarily in the higher education division and the professional training schools that are part of supplemental education. Excluding revenue from acquired businesses, education division revenue increased 26% for the first six months of 2004. A summary of operating results for the second quarter and the first six months of 2004 compared to 2003 is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960" w:type="dxa"/>
            <w:vAlign w:val="bottom"/>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gridSpan w:val="3"/>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YTD</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9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2004</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2003</w:t>
            </w:r>
          </w:p>
        </w:tc>
        <w:tc>
          <w:tcPr>
            <w:tcW w:w="500" w:type="dxa"/>
            <w:vAlign w:val="bottom"/>
          </w:tcPr>
          <w:p>
            <w:pPr>
              <w:spacing w:after="0"/>
              <w:rPr>
                <w:sz w:val="15"/>
                <w:szCs w:val="15"/>
                <w:color w:val="auto"/>
              </w:rPr>
            </w:pPr>
          </w:p>
        </w:tc>
        <w:tc>
          <w:tcPr>
            <w:tcW w:w="9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1"/>
              </w:rPr>
              <w:t>Change</w:t>
            </w:r>
          </w:p>
        </w:tc>
        <w:tc>
          <w:tcPr>
            <w:tcW w:w="100" w:type="dxa"/>
            <w:vAlign w:val="bottom"/>
          </w:tcPr>
          <w:p>
            <w:pPr>
              <w:spacing w:after="0"/>
              <w:rPr>
                <w:sz w:val="15"/>
                <w:szCs w:val="15"/>
                <w:color w:val="auto"/>
              </w:rPr>
            </w:pPr>
          </w:p>
        </w:tc>
        <w:tc>
          <w:tcPr>
            <w:tcW w:w="6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2004</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2003</w:t>
            </w:r>
          </w:p>
        </w:tc>
        <w:tc>
          <w:tcPr>
            <w:tcW w:w="50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1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Supplemental education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5"/>
              </w:rPr>
              <w:t>143,410</w:t>
            </w:r>
          </w:p>
        </w:tc>
        <w:tc>
          <w:tcPr>
            <w:tcW w:w="14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115,708</w:t>
            </w:r>
          </w:p>
        </w:tc>
        <w:tc>
          <w:tcPr>
            <w:tcW w:w="5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279,010</w:t>
            </w:r>
          </w:p>
        </w:tc>
        <w:tc>
          <w:tcPr>
            <w:tcW w:w="5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213,890</w:t>
            </w:r>
          </w:p>
        </w:tc>
        <w:tc>
          <w:tcPr>
            <w:tcW w:w="5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Higher education</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133,286</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79,852</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255,957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159,448</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276,696</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195,560</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534,967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373,338</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Supplemental education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25,102</w:t>
            </w:r>
          </w:p>
        </w:tc>
        <w:tc>
          <w:tcPr>
            <w:tcW w:w="14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21,643</w:t>
            </w:r>
          </w:p>
        </w:tc>
        <w:tc>
          <w:tcPr>
            <w:tcW w:w="5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45,694</w:t>
            </w:r>
          </w:p>
        </w:tc>
        <w:tc>
          <w:tcPr>
            <w:tcW w:w="5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40,195</w:t>
            </w:r>
          </w:p>
        </w:tc>
        <w:tc>
          <w:tcPr>
            <w:tcW w:w="5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Higher education</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23,343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9,099</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43,515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24,021</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Kaplan corporate overhead</w:t>
            </w:r>
          </w:p>
        </w:tc>
        <w:tc>
          <w:tcPr>
            <w:tcW w:w="10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(7,213)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(6,893)</w:t>
            </w: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(15,190)</w:t>
            </w: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(14,333)</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(11,789)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(20,322)</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(23,939)</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(30,429)</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29,443</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19,454</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3261995</wp:posOffset>
            </wp:positionH>
            <wp:positionV relativeFrom="paragraph">
              <wp:posOffset>-1304925</wp:posOffset>
            </wp:positionV>
            <wp:extent cx="46736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-1304925</wp:posOffset>
            </wp:positionV>
            <wp:extent cx="1270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-1304925</wp:posOffset>
            </wp:positionV>
            <wp:extent cx="2159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-1304925</wp:posOffset>
            </wp:positionV>
            <wp:extent cx="3873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-1304925</wp:posOffset>
            </wp:positionV>
            <wp:extent cx="1270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-1304925</wp:posOffset>
            </wp:positionV>
            <wp:extent cx="3873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-1304925</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-1304925</wp:posOffset>
            </wp:positionV>
            <wp:extent cx="2159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-1304925</wp:posOffset>
            </wp:positionV>
            <wp:extent cx="3873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-1304925</wp:posOffset>
            </wp:positionV>
            <wp:extent cx="46736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-1304925</wp:posOffset>
            </wp:positionV>
            <wp:extent cx="1270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-1304925</wp:posOffset>
            </wp:positionV>
            <wp:extent cx="3873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-172720</wp:posOffset>
            </wp:positionV>
            <wp:extent cx="1270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-172720</wp:posOffset>
            </wp:positionV>
            <wp:extent cx="2159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-172720</wp:posOffset>
            </wp:positionV>
            <wp:extent cx="3873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-172720</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-172720</wp:posOffset>
            </wp:positionV>
            <wp:extent cx="2159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-172720</wp:posOffset>
            </wp:positionV>
            <wp:extent cx="3873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-172720</wp:posOffset>
            </wp:positionV>
            <wp:extent cx="127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-172720</wp:posOffset>
            </wp:positionV>
            <wp:extent cx="3873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-172720</wp:posOffset>
            </wp:positionV>
            <wp:extent cx="1270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-172720</wp:posOffset>
            </wp:positionV>
            <wp:extent cx="2159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-172720</wp:posOffset>
            </wp:positionV>
            <wp:extent cx="38735"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-172720</wp:posOffset>
            </wp:positionV>
            <wp:extent cx="1270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-172720</wp:posOffset>
            </wp:positionV>
            <wp:extent cx="2159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-172720</wp:posOffset>
            </wp:positionV>
            <wp:extent cx="38735"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-172720</wp:posOffset>
            </wp:positionV>
            <wp:extent cx="1270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-172720</wp:posOffset>
            </wp:positionV>
            <wp:extent cx="3873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49" w:lineRule="exact"/>
        <w:rPr>
          <w:sz w:val="20"/>
          <w:szCs w:val="20"/>
          <w:color w:val="auto"/>
        </w:rPr>
      </w:pPr>
    </w:p>
    <w:p>
      <w:pPr>
        <w:ind w:left="220" w:hanging="212"/>
        <w:spacing w:after="0"/>
        <w:tabs>
          <w:tab w:leader="none" w:pos="22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Other includes charges accrued for stock-based incentive compensation and amortization of certain intangibles.</w:t>
      </w:r>
    </w:p>
    <w:p>
      <w:pPr>
        <w:spacing w:after="0" w:line="13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Supplemental education includes Kaplan’s test preparation, professional training and Score! businesses. A large portion of the increase in supplemental education revenue for the first six months of 2004 is from Financial Training Company (FTC), which was acquired in March 2003. Headquartered in London, FTC provides test preparation services for accountants and financial services professionals, with training centers in the United Kingdom and Asia. However, FTC’s business is seasonal and while FTC’s operating income improved in the second quarter of 2004 compared to the prior year, FTC typically incurs an operating loss in the first quarter of the year; therefore, supplemental education operating income comparisons for the first six months of 2004 were adversely affected by FTC. The improvement in supplemental education results for 2004 is due to increased enrollment at Kaplan’s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274" w:right="239" w:bottom="1440" w:gutter="0" w:footer="0" w:header="0"/>
        </w:sectPr>
      </w:pPr>
    </w:p>
    <w:bookmarkStart w:id="19" w:name="page20"/>
    <w:bookmarkEnd w:id="19"/>
    <w:p>
      <w:pPr>
        <w:jc w:val="both"/>
        <w:ind w:right="8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traditional test preparation business (particularly the SAT/PSAT) and increases from the professional real estate courses. Score! also contributed to the improved revenue and operating results due to higher rates and nine new centers compared to 2003. Score! experienced a small decrease in enrollments during the first six months of 2004.</w:t>
      </w:r>
    </w:p>
    <w:p>
      <w:pPr>
        <w:spacing w:after="0" w:line="119" w:lineRule="exact"/>
        <w:rPr>
          <w:sz w:val="20"/>
          <w:szCs w:val="20"/>
          <w:color w:val="auto"/>
        </w:rPr>
      </w:pPr>
    </w:p>
    <w:p>
      <w:pPr>
        <w:ind w:right="400"/>
        <w:spacing w:after="0" w:line="262" w:lineRule="auto"/>
        <w:rPr>
          <w:sz w:val="20"/>
          <w:szCs w:val="20"/>
          <w:color w:val="auto"/>
        </w:rPr>
      </w:pPr>
      <w:r>
        <w:rPr>
          <w:rFonts w:ascii="Times New Roman" w:cs="Times New Roman" w:eastAsia="Times New Roman" w:hAnsi="Times New Roman"/>
          <w:sz w:val="18"/>
          <w:szCs w:val="18"/>
          <w:color w:val="auto"/>
        </w:rPr>
        <w:t>Higher education includes all of Kaplan’s post-secondary education businesses, including fixed-facility colleges as well as online post-secondary and career programs (various distance-learning businesses). Higher education results are showing significant growth, due to student enrollment increases and several acquisitions.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overhead represents unallocated expenses of Kaplan, Inc.’s corporate office.</w:t>
      </w:r>
    </w:p>
    <w:p>
      <w:pPr>
        <w:spacing w:after="0" w:line="15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Other expense is comprised of accrued charges for stock-based incentive compensation arising from a stock option plan established for certain members of Kaplan’s management and amortization of certain intangibles. Under the stock-based incentive plan, the amount of compensation expense varies directly with the estimated fair value of Kaplan’s common stock and the number of options outstanding. For the second quarter of 2004 and 2003, the Company recorded expense of $8.0 million and $20.0 million, respectively, and $17.8 million and $30.0 million for the first six months of 2004 and 2003, respectively, related to this plan. The stock compensation expense for the first six months of 2003 was based on stock options outstanding before the third quarter 2003 buyout offer for approximately 55% of the stock options outstanding at Kaplan. The stock compensation expense in 2004 is based on the remaining Kaplan stock options held by a small number of Kaplan executives after the 2003 buyout.</w:t>
      </w:r>
    </w:p>
    <w:p>
      <w:pPr>
        <w:spacing w:after="0" w:line="126" w:lineRule="exact"/>
        <w:rPr>
          <w:sz w:val="20"/>
          <w:szCs w:val="20"/>
          <w:color w:val="auto"/>
        </w:rPr>
      </w:pPr>
    </w:p>
    <w:p>
      <w:pPr>
        <w:ind w:right="80"/>
        <w:spacing w:after="0" w:line="302" w:lineRule="auto"/>
        <w:rPr>
          <w:sz w:val="20"/>
          <w:szCs w:val="20"/>
          <w:color w:val="auto"/>
        </w:rPr>
      </w:pPr>
      <w:r>
        <w:rPr>
          <w:rFonts w:ascii="Times New Roman" w:cs="Times New Roman" w:eastAsia="Times New Roman" w:hAnsi="Times New Roman"/>
          <w:sz w:val="16"/>
          <w:szCs w:val="16"/>
          <w:b w:val="1"/>
          <w:bCs w:val="1"/>
          <w:color w:val="auto"/>
        </w:rPr>
        <w:t>Equity in Losses of Affiliates</w:t>
      </w:r>
      <w:r>
        <w:rPr>
          <w:rFonts w:ascii="Times New Roman" w:cs="Times New Roman" w:eastAsia="Times New Roman" w:hAnsi="Times New Roman"/>
          <w:sz w:val="16"/>
          <w:szCs w:val="16"/>
          <w:color w:val="auto"/>
        </w:rPr>
        <w:t>. The Company’s equity in losses of affiliates for the second quarter of 2004 was $0.4 million, compared to losses of $5.5 million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for the second quarter of 2003. For the first six months of 2004, the Company’s equity in losses of affiliates totaled $2.1 million, compared to losses of $8.2 million for the same period of 2003. The Company’s affiliate investments consist of a 49 percent interest in BrassRing LLC and a 49 percent interest in Bowater Mersey Paper Company Limited. The reduction in affiliate losses for 2004 is attributable to improved operating results at both BrassRing and Bowater.</w:t>
      </w:r>
    </w:p>
    <w:p>
      <w:pPr>
        <w:spacing w:after="0" w:line="89"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On January 1, 2003, the Company sold its 50 percent interest in the International Herald Tribune for $65 million and the Company recorded an after-tax non-operating gain of $32.3 million in the first quarter of 2003.</w:t>
      </w:r>
    </w:p>
    <w:p>
      <w:pPr>
        <w:spacing w:after="0" w:line="104" w:lineRule="exact"/>
        <w:rPr>
          <w:sz w:val="20"/>
          <w:szCs w:val="20"/>
          <w:color w:val="auto"/>
        </w:rPr>
      </w:pPr>
    </w:p>
    <w:p>
      <w:pPr>
        <w:ind w:right="300"/>
        <w:spacing w:after="0" w:line="342" w:lineRule="auto"/>
        <w:rPr>
          <w:sz w:val="20"/>
          <w:szCs w:val="20"/>
          <w:color w:val="auto"/>
        </w:rPr>
      </w:pPr>
      <w:r>
        <w:rPr>
          <w:rFonts w:ascii="Times New Roman" w:cs="Times New Roman" w:eastAsia="Times New Roman" w:hAnsi="Times New Roman"/>
          <w:sz w:val="16"/>
          <w:szCs w:val="16"/>
          <w:b w:val="1"/>
          <w:bCs w:val="1"/>
          <w:color w:val="auto"/>
        </w:rPr>
        <w:t>Other Non-Operating Income</w:t>
      </w:r>
      <w:r>
        <w:rPr>
          <w:rFonts w:ascii="Times New Roman" w:cs="Times New Roman" w:eastAsia="Times New Roman" w:hAnsi="Times New Roman"/>
          <w:sz w:val="16"/>
          <w:szCs w:val="16"/>
          <w:color w:val="auto"/>
        </w:rPr>
        <w:t>. The Company recorded other non-operating expense, net, of $0.1 million for the second quarter of 2004, compared to $2.3</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million of other non-operating income, net, in the second quarter of 2003. The 2003 non-operating income, net, is primarily related to foreign currency gains.</w:t>
      </w:r>
    </w:p>
    <w:p>
      <w:pPr>
        <w:spacing w:after="0" w:line="58"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The Company recorded other non-operating income, net, of $0.7 million for the first six months of 2004, compared to other non-operating income, net, of $50.4 million for the same period of the prior year. The 2003 non-operating income, net, is comprised mostly of a $49.8 million pre-tax gain from the sale of the Company’s 50 percent interest in the International Herald Tribune.</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60"/>
          </w:cols>
          <w:pgMar w:left="240" w:top="274" w:right="2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summary of non-operating income (expense) for the twenty-six weeks ended June 27, 2004 and June 29, 2003, follows (in millions):</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2004</w:t>
            </w:r>
          </w:p>
        </w:tc>
        <w:tc>
          <w:tcPr>
            <w:tcW w:w="360" w:type="dxa"/>
            <w:vAlign w:val="bottom"/>
          </w:tcPr>
          <w:p>
            <w:pPr>
              <w:spacing w:after="0"/>
              <w:rPr>
                <w:sz w:val="15"/>
                <w:szCs w:val="15"/>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interest in IHT</w:t>
            </w:r>
          </w:p>
        </w:tc>
        <w:tc>
          <w:tcPr>
            <w:tcW w:w="1960" w:type="dxa"/>
            <w:vAlign w:val="bottom"/>
            <w:gridSpan w:val="3"/>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Impairment write-downs on cost method and other investments</w:t>
            </w:r>
          </w:p>
        </w:tc>
        <w:tc>
          <w:tcPr>
            <w:tcW w:w="23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(0.7)</w:t>
            </w: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cable system trade</w:t>
            </w:r>
          </w:p>
        </w:tc>
        <w:tc>
          <w:tcPr>
            <w:tcW w:w="1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gains, net</w:t>
            </w: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gains</w:t>
            </w: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w:t>
            </w:r>
          </w:p>
        </w:tc>
        <w:tc>
          <w:tcPr>
            <w:tcW w:w="1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$ 0.7</w:t>
            </w:r>
          </w:p>
        </w:tc>
        <w:tc>
          <w:tcPr>
            <w:tcW w:w="3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-29210</wp:posOffset>
            </wp:positionV>
            <wp:extent cx="1270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2159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3873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28702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87020" cy="29845"/>
                    </a:xfrm>
                    <a:prstGeom prst="rect">
                      <a:avLst/>
                    </a:prstGeom>
                    <a:noFill/>
                  </pic:spPr>
                </pic:pic>
              </a:graphicData>
            </a:graphic>
          </wp:anchor>
        </w:drawing>
      </w:r>
    </w:p>
    <w:p>
      <w:pPr>
        <w:spacing w:after="0" w:line="217" w:lineRule="exact"/>
        <w:rPr>
          <w:sz w:val="20"/>
          <w:szCs w:val="20"/>
          <w:color w:val="auto"/>
        </w:rPr>
      </w:pPr>
    </w:p>
    <w:p>
      <w:pPr>
        <w:jc w:val="both"/>
        <w:ind w:right="660"/>
        <w:spacing w:after="0" w:line="264" w:lineRule="auto"/>
        <w:rPr>
          <w:sz w:val="20"/>
          <w:szCs w:val="20"/>
          <w:color w:val="auto"/>
        </w:rPr>
      </w:pPr>
      <w:r>
        <w:rPr>
          <w:rFonts w:ascii="Times New Roman" w:cs="Times New Roman" w:eastAsia="Times New Roman" w:hAnsi="Times New Roman"/>
          <w:sz w:val="18"/>
          <w:szCs w:val="18"/>
          <w:b w:val="1"/>
          <w:bCs w:val="1"/>
          <w:color w:val="auto"/>
        </w:rPr>
        <w:t>Net Interest Expense</w:t>
      </w:r>
      <w:r>
        <w:rPr>
          <w:rFonts w:ascii="Times New Roman" w:cs="Times New Roman" w:eastAsia="Times New Roman" w:hAnsi="Times New Roman"/>
          <w:sz w:val="18"/>
          <w:szCs w:val="18"/>
          <w:color w:val="auto"/>
        </w:rPr>
        <w:t>. The Company incurred net interest expense of $6.4 million and $12.9 million for the second quarter and first six months of 2004,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respectively, compared to $6.2 million and $13.3 million for the same periods of 2003. At June 27, 2004, the Company had $504.9 million in borrowings outstanding at an average interest rate of 4.9%.</w:t>
      </w:r>
    </w:p>
    <w:p>
      <w:pPr>
        <w:spacing w:after="0" w:line="11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b w:val="1"/>
          <w:bCs w:val="1"/>
          <w:color w:val="auto"/>
        </w:rPr>
        <w:t>Provision for Income Taxes</w:t>
      </w:r>
      <w:r>
        <w:rPr>
          <w:rFonts w:ascii="Times New Roman" w:cs="Times New Roman" w:eastAsia="Times New Roman" w:hAnsi="Times New Roman"/>
          <w:sz w:val="18"/>
          <w:szCs w:val="18"/>
          <w:color w:val="auto"/>
        </w:rPr>
        <w:t>. The effective tax rate for the second quarter and first six months of 2004 was 39.0%, compared to 37.8% for the same periods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2003. The 2003 rate benefited from the 35.1% effective tax rate applicable to the one-time gain arising from the sale of the Company’s interest in the International Herald Tribune.</w:t>
      </w:r>
    </w:p>
    <w:p>
      <w:pPr>
        <w:spacing w:after="0" w:line="114"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Earnings Per Share. </w:t>
      </w:r>
      <w:r>
        <w:rPr>
          <w:rFonts w:ascii="Times New Roman" w:cs="Times New Roman" w:eastAsia="Times New Roman" w:hAnsi="Times New Roman"/>
          <w:sz w:val="18"/>
          <w:szCs w:val="18"/>
          <w:color w:val="auto"/>
        </w:rPr>
        <w:t>The calculation of diluted earnings per share for the second quarter and first six months of 2004 was based on 9,596,000 and 9,588,000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weighted average shares outstanding, respectively, compared to 9,555,000 and 9,554,000, respectively, for the second quarter and first six months of 2003. The Company made no significant repurchases of its stock during the first half of 2004.</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Capital Resources and Liquidity</w:t>
      </w:r>
    </w:p>
    <w:p>
      <w:pPr>
        <w:spacing w:after="0" w:line="77" w:lineRule="exact"/>
        <w:rPr>
          <w:sz w:val="20"/>
          <w:szCs w:val="20"/>
          <w:color w:val="auto"/>
        </w:rPr>
      </w:pPr>
    </w:p>
    <w:p>
      <w:pPr>
        <w:jc w:val="both"/>
        <w:ind w:right="6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Acquisitions. </w:t>
      </w:r>
      <w:r>
        <w:rPr>
          <w:rFonts w:ascii="Times New Roman" w:cs="Times New Roman" w:eastAsia="Times New Roman" w:hAnsi="Times New Roman"/>
          <w:sz w:val="18"/>
          <w:szCs w:val="18"/>
          <w:color w:val="auto"/>
        </w:rPr>
        <w:t>In the second quarter of 2004, Kaplan acquired two businesses in their higher education and professional divisions, totaling $4.5 million, financed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cash and debt, with $0.3 million remaining to be paid. In addition, the cable division completed two small transactions for $1.8 million. In May 2004, the Company acquired El Tiempo Latino, a leading Spanish-language weekly newspaper in the greater Washington area.</w:t>
      </w:r>
    </w:p>
    <w:p>
      <w:pPr>
        <w:spacing w:after="0" w:line="11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In the first quarter of 2004, Kaplan acquired three businesses in their higher education and test preparation divisions, totaling $49.8 million, financed through cash and debt. Most of the purchase price has been allocated to goodwill on a preliminary basis.</w:t>
      </w:r>
    </w:p>
    <w:p>
      <w:pPr>
        <w:spacing w:after="0" w:line="106"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In the second quarter of 2003, Kaplan acquired two businesses in its higher education and professional divisions for a total of $17.5 million. In addition, the cable division acquired a system in North Dakota for $1.5 million.</w:t>
      </w:r>
    </w:p>
    <w:p>
      <w:pPr>
        <w:spacing w:after="0" w:line="106"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In March 2003, Kaplan completed its acquisition of the stock of Financial Training Company (FTC), for £55.3 million ($87.4 million). Headquartered in London, FTC provides test preparation services for accountants and financial services professionals, with training centers in the United Kingdom and Asia.</w:t>
      </w:r>
    </w:p>
    <w:p>
      <w:pPr>
        <w:spacing w:after="0" w:line="104" w:lineRule="exact"/>
        <w:rPr>
          <w:sz w:val="20"/>
          <w:szCs w:val="20"/>
          <w:color w:val="auto"/>
        </w:rPr>
      </w:pPr>
    </w:p>
    <w:p>
      <w:pPr>
        <w:ind w:right="36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Capital expenditures. </w:t>
      </w:r>
      <w:r>
        <w:rPr>
          <w:rFonts w:ascii="Times New Roman" w:cs="Times New Roman" w:eastAsia="Times New Roman" w:hAnsi="Times New Roman"/>
          <w:sz w:val="18"/>
          <w:szCs w:val="18"/>
          <w:color w:val="auto"/>
        </w:rPr>
        <w:t>During the first six months of 2004, the Company’s capital expenditures totaled $92.5 million. The Company estimates that its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expenditures will be in the range of $200 million to $225 million in 2004.</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274" w:right="239" w:bottom="1440" w:gutter="0" w:footer="0" w:header="0"/>
        </w:sectPr>
      </w:pPr>
    </w:p>
    <w:bookmarkStart w:id="21" w:name="page22"/>
    <w:bookmarkEnd w:id="21"/>
    <w:p>
      <w:pPr>
        <w:ind w:right="80"/>
        <w:spacing w:after="0" w:line="27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Liquidity. </w:t>
      </w:r>
      <w:r>
        <w:rPr>
          <w:rFonts w:ascii="Times New Roman" w:cs="Times New Roman" w:eastAsia="Times New Roman" w:hAnsi="Times New Roman"/>
          <w:sz w:val="18"/>
          <w:szCs w:val="18"/>
          <w:color w:val="auto"/>
        </w:rPr>
        <w:t>Throughout the first six months of 2004, the Company’s borrowings, net of repayments, decreased by $126.2 million, with the decrease primarily due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cash flows from operations, offset in part by borrowings for acquisitions.</w:t>
      </w:r>
    </w:p>
    <w:p>
      <w:pPr>
        <w:spacing w:after="0" w:line="105"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At June 27, 2004, the Company had $504.9 million in total debt outstanding, which comprised $61.4 million of commercial paper borrowings, $398.8 million of 5.5 percent unsecured notes due February 15, 2009, and $44.7 million in other debt.</w:t>
      </w:r>
    </w:p>
    <w:p>
      <w:pPr>
        <w:spacing w:after="0" w:line="1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During the second quarter of 2004 and 2003, the Company had average borrowings outstanding of approximately $529.9 million and $633.2 million, respectively, at average annual interest rates of approximately 4.8 percent and 4.1 percent, respectively. During the second quarter of 2004 and 2003, the Company incurred net interest expense on borrowings of $6.4 million and $6.2 million, respectively.</w:t>
      </w:r>
    </w:p>
    <w:p>
      <w:pPr>
        <w:spacing w:after="0" w:line="119" w:lineRule="exact"/>
        <w:rPr>
          <w:sz w:val="20"/>
          <w:szCs w:val="20"/>
          <w:color w:val="auto"/>
        </w:rPr>
      </w:pPr>
    </w:p>
    <w:p>
      <w:pPr>
        <w:ind w:right="620"/>
        <w:spacing w:after="0" w:line="262" w:lineRule="auto"/>
        <w:rPr>
          <w:sz w:val="20"/>
          <w:szCs w:val="20"/>
          <w:color w:val="auto"/>
        </w:rPr>
      </w:pPr>
      <w:r>
        <w:rPr>
          <w:rFonts w:ascii="Times New Roman" w:cs="Times New Roman" w:eastAsia="Times New Roman" w:hAnsi="Times New Roman"/>
          <w:sz w:val="18"/>
          <w:szCs w:val="18"/>
          <w:color w:val="auto"/>
        </w:rPr>
        <w:t>During the first six months of 2004 and 2003 the Company had average borrowings outstanding of approximately $553.3 million and $617.4 million, respectively, at average annual interest rates of approximately 4.5 percent and 4.1 percent, respectively. During the first six months of 2004 and 2003, the Company incurred net interest expense on borrowings of $12.9 million and $13.3 million, respectively.</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At June 29, 2004 and December 28, 2003, the Company has a working capital deficit of $179.5 million and $216.0 million, respectively. The Company maintains working capital levels consistent with its underlying business requirements and consistently generates cash from operations in excess of required interest or principal payments. The Company has classified all of its commercial paper borrowing obligations as a current liability at June 27, 2004 and December 28, 2003 as the Company intends to pay down commercial paper borrowings from operating cash flow. However, the Company continues to maintain the ability to refinance such obligations on a long-term basis through new debt issuance and/or its revolving credit facility agreements.</w:t>
      </w:r>
    </w:p>
    <w:p>
      <w:pPr>
        <w:spacing w:after="0" w:line="125"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The Company expects to fund its estimated capital needs primarily through internally generated funds and, to a lesser extent, commercial paper borrowings. In management’s opinion, the Company will have ample liquidity to meet its various cash needs throughout 2004.</w:t>
      </w:r>
    </w:p>
    <w:p>
      <w:pPr>
        <w:spacing w:after="0" w:line="1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noted above, the Company’s borrowings have declined by $126.2 million, to $504.9 million, as compared to borrowings of $631.1 million at December 28, 2003. In the second quarter of 2004, the Company entered into a building lease and other commitments aggregating about $45.0 million from 2004 through 2014. There were no other significant changes to the Company’s contractual obligations or other commercial commitments from those disclosed in the Company’s Annual Report on Form 10-K for the year ended December 28, 2003.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79"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This report contains certain forward-looking statements that are based largely on the Company’s current expectations. Forward-looking statements are subject to various risks and uncertainties that could cause actual results or events to differ materially from those anticipated in such statements. For more information about these forward-looking statements and related risks, please refer to the section titled “Forward-Looking Statements” in Part I of the Company’s Annual Report on Form 10-K for the fiscal year ended December 28, 2003.</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272" w:right="259" w:bottom="1440" w:gutter="0" w:footer="0" w:header="0"/>
        </w:sectPr>
      </w:pPr>
    </w:p>
    <w:bookmarkStart w:id="22" w:name="page23"/>
    <w:bookmarkEnd w:id="22"/>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w:t>
        <w:tab/>
        <w:t>4. Controls and Procedures</w:t>
      </w:r>
    </w:p>
    <w:p>
      <w:pPr>
        <w:spacing w:after="0" w:line="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 evaluation was performed by the Company’s management, with the participation of the Company’s Chief Executive Officer (the Company’s principal executive officer) and the Company’s Vice President-Finance (the Company’s principal financial officer), of the effectiveness of the Company’s disclosure controls and procedures (as defined in Exchange Act Rules 13a-15(e) and 15d-15(e)), as of June 27, 2004. Based on that evaluation, the Company’s Chief Executive Officer and Vice President-Finance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w:t>
      </w:r>
    </w:p>
    <w:p>
      <w:pPr>
        <w:spacing w:after="0" w:line="1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80"/>
          </w:cols>
          <w:pgMar w:left="240" w:top="272" w:right="2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 – OTHER INFORMATION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Submission of Matters to a Vote of Security Holders.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the Company’s May 13, 2004 Annual Meeting of Stockholders, the stockholders elected each of the nominees named in the Company’s proxy statement dated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2004 to its Board of Directors. The voting results are set forth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60" w:type="dxa"/>
            <w:vAlign w:val="bottom"/>
          </w:tcPr>
          <w:p>
            <w:pPr>
              <w:spacing w:after="0"/>
              <w:rPr>
                <w:sz w:val="15"/>
                <w:szCs w:val="15"/>
                <w:color w:val="auto"/>
              </w:rPr>
            </w:pPr>
          </w:p>
        </w:tc>
        <w:tc>
          <w:tcPr>
            <w:tcW w:w="674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Class A Directors</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89"/>
              </w:rPr>
              <w:t>Votes</w:t>
            </w:r>
          </w:p>
        </w:tc>
        <w:tc>
          <w:tcPr>
            <w:tcW w:w="580" w:type="dxa"/>
            <w:vAlign w:val="bottom"/>
          </w:tcPr>
          <w:p>
            <w:pPr>
              <w:spacing w:after="0"/>
              <w:rPr>
                <w:sz w:val="8"/>
                <w:szCs w:val="8"/>
                <w:color w:val="auto"/>
              </w:rPr>
            </w:pPr>
          </w:p>
        </w:tc>
        <w:tc>
          <w:tcPr>
            <w:tcW w:w="114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3"/>
              </w:rPr>
              <w:t>Broker</w:t>
            </w:r>
          </w:p>
        </w:tc>
        <w:tc>
          <w:tcPr>
            <w:tcW w:w="0" w:type="dxa"/>
            <w:vAlign w:val="bottom"/>
          </w:tcPr>
          <w:p>
            <w:pPr>
              <w:spacing w:after="0"/>
              <w:rPr>
                <w:sz w:val="1"/>
                <w:szCs w:val="1"/>
                <w:color w:val="auto"/>
              </w:rPr>
            </w:pPr>
          </w:p>
        </w:tc>
      </w:tr>
      <w:tr>
        <w:trPr>
          <w:trHeight w:val="233"/>
        </w:trPr>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58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60" w:type="dxa"/>
            <w:vAlign w:val="bottom"/>
          </w:tcPr>
          <w:p>
            <w:pPr>
              <w:spacing w:after="0"/>
              <w:rPr>
                <w:sz w:val="15"/>
                <w:szCs w:val="15"/>
                <w:color w:val="auto"/>
              </w:rPr>
            </w:pPr>
          </w:p>
        </w:tc>
        <w:tc>
          <w:tcPr>
            <w:tcW w:w="674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Nominee</w:t>
            </w:r>
          </w:p>
        </w:tc>
        <w:tc>
          <w:tcPr>
            <w:tcW w:w="140" w:type="dxa"/>
            <w:vAlign w:val="bottom"/>
          </w:tcPr>
          <w:p>
            <w:pPr>
              <w:spacing w:after="0"/>
              <w:rPr>
                <w:sz w:val="15"/>
                <w:szCs w:val="15"/>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5"/>
              </w:rPr>
              <w:t>Votes For</w:t>
            </w:r>
          </w:p>
        </w:tc>
        <w:tc>
          <w:tcPr>
            <w:tcW w:w="1300" w:type="dxa"/>
            <w:vAlign w:val="bottom"/>
            <w:gridSpan w:val="3"/>
          </w:tcPr>
          <w:p>
            <w:pPr>
              <w:jc w:val="center"/>
              <w:ind w:left="314"/>
              <w:spacing w:after="0"/>
              <w:rPr>
                <w:sz w:val="20"/>
                <w:szCs w:val="20"/>
                <w:color w:val="auto"/>
              </w:rPr>
            </w:pPr>
            <w:r>
              <w:rPr>
                <w:rFonts w:ascii="Times New Roman" w:cs="Times New Roman" w:eastAsia="Times New Roman" w:hAnsi="Times New Roman"/>
                <w:sz w:val="14"/>
                <w:szCs w:val="14"/>
                <w:b w:val="1"/>
                <w:bCs w:val="1"/>
                <w:color w:val="auto"/>
                <w:w w:val="96"/>
              </w:rPr>
              <w:t>Withheld</w:t>
            </w: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Non-Votes</w:t>
            </w:r>
          </w:p>
        </w:tc>
        <w:tc>
          <w:tcPr>
            <w:tcW w:w="0" w:type="dxa"/>
            <w:vAlign w:val="bottom"/>
          </w:tcPr>
          <w:p>
            <w:pPr>
              <w:spacing w:after="0"/>
              <w:rPr>
                <w:sz w:val="1"/>
                <w:szCs w:val="1"/>
                <w:color w:val="auto"/>
              </w:rPr>
            </w:pPr>
          </w:p>
        </w:tc>
      </w:tr>
      <w:tr>
        <w:trPr>
          <w:trHeight w:val="95"/>
        </w:trPr>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67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Warren E. Buffett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1,722,250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left="494"/>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left="476"/>
              <w:spacing w:after="0"/>
              <w:rPr>
                <w:sz w:val="20"/>
                <w:szCs w:val="20"/>
                <w:color w:val="auto"/>
              </w:rPr>
            </w:pPr>
            <w:r>
              <w:rPr>
                <w:rFonts w:ascii="Times New Roman" w:cs="Times New Roman" w:eastAsia="Times New Roman" w:hAnsi="Times New Roman"/>
                <w:sz w:val="18"/>
                <w:szCs w:val="18"/>
                <w:color w:val="auto"/>
                <w:w w:val="95"/>
              </w:rPr>
              <w:t>-0-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Barry Diller</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1,722,250</w:t>
            </w:r>
          </w:p>
        </w:tc>
        <w:tc>
          <w:tcPr>
            <w:tcW w:w="160" w:type="dxa"/>
            <w:vAlign w:val="bottom"/>
          </w:tcPr>
          <w:p>
            <w:pPr>
              <w:spacing w:after="0"/>
              <w:rPr>
                <w:sz w:val="18"/>
                <w:szCs w:val="18"/>
                <w:color w:val="auto"/>
              </w:rPr>
            </w:pPr>
          </w:p>
        </w:tc>
        <w:tc>
          <w:tcPr>
            <w:tcW w:w="1120" w:type="dxa"/>
            <w:vAlign w:val="bottom"/>
            <w:gridSpan w:val="2"/>
          </w:tcPr>
          <w:p>
            <w:pPr>
              <w:jc w:val="center"/>
              <w:ind w:left="494"/>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18"/>
                <w:szCs w:val="18"/>
                <w:color w:val="auto"/>
              </w:rPr>
            </w:pPr>
          </w:p>
        </w:tc>
        <w:tc>
          <w:tcPr>
            <w:tcW w:w="1200" w:type="dxa"/>
            <w:vAlign w:val="bottom"/>
            <w:gridSpan w:val="2"/>
          </w:tcPr>
          <w:p>
            <w:pPr>
              <w:jc w:val="center"/>
              <w:ind w:left="476"/>
              <w:spacing w:after="0"/>
              <w:rPr>
                <w:sz w:val="20"/>
                <w:szCs w:val="20"/>
                <w:color w:val="auto"/>
              </w:rPr>
            </w:pPr>
            <w:r>
              <w:rPr>
                <w:rFonts w:ascii="Times New Roman" w:cs="Times New Roman" w:eastAsia="Times New Roman" w:hAnsi="Times New Roman"/>
                <w:sz w:val="18"/>
                <w:szCs w:val="18"/>
                <w:color w:val="auto"/>
                <w:w w:val="95"/>
              </w:rPr>
              <w:t>-0-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J. Gillespie, III</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1,722,250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left="494"/>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left="476"/>
              <w:spacing w:after="0"/>
              <w:rPr>
                <w:sz w:val="20"/>
                <w:szCs w:val="20"/>
                <w:color w:val="auto"/>
              </w:rPr>
            </w:pPr>
            <w:r>
              <w:rPr>
                <w:rFonts w:ascii="Times New Roman" w:cs="Times New Roman" w:eastAsia="Times New Roman" w:hAnsi="Times New Roman"/>
                <w:sz w:val="18"/>
                <w:szCs w:val="18"/>
                <w:color w:val="auto"/>
                <w:w w:val="95"/>
              </w:rPr>
              <w:t>-0-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Donald E. Graham</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1,722,250</w:t>
            </w:r>
          </w:p>
        </w:tc>
        <w:tc>
          <w:tcPr>
            <w:tcW w:w="160" w:type="dxa"/>
            <w:vAlign w:val="bottom"/>
          </w:tcPr>
          <w:p>
            <w:pPr>
              <w:spacing w:after="0"/>
              <w:rPr>
                <w:sz w:val="18"/>
                <w:szCs w:val="18"/>
                <w:color w:val="auto"/>
              </w:rPr>
            </w:pPr>
          </w:p>
        </w:tc>
        <w:tc>
          <w:tcPr>
            <w:tcW w:w="1120" w:type="dxa"/>
            <w:vAlign w:val="bottom"/>
            <w:gridSpan w:val="2"/>
          </w:tcPr>
          <w:p>
            <w:pPr>
              <w:jc w:val="center"/>
              <w:ind w:left="494"/>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18"/>
                <w:szCs w:val="18"/>
                <w:color w:val="auto"/>
              </w:rPr>
            </w:pPr>
          </w:p>
        </w:tc>
        <w:tc>
          <w:tcPr>
            <w:tcW w:w="1200" w:type="dxa"/>
            <w:vAlign w:val="bottom"/>
            <w:gridSpan w:val="2"/>
          </w:tcPr>
          <w:p>
            <w:pPr>
              <w:jc w:val="center"/>
              <w:ind w:left="476"/>
              <w:spacing w:after="0"/>
              <w:rPr>
                <w:sz w:val="20"/>
                <w:szCs w:val="20"/>
                <w:color w:val="auto"/>
              </w:rPr>
            </w:pPr>
            <w:r>
              <w:rPr>
                <w:rFonts w:ascii="Times New Roman" w:cs="Times New Roman" w:eastAsia="Times New Roman" w:hAnsi="Times New Roman"/>
                <w:sz w:val="18"/>
                <w:szCs w:val="18"/>
                <w:color w:val="auto"/>
                <w:w w:val="95"/>
              </w:rPr>
              <w:t>-0-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D. Simmons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1,722,250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left="494"/>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left="476"/>
              <w:spacing w:after="0"/>
              <w:rPr>
                <w:sz w:val="20"/>
                <w:szCs w:val="20"/>
                <w:color w:val="auto"/>
              </w:rPr>
            </w:pPr>
            <w:r>
              <w:rPr>
                <w:rFonts w:ascii="Times New Roman" w:cs="Times New Roman" w:eastAsia="Times New Roman" w:hAnsi="Times New Roman"/>
                <w:sz w:val="18"/>
                <w:szCs w:val="18"/>
                <w:color w:val="auto"/>
                <w:w w:val="95"/>
              </w:rPr>
              <w:t>-0-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George W. Wilson</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1,722,250</w:t>
            </w:r>
          </w:p>
        </w:tc>
        <w:tc>
          <w:tcPr>
            <w:tcW w:w="160" w:type="dxa"/>
            <w:vAlign w:val="bottom"/>
          </w:tcPr>
          <w:p>
            <w:pPr>
              <w:spacing w:after="0"/>
              <w:rPr>
                <w:sz w:val="19"/>
                <w:szCs w:val="19"/>
                <w:color w:val="auto"/>
              </w:rPr>
            </w:pPr>
          </w:p>
        </w:tc>
        <w:tc>
          <w:tcPr>
            <w:tcW w:w="1120" w:type="dxa"/>
            <w:vAlign w:val="bottom"/>
            <w:gridSpan w:val="2"/>
          </w:tcPr>
          <w:p>
            <w:pPr>
              <w:jc w:val="center"/>
              <w:ind w:left="494"/>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19"/>
                <w:szCs w:val="19"/>
                <w:color w:val="auto"/>
              </w:rPr>
            </w:pPr>
          </w:p>
        </w:tc>
        <w:tc>
          <w:tcPr>
            <w:tcW w:w="1200" w:type="dxa"/>
            <w:vAlign w:val="bottom"/>
            <w:gridSpan w:val="2"/>
          </w:tcPr>
          <w:p>
            <w:pPr>
              <w:jc w:val="center"/>
              <w:ind w:left="476"/>
              <w:spacing w:after="0"/>
              <w:rPr>
                <w:sz w:val="20"/>
                <w:szCs w:val="20"/>
                <w:color w:val="auto"/>
              </w:rPr>
            </w:pPr>
            <w:r>
              <w:rPr>
                <w:rFonts w:ascii="Times New Roman" w:cs="Times New Roman" w:eastAsia="Times New Roman" w:hAnsi="Times New Roman"/>
                <w:sz w:val="18"/>
                <w:szCs w:val="18"/>
                <w:color w:val="auto"/>
                <w:w w:val="95"/>
              </w:rPr>
              <w:t>-0-</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8"/>
        </w:trPr>
        <w:tc>
          <w:tcPr>
            <w:tcW w:w="560" w:type="dxa"/>
            <w:vAlign w:val="bottom"/>
          </w:tcPr>
          <w:p>
            <w:pPr>
              <w:spacing w:after="0"/>
              <w:rPr>
                <w:sz w:val="24"/>
                <w:szCs w:val="24"/>
                <w:color w:val="auto"/>
              </w:rPr>
            </w:pPr>
          </w:p>
        </w:tc>
        <w:tc>
          <w:tcPr>
            <w:tcW w:w="674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Class B Directors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Votes</w:t>
            </w:r>
          </w:p>
        </w:tc>
        <w:tc>
          <w:tcPr>
            <w:tcW w:w="580" w:type="dxa"/>
            <w:vAlign w:val="bottom"/>
          </w:tcPr>
          <w:p>
            <w:pPr>
              <w:spacing w:after="0"/>
              <w:rPr>
                <w:sz w:val="8"/>
                <w:szCs w:val="8"/>
                <w:color w:val="auto"/>
              </w:rPr>
            </w:pPr>
          </w:p>
        </w:tc>
        <w:tc>
          <w:tcPr>
            <w:tcW w:w="114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3"/>
              </w:rPr>
              <w:t>Broker</w:t>
            </w:r>
          </w:p>
        </w:tc>
        <w:tc>
          <w:tcPr>
            <w:tcW w:w="0" w:type="dxa"/>
            <w:vAlign w:val="bottom"/>
          </w:tcPr>
          <w:p>
            <w:pPr>
              <w:spacing w:after="0"/>
              <w:rPr>
                <w:sz w:val="1"/>
                <w:szCs w:val="1"/>
                <w:color w:val="auto"/>
              </w:rPr>
            </w:pPr>
          </w:p>
        </w:tc>
      </w:tr>
      <w:tr>
        <w:trPr>
          <w:trHeight w:val="233"/>
        </w:trPr>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58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60" w:type="dxa"/>
            <w:vAlign w:val="bottom"/>
          </w:tcPr>
          <w:p>
            <w:pPr>
              <w:spacing w:after="0"/>
              <w:rPr>
                <w:sz w:val="15"/>
                <w:szCs w:val="15"/>
                <w:color w:val="auto"/>
              </w:rPr>
            </w:pPr>
          </w:p>
        </w:tc>
        <w:tc>
          <w:tcPr>
            <w:tcW w:w="674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Nominee</w:t>
            </w:r>
          </w:p>
        </w:tc>
        <w:tc>
          <w:tcPr>
            <w:tcW w:w="14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5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Non-Votes</w:t>
            </w:r>
          </w:p>
        </w:tc>
        <w:tc>
          <w:tcPr>
            <w:tcW w:w="0" w:type="dxa"/>
            <w:vAlign w:val="bottom"/>
          </w:tcPr>
          <w:p>
            <w:pPr>
              <w:spacing w:after="0"/>
              <w:rPr>
                <w:sz w:val="1"/>
                <w:szCs w:val="1"/>
                <w:color w:val="auto"/>
              </w:rPr>
            </w:pPr>
          </w:p>
        </w:tc>
      </w:tr>
      <w:tr>
        <w:trPr>
          <w:trHeight w:val="95"/>
        </w:trPr>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gridSpan w:val="2"/>
          </w:tcPr>
          <w:p>
            <w:pPr>
              <w:spacing w:after="0"/>
              <w:rPr>
                <w:sz w:val="8"/>
                <w:szCs w:val="8"/>
                <w:color w:val="auto"/>
              </w:rPr>
            </w:pPr>
          </w:p>
        </w:tc>
        <w:tc>
          <w:tcPr>
            <w:tcW w:w="840" w:type="dxa"/>
            <w:vAlign w:val="bottom"/>
            <w:gridSpan w:val="2"/>
          </w:tcPr>
          <w:p>
            <w:pPr>
              <w:spacing w:after="0"/>
              <w:rPr>
                <w:sz w:val="8"/>
                <w:szCs w:val="8"/>
                <w:color w:val="auto"/>
              </w:rPr>
            </w:pPr>
          </w:p>
        </w:tc>
        <w:tc>
          <w:tcPr>
            <w:tcW w:w="5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gridSpan w:val="2"/>
          </w:tcPr>
          <w:p>
            <w:pPr>
              <w:spacing w:after="0"/>
              <w:rPr>
                <w:sz w:val="8"/>
                <w:szCs w:val="8"/>
                <w:color w:val="auto"/>
              </w:rPr>
            </w:pPr>
          </w:p>
        </w:tc>
        <w:tc>
          <w:tcPr>
            <w:tcW w:w="1300" w:type="dxa"/>
            <w:vAlign w:val="bottom"/>
            <w:gridSpan w:val="3"/>
          </w:tcPr>
          <w:p>
            <w:pPr>
              <w:spacing w:after="0"/>
              <w:rPr>
                <w:sz w:val="8"/>
                <w:szCs w:val="8"/>
                <w:color w:val="auto"/>
              </w:rPr>
            </w:pPr>
          </w:p>
        </w:tc>
        <w:tc>
          <w:tcPr>
            <w:tcW w:w="1200" w:type="dxa"/>
            <w:vAlign w:val="bottom"/>
            <w:gridSpan w:val="2"/>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67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L. Dotson Jr.</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6,930,752</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28,373</w:t>
            </w:r>
          </w:p>
        </w:tc>
        <w:tc>
          <w:tcPr>
            <w:tcW w:w="1200" w:type="dxa"/>
            <w:vAlign w:val="bottom"/>
            <w:gridSpan w:val="2"/>
            <w:shd w:val="clear" w:color="auto" w:fill="CCEEFF"/>
          </w:tcPr>
          <w:p>
            <w:pPr>
              <w:jc w:val="center"/>
              <w:ind w:left="476"/>
              <w:spacing w:after="0"/>
              <w:rPr>
                <w:sz w:val="20"/>
                <w:szCs w:val="20"/>
                <w:color w:val="auto"/>
              </w:rPr>
            </w:pPr>
            <w:r>
              <w:rPr>
                <w:rFonts w:ascii="Times New Roman" w:cs="Times New Roman" w:eastAsia="Times New Roman" w:hAnsi="Times New Roman"/>
                <w:sz w:val="18"/>
                <w:szCs w:val="18"/>
                <w:color w:val="auto"/>
                <w:w w:val="95"/>
              </w:rPr>
              <w:t>-0-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Ronald L. Olson</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6,849,944</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109,181</w:t>
            </w:r>
          </w:p>
        </w:tc>
        <w:tc>
          <w:tcPr>
            <w:tcW w:w="1200" w:type="dxa"/>
            <w:vAlign w:val="bottom"/>
            <w:gridSpan w:val="2"/>
          </w:tcPr>
          <w:p>
            <w:pPr>
              <w:jc w:val="center"/>
              <w:ind w:left="476"/>
              <w:spacing w:after="0"/>
              <w:rPr>
                <w:sz w:val="20"/>
                <w:szCs w:val="20"/>
                <w:color w:val="auto"/>
              </w:rPr>
            </w:pPr>
            <w:r>
              <w:rPr>
                <w:rFonts w:ascii="Times New Roman" w:cs="Times New Roman" w:eastAsia="Times New Roman" w:hAnsi="Times New Roman"/>
                <w:sz w:val="18"/>
                <w:szCs w:val="18"/>
                <w:color w:val="auto"/>
                <w:w w:val="95"/>
              </w:rPr>
              <w:t>-0-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Alice M. Rivlin</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6,846,246</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112,879</w:t>
            </w:r>
          </w:p>
        </w:tc>
        <w:tc>
          <w:tcPr>
            <w:tcW w:w="1200" w:type="dxa"/>
            <w:vAlign w:val="bottom"/>
            <w:gridSpan w:val="2"/>
            <w:shd w:val="clear" w:color="auto" w:fill="CCEEFF"/>
          </w:tcPr>
          <w:p>
            <w:pPr>
              <w:jc w:val="center"/>
              <w:ind w:left="476"/>
              <w:spacing w:after="0"/>
              <w:rPr>
                <w:sz w:val="20"/>
                <w:szCs w:val="20"/>
                <w:color w:val="auto"/>
              </w:rPr>
            </w:pPr>
            <w:r>
              <w:rPr>
                <w:rFonts w:ascii="Times New Roman" w:cs="Times New Roman" w:eastAsia="Times New Roman" w:hAnsi="Times New Roman"/>
                <w:sz w:val="18"/>
                <w:szCs w:val="18"/>
                <w:color w:val="auto"/>
                <w:w w:val="95"/>
              </w:rPr>
              <w:t>-0-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73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6. Exhibits and Reports on Form 8-K.</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300" w:type="dxa"/>
            <w:vAlign w:val="bottom"/>
            <w:gridSpan w:val="8"/>
          </w:tcPr>
          <w:p>
            <w:pPr>
              <w:ind w:left="460"/>
              <w:spacing w:after="0"/>
              <w:rPr>
                <w:sz w:val="20"/>
                <w:szCs w:val="20"/>
                <w:color w:val="auto"/>
              </w:rPr>
            </w:pPr>
            <w:r>
              <w:rPr>
                <w:rFonts w:ascii="Times New Roman" w:cs="Times New Roman" w:eastAsia="Times New Roman" w:hAnsi="Times New Roman"/>
                <w:sz w:val="18"/>
                <w:szCs w:val="18"/>
                <w:color w:val="auto"/>
              </w:rPr>
              <w:t>(a) The following documents are filed as exhibits to this report:</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5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4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9160" w:type="dxa"/>
            <w:vAlign w:val="bottom"/>
            <w:gridSpan w:val="10"/>
          </w:tcPr>
          <w:p>
            <w:pPr>
              <w:spacing w:after="0"/>
              <w:rPr>
                <w:sz w:val="8"/>
                <w:szCs w:val="8"/>
                <w:color w:val="auto"/>
              </w:rPr>
            </w:pPr>
          </w:p>
        </w:tc>
        <w:tc>
          <w:tcPr>
            <w:tcW w:w="0" w:type="dxa"/>
            <w:vAlign w:val="bottom"/>
          </w:tcPr>
          <w:p>
            <w:pPr>
              <w:spacing w:after="0"/>
              <w:rPr>
                <w:sz w:val="1"/>
                <w:szCs w:val="1"/>
                <w:color w:val="auto"/>
              </w:rPr>
            </w:pPr>
          </w:p>
        </w:tc>
      </w:tr>
      <w:tr>
        <w:trPr>
          <w:trHeight w:val="41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120" w:type="dxa"/>
            <w:vAlign w:val="bottom"/>
            <w:gridSpan w:val="13"/>
          </w:tcPr>
          <w:p>
            <w:pPr>
              <w:ind w:left="120"/>
              <w:spacing w:after="0"/>
              <w:rPr>
                <w:sz w:val="20"/>
                <w:szCs w:val="20"/>
                <w:color w:val="auto"/>
              </w:rPr>
            </w:pPr>
            <w:r>
              <w:rPr>
                <w:rFonts w:ascii="Times New Roman" w:cs="Times New Roman" w:eastAsia="Times New Roman" w:hAnsi="Times New Roman"/>
                <w:sz w:val="18"/>
                <w:szCs w:val="18"/>
                <w:color w:val="auto"/>
                <w:w w:val="99"/>
              </w:rPr>
              <w:t>Restated Certificate of Incorporation of the Company dated November 13, 2003 (incorporated by reference to Exhibit 3.1 to the Company’s</w:t>
            </w:r>
          </w:p>
        </w:tc>
        <w:tc>
          <w:tcPr>
            <w:tcW w:w="0" w:type="dxa"/>
            <w:vAlign w:val="bottom"/>
          </w:tcPr>
          <w:p>
            <w:pPr>
              <w:spacing w:after="0"/>
              <w:rPr>
                <w:sz w:val="1"/>
                <w:szCs w:val="1"/>
                <w:color w:val="auto"/>
              </w:rPr>
            </w:pPr>
          </w:p>
        </w:tc>
      </w:tr>
      <w:tr>
        <w:trPr>
          <w:trHeight w:val="228"/>
        </w:trPr>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Annual Report on Form 10-K for the fiscal year ended December 28, 2003).</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120" w:type="dxa"/>
            <w:vAlign w:val="bottom"/>
            <w:gridSpan w:val="13"/>
          </w:tcPr>
          <w:p>
            <w:pPr>
              <w:ind w:left="120"/>
              <w:spacing w:after="0"/>
              <w:rPr>
                <w:sz w:val="20"/>
                <w:szCs w:val="20"/>
                <w:color w:val="auto"/>
              </w:rPr>
            </w:pPr>
            <w:r>
              <w:rPr>
                <w:rFonts w:ascii="Times New Roman" w:cs="Times New Roman" w:eastAsia="Times New Roman" w:hAnsi="Times New Roman"/>
                <w:sz w:val="18"/>
                <w:szCs w:val="18"/>
                <w:color w:val="auto"/>
                <w:w w:val="97"/>
              </w:rPr>
              <w:t>Certificate of Designation for the Company’s Series A Preferred Stock dated September 22, 2003 (incorporated by reference to Exhibit 3.2 to</w:t>
            </w:r>
          </w:p>
        </w:tc>
        <w:tc>
          <w:tcPr>
            <w:tcW w:w="0" w:type="dxa"/>
            <w:vAlign w:val="bottom"/>
          </w:tcPr>
          <w:p>
            <w:pPr>
              <w:spacing w:after="0"/>
              <w:rPr>
                <w:sz w:val="1"/>
                <w:szCs w:val="1"/>
                <w:color w:val="auto"/>
              </w:rPr>
            </w:pPr>
          </w:p>
        </w:tc>
      </w:tr>
      <w:tr>
        <w:trPr>
          <w:trHeight w:val="228"/>
        </w:trPr>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100" w:type="dxa"/>
            <w:vAlign w:val="bottom"/>
            <w:gridSpan w:val="7"/>
          </w:tcPr>
          <w:p>
            <w:pPr>
              <w:ind w:left="120"/>
              <w:spacing w:after="0"/>
              <w:rPr>
                <w:sz w:val="20"/>
                <w:szCs w:val="20"/>
                <w:color w:val="auto"/>
              </w:rPr>
            </w:pPr>
            <w:r>
              <w:rPr>
                <w:rFonts w:ascii="Times New Roman" w:cs="Times New Roman" w:eastAsia="Times New Roman" w:hAnsi="Times New Roman"/>
                <w:sz w:val="18"/>
                <w:szCs w:val="18"/>
                <w:color w:val="auto"/>
              </w:rPr>
              <w:t>Amendment No. 1 to the Company’s Current Report on Form 8-K dated September 22, 2003).</w:t>
            </w: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120" w:type="dxa"/>
            <w:vAlign w:val="bottom"/>
            <w:gridSpan w:val="13"/>
          </w:tcPr>
          <w:p>
            <w:pPr>
              <w:ind w:left="120"/>
              <w:spacing w:after="0"/>
              <w:rPr>
                <w:sz w:val="20"/>
                <w:szCs w:val="20"/>
                <w:color w:val="auto"/>
              </w:rPr>
            </w:pPr>
            <w:r>
              <w:rPr>
                <w:rFonts w:ascii="Times New Roman" w:cs="Times New Roman" w:eastAsia="Times New Roman" w:hAnsi="Times New Roman"/>
                <w:sz w:val="18"/>
                <w:szCs w:val="18"/>
                <w:color w:val="auto"/>
                <w:w w:val="99"/>
              </w:rPr>
              <w:t>By-Laws of the Company as amended and restated through September 22, 2003 (incorporated by reference to Exhibit 3.4 to the Company’s</w:t>
            </w:r>
          </w:p>
        </w:tc>
        <w:tc>
          <w:tcPr>
            <w:tcW w:w="0" w:type="dxa"/>
            <w:vAlign w:val="bottom"/>
          </w:tcPr>
          <w:p>
            <w:pPr>
              <w:spacing w:after="0"/>
              <w:rPr>
                <w:sz w:val="1"/>
                <w:szCs w:val="1"/>
                <w:color w:val="auto"/>
              </w:rPr>
            </w:pPr>
          </w:p>
        </w:tc>
      </w:tr>
      <w:tr>
        <w:trPr>
          <w:trHeight w:val="228"/>
        </w:trPr>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Current Report on Form 8-K dated September 22, 2003).</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120" w:type="dxa"/>
            <w:vAlign w:val="bottom"/>
            <w:gridSpan w:val="13"/>
          </w:tcPr>
          <w:p>
            <w:pPr>
              <w:ind w:left="120"/>
              <w:spacing w:after="0"/>
              <w:rPr>
                <w:sz w:val="20"/>
                <w:szCs w:val="20"/>
                <w:color w:val="auto"/>
              </w:rPr>
            </w:pPr>
            <w:r>
              <w:rPr>
                <w:rFonts w:ascii="Times New Roman" w:cs="Times New Roman" w:eastAsia="Times New Roman" w:hAnsi="Times New Roman"/>
                <w:sz w:val="18"/>
                <w:szCs w:val="18"/>
                <w:color w:val="auto"/>
                <w:w w:val="97"/>
              </w:rPr>
              <w:t>Form of the Company’s 5.50% Notes due February 15, 2009, issued under the Indenture dated as of February 17, 1999, between the Company</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120" w:type="dxa"/>
            <w:vAlign w:val="bottom"/>
            <w:gridSpan w:val="13"/>
          </w:tcPr>
          <w:p>
            <w:pPr>
              <w:ind w:left="120"/>
              <w:spacing w:after="0"/>
              <w:rPr>
                <w:sz w:val="20"/>
                <w:szCs w:val="20"/>
                <w:color w:val="auto"/>
              </w:rPr>
            </w:pPr>
            <w:r>
              <w:rPr>
                <w:rFonts w:ascii="Times New Roman" w:cs="Times New Roman" w:eastAsia="Times New Roman" w:hAnsi="Times New Roman"/>
                <w:sz w:val="18"/>
                <w:szCs w:val="18"/>
                <w:color w:val="auto"/>
                <w:w w:val="97"/>
              </w:rPr>
              <w:t>and The First National Bank of Chicago, as Trustee (incorporated by reference to Exhibit 4.2 to the Company’s Annual Report on Form 10-K</w:t>
            </w:r>
          </w:p>
        </w:tc>
        <w:tc>
          <w:tcPr>
            <w:tcW w:w="0" w:type="dxa"/>
            <w:vAlign w:val="bottom"/>
          </w:tcPr>
          <w:p>
            <w:pPr>
              <w:spacing w:after="0"/>
              <w:rPr>
                <w:sz w:val="1"/>
                <w:szCs w:val="1"/>
                <w:color w:val="auto"/>
              </w:rPr>
            </w:pPr>
          </w:p>
        </w:tc>
      </w:tr>
      <w:tr>
        <w:trPr>
          <w:trHeight w:val="228"/>
        </w:trPr>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for the fiscal year ended January 3, 1999).</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560" w:type="dxa"/>
            <w:vAlign w:val="bottom"/>
          </w:tcPr>
          <w:p>
            <w:pPr>
              <w:spacing w:after="0"/>
              <w:rPr>
                <w:sz w:val="24"/>
                <w:szCs w:val="24"/>
                <w:color w:val="auto"/>
              </w:rPr>
            </w:pPr>
          </w:p>
        </w:tc>
        <w:tc>
          <w:tcPr>
            <w:tcW w:w="6740" w:type="dxa"/>
            <w:vAlign w:val="bottom"/>
            <w:gridSpan w:val="7"/>
          </w:tcPr>
          <w:p>
            <w:pPr>
              <w:jc w:val="right"/>
              <w:ind w:right="148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72" w:right="279" w:bottom="1440" w:gutter="0" w:footer="0" w:header="0"/>
        </w:sectPr>
      </w:pPr>
    </w:p>
    <w:bookmarkStart w:id="24" w:name="page25"/>
    <w:bookmarkEnd w:id="24"/>
    <w:p>
      <w:pPr>
        <w:ind w:left="1212" w:right="740" w:hanging="742"/>
        <w:spacing w:after="0" w:line="275" w:lineRule="auto"/>
        <w:tabs>
          <w:tab w:leader="none" w:pos="1192"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4.2</w:t>
      </w:r>
      <w:r>
        <w:rPr>
          <w:sz w:val="20"/>
          <w:szCs w:val="20"/>
          <w:color w:val="auto"/>
        </w:rPr>
        <w:tab/>
      </w:r>
      <w:r>
        <w:rPr>
          <w:rFonts w:ascii="Times New Roman" w:cs="Times New Roman" w:eastAsia="Times New Roman" w:hAnsi="Times New Roman"/>
          <w:sz w:val="18"/>
          <w:szCs w:val="18"/>
          <w:color w:val="auto"/>
        </w:rPr>
        <w:t>Indenture dated as of February 17, 1999, between the Company and The First National Bank of Chicago, as Trustee (incorporated by reference to the Company’s Annual Report on Form 10-K for the fiscal year ended January 3, 1999).</w:t>
      </w:r>
    </w:p>
    <w:p>
      <w:pPr>
        <w:spacing w:after="0" w:line="66" w:lineRule="exact"/>
        <w:rPr>
          <w:sz w:val="20"/>
          <w:szCs w:val="20"/>
          <w:color w:val="auto"/>
        </w:rPr>
      </w:pPr>
    </w:p>
    <w:p>
      <w:pPr>
        <w:jc w:val="both"/>
        <w:ind w:left="1212" w:right="360" w:hanging="742"/>
        <w:spacing w:after="0" w:line="258" w:lineRule="auto"/>
        <w:tabs>
          <w:tab w:leader="none" w:pos="1192"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First Supplemental Indenture dated as of September 22, 2003, among WP Company LLC, the Company and Bank One, NA, as successor to The First National Bank of Chicago, as trustee, to the Indenture dated as of February 17, 1999, between The Washington Post Company and The First National Bank of Chicago, as trustee (incorporated by reference to Exhibit 4.1 to the Company’s Current Report on Form 8-K dated September 22, 2003).</w:t>
      </w:r>
    </w:p>
    <w:p>
      <w:pPr>
        <w:spacing w:after="0" w:line="82" w:lineRule="exact"/>
        <w:rPr>
          <w:sz w:val="20"/>
          <w:szCs w:val="20"/>
          <w:color w:val="auto"/>
        </w:rPr>
      </w:pPr>
    </w:p>
    <w:p>
      <w:pPr>
        <w:ind w:left="1212" w:right="580" w:hanging="742"/>
        <w:spacing w:after="0" w:line="262" w:lineRule="auto"/>
        <w:tabs>
          <w:tab w:leader="none" w:pos="1192"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364-Day Credit Agreement dated as of August 13, 2003, among the Company, Citibank, N.A., Wachovia Bank, N.A., SunTrust Bank, Bank One, N.A., JPMorgan Chase Bank, The Bank of New York and Riggs Bank, N.A. (incorporated by reference to Exhibit 4.2 to the Company’s Current Report on Form 8-K dated September 22, 2003).</w:t>
      </w:r>
    </w:p>
    <w:p>
      <w:pPr>
        <w:spacing w:after="0" w:line="78" w:lineRule="exact"/>
        <w:rPr>
          <w:sz w:val="20"/>
          <w:szCs w:val="20"/>
          <w:color w:val="auto"/>
        </w:rPr>
      </w:pPr>
    </w:p>
    <w:p>
      <w:pPr>
        <w:ind w:left="1212" w:right="420" w:hanging="742"/>
        <w:spacing w:after="0" w:line="262" w:lineRule="auto"/>
        <w:tabs>
          <w:tab w:leader="none" w:pos="1192"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5-Year Credit Agreement dated as of August 14, 2002, among the Company, Citibank, N.A., Wachovia Bank, N.A., SunTrust Bank, Bank One, N.A., JPMorgan Chase Bank, The Bank of New York and Riggs Bank, N.A. (incorporated by reference to Exhibit 4.4 to the Company’s Quarterly Report on Form 10-Q for the quarter ended September 29, 2002).</w:t>
      </w:r>
    </w:p>
    <w:p>
      <w:pPr>
        <w:spacing w:after="0" w:line="78" w:lineRule="exact"/>
        <w:rPr>
          <w:sz w:val="20"/>
          <w:szCs w:val="20"/>
          <w:color w:val="auto"/>
        </w:rPr>
      </w:pPr>
    </w:p>
    <w:p>
      <w:pPr>
        <w:ind w:left="1212" w:right="500" w:hanging="742"/>
        <w:spacing w:after="0" w:line="262" w:lineRule="auto"/>
        <w:tabs>
          <w:tab w:leader="none" w:pos="1192"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Consent and Amendment No. 1 dated as of August 13, 2003, to the 5-Year Credit Agreement dated as of August 14, 2002, among the Company, Citibank, N.A. and the other lenders that are parties to such Credit Agreement (incorporated by reference to Exhibit 4.3 to the Company’s Current Report on Form 8-K dated September 22, 2003).</w:t>
      </w:r>
    </w:p>
    <w:p>
      <w:pPr>
        <w:spacing w:after="0" w:line="78" w:lineRule="exact"/>
        <w:rPr>
          <w:sz w:val="20"/>
          <w:szCs w:val="20"/>
          <w:color w:val="auto"/>
        </w:rPr>
      </w:pPr>
    </w:p>
    <w:p>
      <w:pPr>
        <w:ind w:left="452"/>
        <w:spacing w:after="0"/>
        <w:tabs>
          <w:tab w:leader="none" w:pos="1192"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Calculation of earnings per share of common stock.</w:t>
      </w:r>
    </w:p>
    <w:p>
      <w:pPr>
        <w:spacing w:after="0" w:line="117" w:lineRule="exact"/>
        <w:rPr>
          <w:sz w:val="20"/>
          <w:szCs w:val="20"/>
          <w:color w:val="auto"/>
        </w:rPr>
      </w:pPr>
    </w:p>
    <w:p>
      <w:pPr>
        <w:ind w:left="452"/>
        <w:spacing w:after="0"/>
        <w:tabs>
          <w:tab w:leader="none" w:pos="1192"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6"/>
          <w:szCs w:val="16"/>
          <w:color w:val="auto"/>
        </w:rPr>
        <w:t>Rule 13a-14(a)/15d-14(a) Certification of the Chief Executive Officer.</w:t>
      </w:r>
    </w:p>
    <w:p>
      <w:pPr>
        <w:spacing w:after="0" w:line="117" w:lineRule="exact"/>
        <w:rPr>
          <w:sz w:val="20"/>
          <w:szCs w:val="20"/>
          <w:color w:val="auto"/>
        </w:rPr>
      </w:pPr>
    </w:p>
    <w:p>
      <w:pPr>
        <w:ind w:left="452"/>
        <w:spacing w:after="0"/>
        <w:tabs>
          <w:tab w:leader="none" w:pos="1192"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6"/>
          <w:szCs w:val="16"/>
          <w:color w:val="auto"/>
        </w:rPr>
        <w:t>Rule 13a-14(a)/15d-14(a) Certification of the Chief Financial Officer.</w:t>
      </w:r>
    </w:p>
    <w:p>
      <w:pPr>
        <w:spacing w:after="0" w:line="117" w:lineRule="exact"/>
        <w:rPr>
          <w:sz w:val="20"/>
          <w:szCs w:val="20"/>
          <w:color w:val="auto"/>
        </w:rPr>
      </w:pPr>
    </w:p>
    <w:p>
      <w:pPr>
        <w:ind w:left="452"/>
        <w:spacing w:after="0"/>
        <w:tabs>
          <w:tab w:leader="none" w:pos="1192"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6"/>
          <w:szCs w:val="16"/>
          <w:color w:val="auto"/>
        </w:rPr>
        <w:t>Section 1350 Certification of the Chief Executive Officer.</w:t>
      </w:r>
    </w:p>
    <w:p>
      <w:pPr>
        <w:spacing w:after="0" w:line="117" w:lineRule="exact"/>
        <w:rPr>
          <w:sz w:val="20"/>
          <w:szCs w:val="20"/>
          <w:color w:val="auto"/>
        </w:rPr>
      </w:pPr>
    </w:p>
    <w:p>
      <w:pPr>
        <w:ind w:left="452"/>
        <w:spacing w:after="0"/>
        <w:tabs>
          <w:tab w:leader="none" w:pos="1192"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6"/>
          <w:szCs w:val="16"/>
          <w:color w:val="auto"/>
        </w:rPr>
        <w:t>Section 1350 Certification of the Chief Financial Officer.</w:t>
      </w:r>
    </w:p>
    <w:p>
      <w:pPr>
        <w:spacing w:after="0" w:line="158" w:lineRule="exact"/>
        <w:rPr>
          <w:sz w:val="20"/>
          <w:szCs w:val="20"/>
          <w:color w:val="auto"/>
        </w:rPr>
      </w:pPr>
    </w:p>
    <w:p>
      <w:pPr>
        <w:ind w:left="452" w:hanging="452"/>
        <w:spacing w:after="0"/>
        <w:tabs>
          <w:tab w:leader="none" w:pos="45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report on Form 8-K was filed during the quarter for which this report is filed:</w:t>
      </w:r>
    </w:p>
    <w:p>
      <w:pPr>
        <w:spacing w:after="0" w:line="76" w:lineRule="exact"/>
        <w:rPr>
          <w:rFonts w:ascii="Times New Roman" w:cs="Times New Roman" w:eastAsia="Times New Roman" w:hAnsi="Times New Roman"/>
          <w:sz w:val="18"/>
          <w:szCs w:val="18"/>
          <w:color w:val="auto"/>
        </w:rPr>
      </w:pPr>
    </w:p>
    <w:p>
      <w:pPr>
        <w:ind w:left="452"/>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 on Form 8-K dated April 30, 2004, reporting under Item 7 the Company’s first quarter earnings and including as an exhibit the Company’s press release dated April 30, 2004.</w:t>
      </w:r>
    </w:p>
    <w:p>
      <w:pPr>
        <w:spacing w:after="0" w:line="106" w:lineRule="exact"/>
        <w:rPr>
          <w:sz w:val="20"/>
          <w:szCs w:val="20"/>
          <w:color w:val="auto"/>
        </w:rPr>
      </w:pPr>
    </w:p>
    <w:p>
      <w:pPr>
        <w:jc w:val="center"/>
        <w:ind w:right="-111"/>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92"/>
          </w:cols>
          <w:pgMar w:left="248" w:top="382" w:right="359" w:bottom="1440" w:gutter="0" w:footer="0" w:header="0"/>
        </w:sectPr>
      </w:pPr>
    </w:p>
    <w:bookmarkStart w:id="25" w:name="page26"/>
    <w:bookmarkEnd w:id="25"/>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58"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06"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color w:val="auto"/>
        </w:rPr>
        <w:t>THE WASHINGTON POST COMPANY</w:t>
      </w:r>
    </w:p>
    <w:p>
      <w:pPr>
        <w:spacing w:after="0" w:line="21"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color w:val="auto"/>
        </w:rPr>
        <w:t>(Registrant)</w:t>
      </w:r>
    </w:p>
    <w:p>
      <w:pPr>
        <w:spacing w:after="0" w:line="213" w:lineRule="exact"/>
        <w:rPr>
          <w:sz w:val="20"/>
          <w:szCs w:val="20"/>
          <w:color w:val="auto"/>
        </w:rPr>
      </w:pPr>
    </w:p>
    <w:p>
      <w:pPr>
        <w:spacing w:after="0"/>
        <w:tabs>
          <w:tab w:leader="none" w:pos="7840" w:val="left"/>
        </w:tabs>
        <w:rPr>
          <w:sz w:val="20"/>
          <w:szCs w:val="20"/>
          <w:color w:val="auto"/>
        </w:rPr>
      </w:pPr>
      <w:r>
        <w:rPr>
          <w:rFonts w:ascii="Times New Roman" w:cs="Times New Roman" w:eastAsia="Times New Roman" w:hAnsi="Times New Roman"/>
          <w:sz w:val="18"/>
          <w:szCs w:val="18"/>
          <w:color w:val="auto"/>
        </w:rPr>
        <w:t>Date: July 30, 2004</w:t>
      </w:r>
      <w:r>
        <w:rPr>
          <w:sz w:val="20"/>
          <w:szCs w:val="20"/>
          <w:color w:val="auto"/>
        </w:rPr>
        <w:tab/>
      </w:r>
      <w:r>
        <w:rPr>
          <w:rFonts w:ascii="Times New Roman" w:cs="Times New Roman" w:eastAsia="Times New Roman" w:hAnsi="Times New Roman"/>
          <w:sz w:val="16"/>
          <w:szCs w:val="16"/>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83820</wp:posOffset>
            </wp:positionV>
            <wp:extent cx="355028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19"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color w:val="auto"/>
        </w:rPr>
        <w:t>Donald E. Graham,</w:t>
      </w:r>
    </w:p>
    <w:p>
      <w:pPr>
        <w:spacing w:after="0" w:line="21"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color w:val="auto"/>
        </w:rPr>
        <w:t>Chairman &amp; Chief Executive Officer</w:t>
      </w:r>
    </w:p>
    <w:p>
      <w:pPr>
        <w:spacing w:after="0" w:line="9"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13" w:lineRule="exact"/>
        <w:rPr>
          <w:sz w:val="20"/>
          <w:szCs w:val="20"/>
          <w:color w:val="auto"/>
        </w:rPr>
      </w:pPr>
    </w:p>
    <w:p>
      <w:pPr>
        <w:spacing w:after="0"/>
        <w:tabs>
          <w:tab w:leader="none" w:pos="7860" w:val="left"/>
        </w:tabs>
        <w:rPr>
          <w:sz w:val="20"/>
          <w:szCs w:val="20"/>
          <w:color w:val="auto"/>
        </w:rPr>
      </w:pPr>
      <w:r>
        <w:rPr>
          <w:rFonts w:ascii="Times New Roman" w:cs="Times New Roman" w:eastAsia="Times New Roman" w:hAnsi="Times New Roman"/>
          <w:sz w:val="18"/>
          <w:szCs w:val="18"/>
          <w:color w:val="auto"/>
        </w:rPr>
        <w:t>Date: July 30, 2004</w:t>
      </w:r>
      <w:r>
        <w:rPr>
          <w:sz w:val="20"/>
          <w:szCs w:val="20"/>
          <w:color w:val="auto"/>
        </w:rPr>
        <w:tab/>
      </w:r>
      <w:r>
        <w:rPr>
          <w:rFonts w:ascii="Times New Roman" w:cs="Times New Roman" w:eastAsia="Times New Roman" w:hAnsi="Times New Roman"/>
          <w:sz w:val="16"/>
          <w:szCs w:val="16"/>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83820</wp:posOffset>
            </wp:positionV>
            <wp:extent cx="355028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19"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color w:val="auto"/>
        </w:rPr>
        <w:t>John B. Morse, Jr.,</w:t>
      </w:r>
    </w:p>
    <w:p>
      <w:pPr>
        <w:spacing w:after="0" w:line="21"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color w:val="auto"/>
        </w:rPr>
        <w:t>Vice President-Finance</w:t>
      </w:r>
    </w:p>
    <w:p>
      <w:pPr>
        <w:spacing w:after="0" w:line="9"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274" w:right="25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5"/>
              </w:rPr>
              <w:t>Exhibit 11</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7240" w:type="dxa"/>
            <w:vAlign w:val="bottom"/>
          </w:tcPr>
          <w:p>
            <w:pPr>
              <w:jc w:val="center"/>
              <w:ind w:left="4052"/>
              <w:spacing w:after="0"/>
              <w:rPr>
                <w:sz w:val="20"/>
                <w:szCs w:val="20"/>
                <w:color w:val="auto"/>
              </w:rPr>
            </w:pPr>
            <w:r>
              <w:rPr>
                <w:rFonts w:ascii="Times New Roman" w:cs="Times New Roman" w:eastAsia="Times New Roman" w:hAnsi="Times New Roman"/>
                <w:sz w:val="18"/>
                <w:szCs w:val="18"/>
                <w:color w:val="auto"/>
                <w:w w:val="96"/>
              </w:rPr>
              <w:t>THE WASHINGTON POST COMPANY</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7240" w:type="dxa"/>
            <w:vAlign w:val="bottom"/>
          </w:tcPr>
          <w:p>
            <w:pPr>
              <w:jc w:val="center"/>
              <w:ind w:left="4052"/>
              <w:spacing w:after="0"/>
              <w:rPr>
                <w:sz w:val="20"/>
                <w:szCs w:val="20"/>
                <w:color w:val="auto"/>
              </w:rPr>
            </w:pPr>
            <w:r>
              <w:rPr>
                <w:rFonts w:ascii="Times New Roman" w:cs="Times New Roman" w:eastAsia="Times New Roman" w:hAnsi="Times New Roman"/>
                <w:sz w:val="18"/>
                <w:szCs w:val="18"/>
                <w:color w:val="auto"/>
                <w:w w:val="96"/>
              </w:rPr>
              <w:t>CALCULATION OF EARNINGS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jc w:val="center"/>
              <w:ind w:left="4072"/>
              <w:spacing w:after="0"/>
              <w:rPr>
                <w:sz w:val="20"/>
                <w:szCs w:val="20"/>
                <w:color w:val="auto"/>
              </w:rPr>
            </w:pPr>
            <w:r>
              <w:rPr>
                <w:rFonts w:ascii="Times New Roman" w:cs="Times New Roman" w:eastAsia="Times New Roman" w:hAnsi="Times New Roman"/>
                <w:sz w:val="18"/>
                <w:szCs w:val="18"/>
                <w:color w:val="auto"/>
                <w:w w:val="97"/>
              </w:rPr>
              <w:t>PER SHARE OF COMMON STOCK</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40" w:type="dxa"/>
            <w:vAlign w:val="bottom"/>
          </w:tcPr>
          <w:p>
            <w:pPr>
              <w:jc w:val="center"/>
              <w:ind w:left="4072"/>
              <w:spacing w:after="0"/>
              <w:rPr>
                <w:sz w:val="20"/>
                <w:szCs w:val="20"/>
                <w:color w:val="auto"/>
              </w:rPr>
            </w:pPr>
            <w:r>
              <w:rPr>
                <w:rFonts w:ascii="Times New Roman" w:cs="Times New Roman" w:eastAsia="Times New Roman" w:hAnsi="Times New Roman"/>
                <w:sz w:val="18"/>
                <w:szCs w:val="18"/>
                <w:color w:val="auto"/>
                <w:w w:val="97"/>
              </w:rPr>
              <w:t>(In thousands of shares)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4"/>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w w:val="98"/>
              </w:rPr>
              <w:t>Thirteen Weeks Ended</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6"/>
              </w:rPr>
              <w:t>June 27,</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29,</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27,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6"/>
              </w:rPr>
              <w:t>June 29,</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2004</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2003</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2004</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of Class A and Class B common stock outstanding at beginning of period</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9,550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9,526</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9,542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shares of Class B common stock (weighted), net of forfeiture of restricted stock</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awards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in the computation of basic earnings per common share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9,563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9,527</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9,557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 to reflect dilution from common stock equivalents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in the computation of diluted earnings per common share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9,596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9,588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available for common shares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6"/>
              </w:rPr>
              <w:t>84,659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60,390</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143,583</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15.02</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14.98</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3" w:right="2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7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RULE 13a-14(a)/15d-14(a) CERTIFICATION OF THE CHIEF EXECUTIVE OFFICER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Donald E. Graham, Chief Executive Officer (principal executive officer) of The Washington Post Company (the “Registrant”), certify that:</w:t>
      </w:r>
    </w:p>
    <w:p>
      <w:pPr>
        <w:spacing w:after="0" w:line="77"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Registrant;</w:t>
      </w:r>
    </w:p>
    <w:p>
      <w:pPr>
        <w:spacing w:after="0" w:line="157" w:lineRule="exact"/>
        <w:rPr>
          <w:rFonts w:ascii="Times New Roman" w:cs="Times New Roman" w:eastAsia="Times New Roman" w:hAnsi="Times New Roman"/>
          <w:sz w:val="18"/>
          <w:szCs w:val="18"/>
          <w:color w:val="auto"/>
        </w:rPr>
      </w:pPr>
    </w:p>
    <w:p>
      <w:pPr>
        <w:ind w:right="240" w:firstLine="8"/>
        <w:spacing w:after="0" w:line="275" w:lineRule="auto"/>
        <w:tabs>
          <w:tab w:leader="none" w:pos="17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6" w:lineRule="exact"/>
        <w:rPr>
          <w:rFonts w:ascii="Times New Roman" w:cs="Times New Roman" w:eastAsia="Times New Roman" w:hAnsi="Times New Roman"/>
          <w:sz w:val="18"/>
          <w:szCs w:val="18"/>
          <w:color w:val="auto"/>
        </w:rPr>
      </w:pPr>
    </w:p>
    <w:p>
      <w:pPr>
        <w:ind w:right="320" w:firstLine="8"/>
        <w:spacing w:after="0" w:line="275" w:lineRule="auto"/>
        <w:tabs>
          <w:tab w:leader="none" w:pos="17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Times New Roman" w:cs="Times New Roman" w:eastAsia="Times New Roman" w:hAnsi="Times New Roman"/>
          <w:sz w:val="18"/>
          <w:szCs w:val="18"/>
          <w:color w:val="auto"/>
        </w:rPr>
      </w:pPr>
    </w:p>
    <w:p>
      <w:pPr>
        <w:ind w:right="120" w:firstLine="8"/>
        <w:spacing w:after="0" w:line="275" w:lineRule="auto"/>
        <w:tabs>
          <w:tab w:leader="none" w:pos="17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5" w:lineRule="exact"/>
        <w:rPr>
          <w:rFonts w:ascii="Times New Roman" w:cs="Times New Roman" w:eastAsia="Times New Roman" w:hAnsi="Times New Roman"/>
          <w:sz w:val="18"/>
          <w:szCs w:val="18"/>
          <w:color w:val="auto"/>
        </w:rPr>
      </w:pPr>
    </w:p>
    <w:p>
      <w:pPr>
        <w:ind w:left="1920" w:right="80" w:hanging="440"/>
        <w:spacing w:after="0" w:line="262" w:lineRule="auto"/>
        <w:tabs>
          <w:tab w:leader="none" w:pos="19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7" w:lineRule="exact"/>
        <w:rPr>
          <w:rFonts w:ascii="Times New Roman" w:cs="Times New Roman" w:eastAsia="Times New Roman" w:hAnsi="Times New Roman"/>
          <w:sz w:val="18"/>
          <w:szCs w:val="18"/>
          <w:color w:val="auto"/>
        </w:rPr>
      </w:pPr>
    </w:p>
    <w:p>
      <w:pPr>
        <w:ind w:left="1920" w:right="40" w:hanging="440"/>
        <w:spacing w:after="0" w:line="262" w:lineRule="auto"/>
        <w:tabs>
          <w:tab w:leader="none" w:pos="19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7" w:lineRule="exact"/>
        <w:rPr>
          <w:rFonts w:ascii="Times New Roman" w:cs="Times New Roman" w:eastAsia="Times New Roman" w:hAnsi="Times New Roman"/>
          <w:sz w:val="18"/>
          <w:szCs w:val="18"/>
          <w:color w:val="auto"/>
        </w:rPr>
      </w:pPr>
    </w:p>
    <w:p>
      <w:pPr>
        <w:ind w:left="1920" w:right="260" w:hanging="440"/>
        <w:spacing w:after="0" w:line="262" w:lineRule="auto"/>
        <w:tabs>
          <w:tab w:leader="none" w:pos="19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18" w:lineRule="exact"/>
        <w:rPr>
          <w:rFonts w:ascii="Times New Roman" w:cs="Times New Roman" w:eastAsia="Times New Roman" w:hAnsi="Times New Roman"/>
          <w:sz w:val="18"/>
          <w:szCs w:val="18"/>
          <w:color w:val="auto"/>
        </w:rPr>
      </w:pPr>
    </w:p>
    <w:p>
      <w:pPr>
        <w:ind w:right="860" w:firstLine="8"/>
        <w:spacing w:after="0" w:line="275" w:lineRule="auto"/>
        <w:tabs>
          <w:tab w:leader="none" w:pos="17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5" w:lineRule="exact"/>
        <w:rPr>
          <w:rFonts w:ascii="Times New Roman" w:cs="Times New Roman" w:eastAsia="Times New Roman" w:hAnsi="Times New Roman"/>
          <w:sz w:val="18"/>
          <w:szCs w:val="18"/>
          <w:color w:val="auto"/>
        </w:rPr>
      </w:pPr>
    </w:p>
    <w:p>
      <w:pPr>
        <w:ind w:left="1920" w:right="240" w:hanging="440"/>
        <w:spacing w:after="0" w:line="325" w:lineRule="auto"/>
        <w:tabs>
          <w:tab w:leader="none" w:pos="192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reasonable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6"/>
          <w:szCs w:val="16"/>
          <w:color w:val="auto"/>
        </w:rPr>
      </w:pPr>
    </w:p>
    <w:p>
      <w:pPr>
        <w:ind w:left="1920" w:right="460" w:hanging="440"/>
        <w:spacing w:after="0" w:line="275" w:lineRule="auto"/>
        <w:tabs>
          <w:tab w:leader="none" w:pos="19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192976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Donald E. Graham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30, 2004</w:t>
      </w:r>
    </w:p>
    <w:p>
      <w:pPr>
        <w:sectPr>
          <w:pgSz w:w="11900" w:h="16838" w:orient="portrait"/>
          <w:cols w:equalWidth="0" w:num="1">
            <w:col w:w="11420"/>
          </w:cols>
          <w:pgMar w:left="240" w:top="123" w:right="2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7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RULE 13a-14(a)/15d-14(a) CERTIFICATION OF THE CHIEF FINANCIAL OFFICER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B. Morse, Jr., Vice President-Finance (principal financial officer) of The Washington Post Company (the “Registrant”), certify that:</w:t>
      </w:r>
    </w:p>
    <w:p>
      <w:pPr>
        <w:spacing w:after="0" w:line="77"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Registrant;</w:t>
      </w:r>
    </w:p>
    <w:p>
      <w:pPr>
        <w:spacing w:after="0" w:line="76" w:lineRule="exact"/>
        <w:rPr>
          <w:rFonts w:ascii="Times New Roman" w:cs="Times New Roman" w:eastAsia="Times New Roman" w:hAnsi="Times New Roman"/>
          <w:sz w:val="18"/>
          <w:szCs w:val="18"/>
          <w:color w:val="auto"/>
        </w:rPr>
      </w:pPr>
    </w:p>
    <w:p>
      <w:pPr>
        <w:ind w:right="240" w:firstLine="8"/>
        <w:spacing w:after="0" w:line="275" w:lineRule="auto"/>
        <w:tabs>
          <w:tab w:leader="none" w:pos="17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5" w:lineRule="exact"/>
        <w:rPr>
          <w:rFonts w:ascii="Times New Roman" w:cs="Times New Roman" w:eastAsia="Times New Roman" w:hAnsi="Times New Roman"/>
          <w:sz w:val="18"/>
          <w:szCs w:val="18"/>
          <w:color w:val="auto"/>
        </w:rPr>
      </w:pPr>
    </w:p>
    <w:p>
      <w:pPr>
        <w:ind w:right="320" w:firstLine="8"/>
        <w:spacing w:after="0" w:line="275" w:lineRule="auto"/>
        <w:tabs>
          <w:tab w:leader="none" w:pos="17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 w:lineRule="exact"/>
        <w:rPr>
          <w:rFonts w:ascii="Times New Roman" w:cs="Times New Roman" w:eastAsia="Times New Roman" w:hAnsi="Times New Roman"/>
          <w:sz w:val="18"/>
          <w:szCs w:val="18"/>
          <w:color w:val="auto"/>
        </w:rPr>
      </w:pPr>
    </w:p>
    <w:p>
      <w:pPr>
        <w:ind w:right="120" w:firstLine="8"/>
        <w:spacing w:after="0" w:line="275" w:lineRule="auto"/>
        <w:tabs>
          <w:tab w:leader="none" w:pos="17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5" w:lineRule="exact"/>
        <w:rPr>
          <w:rFonts w:ascii="Times New Roman" w:cs="Times New Roman" w:eastAsia="Times New Roman" w:hAnsi="Times New Roman"/>
          <w:sz w:val="18"/>
          <w:szCs w:val="18"/>
          <w:color w:val="auto"/>
        </w:rPr>
      </w:pPr>
    </w:p>
    <w:p>
      <w:pPr>
        <w:ind w:left="900" w:right="60" w:hanging="446"/>
        <w:spacing w:after="0" w:line="262" w:lineRule="auto"/>
        <w:tabs>
          <w:tab w:leader="none" w:pos="9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7" w:lineRule="exact"/>
        <w:rPr>
          <w:rFonts w:ascii="Times New Roman" w:cs="Times New Roman" w:eastAsia="Times New Roman" w:hAnsi="Times New Roman"/>
          <w:sz w:val="18"/>
          <w:szCs w:val="18"/>
          <w:color w:val="auto"/>
        </w:rPr>
      </w:pPr>
    </w:p>
    <w:p>
      <w:pPr>
        <w:ind w:left="900" w:right="40" w:hanging="446"/>
        <w:spacing w:after="0" w:line="275" w:lineRule="auto"/>
        <w:tabs>
          <w:tab w:leader="none" w:pos="9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 w:lineRule="exact"/>
        <w:rPr>
          <w:rFonts w:ascii="Times New Roman" w:cs="Times New Roman" w:eastAsia="Times New Roman" w:hAnsi="Times New Roman"/>
          <w:sz w:val="18"/>
          <w:szCs w:val="18"/>
          <w:color w:val="auto"/>
        </w:rPr>
      </w:pPr>
    </w:p>
    <w:p>
      <w:pPr>
        <w:ind w:left="900" w:right="20" w:hanging="446"/>
        <w:spacing w:after="0" w:line="262" w:lineRule="auto"/>
        <w:tabs>
          <w:tab w:leader="none" w:pos="9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37" w:lineRule="exact"/>
        <w:rPr>
          <w:rFonts w:ascii="Times New Roman" w:cs="Times New Roman" w:eastAsia="Times New Roman" w:hAnsi="Times New Roman"/>
          <w:sz w:val="18"/>
          <w:szCs w:val="18"/>
          <w:color w:val="auto"/>
        </w:rPr>
      </w:pPr>
    </w:p>
    <w:p>
      <w:pPr>
        <w:ind w:right="860" w:firstLine="8"/>
        <w:spacing w:after="0" w:line="275" w:lineRule="auto"/>
        <w:tabs>
          <w:tab w:leader="none" w:pos="17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5"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192976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B. Morse, Jr.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30, 2004</w:t>
      </w:r>
    </w:p>
    <w:p>
      <w:pPr>
        <w:sectPr>
          <w:pgSz w:w="11900" w:h="16838" w:orient="portrait"/>
          <w:cols w:equalWidth="0" w:num="1">
            <w:col w:w="11420"/>
          </w:cols>
          <w:pgMar w:left="240" w:top="123" w:right="2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1350 CERTIFICATION OF THE CHIEF EXECUTIVE OFFICER</w:t>
      </w:r>
    </w:p>
    <w:p>
      <w:pPr>
        <w:spacing w:after="0" w:line="158"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In connection with the Quarterly Report of The Washington Post Company (the “Company”) on Form 10-Q for the period ended June 27, 2004 (the “Report”), I, Donald E. Graham, Chief Executive Officer (principal executive officer) of the Company, certify, pursuant to 18 U.S.C. Section 1350, as adopted pursuant to Section 906 of the Sarbanes-Oxley Act of 2002, that:</w:t>
      </w:r>
    </w:p>
    <w:p>
      <w:pPr>
        <w:spacing w:after="0" w:line="119"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57" w:lineRule="exact"/>
        <w:rPr>
          <w:rFonts w:ascii="Times New Roman" w:cs="Times New Roman" w:eastAsia="Times New Roman" w:hAnsi="Times New Roman"/>
          <w:sz w:val="18"/>
          <w:szCs w:val="18"/>
          <w:color w:val="auto"/>
        </w:rPr>
      </w:pPr>
    </w:p>
    <w:p>
      <w:pPr>
        <w:ind w:right="980" w:firstLine="8"/>
        <w:spacing w:after="0" w:line="447" w:lineRule="auto"/>
        <w:tabs>
          <w:tab w:leader="none" w:pos="24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192976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Donald E. Graham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30, 2004</w:t>
      </w:r>
    </w:p>
    <w:p>
      <w:pPr>
        <w:sectPr>
          <w:pgSz w:w="11900" w:h="16838" w:orient="portrait"/>
          <w:cols w:equalWidth="0" w:num="1">
            <w:col w:w="11420"/>
          </w:cols>
          <w:pgMar w:left="240" w:top="123" w:right="2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1350 CERTIFICATION OF THE CHIEF FINANCIAL OFFICER</w:t>
      </w:r>
    </w:p>
    <w:p>
      <w:pPr>
        <w:spacing w:after="0" w:line="158"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In connection with the Quarterly Report of The Washington Post Company (the “Company”) on Form 10-Q for the period ended June 27, 2004 (the “Report”), I, John B. Morse, Jr., Vice President-Finance (principal financial officer) of the Company, certify, pursuant to 18 U.S.C. Section 1350, as adopted pursuant to Section 906 of the Sarbanes-Oxley Act of 2002, that:</w:t>
      </w:r>
    </w:p>
    <w:p>
      <w:pPr>
        <w:spacing w:after="0" w:line="38" w:lineRule="exact"/>
        <w:rPr>
          <w:sz w:val="20"/>
          <w:szCs w:val="20"/>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57" w:lineRule="exact"/>
        <w:rPr>
          <w:rFonts w:ascii="Times New Roman" w:cs="Times New Roman" w:eastAsia="Times New Roman" w:hAnsi="Times New Roman"/>
          <w:sz w:val="18"/>
          <w:szCs w:val="18"/>
          <w:color w:val="auto"/>
        </w:rPr>
      </w:pPr>
    </w:p>
    <w:p>
      <w:pPr>
        <w:ind w:right="980" w:firstLine="8"/>
        <w:spacing w:after="0" w:line="447" w:lineRule="auto"/>
        <w:tabs>
          <w:tab w:leader="none" w:pos="24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192976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B. Morse, Jr.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30, 2004</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lowerLetter"/>
      <w:start w:val="2"/>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2019-12-13T08:05:25Z</dcterms:created>
  <dcterms:modified xsi:type="dcterms:W3CDTF">2019-12-13T08:05:25Z</dcterms:modified>
</cp:coreProperties>
</file>