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27,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120" w:space="720"/>
            <w:col w:w="17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120" w:space="720"/>
            <w:col w:w="2020" w:space="480"/>
            <w:col w:w="160"/>
          </w:cols>
          <w:pgMar w:left="240" w:top="230" w:right="239" w:bottom="1440" w:gutter="0" w:footer="0" w:header="0"/>
          <w:type w:val="continuous"/>
        </w:sectPr>
      </w:pPr>
    </w:p>
    <w:p>
      <w:pPr>
        <w:spacing w:after="0" w:line="207" w:lineRule="exact"/>
        <w:tabs>
          <w:tab w:leader="none" w:pos="8140" w:val="left"/>
          <w:tab w:leader="none" w:pos="88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Shares outstanding at November 2, 2009:</w:t>
            </w:r>
          </w:p>
        </w:tc>
        <w:tc>
          <w:tcPr>
            <w:tcW w:w="6640" w:type="dxa"/>
            <w:vAlign w:val="bottom"/>
          </w:tcPr>
          <w:p>
            <w:pPr>
              <w:spacing w:after="0"/>
              <w:rPr>
                <w:sz w:val="19"/>
                <w:szCs w:val="19"/>
                <w:color w:val="auto"/>
              </w:rPr>
            </w:pPr>
          </w:p>
        </w:tc>
      </w:tr>
      <w:tr>
        <w:trPr>
          <w:trHeight w:val="412"/>
        </w:trPr>
        <w:tc>
          <w:tcPr>
            <w:tcW w:w="4780" w:type="dxa"/>
            <w:vAlign w:val="bottom"/>
          </w:tcPr>
          <w:p>
            <w:pPr>
              <w:ind w:left="1840"/>
              <w:spacing w:after="0"/>
              <w:rPr>
                <w:sz w:val="20"/>
                <w:szCs w:val="20"/>
                <w:color w:val="auto"/>
              </w:rPr>
            </w:pPr>
            <w:r>
              <w:rPr>
                <w:rFonts w:ascii="Arial" w:cs="Arial" w:eastAsia="Arial" w:hAnsi="Arial"/>
                <w:sz w:val="18"/>
                <w:szCs w:val="18"/>
                <w:color w:val="auto"/>
              </w:rPr>
              <w:t>Class A Common Stock</w:t>
            </w:r>
          </w:p>
        </w:tc>
        <w:tc>
          <w:tcPr>
            <w:tcW w:w="6640" w:type="dxa"/>
            <w:vAlign w:val="bottom"/>
          </w:tcPr>
          <w:p>
            <w:pPr>
              <w:ind w:left="1240"/>
              <w:spacing w:after="0"/>
              <w:rPr>
                <w:sz w:val="20"/>
                <w:szCs w:val="20"/>
                <w:color w:val="auto"/>
              </w:rPr>
            </w:pPr>
            <w:r>
              <w:rPr>
                <w:rFonts w:ascii="Arial" w:cs="Arial" w:eastAsia="Arial" w:hAnsi="Arial"/>
                <w:sz w:val="18"/>
                <w:szCs w:val="18"/>
                <w:color w:val="auto"/>
              </w:rPr>
              <w:t>1,291,693 Shares</w:t>
            </w:r>
          </w:p>
        </w:tc>
      </w:tr>
      <w:tr>
        <w:trPr>
          <w:trHeight w:val="222"/>
        </w:trPr>
        <w:tc>
          <w:tcPr>
            <w:tcW w:w="4780" w:type="dxa"/>
            <w:vAlign w:val="bottom"/>
          </w:tcPr>
          <w:p>
            <w:pPr>
              <w:ind w:left="1840"/>
              <w:spacing w:after="0"/>
              <w:rPr>
                <w:sz w:val="20"/>
                <w:szCs w:val="20"/>
                <w:color w:val="auto"/>
              </w:rPr>
            </w:pPr>
            <w:r>
              <w:rPr>
                <w:rFonts w:ascii="Arial" w:cs="Arial" w:eastAsia="Arial" w:hAnsi="Arial"/>
                <w:sz w:val="18"/>
                <w:szCs w:val="18"/>
                <w:color w:val="auto"/>
              </w:rPr>
              <w:t>Class B Common Stock</w:t>
            </w:r>
          </w:p>
        </w:tc>
        <w:tc>
          <w:tcPr>
            <w:tcW w:w="6640" w:type="dxa"/>
            <w:vAlign w:val="bottom"/>
          </w:tcPr>
          <w:p>
            <w:pPr>
              <w:ind w:left="1240"/>
              <w:spacing w:after="0"/>
              <w:rPr>
                <w:sz w:val="20"/>
                <w:szCs w:val="20"/>
                <w:color w:val="auto"/>
              </w:rPr>
            </w:pPr>
            <w:r>
              <w:rPr>
                <w:rFonts w:ascii="Arial" w:cs="Arial" w:eastAsia="Arial" w:hAnsi="Arial"/>
                <w:sz w:val="18"/>
                <w:szCs w:val="18"/>
                <w:color w:val="auto"/>
              </w:rPr>
              <w:t>8,108,303 Shares</w:t>
            </w:r>
          </w:p>
        </w:tc>
      </w:tr>
      <w:tr>
        <w:trPr>
          <w:trHeight w:val="124"/>
        </w:trPr>
        <w:tc>
          <w:tcPr>
            <w:tcW w:w="4780" w:type="dxa"/>
            <w:vAlign w:val="bottom"/>
            <w:tcBorders>
              <w:bottom w:val="single" w:sz="8" w:color="auto"/>
            </w:tcBorders>
          </w:tcPr>
          <w:p>
            <w:pPr>
              <w:spacing w:after="0"/>
              <w:rPr>
                <w:sz w:val="10"/>
                <w:szCs w:val="10"/>
                <w:color w:val="auto"/>
              </w:rPr>
            </w:pPr>
          </w:p>
        </w:tc>
        <w:tc>
          <w:tcPr>
            <w:tcW w:w="6640" w:type="dxa"/>
            <w:vAlign w:val="bottom"/>
            <w:tcBorders>
              <w:bottom w:val="single" w:sz="8" w:color="auto"/>
            </w:tcBorders>
          </w:tcPr>
          <w:p>
            <w:pPr>
              <w:spacing w:after="0"/>
              <w:rPr>
                <w:sz w:val="10"/>
                <w:szCs w:val="10"/>
                <w:color w:val="auto"/>
              </w:rPr>
            </w:pP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1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PART I.</w:t>
      </w:r>
      <w:r>
        <w:rPr>
          <w:sz w:val="20"/>
          <w:szCs w:val="20"/>
          <w:color w:val="auto"/>
        </w:rPr>
        <w:tab/>
      </w:r>
      <w:r>
        <w:rPr>
          <w:rFonts w:ascii="Arial" w:cs="Arial" w:eastAsia="Arial" w:hAnsi="Arial"/>
          <w:sz w:val="16"/>
          <w:szCs w:val="16"/>
          <w:color w:val="auto"/>
        </w:rPr>
        <w:t>FINANCIAL INFORMATION</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Financial Statements</w:t>
      </w:r>
    </w:p>
    <w:p>
      <w:pPr>
        <w:spacing w:after="0" w:line="117" w:lineRule="exact"/>
        <w:rPr>
          <w:sz w:val="20"/>
          <w:szCs w:val="20"/>
          <w:color w:val="auto"/>
        </w:rPr>
      </w:pPr>
    </w:p>
    <w:p>
      <w:pPr>
        <w:ind w:left="1140" w:hanging="241"/>
        <w:spacing w:after="0"/>
        <w:tabs>
          <w:tab w:leader="none" w:pos="1140" w:val="left"/>
        </w:tabs>
        <w:numPr>
          <w:ilvl w:val="0"/>
          <w:numId w:val="3"/>
        </w:numPr>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Condensed Consolidated Statements of Income (Unaudited) for the Thirteen and Thirty-Nine Weeks Ended September 27, 2009 and</w:t>
        </w:r>
      </w:hyperlink>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1420" w:type="dxa"/>
            <w:vAlign w:val="bottom"/>
            <w:tcBorders>
              <w:bottom w:val="single" w:sz="8" w:color="0000EE"/>
            </w:tcBorders>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September 28, 2008</w:t>
              </w:r>
            </w:hyperlink>
          </w:p>
        </w:tc>
        <w:tc>
          <w:tcPr>
            <w:tcW w:w="88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27" w:lineRule="exact"/>
        <w:rPr>
          <w:sz w:val="20"/>
          <w:szCs w:val="20"/>
          <w:color w:val="auto"/>
        </w:rPr>
      </w:pPr>
    </w:p>
    <w:p>
      <w:pPr>
        <w:ind w:left="1140" w:hanging="241"/>
        <w:spacing w:after="0"/>
        <w:tabs>
          <w:tab w:leader="none" w:pos="1140" w:val="left"/>
        </w:tabs>
        <w:numPr>
          <w:ilvl w:val="0"/>
          <w:numId w:val="4"/>
        </w:numPr>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Statements of Comprehensive Income (Unaudited) for the Thirteen and Thirty-Nine Weeks Ended September 27,</w:t>
        </w:r>
      </w:hyperlink>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2009 and September 28, 2008</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c.</w:t>
            </w:r>
          </w:p>
        </w:tc>
        <w:tc>
          <w:tcPr>
            <w:tcW w:w="992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at September 27, 2009 (Unaudited) and December 28, 2008</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d.</w:t>
            </w:r>
          </w:p>
        </w:tc>
        <w:tc>
          <w:tcPr>
            <w:tcW w:w="9920" w:type="dxa"/>
            <w:vAlign w:val="bottom"/>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for the Thirty-Nine Weeks Ended September 27, 2009 and September 28,</w:t>
              </w:r>
            </w:hyperlink>
          </w:p>
        </w:tc>
        <w:tc>
          <w:tcPr>
            <w:tcW w:w="36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2008</w:t>
              </w:r>
            </w:hyperlink>
          </w:p>
        </w:tc>
        <w:tc>
          <w:tcPr>
            <w:tcW w:w="11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e.</w:t>
            </w:r>
          </w:p>
        </w:tc>
        <w:tc>
          <w:tcPr>
            <w:tcW w:w="4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512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Results of Operations and Financial Condition</w:t>
              </w:r>
            </w:hyperlink>
          </w:p>
        </w:tc>
        <w:tc>
          <w:tcPr>
            <w:tcW w:w="386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160" w:type="dxa"/>
            <w:vAlign w:val="bottom"/>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96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44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43"/>
        </w:trPr>
        <w:tc>
          <w:tcPr>
            <w:tcW w:w="9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0160" w:type="dxa"/>
            <w:vAlign w:val="bottom"/>
            <w:gridSpan w:val="11"/>
          </w:tcPr>
          <w:p>
            <w:pPr>
              <w:spacing w:after="0"/>
              <w:rPr>
                <w:sz w:val="20"/>
                <w:szCs w:val="20"/>
                <w:color w:val="auto"/>
              </w:rPr>
            </w:pPr>
            <w:r>
              <w:rPr>
                <w:rFonts w:ascii="Arial" w:cs="Arial" w:eastAsia="Arial" w:hAnsi="Arial"/>
                <w:sz w:val="18"/>
                <w:szCs w:val="18"/>
                <w:color w:val="auto"/>
              </w:rPr>
              <w:t>OTHER INFORMATION</w:t>
            </w:r>
          </w:p>
        </w:tc>
        <w:tc>
          <w:tcPr>
            <w:tcW w:w="360" w:type="dxa"/>
            <w:vAlign w:val="bottom"/>
          </w:tcPr>
          <w:p>
            <w:pPr>
              <w:spacing w:after="0"/>
              <w:rPr>
                <w:sz w:val="24"/>
                <w:szCs w:val="24"/>
                <w:color w:val="auto"/>
              </w:rPr>
            </w:pPr>
          </w:p>
        </w:tc>
      </w:tr>
      <w:tr>
        <w:trPr>
          <w:trHeight w:val="286"/>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16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90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3"/>
        </w:trPr>
        <w:tc>
          <w:tcPr>
            <w:tcW w:w="6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0" w:type="dxa"/>
            <w:vAlign w:val="bottom"/>
            <w:gridSpan w:val="6"/>
          </w:tcPr>
          <w:p>
            <w:pPr>
              <w:ind w:left="454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4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2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4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87"/>
              </w:rPr>
              <w:t>The Washington Post Company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60" w:type="dxa"/>
            <w:vAlign w:val="bottom"/>
            <w:gridSpan w:val="5"/>
          </w:tcPr>
          <w:p>
            <w:pPr>
              <w:jc w:val="center"/>
              <w:ind w:left="812"/>
              <w:spacing w:after="0"/>
              <w:rPr>
                <w:sz w:val="20"/>
                <w:szCs w:val="20"/>
                <w:color w:val="auto"/>
              </w:rPr>
            </w:pPr>
            <w:r>
              <w:rPr>
                <w:rFonts w:ascii="Arial" w:cs="Arial" w:eastAsia="Arial" w:hAnsi="Arial"/>
                <w:sz w:val="18"/>
                <w:szCs w:val="18"/>
                <w:b w:val="1"/>
                <w:bCs w:val="1"/>
                <w:color w:val="auto"/>
                <w:w w:val="86"/>
              </w:rPr>
              <w:t>Condensed Consolidated Statements of Income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700" w:type="dxa"/>
            <w:vAlign w:val="bottom"/>
            <w:gridSpan w:val="2"/>
          </w:tcPr>
          <w:p>
            <w:pPr>
              <w:jc w:val="center"/>
              <w:ind w:left="312"/>
              <w:spacing w:after="0"/>
              <w:rPr>
                <w:sz w:val="20"/>
                <w:szCs w:val="20"/>
                <w:color w:val="auto"/>
              </w:rPr>
            </w:pPr>
            <w:r>
              <w:rPr>
                <w:rFonts w:ascii="Arial" w:cs="Arial" w:eastAsia="Arial" w:hAnsi="Arial"/>
                <w:sz w:val="18"/>
                <w:szCs w:val="18"/>
                <w:b w:val="1"/>
                <w:bCs w:val="1"/>
                <w:color w:val="auto"/>
                <w:w w:val="89"/>
              </w:rPr>
              <w:t>(Unaudited)</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6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Education</w:t>
            </w:r>
          </w:p>
        </w:tc>
        <w:tc>
          <w:tcPr>
            <w:tcW w:w="2700" w:type="dxa"/>
            <w:vAlign w:val="bottom"/>
            <w:gridSpan w:val="2"/>
          </w:tcPr>
          <w:p>
            <w:pPr>
              <w:ind w:left="26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684,516</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602,739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1,927,369</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1,722,459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261,475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Circulation and subscriber</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232,440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226,186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695,574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669,008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1,148,711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1,128,658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3,331,299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3,298,015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Operating</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491,457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516,115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1,500,488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1,515,253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493,773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1,505,359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1,399,853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73,524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231,651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w w:val="92"/>
              </w:rPr>
              <w:t>Impairment of goodwill and other long-lived assets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25,387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59,690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59,690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1,087,478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1,088,391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3,283,491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3,186,063</w:t>
            </w:r>
          </w:p>
        </w:tc>
        <w:tc>
          <w:tcPr>
            <w:tcW w:w="0" w:type="dxa"/>
            <w:vAlign w:val="bottom"/>
          </w:tcPr>
          <w:p>
            <w:pPr>
              <w:spacing w:after="0"/>
              <w:rPr>
                <w:sz w:val="1"/>
                <w:szCs w:val="1"/>
                <w:color w:val="auto"/>
              </w:rPr>
            </w:pPr>
          </w:p>
        </w:tc>
      </w:tr>
      <w:tr>
        <w:trPr>
          <w:trHeight w:val="20"/>
        </w:trPr>
        <w:tc>
          <w:tcPr>
            <w:tcW w:w="4160" w:type="dxa"/>
            <w:vAlign w:val="bottom"/>
            <w:gridSpan w:val="4"/>
            <w:vMerge w:val="restart"/>
          </w:tcPr>
          <w:p>
            <w:pPr>
              <w:spacing w:after="0"/>
              <w:rPr>
                <w:sz w:val="20"/>
                <w:szCs w:val="20"/>
                <w:color w:val="auto"/>
              </w:rPr>
            </w:pPr>
            <w:r>
              <w:rPr>
                <w:rFonts w:ascii="Arial" w:cs="Arial" w:eastAsia="Arial" w:hAnsi="Arial"/>
                <w:sz w:val="18"/>
                <w:szCs w:val="18"/>
                <w:color w:val="auto"/>
              </w:rPr>
              <w:t>Income from operations</w:t>
            </w: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gridSpan w:val="4"/>
            <w:vMerge w:val="continue"/>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61,233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40,267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111,952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2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Equity in losses of affiliates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(27,192)</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(28,160)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Interest expense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(7,533)</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(6,882)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(23,114)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(14,052)</w:t>
            </w:r>
          </w:p>
        </w:tc>
        <w:tc>
          <w:tcPr>
            <w:tcW w:w="0" w:type="dxa"/>
            <w:vAlign w:val="bottom"/>
          </w:tcPr>
          <w:p>
            <w:pPr>
              <w:spacing w:after="0"/>
              <w:rPr>
                <w:sz w:val="1"/>
                <w:szCs w:val="1"/>
                <w:color w:val="auto"/>
              </w:rPr>
            </w:pPr>
          </w:p>
        </w:tc>
      </w:tr>
      <w:tr>
        <w:trPr>
          <w:trHeight w:val="20"/>
        </w:trPr>
        <w:tc>
          <w:tcPr>
            <w:tcW w:w="4160" w:type="dxa"/>
            <w:vAlign w:val="bottom"/>
            <w:gridSpan w:val="4"/>
            <w:vMerge w:val="restart"/>
          </w:tcPr>
          <w:p>
            <w:pPr>
              <w:spacing w:after="0"/>
              <w:rPr>
                <w:sz w:val="20"/>
                <w:szCs w:val="20"/>
                <w:color w:val="auto"/>
              </w:rPr>
            </w:pPr>
            <w:r>
              <w:rPr>
                <w:rFonts w:ascii="Arial" w:cs="Arial" w:eastAsia="Arial" w:hAnsi="Arial"/>
                <w:sz w:val="18"/>
                <w:szCs w:val="18"/>
                <w:color w:val="auto"/>
              </w:rPr>
              <w:t>Income before income taxes</w:t>
            </w: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gridSpan w:val="4"/>
            <w:vMerge w:val="continue"/>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27,166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12,866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w:t>
            </w: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17,066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10,366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47,036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Net loss (income) attributable to noncontrolling interests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160" w:type="dxa"/>
            <w:vAlign w:val="bottom"/>
            <w:gridSpan w:val="4"/>
            <w:vMerge w:val="restart"/>
          </w:tcPr>
          <w:p>
            <w:pPr>
              <w:spacing w:after="0"/>
              <w:rPr>
                <w:sz w:val="20"/>
                <w:szCs w:val="20"/>
                <w:color w:val="auto"/>
              </w:rPr>
            </w:pPr>
            <w:r>
              <w:rPr>
                <w:rFonts w:ascii="Arial" w:cs="Arial" w:eastAsia="Arial" w:hAnsi="Arial"/>
                <w:sz w:val="18"/>
                <w:szCs w:val="18"/>
                <w:color w:val="auto"/>
                <w:w w:val="89"/>
              </w:rPr>
              <w:t>Net income attributable to The Washington Post Company</w:t>
            </w: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gridSpan w:val="4"/>
            <w:vMerge w:val="continue"/>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17,280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10,329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46,895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Redeemable preferred stock dividends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4160" w:type="dxa"/>
            <w:vAlign w:val="bottom"/>
            <w:gridSpan w:val="4"/>
            <w:vMerge w:val="restart"/>
          </w:tcPr>
          <w:p>
            <w:pPr>
              <w:spacing w:after="0"/>
              <w:rPr>
                <w:sz w:val="20"/>
                <w:szCs w:val="20"/>
                <w:color w:val="auto"/>
              </w:rPr>
            </w:pPr>
            <w:r>
              <w:rPr>
                <w:rFonts w:ascii="Arial" w:cs="Arial" w:eastAsia="Arial" w:hAnsi="Arial"/>
                <w:sz w:val="18"/>
                <w:szCs w:val="18"/>
                <w:color w:val="auto"/>
              </w:rPr>
              <w:t>Net income available for common shares</w:t>
            </w:r>
          </w:p>
        </w:tc>
        <w:tc>
          <w:tcPr>
            <w:tcW w:w="2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60" w:type="dxa"/>
            <w:vAlign w:val="bottom"/>
            <w:gridSpan w:val="4"/>
            <w:vMerge w:val="continue"/>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17,050</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10,093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10,131</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4160" w:type="dxa"/>
            <w:vAlign w:val="bottom"/>
            <w:gridSpan w:val="4"/>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gridSpan w:val="4"/>
            <w:vMerge w:val="continue"/>
          </w:tcPr>
          <w:p>
            <w:pPr>
              <w:spacing w:after="0"/>
              <w:rPr>
                <w:sz w:val="18"/>
                <w:szCs w:val="18"/>
                <w:color w:val="auto"/>
              </w:rPr>
            </w:pPr>
          </w:p>
        </w:tc>
        <w:tc>
          <w:tcPr>
            <w:tcW w:w="2700" w:type="dxa"/>
            <w:vAlign w:val="bottom"/>
            <w:gridSpan w:val="2"/>
          </w:tcPr>
          <w:p>
            <w:pPr>
              <w:ind w:left="26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0"/>
        </w:trPr>
        <w:tc>
          <w:tcPr>
            <w:tcW w:w="4160" w:type="dxa"/>
            <w:vAlign w:val="bottom"/>
            <w:gridSpan w:val="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160" w:type="dxa"/>
            <w:vAlign w:val="bottom"/>
            <w:gridSpan w:val="4"/>
          </w:tcPr>
          <w:p>
            <w:pPr>
              <w:spacing w:after="0"/>
              <w:rPr>
                <w:sz w:val="20"/>
                <w:szCs w:val="20"/>
                <w:color w:val="auto"/>
              </w:rPr>
            </w:pPr>
            <w:r>
              <w:rPr>
                <w:rFonts w:ascii="Arial" w:cs="Arial" w:eastAsia="Arial" w:hAnsi="Arial"/>
                <w:sz w:val="18"/>
                <w:szCs w:val="18"/>
                <w:color w:val="auto"/>
                <w:w w:val="96"/>
              </w:rPr>
              <w:t>Basic average number of common shares outstanding</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9,340</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9,334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52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Diluted average number of common shares outstanding</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0" w:type="dxa"/>
            <w:vAlign w:val="bottom"/>
          </w:tcPr>
          <w:p>
            <w:pPr>
              <w:jc w:val="center"/>
              <w:ind w:left="432"/>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4"/>
                <w:szCs w:val="14"/>
                <w:color w:val="auto"/>
              </w:rPr>
            </w:pPr>
          </w:p>
        </w:tc>
        <w:tc>
          <w:tcPr>
            <w:tcW w:w="21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58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8,951</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47,036</w:t>
            </w:r>
          </w:p>
        </w:tc>
        <w:tc>
          <w:tcPr>
            <w:tcW w:w="0" w:type="dxa"/>
            <w:vAlign w:val="bottom"/>
          </w:tcPr>
          <w:p>
            <w:pPr>
              <w:spacing w:after="0"/>
              <w:rPr>
                <w:sz w:val="1"/>
                <w:szCs w:val="1"/>
                <w:color w:val="auto"/>
              </w:rPr>
            </w:pPr>
          </w:p>
        </w:tc>
      </w:tr>
      <w:tr>
        <w:trPr>
          <w:trHeight w:val="330"/>
        </w:trPr>
        <w:tc>
          <w:tcPr>
            <w:tcW w:w="556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11,903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(25,492)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80,620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40,141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53,570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54,202</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71,012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 related to other comprehensive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(30,982)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35,343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23,220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52,824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61,775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5540" w:type="dxa"/>
            <w:vAlign w:val="bottom"/>
            <w:gridSpan w:val="2"/>
          </w:tcPr>
          <w:p>
            <w:pPr>
              <w:ind w:left="420"/>
              <w:spacing w:after="0"/>
              <w:rPr>
                <w:sz w:val="20"/>
                <w:szCs w:val="20"/>
                <w:color w:val="auto"/>
              </w:rPr>
            </w:pPr>
            <w:r>
              <w:rPr>
                <w:rFonts w:ascii="Arial" w:cs="Arial" w:eastAsia="Arial" w:hAnsi="Arial"/>
                <w:sz w:val="18"/>
                <w:szCs w:val="18"/>
                <w:color w:val="auto"/>
                <w:w w:val="90"/>
              </w:rPr>
              <w:t>Comprehensive loss (income) attributable to the noncontrolling interest</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2,108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Total comprehensive income attributable to The Washington Post Company</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52,628</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63,883</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vMerge w:val="restart"/>
          </w:tcPr>
          <w:p>
            <w:pPr>
              <w:jc w:val="right"/>
              <w:ind w:right="432"/>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September 27,</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28,</w:t>
            </w:r>
          </w:p>
        </w:tc>
        <w:tc>
          <w:tcPr>
            <w:tcW w:w="0" w:type="dxa"/>
            <w:vAlign w:val="bottom"/>
          </w:tcPr>
          <w:p>
            <w:pPr>
              <w:spacing w:after="0"/>
              <w:rPr>
                <w:sz w:val="1"/>
                <w:szCs w:val="1"/>
                <w:color w:val="auto"/>
              </w:rPr>
            </w:pPr>
          </w:p>
        </w:tc>
      </w:tr>
      <w:tr>
        <w:trPr>
          <w:trHeight w:val="161"/>
        </w:trPr>
        <w:tc>
          <w:tcPr>
            <w:tcW w:w="92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(unaudited)</w:t>
            </w: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500,635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390,509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Investments in marketable equity securities and other investments</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403,143</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357,337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415,516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479,361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25,060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66,979</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1,411,333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1,351,540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Buildings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378,879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Machinery, equipment and fixtures</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2,391,294</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2,337,149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Leasehold improvements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271,855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3,042,028</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2,943,800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Less accumulated depreciation</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(1,929,558)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(1,805,619)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1,112,470</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1,138,181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Land</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49,381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Construction in progress</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74,609</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property, plant and equipment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1,236,460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Investments in affiliates</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55,261</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Goodwill, net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1,415,314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1,390,157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Indefinite-lived intangible assets, net</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531,318</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531,323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Amortized intangible assets, net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76,635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Prepaid pension cost</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290,021</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346,325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charges and other assets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56,133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3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5,072,475</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5,158,434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1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546,327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544,920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278</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9,208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467,891</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388,007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declared</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20,440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Short-term borrowings</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3,062</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153,822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1,047,206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1,094,248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Postretirement benefits other than pensions</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73,247</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compensation and related benefits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242,229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242,508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102,990</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338,103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396,157</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400,003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2,199,932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2,270,823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Redeemable noncontrolling interest</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6,902</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Redeemable preferred stock</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11,526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shareholders’ equity</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in excess of par value</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241,368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232,201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Retained earnings</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4,242,592</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4,313,287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Cumulative foreign currency translation adjustment</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24,859</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Unrealized gain on available-for-sale securities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96,730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Unrealized loss on pension and other postretirement plans</w:t>
            </w:r>
          </w:p>
        </w:tc>
        <w:tc>
          <w:tcPr>
            <w:tcW w:w="80" w:type="dxa"/>
            <w:vAlign w:val="bottom"/>
          </w:tcPr>
          <w:p>
            <w:pPr>
              <w:spacing w:after="0"/>
              <w:rPr>
                <w:sz w:val="12"/>
                <w:szCs w:val="12"/>
                <w:color w:val="auto"/>
              </w:rPr>
            </w:pPr>
          </w:p>
        </w:tc>
        <w:tc>
          <w:tcPr>
            <w:tcW w:w="12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(79,445)</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Class B common stock held in treasury</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(1,692,467)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(1,697,268)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20" w:type="dxa"/>
            <w:vAlign w:val="bottom"/>
            <w:vMerge w:val="restart"/>
          </w:tcPr>
          <w:p>
            <w:pPr>
              <w:ind w:left="200"/>
              <w:spacing w:after="0"/>
              <w:rPr>
                <w:sz w:val="20"/>
                <w:szCs w:val="20"/>
                <w:color w:val="auto"/>
              </w:rPr>
            </w:pPr>
            <w:r>
              <w:rPr>
                <w:rFonts w:ascii="Arial" w:cs="Arial" w:eastAsia="Arial" w:hAnsi="Arial"/>
                <w:sz w:val="14"/>
                <w:szCs w:val="14"/>
                <w:color w:val="auto"/>
              </w:rPr>
              <w:t>Total The Washington Post Company common shareholders’ equity</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2,853,637</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2,857,540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478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gridSpan w:val="2"/>
            <w:vMerge w:val="restart"/>
          </w:tcPr>
          <w:p>
            <w:pPr>
              <w:ind w:left="860"/>
              <w:spacing w:after="0"/>
              <w:rPr>
                <w:sz w:val="20"/>
                <w:szCs w:val="20"/>
                <w:color w:val="auto"/>
              </w:rPr>
            </w:pPr>
            <w:r>
              <w:rPr>
                <w:rFonts w:ascii="Arial" w:cs="Arial" w:eastAsia="Arial" w:hAnsi="Arial"/>
                <w:sz w:val="14"/>
                <w:szCs w:val="14"/>
                <w:color w:val="auto"/>
              </w:rPr>
              <w:t>Total equity</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1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2,854,115</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2,858,425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5,072,475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5,158,434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8,951</w:t>
            </w:r>
          </w:p>
        </w:tc>
        <w:tc>
          <w:tcPr>
            <w:tcW w:w="3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231,651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195,463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Goodwill and other long-lived asset impairment charges</w:t>
            </w: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25,387</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860"/>
              <w:spacing w:after="0"/>
              <w:rPr>
                <w:sz w:val="20"/>
                <w:szCs w:val="20"/>
                <w:color w:val="auto"/>
              </w:rPr>
            </w:pPr>
            <w:r>
              <w:rPr>
                <w:rFonts w:ascii="Arial" w:cs="Arial" w:eastAsia="Arial" w:hAnsi="Arial"/>
                <w:sz w:val="18"/>
                <w:szCs w:val="18"/>
                <w:color w:val="auto"/>
              </w:rPr>
              <w:t>Net pension benefit</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860"/>
              <w:spacing w:after="0"/>
              <w:rPr>
                <w:sz w:val="20"/>
                <w:szCs w:val="20"/>
                <w:color w:val="auto"/>
              </w:rPr>
            </w:pPr>
            <w:r>
              <w:rPr>
                <w:rFonts w:ascii="Arial" w:cs="Arial" w:eastAsia="Arial" w:hAnsi="Arial"/>
                <w:sz w:val="18"/>
                <w:szCs w:val="18"/>
                <w:color w:val="auto"/>
              </w:rPr>
              <w:t>Foreign exchange (gain) loss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(18,429)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Equity in losses of affiliates, including impairment charges, net of distributions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860"/>
              <w:spacing w:after="0"/>
              <w:rPr>
                <w:sz w:val="20"/>
                <w:szCs w:val="20"/>
                <w:color w:val="auto"/>
              </w:rPr>
            </w:pPr>
            <w:r>
              <w:rPr>
                <w:rFonts w:ascii="Arial" w:cs="Arial" w:eastAsia="Arial" w:hAnsi="Arial"/>
                <w:sz w:val="18"/>
                <w:szCs w:val="18"/>
                <w:color w:val="auto"/>
              </w:rPr>
              <w:t>Benefit for deferred income taxes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(22,253)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loss on sale or write-down of property, plant and equipment</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860"/>
              <w:spacing w:after="0"/>
              <w:rPr>
                <w:sz w:val="20"/>
                <w:szCs w:val="20"/>
                <w:color w:val="auto"/>
              </w:rPr>
            </w:pPr>
            <w:r>
              <w:rPr>
                <w:rFonts w:ascii="Arial" w:cs="Arial" w:eastAsia="Arial" w:hAnsi="Arial"/>
                <w:sz w:val="18"/>
                <w:szCs w:val="18"/>
                <w:color w:val="auto"/>
              </w:rPr>
              <w:t>Change in assets and liabilities: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accounts receivable, net</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Decrease (increase) in inventories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accounts payable and accrued liabilities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Increase (decrease) in Kaplan stock compensation liability</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deferred revenue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Decrease in income taxes payable</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(7,288)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other assets and other liabilities, net</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411,737</w:t>
            </w:r>
          </w:p>
        </w:tc>
        <w:tc>
          <w:tcPr>
            <w:tcW w:w="0" w:type="dxa"/>
            <w:vAlign w:val="bottom"/>
          </w:tcPr>
          <w:p>
            <w:pPr>
              <w:spacing w:after="0"/>
              <w:rPr>
                <w:sz w:val="1"/>
                <w:szCs w:val="1"/>
                <w:color w:val="auto"/>
              </w:rPr>
            </w:pPr>
          </w:p>
        </w:tc>
      </w:tr>
      <w:tr>
        <w:trPr>
          <w:trHeight w:val="330"/>
        </w:trPr>
        <w:tc>
          <w:tcPr>
            <w:tcW w:w="778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(183,036)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(11,105)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(76,755)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Return of escrow funds from acquisition</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Return of investment in affiliates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(189,094)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(347,165)</w:t>
            </w:r>
          </w:p>
        </w:tc>
        <w:tc>
          <w:tcPr>
            <w:tcW w:w="0" w:type="dxa"/>
            <w:vAlign w:val="bottom"/>
          </w:tcPr>
          <w:p>
            <w:pPr>
              <w:spacing w:after="0"/>
              <w:rPr>
                <w:sz w:val="1"/>
                <w:szCs w:val="1"/>
                <w:color w:val="auto"/>
              </w:rPr>
            </w:pPr>
          </w:p>
        </w:tc>
      </w:tr>
      <w:tr>
        <w:trPr>
          <w:trHeight w:val="330"/>
        </w:trPr>
        <w:tc>
          <w:tcPr>
            <w:tcW w:w="778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(400,787)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Issuance of notes, net</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395,329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Common shares repurchased</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(98,960)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(Repayments) issuance of commercial paper, net</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(149,983)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(211,684)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(135,293)</w:t>
            </w:r>
          </w:p>
        </w:tc>
        <w:tc>
          <w:tcPr>
            <w:tcW w:w="0" w:type="dxa"/>
            <w:vAlign w:val="bottom"/>
          </w:tcPr>
          <w:p>
            <w:pPr>
              <w:spacing w:after="0"/>
              <w:rPr>
                <w:sz w:val="1"/>
                <w:szCs w:val="1"/>
                <w:color w:val="auto"/>
              </w:rPr>
            </w:pPr>
          </w:p>
        </w:tc>
      </w:tr>
      <w:tr>
        <w:trPr>
          <w:trHeight w:val="20"/>
        </w:trPr>
        <w:tc>
          <w:tcPr>
            <w:tcW w:w="77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780" w:type="dxa"/>
            <w:vAlign w:val="bottom"/>
            <w:gridSpan w:val="3"/>
          </w:tcPr>
          <w:p>
            <w:pPr>
              <w:spacing w:after="0"/>
              <w:rPr>
                <w:sz w:val="20"/>
                <w:szCs w:val="20"/>
                <w:color w:val="auto"/>
              </w:rPr>
            </w:pPr>
            <w:r>
              <w:rPr>
                <w:rFonts w:ascii="Arial" w:cs="Arial" w:eastAsia="Arial" w:hAnsi="Arial"/>
                <w:sz w:val="18"/>
                <w:szCs w:val="18"/>
                <w:color w:val="auto"/>
              </w:rPr>
              <w:t>Effect of currency exchange rate change</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7,267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110,126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(73,534)</w:t>
            </w:r>
          </w:p>
        </w:tc>
        <w:tc>
          <w:tcPr>
            <w:tcW w:w="0" w:type="dxa"/>
            <w:vAlign w:val="bottom"/>
          </w:tcPr>
          <w:p>
            <w:pPr>
              <w:spacing w:after="0"/>
              <w:rPr>
                <w:sz w:val="1"/>
                <w:szCs w:val="1"/>
                <w:color w:val="auto"/>
              </w:rPr>
            </w:pPr>
          </w:p>
        </w:tc>
      </w:tr>
      <w:tr>
        <w:trPr>
          <w:trHeight w:val="323"/>
        </w:trPr>
        <w:tc>
          <w:tcPr>
            <w:tcW w:w="7780" w:type="dxa"/>
            <w:vAlign w:val="bottom"/>
            <w:gridSpan w:val="3"/>
          </w:tcPr>
          <w:p>
            <w:pPr>
              <w:spacing w:after="0"/>
              <w:rPr>
                <w:sz w:val="20"/>
                <w:szCs w:val="20"/>
                <w:color w:val="auto"/>
              </w:rPr>
            </w:pPr>
            <w:r>
              <w:rPr>
                <w:rFonts w:ascii="Arial" w:cs="Arial" w:eastAsia="Arial" w:hAnsi="Arial"/>
                <w:sz w:val="18"/>
                <w:szCs w:val="18"/>
                <w:color w:val="auto"/>
              </w:rPr>
              <w:t>Beginning cash and cash equivalents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390,509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321,466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500,635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247,932</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5680"/>
              <w:spacing w:after="0"/>
              <w:rPr>
                <w:sz w:val="20"/>
                <w:szCs w:val="20"/>
                <w:color w:val="auto"/>
              </w:rPr>
            </w:pPr>
            <w:r>
              <w:rPr>
                <w:rFonts w:ascii="Arial" w:cs="Arial" w:eastAsia="Arial" w:hAnsi="Arial"/>
                <w:sz w:val="18"/>
                <w:szCs w:val="18"/>
                <w:color w:val="auto"/>
              </w:rPr>
              <w:t>6</w:t>
            </w: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78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television broadcasting (through the ownership and operation of six television broadcast stations), and magazine publishing (principally Newsweek).</w:t>
      </w:r>
    </w:p>
    <w:p>
      <w:pPr>
        <w:spacing w:after="0" w:line="137" w:lineRule="exact"/>
        <w:rPr>
          <w:sz w:val="20"/>
          <w:szCs w:val="20"/>
          <w:color w:val="auto"/>
        </w:rPr>
      </w:pPr>
    </w:p>
    <w:p>
      <w:pPr>
        <w:jc w:val="both"/>
        <w:spacing w:after="0" w:line="339" w:lineRule="auto"/>
        <w:rPr>
          <w:sz w:val="20"/>
          <w:szCs w:val="20"/>
          <w:color w:val="auto"/>
        </w:rPr>
      </w:pPr>
      <w:r>
        <w:rPr>
          <w:rFonts w:ascii="Arial" w:cs="Arial" w:eastAsia="Arial" w:hAnsi="Arial"/>
          <w:sz w:val="15"/>
          <w:szCs w:val="15"/>
          <w:b w:val="1"/>
          <w:bCs w:val="1"/>
          <w:color w:val="auto"/>
        </w:rPr>
        <w:t xml:space="preserve">Financial Periods </w:t>
      </w:r>
      <w:r>
        <w:rPr>
          <w:rFonts w:ascii="Arial" w:cs="Arial" w:eastAsia="Arial" w:hAnsi="Arial"/>
          <w:sz w:val="15"/>
          <w:szCs w:val="15"/>
          <w:color w:val="auto"/>
        </w:rPr>
        <w:t>– The Company generally reports on a thirteen week fiscal quarter ending on the Sunday nearest the calendar quarter-end. The fiscal quarters</w:t>
      </w:r>
      <w:r>
        <w:rPr>
          <w:rFonts w:ascii="Arial" w:cs="Arial" w:eastAsia="Arial" w:hAnsi="Arial"/>
          <w:sz w:val="15"/>
          <w:szCs w:val="15"/>
          <w:b w:val="1"/>
          <w:bCs w:val="1"/>
          <w:color w:val="auto"/>
        </w:rPr>
        <w:t xml:space="preserve"> </w:t>
      </w:r>
      <w:r>
        <w:rPr>
          <w:rFonts w:ascii="Arial" w:cs="Arial" w:eastAsia="Arial" w:hAnsi="Arial"/>
          <w:sz w:val="15"/>
          <w:szCs w:val="15"/>
          <w:color w:val="auto"/>
        </w:rPr>
        <w:t>for 2009 and 2008 ended on September 27, 2009, June 28, 2009, March 29, 2009, September 28, 2008, June 29, 2008 and March 30, 2008, respectively. With the exception of the newspaper publishing operations and the corporate office, subsidiaries of the Company report on a calendar-quarter basis.</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The accompanying condensed consolidated financial statements have been prepared in accordance with: (i) generally accepted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and thirty-nine weeks ended September 27, 2009 and September 28, 2008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28, 2008.</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as adjusted for the adoption of the new accounting standard relating to the accounting, reporting and disclosure of noncontrolling interests in consolidated financial statements, but does not include all disclosures required by GAAP.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current year presentation.</w:t>
      </w:r>
    </w:p>
    <w:p>
      <w:pPr>
        <w:spacing w:after="0" w:line="16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3"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June 2009, the Financial Accounting Standards Board (“FASB”) issued an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Updates (“ASU”) which establishes the FASB Accounting Standards Codification (“the Codification”) as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official single source of authoritative GAAP. The Codification superseded all existing accounting standards. All other accounting guidance not included in the Codification will be considered non-authoritative. The Codification also includes all relevant Securities and Exchange Commission (“SEC”) guidance organized using the same topical structure in separate sections within the Codification. Following the Codification, the Board will not issue new standards in the form of Statements, FASB Staff Positions or Emerging Issues Task Force Abstracts. Instead, it will issue ASU which will serve to update the Codification, provide background information about the guidance and provide the basis for conclusions on the changes to the Codification. The Codification does not change GAAP, but it changes the way GAAP is organized and presented. The Codification is effective for interim and annual periods ending after September 15, 2009. The impact of the Codification on the Company’s condensed consolidated financial statements is limited to disclosures.</w:t>
      </w:r>
    </w:p>
    <w:p>
      <w:pPr>
        <w:spacing w:after="0" w:line="11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September 2006, the FASB issued new guidance which defines fair value, establishes a framework for measuring fair value in accordance with GAAP and expands disclosures about fair value measurements. The guidance was effective for the Company at the beginning of fiscal year 2008 for all financial assets and liabilities and for nonfinancial assets and liabilities recognized or disclosed at fair value in the Company’s consolidated financial statements on a recurring basis (at least annually). The adoption of these provisions did not have any impact on the Company’s condensed consolidated financial statements, as the Company’s existing fair value measurements were consistent with the new guidance. The FASB deferred the effective date of the fair value guidance for nonfinancial assets and liabilities that are not remeasured at fair value on a recurring basis to fiscal years beginning after November 15, 2008. The implementation of the fair value guidance for nonfinancial assets and nonfinancial liabilities at the beginning of the Company’s 2009 fiscal year did not have a material impact on the Company’s condensed consolidated financial statements. See Note 10 for additional disclosures about fair value measurements.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April 2009, the FASB issued additional fair value guidance which provides factors to consider in estimating fair value when there has been a significant decrease in market activity for a financial asset. This guidance is effective for interim and annual periods ending after June 15, 2009. The implementation of this guidance did not have a material impact on the Company’s condensed consolidated financial statements.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August 2009, the FASB issued new fair value guidance which clarifies the application of certain valuation techniques in circumstances in which a quoted price in an active market for the identical liability is not available and clarifies that when estimating the fair value of a liability, the fair value is not adjusted to reflect the impact of contractual restrictions that prevent its transfer. The guidance is effective for the Company from the beginning of the fourth quarter of 2009. The Company is in the process of evaluating the impact of this new guidance on its condensed consolidated financial statements.</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2007, the FASB issued new guidance for business combinations that requires that the acquisition method of accounting be applied to all business combinations, which significantly changes the accounting for certain aspects of business combinations. Under this guidance, an acquiring entity is required to recognize all of the assets acquired and liabilities assumed in a transaction at the acquisition-date fair value with limited exceptions. The guidance changes the accounting treatment for certain specific acquisition-related items, including (1) expensing acquisition-related costs as incurred; (2) valuing noncontrolling interests at fair value at the acquisition date; and (3) expensing restructuring costs associated with an acquired business. The guidance also includes a substantial number of new disclosure requirements. The guidance also amends GAAP for income taxes such that adjustments made to valuation allowances on deferred taxes and acquired tax contingencies associated with acquisitions that closed prior to the effective date of the new guidance would also apply the provisions included in the guidance. The guidance did not have any impact on the Company’s condensed consolidated financial statements upon adoption at the beginning of fiscal year 2009. The Company expects the guidance to have an impact on its accounting for future business combinations,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but the effect is dependent upon the acquisitions that are made in the future. Also, since the Company has acquired deferred tax assets for which valuation allowances were recorded at the acquisition date, the new standard could affect the results of operations if changes in the valuation allowances occur in the future.</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2009, the FASB issued guidance that amends and clarifies GAAP for business combinations to address application issues associated with initial recognition and measurement, subsequent measurement and accounting, and disclosure of assets and liabilities arising from contingencies in a business combination. This guidance is effective for assets or liabilities arising from contingencies in business combinations for which the acquisition date is subsequent to the beginning of fiscal year 2009. This guidance did not have any impact on the Company’s condensed consolidated financial statements upon adoption. The Company expects the guidance to have an impact on its accounting for future business combinations, but the effect is dependent upon the acquisitions that are made in the future.</w:t>
      </w: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2007, the FASB issued guidance which establishes new accounting and reporting standards for the noncontrolling interest in a subsidiary and for the deconsolidation of a subsidiary. It clarifies that a noncontrolling interest in a subsidiary (minority interest) is an ownership interest in the consolidated entity that should be reported as equity in the consolidated financial statements and separate from the parent company’s equity. Among other requirements, this guidance requires consolidated net income to be reported at amounts that include the amounts attributable to both the parent and the noncontrolling interest. This guidance also requires disclosure, on the face of the consolidated financial statements, of the amounts of consolidated net income attributable to the parent and to the noncontrolling interest. The Company adopted the guidance at the beginning of fiscal year 2009 and reclassified $17.4 million from other liabilities to redeemable noncontrolling interest outside permanent equity and $0.9 million of noncontrolling interest from other liabilities to a separate component of shareholders equity in our condensed consolidated balance sheet as of December 28, 2008. Previously the Company presented minority interest in “Other income (expense)” in the condensed consolidated statements of income. The condensed consolidated statements of income for the thirteen and thirty-nine weeks ended September 28, 2008 were adjusted to reflect 100% of the results of subsidiaries not wholly-owned. The “net income” was subsequently adjusted to remove the noncontrolling interest of $37,000 and $141,000 to arrive at “Net income attributable to The Washington Post Company” for the thirteen and thirty-nine weeks ended September 28, 2008, respectively.</w:t>
      </w:r>
    </w:p>
    <w:p>
      <w:pPr>
        <w:spacing w:after="0" w:line="12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June 2008, the FASB issued new guidance for the calculation of earnings per share. The guidance clarifies that unvested share-based payment awards that contain nonforfeitable rights to dividends or dividend equivalents (whether paid or unpaid) are participating securities and are to be included in the computation of earnings per share under the two-class method. The Company adopted this guidance at the beginning of fiscal year 2009 and applied its provisions retrospectively to all earnings per share data presented in the Company’s condensed consolidated financial statements. The implementation of this guidance did not have a material impact on the earnings per share data of the Company.</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December 2008, the FASB issued new guidance on an employer’s disclosures about plan assets of a defined benefit pension or other postretirement plan. The additional disclosure requirements under this guidance include expanded disclosures about an entity’s investment policies and strategies, the categories of plan assets, concentrations of credit risk and fair value measurements of plan assets. This new guidance is effective for fiscal years ending after December 15, 2009 and does not require comparative information for earlier periods presented. The Company is in the process of evaluating the impact of this new guidance on its consolidated financial statements.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2009, the FASB issued new guidance that established general standards of accounting for and disclosure of events that occur after the balance sheet date but before financial statements are issued or available to be issued. The new guidance is effective prospectively for interim and annual periods ending after June 15,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implementation of this guidance had no impact on the condensed consolidated financial statements as the Company already followed a similar approach prior to the implementation of this guidance. The Company has evaluated subsequent events through November 5, 2009.</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October 2009, the FASB issued new guidance which modifies the fair value requirement of multiple element revenue arrangements. The new guidance allows the use of the “best estimate of selling price” in addition to vendor-specific objective evidence (“VSOE”) and third-party 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 The guidance requires expanded qualitative and quantitative disclosures and is effective for revenue arrangements entered into or materially modified in fiscal years beginning on or after June 15, 2010. Early application is permitted. The Company is in the process of evaluating the impact of this new guidance on its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September 27, 2009 and December 28, 2008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27,</w:t>
            </w: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28,</w:t>
            </w: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2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223,064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212,242</w:t>
            </w: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Gross unrealized gains</w:t>
            </w:r>
          </w:p>
        </w:tc>
        <w:tc>
          <w:tcPr>
            <w:tcW w:w="2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161,218</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121,077</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2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384,282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333,319</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the first quarter of 2009, the Company invested $10.8 million in the Class B common stock of Berkshire Hathaway Inc. In the first quarter of 2008, the Company invested $65.8 million in the common stock of a publicly traded education company.</w:t>
      </w:r>
    </w:p>
    <w:p>
      <w:pPr>
        <w:spacing w:after="0" w:line="13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the third quarter of 2009, the Company recorded $29.0 million in impairment charges at two of the Company’s affiliate investments. The loss primarily relates to an impairment charge recorded on the Company’s interest in Bowater Mersey Paper Company, as a result of the challenging economic environment for newsprint producers. In the second quarter of 2008, the Company recorded $6.8 million in impairment charges at two of the Company’s affiliates.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Dispositions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first nine months of 2009, the Company completed business acquisitions totaling approximately $8.1 million. This included the acquisition of a company at the Kaplan International division in the third quarter of 2009, as well as a small acquisition by the Company in the second quarter of 2009. This also included $3.2 million of additional purchase consideration recorded to goodwill in the second quarter of 2009, in connection with the achievement of certain operating results by a company acquired by Kaplan in 2007. The purchase consideration was contingent on the achievement of certain future operating results and therefore was not included in the Company’s purchase accounting as of December 30, 2007. The Company did not make any acquisitions during the first quarter of 2009.</w:t>
      </w:r>
    </w:p>
    <w:p>
      <w:pPr>
        <w:spacing w:after="0" w:line="116"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In the third quarter of 2008, Kaplan acquired a business in their professional division (now included in Kaplan International). Also in the third quarter of 2008, additional purchase consideration was recorded in connection with the achievement of certain operating results by a company acquired in 2007. The combined acquisition value of these activities was $10.8 million. In the second quarter of 2008, Kaplan acquired two businesses in their professional and test preparation divisions totaling $14.8 million (now included in Kaplan Ventures and Kaplan International). In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760"/>
        <w:spacing w:after="0" w:line="332" w:lineRule="auto"/>
        <w:rPr>
          <w:sz w:val="20"/>
          <w:szCs w:val="20"/>
          <w:color w:val="auto"/>
        </w:rPr>
      </w:pPr>
      <w:r>
        <w:rPr>
          <w:rFonts w:ascii="Arial" w:cs="Arial" w:eastAsia="Arial" w:hAnsi="Arial"/>
          <w:sz w:val="16"/>
          <w:szCs w:val="16"/>
          <w:color w:val="auto"/>
        </w:rPr>
        <w:t>first quarter of 2008, Kaplan acquired two businesses in their professional and test preparation divisions totaling $31.4 million (now included in Kaplan International and Test Prep). Also in the first quarter of 2008, the cable division acquired subscribers in the Winona, Mississippi area for $15.6 million.</w:t>
      </w:r>
    </w:p>
    <w:p>
      <w:pPr>
        <w:spacing w:after="0" w:line="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2007, Kaplan purchased a 40% interest in Shanghai Kai Bo Education Management Investment Co., Ltd. (“Kaplan China”), a provider of education in China that offers preparation courses for entry to U.K. universities, along with degree and professional training programs at campuses throughout China. In the first quarter of 2008, Kaplan exercised an option to increase its investment in Kaplan China to a majority interest and the transaction was completed in November 2008. Kaplan China’s results from the transaction date forward have been included in the Company’s consolidated financial statements as part of the Kaplan International division.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9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education division reorganized its operations in the third quarter of 2009 into the following four operating segments for the purpose of making operating decisions and assessing performance: Higher Education, Test Prep, Kaplan International and Kaplan Ventures (see note 10). The reorganization changed the composition of the reporting units within the education division, and resulted in the reassignment of the assets and liabilities to the reporting units affected. The goodwill was allocated to the affected reporting units using the relative fair value approach. As a result of the reassignment and allocation, the Company performed an interim review of the carrying value of goodwill at the education division for possible impairment on both a pre and post-reorganization basis. No impairment of goodwill was indicated at the pre-reorganization reporting units. On a post-reorganization basis, the Company failed the step one goodwill impairment test at two reporting units (Kaplan EduNeering and Kaplan Compliance Solutions) within the Kaplan Ventures operating segment and performed a step two analysis. The Company recorded a goodwill and other long-lived asset impairment charge of $25.4 million related to these two reporting units. The fair value of Kaplan EduNeering was determined utilizing a discounted cash flow model; the fair value of Kaplan Compliance Solutions was determined using a cost approach.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for the thirty-nine weeks ended September 27, 2009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9"/>
              </w:rPr>
              <w:t>Businesses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Cable</w:t>
            </w: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Newspaper</w:t>
            </w:r>
          </w:p>
        </w:tc>
        <w:tc>
          <w:tcPr>
            <w:tcW w:w="78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96"/>
              </w:rPr>
              <w:t>Television</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Magazine</w:t>
            </w:r>
          </w:p>
        </w:tc>
        <w:tc>
          <w:tcPr>
            <w:tcW w:w="2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Education</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Television</w:t>
            </w:r>
          </w:p>
        </w:tc>
        <w:tc>
          <w:tcPr>
            <w:tcW w:w="20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Publishing</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4"/>
              </w:rPr>
              <w:t>Broadcasting</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3"/>
              </w:rPr>
              <w:t>Publishing</w:t>
            </w:r>
          </w:p>
        </w:tc>
        <w:tc>
          <w:tcPr>
            <w:tcW w:w="2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Corporate</w:t>
            </w: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28,2008:</w:t>
            </w:r>
          </w:p>
        </w:tc>
        <w:tc>
          <w:tcPr>
            <w:tcW w:w="8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1,022,671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85,488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81,186</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203,165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99,189</w:t>
            </w:r>
          </w:p>
        </w:tc>
        <w:tc>
          <w:tcPr>
            <w:tcW w:w="1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1,516,714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(60,785)</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(126,557)</w:t>
            </w: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43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1,022,671</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85,488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15,414</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203,165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25,015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38,404</w:t>
            </w:r>
          </w:p>
        </w:tc>
        <w:tc>
          <w:tcPr>
            <w:tcW w:w="18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1,390,157</w:t>
            </w: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Impairment</w:t>
            </w:r>
          </w:p>
        </w:tc>
        <w:tc>
          <w:tcPr>
            <w:tcW w:w="1800" w:type="dxa"/>
            <w:vAlign w:val="bottom"/>
            <w:gridSpan w:val="3"/>
          </w:tcPr>
          <w:p>
            <w:pPr>
              <w:jc w:val="right"/>
              <w:ind w:right="240"/>
              <w:spacing w:after="0"/>
              <w:rPr>
                <w:sz w:val="20"/>
                <w:szCs w:val="20"/>
                <w:color w:val="auto"/>
              </w:rPr>
            </w:pPr>
            <w:r>
              <w:rPr>
                <w:rFonts w:ascii="Arial" w:cs="Arial" w:eastAsia="Arial" w:hAnsi="Arial"/>
                <w:sz w:val="18"/>
                <w:szCs w:val="18"/>
                <w:color w:val="auto"/>
              </w:rPr>
              <w:t>(15,529)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(15,529)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rate changes and other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35,455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34,543</w:t>
            </w:r>
          </w:p>
        </w:tc>
      </w:tr>
      <w:tr>
        <w:trPr>
          <w:trHeight w:val="221"/>
        </w:trPr>
        <w:tc>
          <w:tcPr>
            <w:tcW w:w="4320" w:type="dxa"/>
            <w:vAlign w:val="bottom"/>
          </w:tcPr>
          <w:p>
            <w:pPr>
              <w:spacing w:after="0"/>
              <w:rPr>
                <w:sz w:val="20"/>
                <w:szCs w:val="20"/>
                <w:color w:val="auto"/>
              </w:rPr>
            </w:pPr>
            <w:r>
              <w:rPr>
                <w:rFonts w:ascii="Arial" w:cs="Arial" w:eastAsia="Arial" w:hAnsi="Arial"/>
                <w:sz w:val="18"/>
                <w:szCs w:val="18"/>
                <w:color w:val="auto"/>
              </w:rPr>
              <w:t>Balance as of September 27, 2009</w:t>
            </w:r>
          </w:p>
        </w:tc>
        <w:tc>
          <w:tcPr>
            <w:tcW w:w="8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1,065,204</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81,186</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97,342</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1,557,400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8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(15,529)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(65,772)</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(60,785)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(142,086)</w:t>
            </w:r>
          </w:p>
        </w:tc>
      </w:tr>
      <w:tr>
        <w:trPr>
          <w:trHeight w:val="27"/>
        </w:trPr>
        <w:tc>
          <w:tcPr>
            <w:tcW w:w="4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1,049,675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36,557</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1,415,314</w:t>
            </w:r>
          </w:p>
        </w:tc>
      </w:tr>
      <w:tr>
        <w:trPr>
          <w:trHeight w:val="20"/>
        </w:trPr>
        <w:tc>
          <w:tcPr>
            <w:tcW w:w="4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3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carrying amount of goodwill at the Company’s education division for the thirty-nine weeks ended September 27, 2009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Kaplan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Higher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Corporate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Education</w:t>
            </w:r>
          </w:p>
        </w:tc>
        <w:tc>
          <w:tcPr>
            <w:tcW w:w="880" w:type="dxa"/>
            <w:vAlign w:val="bottom"/>
            <w:gridSpan w:val="5"/>
          </w:tcPr>
          <w:p>
            <w:pPr>
              <w:ind w:left="20"/>
              <w:spacing w:after="0"/>
              <w:rPr>
                <w:sz w:val="20"/>
                <w:szCs w:val="20"/>
                <w:color w:val="auto"/>
              </w:rPr>
            </w:pPr>
            <w:r>
              <w:rPr>
                <w:rFonts w:ascii="Arial" w:cs="Arial" w:eastAsia="Arial" w:hAnsi="Arial"/>
                <w:sz w:val="14"/>
                <w:szCs w:val="14"/>
                <w:b w:val="1"/>
                <w:bCs w:val="1"/>
                <w:color w:val="auto"/>
              </w:rPr>
              <w:t>Test Prep</w:t>
            </w:r>
          </w:p>
        </w:tc>
        <w:tc>
          <w:tcPr>
            <w:tcW w:w="1020" w:type="dxa"/>
            <w:vAlign w:val="bottom"/>
            <w:gridSpan w:val="5"/>
          </w:tcPr>
          <w:p>
            <w:pPr>
              <w:spacing w:after="0"/>
              <w:rPr>
                <w:sz w:val="20"/>
                <w:szCs w:val="20"/>
                <w:color w:val="auto"/>
              </w:rPr>
            </w:pPr>
            <w:r>
              <w:rPr>
                <w:rFonts w:ascii="Arial" w:cs="Arial" w:eastAsia="Arial" w:hAnsi="Arial"/>
                <w:sz w:val="14"/>
                <w:szCs w:val="14"/>
                <w:b w:val="1"/>
                <w:bCs w:val="1"/>
                <w:color w:val="auto"/>
              </w:rPr>
              <w:t>Professional</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International</w:t>
            </w:r>
          </w:p>
        </w:tc>
        <w:tc>
          <w:tcPr>
            <w:tcW w:w="9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6"/>
              </w:rPr>
              <w:t>Ventures</w:t>
            </w: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and 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343,332</w:t>
            </w:r>
          </w:p>
        </w:tc>
        <w:tc>
          <w:tcPr>
            <w:tcW w:w="300" w:type="dxa"/>
            <w:vAlign w:val="bottom"/>
          </w:tcPr>
          <w:p>
            <w:pPr>
              <w:spacing w:after="0"/>
              <w:rPr>
                <w:sz w:val="18"/>
                <w:szCs w:val="18"/>
                <w:color w:val="auto"/>
              </w:rPr>
            </w:pPr>
          </w:p>
        </w:tc>
        <w:tc>
          <w:tcPr>
            <w:tcW w:w="860" w:type="dxa"/>
            <w:vAlign w:val="bottom"/>
            <w:gridSpan w:val="4"/>
          </w:tcPr>
          <w:p>
            <w:pPr>
              <w:jc w:val="right"/>
              <w:ind w:right="212"/>
              <w:spacing w:after="0"/>
              <w:rPr>
                <w:sz w:val="20"/>
                <w:szCs w:val="20"/>
                <w:color w:val="auto"/>
              </w:rPr>
            </w:pPr>
            <w:r>
              <w:rPr>
                <w:rFonts w:ascii="Arial" w:cs="Arial" w:eastAsia="Arial" w:hAnsi="Arial"/>
                <w:sz w:val="18"/>
                <w:szCs w:val="18"/>
                <w:color w:val="auto"/>
                <w:w w:val="86"/>
              </w:rPr>
              <w:t>185,876</w:t>
            </w:r>
          </w:p>
        </w:tc>
        <w:tc>
          <w:tcPr>
            <w:tcW w:w="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493,463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1,022,671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2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343,332</w:t>
            </w:r>
          </w:p>
        </w:tc>
        <w:tc>
          <w:tcPr>
            <w:tcW w:w="300" w:type="dxa"/>
            <w:vAlign w:val="bottom"/>
          </w:tcPr>
          <w:p>
            <w:pPr>
              <w:spacing w:after="0"/>
              <w:rPr>
                <w:sz w:val="19"/>
                <w:szCs w:val="19"/>
                <w:color w:val="auto"/>
              </w:rPr>
            </w:pPr>
          </w:p>
        </w:tc>
        <w:tc>
          <w:tcPr>
            <w:tcW w:w="860" w:type="dxa"/>
            <w:vAlign w:val="bottom"/>
            <w:gridSpan w:val="4"/>
          </w:tcPr>
          <w:p>
            <w:pPr>
              <w:jc w:val="right"/>
              <w:ind w:right="212"/>
              <w:spacing w:after="0"/>
              <w:rPr>
                <w:sz w:val="20"/>
                <w:szCs w:val="20"/>
                <w:color w:val="auto"/>
              </w:rPr>
            </w:pPr>
            <w:r>
              <w:rPr>
                <w:rFonts w:ascii="Arial" w:cs="Arial" w:eastAsia="Arial" w:hAnsi="Arial"/>
                <w:sz w:val="18"/>
                <w:szCs w:val="18"/>
                <w:color w:val="auto"/>
                <w:w w:val="86"/>
              </w:rPr>
              <w:t>185,876</w:t>
            </w:r>
          </w:p>
        </w:tc>
        <w:tc>
          <w:tcPr>
            <w:tcW w:w="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493,463</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1,022,671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3,212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Foreign currency exchange rate changes and other</w:t>
            </w:r>
          </w:p>
        </w:tc>
        <w:tc>
          <w:tcPr>
            <w:tcW w:w="580" w:type="dxa"/>
            <w:vAlign w:val="bottom"/>
          </w:tcPr>
          <w:p>
            <w:pPr>
              <w:jc w:val="right"/>
              <w:spacing w:after="0"/>
              <w:rPr>
                <w:sz w:val="20"/>
                <w:szCs w:val="20"/>
                <w:color w:val="auto"/>
              </w:rPr>
            </w:pPr>
            <w:r>
              <w:rPr>
                <w:rFonts w:ascii="Arial" w:cs="Arial" w:eastAsia="Arial" w:hAnsi="Arial"/>
                <w:sz w:val="18"/>
                <w:szCs w:val="18"/>
                <w:color w:val="auto"/>
              </w:rPr>
              <w:t>916</w:t>
            </w:r>
          </w:p>
        </w:tc>
        <w:tc>
          <w:tcPr>
            <w:tcW w:w="300" w:type="dxa"/>
            <w:vAlign w:val="bottom"/>
          </w:tcPr>
          <w:p>
            <w:pPr>
              <w:spacing w:after="0"/>
              <w:rPr>
                <w:sz w:val="18"/>
                <w:szCs w:val="18"/>
                <w:color w:val="auto"/>
              </w:rPr>
            </w:pPr>
          </w:p>
        </w:tc>
        <w:tc>
          <w:tcPr>
            <w:tcW w:w="860" w:type="dxa"/>
            <w:vAlign w:val="bottom"/>
            <w:gridSpan w:val="4"/>
          </w:tcPr>
          <w:p>
            <w:pPr>
              <w:jc w:val="right"/>
              <w:ind w:right="152"/>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28,412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28,434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July 1, 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344,276</w:t>
            </w:r>
          </w:p>
        </w:tc>
        <w:tc>
          <w:tcPr>
            <w:tcW w:w="3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w w:val="86"/>
              </w:rPr>
              <w:t>184,755</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525,087</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1,054,118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Reallocation (Note 10)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(9,050)</w:t>
            </w:r>
          </w:p>
        </w:tc>
        <w:tc>
          <w:tcPr>
            <w:tcW w:w="860" w:type="dxa"/>
            <w:vAlign w:val="bottom"/>
            <w:gridSpan w:val="4"/>
          </w:tcPr>
          <w:p>
            <w:pPr>
              <w:jc w:val="right"/>
              <w:ind w:right="212"/>
              <w:spacing w:after="0"/>
              <w:rPr>
                <w:sz w:val="20"/>
                <w:szCs w:val="20"/>
                <w:color w:val="auto"/>
              </w:rPr>
            </w:pPr>
            <w:r>
              <w:rPr>
                <w:rFonts w:ascii="Arial" w:cs="Arial" w:eastAsia="Arial" w:hAnsi="Arial"/>
                <w:sz w:val="18"/>
                <w:szCs w:val="18"/>
                <w:color w:val="auto"/>
              </w:rPr>
              <w:t>44,508</w:t>
            </w:r>
          </w:p>
        </w:tc>
        <w:tc>
          <w:tcPr>
            <w:tcW w:w="2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(525,087)</w:t>
            </w:r>
          </w:p>
        </w:tc>
        <w:tc>
          <w:tcPr>
            <w:tcW w:w="4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422,245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67,384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4,065</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Impairment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(15,529)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exchange rate changes and other</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3"/>
              </w:rPr>
              <w:t>242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1,778</w:t>
            </w: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00" w:type="dxa"/>
            <w:vAlign w:val="bottom"/>
            <w:gridSpan w:val="3"/>
          </w:tcPr>
          <w:p>
            <w:pPr>
              <w:spacing w:after="0"/>
              <w:rPr>
                <w:sz w:val="20"/>
                <w:szCs w:val="20"/>
                <w:color w:val="auto"/>
              </w:rPr>
            </w:pPr>
            <w:r>
              <w:rPr>
                <w:rFonts w:ascii="Arial" w:cs="Arial" w:eastAsia="Arial" w:hAnsi="Arial"/>
                <w:sz w:val="18"/>
                <w:szCs w:val="18"/>
                <w:color w:val="auto"/>
              </w:rPr>
              <w:t>Balance as of September 27, 2009</w:t>
            </w: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335,226</w:t>
            </w:r>
          </w:p>
        </w:tc>
        <w:tc>
          <w:tcPr>
            <w:tcW w:w="3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w w:val="86"/>
              </w:rPr>
              <w:t>229,505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431,311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69,162</w:t>
            </w: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1,065,204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Accumulated impairment losses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(15,529)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335,226</w:t>
            </w:r>
          </w:p>
        </w:tc>
        <w:tc>
          <w:tcPr>
            <w:tcW w:w="3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w w:val="86"/>
              </w:rPr>
              <w:t>229,505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431,311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53,633</w:t>
            </w: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1,049,675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rPr>
              <w:t>Other intangible assets consists of the following:</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2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10"/>
          </w:tcPr>
          <w:p>
            <w:pPr>
              <w:jc w:val="right"/>
              <w:ind w:right="720"/>
              <w:spacing w:after="0"/>
              <w:rPr>
                <w:sz w:val="20"/>
                <w:szCs w:val="20"/>
                <w:color w:val="auto"/>
              </w:rPr>
            </w:pPr>
            <w:r>
              <w:rPr>
                <w:rFonts w:ascii="Arial" w:cs="Arial" w:eastAsia="Arial" w:hAnsi="Arial"/>
                <w:sz w:val="14"/>
                <w:szCs w:val="14"/>
                <w:b w:val="1"/>
                <w:bCs w:val="1"/>
                <w:color w:val="auto"/>
                <w:w w:val="90"/>
              </w:rPr>
              <w:t>As of September 27, 2009</w:t>
            </w:r>
          </w:p>
        </w:tc>
        <w:tc>
          <w:tcPr>
            <w:tcW w:w="100" w:type="dxa"/>
            <w:vAlign w:val="bottom"/>
          </w:tcPr>
          <w:p>
            <w:pPr>
              <w:spacing w:after="0"/>
              <w:rPr>
                <w:sz w:val="24"/>
                <w:szCs w:val="24"/>
                <w:color w:val="auto"/>
              </w:rPr>
            </w:pPr>
          </w:p>
        </w:tc>
        <w:tc>
          <w:tcPr>
            <w:tcW w:w="2400" w:type="dxa"/>
            <w:vAlign w:val="bottom"/>
            <w:gridSpan w:val="11"/>
          </w:tcPr>
          <w:p>
            <w:pPr>
              <w:ind w:left="440"/>
              <w:spacing w:after="0"/>
              <w:rPr>
                <w:sz w:val="20"/>
                <w:szCs w:val="20"/>
                <w:color w:val="auto"/>
              </w:rPr>
            </w:pPr>
            <w:r>
              <w:rPr>
                <w:rFonts w:ascii="Arial" w:cs="Arial" w:eastAsia="Arial" w:hAnsi="Arial"/>
                <w:sz w:val="14"/>
                <w:szCs w:val="14"/>
                <w:b w:val="1"/>
                <w:bCs w:val="1"/>
                <w:color w:val="auto"/>
              </w:rPr>
              <w:t>As of December 28,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78"/>
              </w:rPr>
              <w:t>Gross</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Carrying</w:t>
            </w:r>
          </w:p>
        </w:tc>
        <w:tc>
          <w:tcPr>
            <w:tcW w:w="9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Carrying</w:t>
            </w:r>
          </w:p>
        </w:tc>
        <w:tc>
          <w:tcPr>
            <w:tcW w:w="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8"/>
              </w:rPr>
              <w:t>Amortization</w:t>
            </w:r>
          </w:p>
        </w:tc>
        <w:tc>
          <w:tcPr>
            <w:tcW w:w="14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Non-compete agreements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44,107</w:t>
            </w:r>
          </w:p>
        </w:tc>
        <w:tc>
          <w:tcPr>
            <w:tcW w:w="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22,023</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$22,084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48,160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100"/>
              <w:spacing w:after="0"/>
              <w:rPr>
                <w:sz w:val="20"/>
                <w:szCs w:val="20"/>
                <w:color w:val="auto"/>
              </w:rPr>
            </w:pPr>
            <w:r>
              <w:rPr>
                <w:rFonts w:ascii="Arial" w:cs="Arial" w:eastAsia="Arial" w:hAnsi="Arial"/>
                <w:sz w:val="18"/>
                <w:szCs w:val="18"/>
                <w:color w:val="auto"/>
                <w:w w:val="98"/>
              </w:rPr>
              <w:t>17,958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$30,202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Student and customer relationships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33,182</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33,461</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70,926</w:t>
            </w: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8"/>
              </w:rPr>
              <w:t>31,922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Databases and technology</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10,100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15,425</w:t>
            </w:r>
          </w:p>
        </w:tc>
        <w:tc>
          <w:tcPr>
            <w:tcW w:w="2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5,324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names and trademarks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10,972</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20,190</w:t>
            </w: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7,164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5,670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7,027</w:t>
            </w:r>
          </w:p>
        </w:tc>
        <w:tc>
          <w:tcPr>
            <w:tcW w:w="2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5,100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150,198</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73,563</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76,635</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161,728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8"/>
              </w:rPr>
              <w:t>67,468</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94,260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rPr>
              <w:t>Indefinite-lived intangible assets:</w:t>
            </w: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Franchise agreements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496,047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495,570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Wireless licenses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22,150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22,150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Licensure and accreditation</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8,362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5,241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531,318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531,323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amortizes the recorded values of its amortized intangible assets over their estimated useful lives. Amortization of intangible assets for the thirty-nine weeks ended September 27, 2009 and September 28, 2008 was $20.6 million and $15.8 million, respectively. Amortization of these intangible assets is estimated to be approximately $4.5 million for the remainder of 2009, approximately $20.9 million in each of 2010 and 2011, and approximately $8.9 million in each of 2012 and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Debt consists of the following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540" w:type="dxa"/>
            <w:vAlign w:val="bottom"/>
            <w:gridSpan w:val="4"/>
          </w:tcPr>
          <w:p>
            <w:pPr>
              <w:ind w:left="1260"/>
              <w:spacing w:after="0"/>
              <w:rPr>
                <w:sz w:val="20"/>
                <w:szCs w:val="20"/>
                <w:color w:val="auto"/>
              </w:rPr>
            </w:pPr>
            <w:r>
              <w:rPr>
                <w:rFonts w:ascii="Arial" w:cs="Arial" w:eastAsia="Arial" w:hAnsi="Arial"/>
                <w:sz w:val="14"/>
                <w:szCs w:val="14"/>
                <w:b w:val="1"/>
                <w:bCs w:val="1"/>
                <w:color w:val="auto"/>
              </w:rPr>
              <w:t>September 27,</w:t>
            </w:r>
          </w:p>
        </w:tc>
        <w:tc>
          <w:tcPr>
            <w:tcW w:w="130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December 28,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7.25 percent unsecured notes due February 1, 2019</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396.1</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5.5 percent unsecured notes due February 15, 2009</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indebtedness</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paper borrowings at December 28, 2008 were at an average interest rate of 0.2 percent.</w:t>
      </w:r>
    </w:p>
    <w:p>
      <w:pPr>
        <w:spacing w:after="0" w:line="17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January 2009, the Company issued $400 million in unsecured ten-year fixed-rate notes due February 1, 2019 (“the Notes”). The Notes have a coupon rate of 7.25% per annum, payable semi-annually on February 1 and August 1, beginning August 1, 2009. The Company used the net proceeds from the sale of the Notes and other cash to repay $400 million of 5.5% notes that matured on February 15, 2009.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September 27, 2009 and December 28, 2008 is at interest rates of 5% to 6% and matures during 2009.</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During the third quarter of 2009 and 2008, the Company had average borrowings outstanding of approximately $399.2 million and $525.3 million, respectively, at average annual interest rates of approximately 7.2 percent and 4.7 percent, respectively. During the third quarter of 2009 and 2008, the Company incurred net interest expense of $7.0 million and $5.7 million, respectively.</w:t>
      </w:r>
    </w:p>
    <w:p>
      <w:pPr>
        <w:spacing w:after="0" w:line="140"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During the first nine months of 2009 and 2008, the Company had average borrowings outstanding of approximately $434.9 million and $492.7 million, respectively, at average annual interest rates of approximately 6.8 percent and 4.9 percent, respectively. During the first nine months of 2009 and 2008, the Company incurred net interest expense of $21.3 million and $15.0 million, respectively.</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September 27, 2009, the fair value of the Company’s 7.25% unsecured notes, based on quoted market prices, totaled $431.4 million, compared with the carrying amount of $396.1 million. At December 28, 2008, the fair value of the Company’s 5.5% unsecured notes, based on quoted market prices, totaled $397.8 million, compared with the carrying amount of $399.9 million. The carrying value of the Company’s other unsecured debt at September 27, 2009 approximates fair value.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earnings per share (basic and diluted) for the third quarter and first nine months of 2009 and 2008, are presented below (in thousands, except per share amounts):</w:t>
      </w:r>
    </w:p>
    <w:tbl>
      <w:tblPr>
        <w:tblLayout w:type="fixed"/>
        <w:tblInd w:w="4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4"/>
          </w:tcPr>
          <w:p>
            <w:pPr>
              <w:jc w:val="right"/>
              <w:ind w:right="395"/>
              <w:spacing w:after="0" w:line="151" w:lineRule="exact"/>
              <w:rPr>
                <w:sz w:val="20"/>
                <w:szCs w:val="20"/>
                <w:color w:val="auto"/>
              </w:rPr>
            </w:pPr>
            <w:r>
              <w:rPr>
                <w:rFonts w:ascii="Arial" w:cs="Arial" w:eastAsia="Arial" w:hAnsi="Arial"/>
                <w:sz w:val="14"/>
                <w:szCs w:val="14"/>
                <w:b w:val="1"/>
                <w:bCs w:val="1"/>
                <w:color w:val="auto"/>
              </w:rPr>
              <w:t>Thirteen Weeks Ended</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jc w:val="right"/>
              <w:ind w:right="400"/>
              <w:spacing w:after="0" w:line="151" w:lineRule="exact"/>
              <w:rPr>
                <w:sz w:val="20"/>
                <w:szCs w:val="20"/>
                <w:color w:val="auto"/>
              </w:rPr>
            </w:pPr>
            <w:r>
              <w:rPr>
                <w:rFonts w:ascii="Arial" w:cs="Arial" w:eastAsia="Arial" w:hAnsi="Arial"/>
                <w:sz w:val="14"/>
                <w:szCs w:val="14"/>
                <w:b w:val="1"/>
                <w:bCs w:val="1"/>
                <w:color w:val="auto"/>
                <w:w w:val="99"/>
              </w:rPr>
              <w:t>Thirty-Nine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27,</w:t>
            </w:r>
          </w:p>
        </w:tc>
        <w:tc>
          <w:tcPr>
            <w:tcW w:w="6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620" w:type="dxa"/>
            <w:vAlign w:val="bottom"/>
          </w:tcPr>
          <w:p>
            <w:pPr>
              <w:spacing w:after="0"/>
              <w:rPr>
                <w:sz w:val="11"/>
                <w:szCs w:val="11"/>
                <w:color w:val="auto"/>
              </w:rPr>
            </w:pPr>
          </w:p>
        </w:tc>
        <w:tc>
          <w:tcPr>
            <w:tcW w:w="14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340" w:type="dxa"/>
            <w:vAlign w:val="bottom"/>
            <w:gridSpan w:val="2"/>
          </w:tcPr>
          <w:p>
            <w:pPr>
              <w:spacing w:after="0"/>
              <w:rPr>
                <w:sz w:val="20"/>
                <w:szCs w:val="20"/>
                <w:color w:val="auto"/>
              </w:rPr>
            </w:pPr>
            <w:r>
              <w:rPr>
                <w:rFonts w:ascii="Arial" w:cs="Arial" w:eastAsia="Arial" w:hAnsi="Arial"/>
                <w:sz w:val="18"/>
                <w:szCs w:val="18"/>
                <w:color w:val="auto"/>
              </w:rPr>
              <w:t>Weighted-average shares outstanding – basic</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9,340</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9,334</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9,340</w:t>
            </w:r>
          </w:p>
        </w:tc>
        <w:tc>
          <w:tcPr>
            <w:tcW w:w="1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 diluted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1.81</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2009, there were 9,339,646 weighted average basic and 9,399,501 diluted shares outstanding.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2009, there were 9,340,067 weighted average basic and 9,401,010 diluted shares outstanding.</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diluted earnings per share amounts for the third quarter and the first nine months of 2009 exclude the effects of 60,125 and 72,069 stock options outstanding, respectively, as their inclusion would have been antidilutive.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Pension and Postretirement Plans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total (income) cost arising from the Company’s defined benefit pension plans for the third quarter and nine months ended September 27, 2009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2008, consists of the following components (in thousands):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3"/>
              </w:rPr>
              <w:t>Pension Plans</w:t>
            </w: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rPr>
              <w:t>Thirteen Weeks Ended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5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6,691</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22,517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13,918</w:t>
            </w: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15,092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43,077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(24,409)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(27,938)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(73,832)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(5,206)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64,541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105,076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(6,241)</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59,335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SERP</w:t>
            </w:r>
          </w:p>
        </w:tc>
        <w:tc>
          <w:tcPr>
            <w:tcW w:w="6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rPr>
              <w:t>Thirteen Weeks Ended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5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1,032</w:t>
            </w: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1,263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3,096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1,046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1,164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5,595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2,692</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5,595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Newsweek offered a Voluntary Retirement Incentive Program to certain employees in November 2008 and 44 employees accepted the offer in the first quarter of 2009; early retirement program expense of $6.6 million was recorded in the first quarter of 2009, which will be funded primarily from the assets of the Company’s pension plans. In the first quarter of 2008, Newsweek offered a Voluntary Retirement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Incentive Program to certain employees and 117 employees accepted the offer. The early retirement program expense in 2008 totaled $29.2 million, which is being funded mostly from the assets of the Company’s pension plans. Of this amount, $24.6 million was recorded in the first quarter of 2008 and $4.6 million was recorded in the second quarter of 2008.</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offered a Voluntary Retirement Incentive Program to certain employees of The Washington Post newspaper in the first quarter of 2009. A total of 221 employees accepted the offer and early retirement program expense of $56.8 million was recorded in the second quarter of 2009, which will be funded primarily from the assets of the Company’s pension plans. In the third quarter of 2009, the Company offered a Voluntary Retirement Incentive Program to certain employees at Robinson Terminal Warehouse Corporation; $1.1 million in early retirement program expense was recorded in the third quarter of 2009, also to be funded from the assets of the Company’s pension plans. In the first quarter of 2008, a Voluntary Retirement Incentive Program was also offered to certain employees of The Washington Post newspaper and the corporate office; 236 employees accepted the offer; $82.8 million in early retirement program expense was recorded in the second quarter of 2008, also funded primarily from the assets of the Company’s pension plans.</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total (income) cost arising from the Company’s postretirement plans for the third quarter and nine months ended September 27, 2009 and September 28, 2008, consists of the following components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7"/>
              </w:rPr>
              <w:t>Postretirement Plans</w:t>
            </w: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w w:val="86"/>
              </w:rPr>
              <w:t>Thirteen Weeks Ended</w:t>
            </w:r>
          </w:p>
        </w:tc>
        <w:tc>
          <w:tcPr>
            <w:tcW w:w="540" w:type="dxa"/>
            <w:vAlign w:val="bottom"/>
            <w:tcBorders>
              <w:bottom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jc w:val="right"/>
              <w:ind w:right="375"/>
              <w:spacing w:after="0" w:line="142" w:lineRule="exact"/>
              <w:rPr>
                <w:sz w:val="20"/>
                <w:szCs w:val="20"/>
                <w:color w:val="auto"/>
              </w:rPr>
            </w:pPr>
            <w:r>
              <w:rPr>
                <w:rFonts w:ascii="Arial" w:cs="Arial" w:eastAsia="Arial" w:hAnsi="Arial"/>
                <w:sz w:val="14"/>
                <w:szCs w:val="14"/>
                <w:b w:val="1"/>
                <w:bCs w:val="1"/>
                <w:color w:val="auto"/>
              </w:rPr>
              <w:t>Thirty-Nine Weeks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3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7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76"/>
              </w:rPr>
              <w:t>2008</w:t>
            </w: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9"/>
              </w:rPr>
              <w:t>2009</w:t>
            </w: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3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2,903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Arial" w:cs="Arial" w:eastAsia="Arial" w:hAnsi="Arial"/>
                <w:sz w:val="18"/>
                <w:szCs w:val="18"/>
                <w:color w:val="auto"/>
              </w:rPr>
              <w:t>1,211</w:t>
            </w:r>
          </w:p>
        </w:tc>
        <w:tc>
          <w:tcPr>
            <w:tcW w:w="24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3,126</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(1,286)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(3,726)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(782)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(2,346)</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Curtailment gain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recorded a curtailment gain of $0.7 million in the first quarter of 2009, due to the elimination of life insurance benefits for new retirees on or after January 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Non-Operating Income (Expense)</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 summary of non-operating income (expense) for the thirteen and thirty-nine weeks ended September 27, 2009 and September 28, 2008, is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Thirteen Weeks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4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27,</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gains (losses), net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Impairment write-downs on cost method investments</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(21.1)</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c>
          <w:tcPr>
            <w:tcW w:w="7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398"/>
              <w:spacing w:after="0"/>
              <w:rPr>
                <w:sz w:val="20"/>
                <w:szCs w:val="20"/>
                <w:color w:val="auto"/>
              </w:rPr>
            </w:pPr>
            <w:r>
              <w:rPr>
                <w:rFonts w:ascii="Arial" w:cs="Arial" w:eastAsia="Arial" w:hAnsi="Arial"/>
                <w:sz w:val="18"/>
                <w:szCs w:val="18"/>
                <w:color w:val="auto"/>
                <w:w w:val="99"/>
              </w:rPr>
              <w:t>15</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96" w:lineRule="exact"/>
        <w:rPr>
          <w:sz w:val="20"/>
          <w:szCs w:val="20"/>
          <w:color w:val="auto"/>
        </w:rPr>
      </w:pPr>
    </w:p>
    <w:p>
      <w:pPr>
        <w:jc w:val="both"/>
        <w:ind w:right="240"/>
        <w:spacing w:after="0" w:line="284" w:lineRule="auto"/>
        <w:rPr>
          <w:sz w:val="20"/>
          <w:szCs w:val="20"/>
          <w:color w:val="auto"/>
        </w:rPr>
      </w:pPr>
      <w:r>
        <w:rPr>
          <w:rFonts w:ascii="Arial" w:cs="Arial" w:eastAsia="Arial" w:hAnsi="Arial"/>
          <w:sz w:val="16"/>
          <w:szCs w:val="16"/>
          <w:color w:val="auto"/>
        </w:rPr>
        <w:t>In accordance with GAAP, a fair value measurement is determined based on the assumptions that a market participant would use in pricing an asset or liability. GAAP also established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w:t>
      </w:r>
    </w:p>
    <w:p>
      <w:pPr>
        <w:spacing w:after="0" w:line="1" w:lineRule="exact"/>
        <w:rPr>
          <w:sz w:val="20"/>
          <w:szCs w:val="20"/>
          <w:color w:val="auto"/>
        </w:rPr>
      </w:pPr>
    </w:p>
    <w:p>
      <w:pPr>
        <w:ind w:firstLine="8"/>
        <w:spacing w:after="0" w:line="254" w:lineRule="auto"/>
        <w:tabs>
          <w:tab w:leader="none" w:pos="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measured at fair value on a recurring basis as of September 27, 2009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86"/>
              </w:rPr>
              <w:t>Fair Value Measurements as of</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4"/>
                <w:szCs w:val="14"/>
                <w:b w:val="1"/>
                <w:bCs w:val="1"/>
                <w:color w:val="auto"/>
                <w:w w:val="85"/>
              </w:rPr>
              <w:t>September 27, 2009</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40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78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Significant Other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27,</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Identical Items</w:t>
            </w:r>
          </w:p>
        </w:tc>
        <w:tc>
          <w:tcPr>
            <w:tcW w:w="78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(Level 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11"/>
                <w:szCs w:val="11"/>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384.3</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384.3</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investments</w:t>
            </w:r>
            <w:r>
              <w:rPr>
                <w:rFonts w:ascii="Arial" w:cs="Arial" w:eastAsia="Arial" w:hAnsi="Arial"/>
                <w:sz w:val="11"/>
                <w:szCs w:val="11"/>
                <w:color w:val="auto"/>
              </w:rPr>
              <w:t>(2)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Total financial assets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500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403.1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401.5</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Deferred compensation plan liabilities</w:t>
            </w:r>
            <w:r>
              <w:rPr>
                <w:rFonts w:ascii="Arial" w:cs="Arial" w:eastAsia="Arial" w:hAnsi="Arial"/>
                <w:sz w:val="11"/>
                <w:szCs w:val="11"/>
                <w:color w:val="auto"/>
              </w:rPr>
              <w:t>(3)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62.4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investments in marketable equity securities are classified as available-for-sale.</w:t>
      </w:r>
    </w:p>
    <w:p>
      <w:pPr>
        <w:spacing w:after="0" w:line="15"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current investments include U.S. Government Securities, corporate bonds, and money market investments held in a trust. In addition, other current investments include time deposits with original maturities greater than 90 days, but less than one year.</w:t>
      </w:r>
    </w:p>
    <w:p>
      <w:pPr>
        <w:ind w:left="460" w:right="52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Washington Post Company Deferred Compensation Plan and supplemental savings plan benefits under The Washington Post Company Supplemental Executive Retirement Plan.</w:t>
      </w:r>
    </w:p>
    <w:p>
      <w:pPr>
        <w:spacing w:after="0" w:line="13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Through its subsidiary Kaplan, Inc., the Company provides educational services for individuals, schools and businesses. The Company also operates principally in four areas of the media business: cable television, newspaper publishing, television broadcasting and magazine publishing.</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Kaplan reorganized its operations effective in the third quarter of 2009 into the following four operating segments for the purpose of making operating decisions and assessing performance: Higher Education, Test Prep, Kaplan International, and Kaplan Ventures. Kaplan International was organized primarily from the non-U.S. businesses previously included in the Higher Education, Test Prep and Professional operating segments. Most of the U.S. based businesses previously included in the Professional operating segment were moved into the operations of Test Prep. The Kaplan Ventures operating segment was organized to manage and develop new and more recently acquired businesses. Kaplan’s organizational structure is based on a number of factors that management uses to evaluate, view and run its business operations which include, but are not limited to customers, the nature of products and services, and use of resources. The business segments disclosed in the condensed consolidated financial statements are based on this new organizational structure and information reviewed by the Company’s management to evaluate the business segment results. Segment operating results of the education division for the third quarter and nine months ended September 2008 have been restated to reflect this organizational change. Additionally, the Company includes the comparative results of the education division for each quarter in fiscal years 2009 and 2008 as well as fiscal years 2008 and 2007.</w:t>
      </w:r>
    </w:p>
    <w:p>
      <w:pPr>
        <w:spacing w:after="0" w:line="12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the third quarter of 2009, Kaplan Higher Education (KHE) modified its method of recognizing revenue ratably over the period of instruction as services are delivered to students from a weekly convention to a daily convention, on a prospective basis. If KHE’s revenue recognition convention had been on a daily convention in prior periods, revenues and operating income in the first quarter of 2009 would have increased by $7.0 million and $6.5 million, respectively, and revenues and operating income in the fourth quarter of 2008 would have decreased by $7.8 million and $7.3 million, respectively. The Company has concluded that the impact of this change was not material to the Company’s financial position or results of operations for 2009, 2008 and 2007 and the related interim periods, based on its consideration of quantitative and qualitative factors.</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the end of March 2009, the Company approved a plan to offer tutoring services, previously provided at Score, in Kaplan test prep centers. The plan was substantially completed by the end of the second quarter of 2009. In conjunction with this plan, 14 existing Score centers were converted into Kaplan test prep centers and the remaining 64 Score centers were closed. The Company recorded $24.9 million in asset write-downs, lease terminations, severance and accelerated depreciation of fixed assets in the first half of 2009. This amount includes a $9.2 million write-down of Score’s software product to its fair value following an impairment review.</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2007, Kaplan announced restructuring plans at its professional domestic training businesses that involved product changes and decentralization of certain operations, in addition to employee terminations. These businesses are now part of Kaplan’s test prep division. In the fourth quarter of 2008, Kaplan expanded this restructuring to include additional operations. Total restructuring-related expenses of $0.9 million and $8.1 million were recorded in the third quarter and first nine months of 2009, respectively, related to lease termination, accelerated depreciation of fixed assets and severance costs, compared to $0.7 million and $3.9 million in restructuring-related severance costs recorded in the third quarter and first nine months of 2008, respectively.</w:t>
      </w:r>
    </w:p>
    <w:p>
      <w:pPr>
        <w:spacing w:after="0" w:line="1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Accrued restructuring charges of $6.2 million related to Kaplan’s Score and test prep operations are included in current and non-current liabilities in the condensed consolidated balance sheet as of September 27,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telephony and other services to subscribers in midwestern, western and southern states. The principal source of revenue is monthly subscription fees charged for services.</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 newsprint warehousing and recycling facilities; and the Company’s electronic media publishing business (primarily washingtonpost.com).</w:t>
      </w:r>
    </w:p>
    <w:p>
      <w:pPr>
        <w:spacing w:after="0" w:line="132"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magazine publishing division consists of the publication of a weekly newsmagazine, Newsweek, which has one domestic and three English-language international editions (and, in conjunction with others, publishes seven foreign-language editions around the world) and the publication of Arthur Frommer’s Budget Travel. The magazine publishing division also includes certain online media publishing businesses (newsweek.com and budgettravel.com).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Other businesses and corporate office includes the expenses associated with the Company’s corporate office and the operating results of Avenue100 Media Solutions (formerly CourseAdvisor).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Third Quarter Period</w:t>
            </w:r>
          </w:p>
        </w:tc>
        <w:tc>
          <w:tcPr>
            <w:tcW w:w="80" w:type="dxa"/>
            <w:vAlign w:val="bottom"/>
          </w:tcPr>
          <w:p>
            <w:pPr>
              <w:spacing w:after="0"/>
              <w:rPr>
                <w:sz w:val="14"/>
                <w:szCs w:val="14"/>
                <w:color w:val="auto"/>
              </w:rPr>
            </w:pPr>
          </w:p>
        </w:tc>
        <w:tc>
          <w:tcPr>
            <w:tcW w:w="19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 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2180" w:type="dxa"/>
            <w:vAlign w:val="bottom"/>
            <w:gridSpan w:val="2"/>
          </w:tcPr>
          <w:p>
            <w:pPr>
              <w:ind w:left="20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684,516</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602,739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1,927,369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1,722,459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189,647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559,839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156,281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196,217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485,937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599,593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192,415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40,167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131,776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176,043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businesses &amp; corporate office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Intersegment elimination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(1,644)</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(5,327)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4"/>
              </w:rPr>
              <w:t>$ 1,148,711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1,128,658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3,331,299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3,298,015</w:t>
            </w:r>
          </w:p>
        </w:tc>
        <w:tc>
          <w:tcPr>
            <w:tcW w:w="0" w:type="dxa"/>
            <w:vAlign w:val="bottom"/>
          </w:tcPr>
          <w:p>
            <w:pPr>
              <w:spacing w:after="0"/>
              <w:rPr>
                <w:sz w:val="1"/>
                <w:szCs w:val="1"/>
                <w:color w:val="auto"/>
              </w:rPr>
            </w:pPr>
          </w:p>
        </w:tc>
      </w:tr>
      <w:tr>
        <w:trPr>
          <w:trHeight w:val="330"/>
        </w:trPr>
        <w:tc>
          <w:tcPr>
            <w:tcW w:w="504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2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45,900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115,169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122,148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(82,749)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(166,721)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(178,295)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15,052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30,108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41,463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 businesses &amp; corporate office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(8,887)</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(34,565)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(30,408)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61,233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111,952</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Equity in losses of affiliates</w:t>
            </w: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gridSpan w:val="3"/>
            <w:vMerge w:val="continue"/>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(27,192)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(28,160)</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(21,083)</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15,779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(14,052)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27,166</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73,436</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Depreciation expense</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40" w:type="dxa"/>
            <w:vAlign w:val="bottom"/>
            <w:gridSpan w:val="3"/>
            <w:vMerge w:val="continue"/>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19,017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30,524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92,998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9,458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 businesses &amp; corporate office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70,094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231,651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195,463</w:t>
            </w:r>
          </w:p>
        </w:tc>
        <w:tc>
          <w:tcPr>
            <w:tcW w:w="0" w:type="dxa"/>
            <w:vAlign w:val="bottom"/>
          </w:tcPr>
          <w:p>
            <w:pPr>
              <w:spacing w:after="0"/>
              <w:rPr>
                <w:sz w:val="1"/>
                <w:szCs w:val="1"/>
                <w:color w:val="auto"/>
              </w:rPr>
            </w:pPr>
          </w:p>
        </w:tc>
      </w:tr>
      <w:tr>
        <w:trPr>
          <w:trHeight w:val="330"/>
        </w:trPr>
        <w:tc>
          <w:tcPr>
            <w:tcW w:w="5040" w:type="dxa"/>
            <w:vAlign w:val="bottom"/>
            <w:gridSpan w:val="3"/>
          </w:tcPr>
          <w:p>
            <w:pPr>
              <w:spacing w:after="0"/>
              <w:rPr>
                <w:sz w:val="20"/>
                <w:szCs w:val="20"/>
                <w:color w:val="auto"/>
              </w:rPr>
            </w:pPr>
            <w:r>
              <w:rPr>
                <w:rFonts w:ascii="Arial" w:cs="Arial" w:eastAsia="Arial" w:hAnsi="Arial"/>
                <w:sz w:val="18"/>
                <w:szCs w:val="18"/>
                <w:color w:val="auto"/>
              </w:rPr>
              <w:t>Amortization expense</w:t>
            </w:r>
          </w:p>
        </w:tc>
        <w:tc>
          <w:tcPr>
            <w:tcW w:w="2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 businesses &amp; corporate office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15,804</w:t>
            </w:r>
          </w:p>
        </w:tc>
        <w:tc>
          <w:tcPr>
            <w:tcW w:w="0" w:type="dxa"/>
            <w:vAlign w:val="bottom"/>
          </w:tcPr>
          <w:p>
            <w:pPr>
              <w:spacing w:after="0"/>
              <w:rPr>
                <w:sz w:val="1"/>
                <w:szCs w:val="1"/>
                <w:color w:val="auto"/>
              </w:rPr>
            </w:pPr>
          </w:p>
        </w:tc>
      </w:tr>
      <w:tr>
        <w:trPr>
          <w:trHeight w:val="330"/>
        </w:trPr>
        <w:tc>
          <w:tcPr>
            <w:tcW w:w="5040" w:type="dxa"/>
            <w:vAlign w:val="bottom"/>
            <w:gridSpan w:val="3"/>
          </w:tcPr>
          <w:p>
            <w:pPr>
              <w:spacing w:after="0"/>
              <w:rPr>
                <w:sz w:val="20"/>
                <w:szCs w:val="20"/>
                <w:color w:val="auto"/>
              </w:rPr>
            </w:pPr>
            <w:r>
              <w:rPr>
                <w:rFonts w:ascii="Arial" w:cs="Arial" w:eastAsia="Arial" w:hAnsi="Arial"/>
                <w:sz w:val="18"/>
                <w:szCs w:val="18"/>
                <w:color w:val="auto"/>
              </w:rPr>
              <w:t>Impairment charges</w:t>
            </w:r>
          </w:p>
        </w:tc>
        <w:tc>
          <w:tcPr>
            <w:tcW w:w="2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25,387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 businesses &amp; corporate office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25,387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59,690</w:t>
            </w:r>
          </w:p>
        </w:tc>
        <w:tc>
          <w:tcPr>
            <w:tcW w:w="0" w:type="dxa"/>
            <w:vAlign w:val="bottom"/>
          </w:tcPr>
          <w:p>
            <w:pPr>
              <w:spacing w:after="0"/>
              <w:rPr>
                <w:sz w:val="1"/>
                <w:szCs w:val="1"/>
                <w:color w:val="auto"/>
              </w:rPr>
            </w:pPr>
          </w:p>
        </w:tc>
      </w:tr>
      <w:tr>
        <w:trPr>
          <w:trHeight w:val="330"/>
        </w:trPr>
        <w:tc>
          <w:tcPr>
            <w:tcW w:w="5040" w:type="dxa"/>
            <w:vAlign w:val="bottom"/>
            <w:gridSpan w:val="3"/>
          </w:tcPr>
          <w:p>
            <w:pPr>
              <w:spacing w:after="0"/>
              <w:rPr>
                <w:sz w:val="20"/>
                <w:szCs w:val="20"/>
                <w:color w:val="auto"/>
              </w:rPr>
            </w:pPr>
            <w:r>
              <w:rPr>
                <w:rFonts w:ascii="Arial" w:cs="Arial" w:eastAsia="Arial" w:hAnsi="Arial"/>
                <w:sz w:val="18"/>
                <w:szCs w:val="18"/>
                <w:color w:val="auto"/>
              </w:rPr>
              <w:t>Net pension (expense) credit</w:t>
            </w:r>
          </w:p>
        </w:tc>
        <w:tc>
          <w:tcPr>
            <w:tcW w:w="2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21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(1,914)</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Cable television</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Television broadcasting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18,938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Other businesses &amp; corporate office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28,</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3100" w:type="dxa"/>
            <w:vAlign w:val="bottom"/>
            <w:gridSpan w:val="4"/>
          </w:tcPr>
          <w:p>
            <w:pPr>
              <w:jc w:val="right"/>
              <w:ind w:right="200"/>
              <w:spacing w:after="0"/>
              <w:rPr>
                <w:sz w:val="20"/>
                <w:szCs w:val="20"/>
                <w:color w:val="auto"/>
              </w:rPr>
            </w:pPr>
            <w:r>
              <w:rPr>
                <w:rFonts w:ascii="Arial" w:cs="Arial" w:eastAsia="Arial" w:hAnsi="Arial"/>
                <w:sz w:val="18"/>
                <w:szCs w:val="18"/>
                <w:color w:val="auto"/>
              </w:rPr>
              <w:t>$ 1,971,660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$2,080,037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1,177,852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1,204,373</w:t>
            </w:r>
          </w:p>
        </w:tc>
        <w:tc>
          <w:tcPr>
            <w:tcW w:w="3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199,653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383,849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404,538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412,129</w:t>
            </w:r>
          </w:p>
        </w:tc>
        <w:tc>
          <w:tcPr>
            <w:tcW w:w="3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Magazine publishing</w:t>
            </w:r>
          </w:p>
        </w:tc>
        <w:tc>
          <w:tcPr>
            <w:tcW w:w="3780" w:type="dxa"/>
            <w:vAlign w:val="bottom"/>
            <w:gridSpan w:val="3"/>
          </w:tcPr>
          <w:p>
            <w:pPr>
              <w:jc w:val="right"/>
              <w:ind w:right="180"/>
              <w:spacing w:after="0"/>
              <w:rPr>
                <w:sz w:val="20"/>
                <w:szCs w:val="20"/>
                <w:color w:val="auto"/>
              </w:rPr>
            </w:pPr>
            <w:r>
              <w:rPr>
                <w:rFonts w:ascii="Arial" w:cs="Arial" w:eastAsia="Arial" w:hAnsi="Arial"/>
                <w:sz w:val="18"/>
                <w:szCs w:val="18"/>
                <w:color w:val="auto"/>
              </w:rPr>
              <w:t>584,002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547,239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businesses &amp; corporate office</w:t>
            </w:r>
          </w:p>
        </w:tc>
        <w:tc>
          <w:tcPr>
            <w:tcW w:w="2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295,227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121,051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$ 4,632,932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$4,748,678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3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384,282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333,319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Investments in affiliates</w:t>
            </w:r>
          </w:p>
        </w:tc>
        <w:tc>
          <w:tcPr>
            <w:tcW w:w="27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55,261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76,437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$ 5,072,475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5,158,434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780" w:type="dxa"/>
            <w:vAlign w:val="bottom"/>
            <w:vMerge w:val="restart"/>
          </w:tcPr>
          <w:p>
            <w:pPr>
              <w:jc w:val="right"/>
              <w:ind w:right="1232"/>
              <w:spacing w:after="0"/>
              <w:rPr>
                <w:sz w:val="20"/>
                <w:szCs w:val="20"/>
                <w:color w:val="auto"/>
              </w:rPr>
            </w:pPr>
            <w:r>
              <w:rPr>
                <w:rFonts w:ascii="Arial" w:cs="Arial" w:eastAsia="Arial" w:hAnsi="Arial"/>
                <w:sz w:val="18"/>
                <w:szCs w:val="18"/>
                <w:color w:val="auto"/>
              </w:rPr>
              <w:t>19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summarizes quarterly financial information related to the operating segments within the Company’s education division for 2009 and 2008, as reported under Kaplan’s new organizational structure: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3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2009 Quarterly Operating Results</w:t>
            </w: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rPr>
              <w:t>Operating revenues</w:t>
            </w:r>
          </w:p>
        </w:tc>
        <w:tc>
          <w:tcPr>
            <w:tcW w:w="29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Higher education</w:t>
            </w: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333,535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376,949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408,658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Test prep</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113,573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119,307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109,525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international</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117,916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138,089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Kaplan ventures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31,262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30,459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corporate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(3,131)</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(2,530)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649,323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684,516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320" w:type="dxa"/>
            <w:vAlign w:val="bottom"/>
            <w:gridSpan w:val="3"/>
          </w:tcPr>
          <w:p>
            <w:pPr>
              <w:ind w:left="420"/>
              <w:spacing w:after="0"/>
              <w:rPr>
                <w:sz w:val="20"/>
                <w:szCs w:val="20"/>
                <w:color w:val="auto"/>
              </w:rPr>
            </w:pPr>
            <w:r>
              <w:rPr>
                <w:rFonts w:ascii="Arial" w:cs="Arial" w:eastAsia="Arial" w:hAnsi="Arial"/>
                <w:sz w:val="18"/>
                <w:szCs w:val="18"/>
                <w:color w:val="auto"/>
              </w:rPr>
              <w:t>Income (loss) from operations</w:t>
            </w:r>
          </w:p>
        </w:tc>
        <w:tc>
          <w:tcPr>
            <w:tcW w:w="1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Higher education</w:t>
            </w: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Test prep</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(11,939)</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(5,253)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4,657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international</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8,311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Kaplan ventures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(7,611)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corporate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(17,963)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(48,278)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320" w:type="dxa"/>
            <w:vAlign w:val="bottom"/>
            <w:gridSpan w:val="3"/>
          </w:tcPr>
          <w:p>
            <w:pPr>
              <w:ind w:left="420"/>
              <w:spacing w:after="0"/>
              <w:rPr>
                <w:sz w:val="20"/>
                <w:szCs w:val="20"/>
                <w:color w:val="auto"/>
              </w:rPr>
            </w:pPr>
            <w:r>
              <w:rPr>
                <w:rFonts w:ascii="Arial" w:cs="Arial" w:eastAsia="Arial" w:hAnsi="Arial"/>
                <w:sz w:val="18"/>
                <w:szCs w:val="18"/>
                <w:color w:val="auto"/>
              </w:rPr>
              <w:t>Identifiable assets</w:t>
            </w:r>
          </w:p>
        </w:tc>
        <w:tc>
          <w:tcPr>
            <w:tcW w:w="1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Higher education</w:t>
            </w: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569,336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558,396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582,018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Test prep</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342,737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321,760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349,417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international</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600,796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703,040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Kaplan ventures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323,653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302,825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corporate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1,878,041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1,930,149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1,971,660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320" w:type="dxa"/>
            <w:vAlign w:val="bottom"/>
            <w:gridSpan w:val="3"/>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Higher education</w:t>
            </w: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Test prep</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international</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Kaplan ventures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corporate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5320" w:type="dxa"/>
            <w:vAlign w:val="bottom"/>
            <w:gridSpan w:val="3"/>
          </w:tcPr>
          <w:p>
            <w:pPr>
              <w:ind w:left="420"/>
              <w:spacing w:after="0"/>
              <w:rPr>
                <w:sz w:val="20"/>
                <w:szCs w:val="20"/>
                <w:color w:val="auto"/>
              </w:rPr>
            </w:pPr>
            <w:r>
              <w:rPr>
                <w:rFonts w:ascii="Arial" w:cs="Arial" w:eastAsia="Arial" w:hAnsi="Arial"/>
                <w:sz w:val="18"/>
                <w:szCs w:val="18"/>
                <w:color w:val="auto"/>
              </w:rPr>
              <w:t>Amortization expense</w:t>
            </w:r>
          </w:p>
        </w:tc>
        <w:tc>
          <w:tcPr>
            <w:tcW w:w="1300" w:type="dxa"/>
            <w:vAlign w:val="bottom"/>
            <w:gridSpan w:val="2"/>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5,541</w:t>
            </w:r>
          </w:p>
        </w:tc>
        <w:tc>
          <w:tcPr>
            <w:tcW w:w="4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6,089</w:t>
            </w:r>
          </w:p>
        </w:tc>
        <w:tc>
          <w:tcPr>
            <w:tcW w:w="24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5,617</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Impairment charges</w:t>
            </w: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3"/>
          </w:tcPr>
          <w:p>
            <w:pPr>
              <w:ind w:left="420"/>
              <w:spacing w:after="0"/>
              <w:rPr>
                <w:sz w:val="20"/>
                <w:szCs w:val="20"/>
                <w:color w:val="auto"/>
              </w:rPr>
            </w:pPr>
            <w:r>
              <w:rPr>
                <w:rFonts w:ascii="Arial" w:cs="Arial" w:eastAsia="Arial" w:hAnsi="Arial"/>
                <w:sz w:val="18"/>
                <w:szCs w:val="18"/>
                <w:color w:val="auto"/>
              </w:rPr>
              <w:t>Kaplan stock-based incentive compensation expense</w:t>
            </w:r>
          </w:p>
        </w:tc>
        <w:tc>
          <w:tcPr>
            <w:tcW w:w="1300" w:type="dxa"/>
            <w:vAlign w:val="bottom"/>
            <w:gridSpan w:val="2"/>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1,761</w:t>
            </w: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1,697</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1,697</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2008 Quarterly Operating Results</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rPr>
              <w:t>Operating revenues</w:t>
            </w:r>
          </w:p>
        </w:tc>
        <w:tc>
          <w:tcPr>
            <w:tcW w:w="29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Higher education</w:t>
            </w: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262,659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272,379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302,026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Test prep</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125,967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134,675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129,627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international</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125,362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141,895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Kaplan ventures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30,784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31,815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corporate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(2,995)</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543,256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576,464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602,739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609,121</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320" w:type="dxa"/>
            <w:vAlign w:val="bottom"/>
            <w:gridSpan w:val="3"/>
          </w:tcPr>
          <w:p>
            <w:pPr>
              <w:ind w:left="420"/>
              <w:spacing w:after="0"/>
              <w:rPr>
                <w:sz w:val="20"/>
                <w:szCs w:val="20"/>
                <w:color w:val="auto"/>
              </w:rPr>
            </w:pPr>
            <w:r>
              <w:rPr>
                <w:rFonts w:ascii="Arial" w:cs="Arial" w:eastAsia="Arial" w:hAnsi="Arial"/>
                <w:sz w:val="18"/>
                <w:szCs w:val="18"/>
                <w:color w:val="auto"/>
              </w:rPr>
              <w:t>Income (loss) from operations</w:t>
            </w:r>
          </w:p>
        </w:tc>
        <w:tc>
          <w:tcPr>
            <w:tcW w:w="1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Higher education</w:t>
            </w: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Test prep</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14,095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international</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Kaplan ventures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(2,311)</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corporate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(17,143)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Intersegment elimination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61,024</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320" w:type="dxa"/>
            <w:vAlign w:val="bottom"/>
            <w:gridSpan w:val="3"/>
          </w:tcPr>
          <w:p>
            <w:pPr>
              <w:ind w:left="420"/>
              <w:spacing w:after="0"/>
              <w:rPr>
                <w:sz w:val="20"/>
                <w:szCs w:val="20"/>
                <w:color w:val="auto"/>
              </w:rPr>
            </w:pPr>
            <w:r>
              <w:rPr>
                <w:rFonts w:ascii="Arial" w:cs="Arial" w:eastAsia="Arial" w:hAnsi="Arial"/>
                <w:sz w:val="18"/>
                <w:szCs w:val="18"/>
                <w:color w:val="auto"/>
              </w:rPr>
              <w:t>Identifiable assets</w:t>
            </w:r>
          </w:p>
        </w:tc>
        <w:tc>
          <w:tcPr>
            <w:tcW w:w="1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Higher education</w:t>
            </w:r>
          </w:p>
        </w:tc>
        <w:tc>
          <w:tcPr>
            <w:tcW w:w="130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517,538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513,402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515,665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Test prep</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360,032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359,208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351,370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445,647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international</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633,764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662,775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Kaplan ventures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334,497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337,580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337,756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corporate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80" w:type="dxa"/>
            <w:vAlign w:val="bottom"/>
          </w:tcPr>
          <w:p>
            <w:pPr>
              <w:ind w:left="880"/>
              <w:spacing w:after="0"/>
              <w:rPr>
                <w:sz w:val="20"/>
                <w:szCs w:val="20"/>
                <w:color w:val="auto"/>
              </w:rPr>
            </w:pPr>
            <w:r>
              <w:rPr>
                <w:rFonts w:ascii="Arial" w:cs="Arial" w:eastAsia="Arial" w:hAnsi="Arial"/>
                <w:sz w:val="18"/>
                <w:szCs w:val="18"/>
                <w:color w:val="auto"/>
              </w:rPr>
              <w:t>Intersegment elimination</w:t>
            </w:r>
          </w:p>
        </w:tc>
        <w:tc>
          <w:tcPr>
            <w:tcW w:w="1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8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1,895,581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1,895,154</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1,912,814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2,080,037</w:t>
            </w:r>
          </w:p>
        </w:tc>
      </w:tr>
      <w:tr>
        <w:trPr>
          <w:trHeight w:val="330"/>
        </w:trPr>
        <w:tc>
          <w:tcPr>
            <w:tcW w:w="4880" w:type="dxa"/>
            <w:vAlign w:val="bottom"/>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16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Higher education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8,297</w:t>
            </w: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Test prep</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4,381</w:t>
            </w:r>
          </w:p>
        </w:tc>
      </w:tr>
      <w:tr>
        <w:trPr>
          <w:trHeight w:val="216"/>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Kaplan international</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w:t>
            </w: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Kaplan ventures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r>
      <w:tr>
        <w:trPr>
          <w:trHeight w:val="216"/>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Kaplan corporate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r>
      <w:tr>
        <w:trPr>
          <w:trHeight w:val="223"/>
        </w:trPr>
        <w:tc>
          <w:tcPr>
            <w:tcW w:w="4880" w:type="dxa"/>
            <w:vAlign w:val="bottom"/>
          </w:tcPr>
          <w:p>
            <w:pPr>
              <w:ind w:left="880"/>
              <w:spacing w:after="0"/>
              <w:rPr>
                <w:sz w:val="20"/>
                <w:szCs w:val="20"/>
                <w:color w:val="auto"/>
              </w:rPr>
            </w:pPr>
            <w:r>
              <w:rPr>
                <w:rFonts w:ascii="Arial" w:cs="Arial" w:eastAsia="Arial" w:hAnsi="Arial"/>
                <w:sz w:val="18"/>
                <w:szCs w:val="18"/>
                <w:color w:val="auto"/>
              </w:rPr>
              <w:t>Intersegment elimination</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8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18,158</w:t>
            </w:r>
          </w:p>
        </w:tc>
      </w:tr>
      <w:tr>
        <w:trPr>
          <w:trHeight w:val="20"/>
        </w:trPr>
        <w:tc>
          <w:tcPr>
            <w:tcW w:w="4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4880" w:type="dxa"/>
            <w:vAlign w:val="bottom"/>
          </w:tcPr>
          <w:p>
            <w:pPr>
              <w:ind w:left="440"/>
              <w:spacing w:after="0"/>
              <w:rPr>
                <w:sz w:val="20"/>
                <w:szCs w:val="20"/>
                <w:color w:val="auto"/>
              </w:rPr>
            </w:pPr>
            <w:r>
              <w:rPr>
                <w:rFonts w:ascii="Arial" w:cs="Arial" w:eastAsia="Arial" w:hAnsi="Arial"/>
                <w:sz w:val="18"/>
                <w:szCs w:val="18"/>
                <w:color w:val="auto"/>
              </w:rPr>
              <w:t>Amortization expense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2,840</w:t>
            </w:r>
          </w:p>
        </w:tc>
        <w:tc>
          <w:tcPr>
            <w:tcW w:w="4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4,512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4,969</w:t>
            </w:r>
          </w:p>
        </w:tc>
      </w:tr>
      <w:tr>
        <w:trPr>
          <w:trHeight w:val="217"/>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Kaplan stock-based incentive compensation expense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(17,627)</w:t>
            </w:r>
          </w:p>
        </w:tc>
      </w:tr>
      <w:tr>
        <w:trPr>
          <w:trHeight w:val="363"/>
        </w:trPr>
        <w:tc>
          <w:tcPr>
            <w:tcW w:w="4880" w:type="dxa"/>
            <w:vAlign w:val="bottom"/>
          </w:tcPr>
          <w:p>
            <w:pPr>
              <w:spacing w:after="0"/>
              <w:rPr>
                <w:sz w:val="24"/>
                <w:szCs w:val="24"/>
                <w:color w:val="auto"/>
              </w:rPr>
            </w:pPr>
          </w:p>
        </w:tc>
        <w:tc>
          <w:tcPr>
            <w:tcW w:w="1680" w:type="dxa"/>
            <w:vAlign w:val="bottom"/>
          </w:tcPr>
          <w:p>
            <w:pPr>
              <w:jc w:val="right"/>
              <w:ind w:right="672"/>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financial information related to the operating segments within the Company’s education division for the nine months ended 2009 and 2008, as well as for the fiscal years 2008 and 2007, as reported under Kaplan’s new organizational structure: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1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 Period</w:t>
            </w:r>
          </w:p>
        </w:tc>
        <w:tc>
          <w:tcPr>
            <w:tcW w:w="80" w:type="dxa"/>
            <w:vAlign w:val="bottom"/>
          </w:tcPr>
          <w:p>
            <w:pPr>
              <w:spacing w:after="0"/>
              <w:rPr>
                <w:sz w:val="14"/>
                <w:szCs w:val="14"/>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6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1,119,142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837,064</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1,160,062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507,112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382,066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407,402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545,070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126,242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1,927,369</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1,722,459</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2,331,580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2,030,889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199,934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128,949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172,897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59,957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(86,773)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(53,847)</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(56,786)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115,169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145,278</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206,302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149,037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582,018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515,665</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620,717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349,417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351,370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445,647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703,040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662,775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607,194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574,135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302,825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332,361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45,248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74,118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1,971,660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1,912,814</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2,080,037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1,930,525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27,728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22,340</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30,637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8,184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11,282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4,076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61,099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49,171</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67,329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60,986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14,670</w:t>
            </w:r>
          </w:p>
        </w:tc>
        <w:tc>
          <w:tcPr>
            <w:tcW w:w="0" w:type="dxa"/>
            <w:vAlign w:val="bottom"/>
          </w:tcPr>
          <w:p>
            <w:pPr>
              <w:spacing w:after="0"/>
              <w:rPr>
                <w:sz w:val="1"/>
                <w:szCs w:val="1"/>
                <w:color w:val="auto"/>
              </w:rPr>
            </w:pPr>
          </w:p>
        </w:tc>
      </w:tr>
      <w:tr>
        <w:trPr>
          <w:trHeight w:val="322"/>
        </w:trPr>
        <w:tc>
          <w:tcPr>
            <w:tcW w:w="7160" w:type="dxa"/>
            <w:vAlign w:val="bottom"/>
            <w:gridSpan w:val="3"/>
          </w:tcPr>
          <w:p>
            <w:pPr>
              <w:spacing w:after="0"/>
              <w:rPr>
                <w:sz w:val="20"/>
                <w:szCs w:val="20"/>
                <w:color w:val="auto"/>
              </w:rPr>
            </w:pPr>
            <w:r>
              <w:rPr>
                <w:rFonts w:ascii="Arial" w:cs="Arial" w:eastAsia="Arial" w:hAnsi="Arial"/>
                <w:sz w:val="18"/>
                <w:szCs w:val="18"/>
                <w:color w:val="auto"/>
              </w:rPr>
              <w:t>Impairment charges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25,387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Kaplan stock-based incentive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41,294</w:t>
            </w:r>
          </w:p>
        </w:tc>
        <w:tc>
          <w:tcPr>
            <w:tcW w:w="0" w:type="dxa"/>
            <w:vAlign w:val="bottom"/>
          </w:tcPr>
          <w:p>
            <w:pPr>
              <w:spacing w:after="0"/>
              <w:rPr>
                <w:sz w:val="1"/>
                <w:szCs w:val="1"/>
                <w:color w:val="auto"/>
              </w:rPr>
            </w:pPr>
          </w:p>
        </w:tc>
      </w:tr>
      <w:tr>
        <w:trPr>
          <w:trHeight w:val="323"/>
        </w:trPr>
        <w:tc>
          <w:tcPr>
            <w:tcW w:w="716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Test prep</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27,942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international</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14,767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Kaplan ventures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5,347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corporate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4,836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income for the third quarter of 2009 was $17.1 million ($1.81 per share), compared to net income of $10.4 million ($1.08 per share) for the third quarter of last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third quarter of 2009:</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$6.1 million in accelerated depreciation at The Washington Post (after-tax impact of $3.8 million, or $0.40 per share);</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$25.4 million goodwill and other long-lived assets impairment charge related to Kaplan Ventures (after-tax impact of $18.8 million, or $2.00 per share);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decline in equity in earnings (losses) of affiliates associated with $29.0 million in impairment charges at two of the Company’s affiliates (after-tax impact of $18.8 million, or $2.00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third quarter of 2008:</w:t>
      </w:r>
    </w:p>
    <w:p>
      <w:pPr>
        <w:spacing w:after="0" w:line="90" w:lineRule="exact"/>
        <w:rPr>
          <w:sz w:val="20"/>
          <w:szCs w:val="20"/>
          <w:color w:val="auto"/>
        </w:rPr>
      </w:pPr>
    </w:p>
    <w:p>
      <w:pPr>
        <w:ind w:left="900" w:right="1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$59.7 million goodwill impairment charge at the Company’s community newspapers and The Herald (after-tax impact of $41.9 million, or $4.48 per share);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$12.5 million in accelerated depreciation at The Washington Post (after-tax impact of $7.9 million, or $0.84 per share);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$20.6 million in non-operating unrealized foreign currency losses arising from the strengthening of the U.S. dollar (after-tax impact of $13.0 million, or $1.39 per share).</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Revenue for the third quarter of 2009 was $1,148.7 million, up 2% from $1,128.7 million in the third quarter of 2008. The increase is due to revenue growth at the education and cable television divisions. Revenues were down at the Company’s newspaper publishing, magazine publishing and television broadcasting divisions.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income increased in the third quarter of 2009 to $61.2 million, from $40.3 million in the third quarter of 2008. Excluding the operating items discussed above, the education division reported improved results for the quarter, and the newspaper publishing division reported increased losses. The magazine publishing division reported an operating loss for the third quarter, and operating results were down at the television broadcasting division. Cable television division results declined modestly for the third quarter of 2009.</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For the first nine months of 2009, net income totaled $9.0 million ($1.08 per share), compared with $47.0 million ($4.86 per share) for the same period of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first nine months of 2009:</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$63.4 million in early retirement program expense at The Washington Post and Newsweek (after-tax impact of $39.3 million, or $4.18 per share);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$33.0 million in restructuring charges related to Kaplan’s Score and Test Prep operations (after-tax impact of $20.5 million, or $2.18 per share);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$33.8 million in accelerated depreciation at The Washington Post (after-tax impact of $21.0 million, or $2.23 per share);</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$25.4 million goodwill and other long-lived assets impairment charge related to Kaplan Ventures (after-tax impact of $18.8 million, or $2.00 per share);</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equity in earnings (losses) of affiliates associated with $29.0 million in impairment charges at two of the Company’s affiliates (after-tax impact of $18.8 million, or $2.00 per share); and</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$18.4 million in non-operating unrealized foreign currency gains arising from the weakening of the U.S. dollar (after-tax impact of $11.4 million, or $1.21 per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results for the first nine months of 2008:</w:t>
      </w:r>
    </w:p>
    <w:p>
      <w:pPr>
        <w:spacing w:after="0" w:line="90" w:lineRule="exact"/>
        <w:rPr>
          <w:sz w:val="20"/>
          <w:szCs w:val="20"/>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Charges of $112.0 million related to early retirement program expense at The Washington Post newspaper, the corporate office and Newsweek (after-tax impact of $67.8 million, or $7.13 per share);</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$59.7 million goodwill impairment charge at the Company’s community newspapers and The Herald (after-tax impact of $41.9 million, or $4.48 per share);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$13.7 million in accelerated depreciation at The Washington Post (after-tax impact of $8.6 million, or $0.91 per share);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and charges of $3.9 million in connection with restructuring at certain Test Prep operations (after-tax impact of $2.4 million, or $0.26 per share);</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equity in earnings (losses) of affiliates associated with $6.8 million in impairment charges at two of the Company’s affiliates (after-tax impact of $4.1 million, or $0.43 per share); and</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$13.4 million in non-operating unrealized foreign currency losses arising from the strengthening of the U.S. dollar (after-tax impact of $8.4 million, or $0.89 per share).</w:t>
      </w:r>
    </w:p>
    <w:p>
      <w:pPr>
        <w:spacing w:after="0" w:line="132"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Revenue for the first nine months of 2009 was $3,331.3 million, up 1% from $3,298.0 in the first nine months of 2008, due to increased revenues at the Company’s education and cable television divisions, partially offset by revenue declines at the Company’s newspaper publishing, magazine publishing and television broadcasting divisions.</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Company reported operating income of $47.8 million for the first nine months of 2009, compared to operating income of $112.0 million for the first nine months of 2008. Excluding the operating items discussed above, the education division reported improved results for the period, and the newspaper publishing and magazine publishing divisions reported increased losses. Operating results were down at the television broadcasting division, while the cable television division reported improved results for the period.</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operating income for the third quarter and first nine months of 2009 included $2.3 million and $5.2 million of net pension credits, respectively, compared to $6.4 million and $19.6 million of net pension credits, respectively, for the same periods of 2008, excluding charges related to early retirement programs.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totaled $684.5 million for the third quarter of 2009, a 14% increase over revenue of $602.7 million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2008. Kaplan reported operating income of $45.9 million for the third quarter of 2009, down 10% from $51.1 million in the third quarter of 2008. Results for the third quarter of 2009 included a goodwill and other long-lived assets impairment charge of $25.4 million related to two businesses at Kaplan Ventures.</w:t>
      </w:r>
    </w:p>
    <w:p>
      <w:pPr>
        <w:spacing w:after="0" w:line="142" w:lineRule="exact"/>
        <w:rPr>
          <w:sz w:val="20"/>
          <w:szCs w:val="20"/>
          <w:color w:val="auto"/>
        </w:rPr>
      </w:pPr>
    </w:p>
    <w:p>
      <w:pPr>
        <w:jc w:val="both"/>
        <w:ind w:right="280"/>
        <w:spacing w:after="0" w:line="332" w:lineRule="auto"/>
        <w:rPr>
          <w:sz w:val="20"/>
          <w:szCs w:val="20"/>
          <w:color w:val="auto"/>
        </w:rPr>
      </w:pPr>
      <w:r>
        <w:rPr>
          <w:rFonts w:ascii="Arial" w:cs="Arial" w:eastAsia="Arial" w:hAnsi="Arial"/>
          <w:sz w:val="16"/>
          <w:szCs w:val="16"/>
          <w:color w:val="auto"/>
        </w:rPr>
        <w:t>For the first nine months of 2009, education division revenue totaled $1,927.4 million, a 12% increase over revenue of $1,722.5 million for the same period of 2008. Kaplan reported operating income of $115.2 million for the first nine months of 2009, down 21% from $145.3 million for the first nine months of 2008.</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Kaplan completed a reorganization of its organizational and internal reporting structure during the third quarter of 2009. As a result, the Company has made changes to the composition of its reporting segments. A summary of Kaplan’s operating results reported under this new structure for the third quarter and the first nine months of 2009 compared to 2008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Third Quarter</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YTD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 Change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9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408,658</w:t>
            </w: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302,026</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1,119,142</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837,064</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Test prep, excluding Score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109,319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122,109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366,287</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ind w:left="420"/>
              <w:spacing w:after="0"/>
              <w:rPr>
                <w:sz w:val="20"/>
                <w:szCs w:val="20"/>
                <w:color w:val="auto"/>
              </w:rPr>
            </w:pPr>
            <w:r>
              <w:rPr>
                <w:rFonts w:ascii="Arial" w:cs="Arial" w:eastAsia="Arial" w:hAnsi="Arial"/>
                <w:sz w:val="18"/>
                <w:szCs w:val="18"/>
                <w:color w:val="auto"/>
              </w:rPr>
              <w:t>Score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7,518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23,982</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international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138,089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141,895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407,402</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ind w:left="420"/>
              <w:spacing w:after="0"/>
              <w:rPr>
                <w:sz w:val="20"/>
                <w:szCs w:val="20"/>
                <w:color w:val="auto"/>
              </w:rPr>
            </w:pPr>
            <w:r>
              <w:rPr>
                <w:rFonts w:ascii="Arial" w:cs="Arial" w:eastAsia="Arial" w:hAnsi="Arial"/>
                <w:sz w:val="18"/>
                <w:szCs w:val="18"/>
                <w:color w:val="auto"/>
              </w:rPr>
              <w:t>Kaplan ventures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31,815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90,897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93,108</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corporate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(2,995)</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(6,442)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684,516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602,739</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1,927,369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1,722,459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580" w:type="dxa"/>
            <w:vAlign w:val="bottom"/>
            <w:gridSpan w:val="4"/>
            <w:vMerge w:val="restart"/>
          </w:tcPr>
          <w:p>
            <w:pPr>
              <w:spacing w:after="0"/>
              <w:rPr>
                <w:sz w:val="20"/>
                <w:szCs w:val="20"/>
                <w:color w:val="auto"/>
              </w:rPr>
            </w:pPr>
            <w:r>
              <w:rPr>
                <w:rFonts w:ascii="Arial" w:cs="Arial" w:eastAsia="Arial" w:hAnsi="Arial"/>
                <w:sz w:val="18"/>
                <w:szCs w:val="18"/>
                <w:color w:val="auto"/>
              </w:rPr>
              <w:t>Operating income(loss)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8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Higher 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45,927</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199,934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128,949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ind w:left="420"/>
              <w:spacing w:after="0"/>
              <w:rPr>
                <w:sz w:val="20"/>
                <w:szCs w:val="20"/>
                <w:color w:val="auto"/>
              </w:rPr>
            </w:pPr>
            <w:r>
              <w:rPr>
                <w:rFonts w:ascii="Arial" w:cs="Arial" w:eastAsia="Arial" w:hAnsi="Arial"/>
                <w:sz w:val="18"/>
                <w:szCs w:val="18"/>
                <w:color w:val="auto"/>
              </w:rPr>
              <w:t>Test prep, excluding Score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16,363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45,051</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Score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(2,268)</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(7,834)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ind w:left="420"/>
              <w:spacing w:after="0"/>
              <w:rPr>
                <w:sz w:val="20"/>
                <w:szCs w:val="20"/>
                <w:color w:val="auto"/>
              </w:rPr>
            </w:pPr>
            <w:r>
              <w:rPr>
                <w:rFonts w:ascii="Arial" w:cs="Arial" w:eastAsia="Arial" w:hAnsi="Arial"/>
                <w:sz w:val="18"/>
                <w:szCs w:val="18"/>
                <w:color w:val="auto"/>
              </w:rPr>
              <w:t>Kaplan international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10,825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34,519</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ind w:left="420"/>
              <w:spacing w:after="0"/>
              <w:rPr>
                <w:sz w:val="20"/>
                <w:szCs w:val="20"/>
                <w:color w:val="auto"/>
              </w:rPr>
            </w:pPr>
            <w:r>
              <w:rPr>
                <w:rFonts w:ascii="Arial" w:cs="Arial" w:eastAsia="Arial" w:hAnsi="Arial"/>
                <w:sz w:val="18"/>
                <w:szCs w:val="18"/>
                <w:color w:val="auto"/>
              </w:rPr>
              <w:t>Kaplan corporate</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(15,577)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(11,477)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(38,984)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(33,546)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Kaplan stock compensation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(9,798)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(5,617)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(3,151)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(10,503)</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Impairment of goodwill and other long-lived assets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(25,387)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3"/>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(193)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51,126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145,278</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as well as online post-secondary and career programs. Higher education revenue grew 35% for the third quarter of 2009 and 34% for the first nine months of 2009 due mostly to strong enrollment growth. Operating income at KHE improved 93% in the third quarter of 2009, reflecting this strong enrollment growth. Operating income increased 55% for the first nine months of 2009 due to this strong enrollment growth, offset by increased marketing and advertising costs in the first quarter of 2009, including a $21.0 million national media campaign. At September 30, 2009, KHE’s enrollments totaled 103,800, a 28% increase compared to total enrollments of 81,400 at September 30, 2008. Enrollment growth was particularly strong at Kaplan University’s online offerings, which grew at 37% in the first nine months of 2009.</w:t>
      </w:r>
    </w:p>
    <w:p>
      <w:pPr>
        <w:spacing w:after="0" w:line="14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following table summarizes KHE enrollments at the end of each quarter for 2009, 2008 and 2007. KHE enrollment figures include those of Kaplan University Online and Kaplan Higher Education campuses.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Second</w:t>
            </w:r>
          </w:p>
        </w:tc>
        <w:tc>
          <w:tcPr>
            <w:tcW w:w="640" w:type="dxa"/>
            <w:vAlign w:val="bottom"/>
          </w:tcPr>
          <w:p>
            <w:pPr>
              <w:jc w:val="right"/>
              <w:ind w:right="6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Quarter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2009 Enrollments</w:t>
            </w:r>
          </w:p>
        </w:tc>
        <w:tc>
          <w:tcPr>
            <w:tcW w:w="496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w w:val="83"/>
              </w:rPr>
              <w:t>95,600</w:t>
            </w:r>
          </w:p>
        </w:tc>
        <w:tc>
          <w:tcPr>
            <w:tcW w:w="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94,700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103,800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2008 Enrollments</w:t>
            </w:r>
          </w:p>
        </w:tc>
        <w:tc>
          <w:tcPr>
            <w:tcW w:w="4960" w:type="dxa"/>
            <w:vAlign w:val="bottom"/>
            <w:gridSpan w:val="2"/>
          </w:tcPr>
          <w:p>
            <w:pPr>
              <w:ind w:left="4480"/>
              <w:spacing w:after="0"/>
              <w:rPr>
                <w:sz w:val="20"/>
                <w:szCs w:val="20"/>
                <w:color w:val="auto"/>
              </w:rPr>
            </w:pPr>
            <w:r>
              <w:rPr>
                <w:rFonts w:ascii="Arial" w:cs="Arial" w:eastAsia="Arial" w:hAnsi="Arial"/>
                <w:sz w:val="18"/>
                <w:szCs w:val="18"/>
                <w:color w:val="auto"/>
                <w:w w:val="83"/>
              </w:rPr>
              <w:t>74,200</w:t>
            </w:r>
          </w:p>
        </w:tc>
        <w:tc>
          <w:tcPr>
            <w:tcW w:w="920" w:type="dxa"/>
            <w:vAlign w:val="bottom"/>
            <w:gridSpan w:val="3"/>
          </w:tcPr>
          <w:p>
            <w:pPr>
              <w:ind w:left="240"/>
              <w:spacing w:after="0"/>
              <w:rPr>
                <w:sz w:val="20"/>
                <w:szCs w:val="20"/>
                <w:color w:val="auto"/>
              </w:rPr>
            </w:pPr>
            <w:r>
              <w:rPr>
                <w:rFonts w:ascii="Arial" w:cs="Arial" w:eastAsia="Arial" w:hAnsi="Arial"/>
                <w:sz w:val="18"/>
                <w:szCs w:val="18"/>
                <w:color w:val="auto"/>
              </w:rPr>
              <w:t>72,200</w:t>
            </w:r>
          </w:p>
        </w:tc>
        <w:tc>
          <w:tcPr>
            <w:tcW w:w="640" w:type="dxa"/>
            <w:vAlign w:val="bottom"/>
          </w:tcPr>
          <w:p>
            <w:pPr>
              <w:jc w:val="right"/>
              <w:spacing w:after="0"/>
              <w:rPr>
                <w:sz w:val="20"/>
                <w:szCs w:val="20"/>
                <w:color w:val="auto"/>
              </w:rPr>
            </w:pPr>
            <w:r>
              <w:rPr>
                <w:rFonts w:ascii="Arial" w:cs="Arial" w:eastAsia="Arial" w:hAnsi="Arial"/>
                <w:sz w:val="18"/>
                <w:szCs w:val="18"/>
                <w:color w:val="auto"/>
              </w:rPr>
              <w:t>81,400</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w w:val="83"/>
              </w:rPr>
              <w:t>79,800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2007 Enrollments</w:t>
            </w:r>
          </w:p>
        </w:tc>
        <w:tc>
          <w:tcPr>
            <w:tcW w:w="4960" w:type="dxa"/>
            <w:vAlign w:val="bottom"/>
            <w:gridSpan w:val="2"/>
            <w:shd w:val="clear" w:color="auto" w:fill="CCEEFF"/>
          </w:tcPr>
          <w:p>
            <w:pPr>
              <w:ind w:left="4480"/>
              <w:spacing w:after="0"/>
              <w:rPr>
                <w:sz w:val="20"/>
                <w:szCs w:val="20"/>
                <w:color w:val="auto"/>
              </w:rPr>
            </w:pPr>
            <w:r>
              <w:rPr>
                <w:rFonts w:ascii="Arial" w:cs="Arial" w:eastAsia="Arial" w:hAnsi="Arial"/>
                <w:sz w:val="18"/>
                <w:szCs w:val="18"/>
                <w:color w:val="auto"/>
                <w:w w:val="83"/>
              </w:rPr>
              <w:t>65,700</w:t>
            </w:r>
          </w:p>
        </w:tc>
        <w:tc>
          <w:tcPr>
            <w:tcW w:w="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61,200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3"/>
              </w:rPr>
              <w:t>65,700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440" w:type="dxa"/>
            <w:vAlign w:val="bottom"/>
          </w:tcPr>
          <w:p>
            <w:pPr>
              <w:jc w:val="right"/>
              <w:ind w:right="2232"/>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Test prep includes Kaplan’s standardized test preparation and tutoring offerings, as well as the professional domestic training business, K12 and other businesses. Test prep revenue, excluding Score and revenue from acquired businesses, declined 11% in the third quarter and 9% in the first nine months of 2009 due to continued revenue declines in the real estate and financial education businesses, declines at the traditional test prep programs and softness in other programs. Test prep operating income, excluding Score, was also down in the third quarter and first nine months of 2009 due to declines at the traditional test prep programs and softness in other programs, offset by improved results at test prep’s professional domestic training businesses due to expense reductions.</w:t>
      </w:r>
    </w:p>
    <w:p>
      <w:pPr>
        <w:spacing w:after="0" w:line="10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the end of March 2009, the Company approved a plan to offer tutoring services, previously provided at Score, in Kaplan test prep centers. The plan was substantially completed by the end of the second quarter of 2009; 14 existing Score centers were converted into Kaplan test prep centers and the remaining 64 Score centers were closed. Score revenues declined to $8.6 million in the first nine months of 2009, from $24.0 in the first nine months of 2008. Operating losses at Score increased to $36.5 million in the first nine months of 2009, inclusive of $24.9 million in restructuring-related charges, compared to $7.8 million in operating losses for the first nine months of 2008.</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2007, Kaplan announced restructuring plans at its professional domestic training businesses that involved product changes and decentralization of certain operations, in addition to employee terminations. These businesses are now part of Kaplan’s test prep division. In the fourth quarter of 2008, Kaplan expanded this restructuring to include additional operations. Total restructuring-related expenses of $0.9 million and $8.1 million were recorded in the third quarter and first nine months of 2009, respectively, related to lease termination, accelerated depreciation of fixed assets and severance costs, compared to $0.7 million and $3.9 million in restructuring-related severance costs recorded in the third quarter and first nine months of 2008, respectively.</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Kaplan International includes professional training and post-secondary education businesses outside the United States, as well as English-language programs. Kaplan International revenue declined 3% in the third quarter of 2009 and 6% in the first nine months of 2009. Excluding revenue from acquired businesses, Kaplan International revenue was down 9% for the third quarter of 2009 and 11% in the first nine months of 2009. The declines are the result of unfavorable exchange rates in the U.K., Europe and Australia and declines in English-language programs. These declines were offset by revenue growth at International’s Asian operations. Likewise, Kaplan International operating income is down largely due to weakness in the English-language programs and the financial education programs in the U.K., offset by improved operating results at International’s Asian operations.</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Kaplan Ventures is made up of a number of businesses in various stages of development that are managed separately from the other education businesses. Kaplan Ventures includes Kaplan EduNeering, Kaplan Compliance Solutions, Education Connection, Kaplan Virtual Education, Kidum and other smaller businesses. Revenues at Kaplan Ventures declined 4% in the third quarter and 2% in the first nine months of 2009. Kaplan Ventures reported operating losses of $7.6 million and $13.0 million for the third quarter and first nine months of 2009, compared to operating losses of $2.3 million and $1.4 million for the same periods of 2008, due primarily to increased losses at Kaplan Virtual Education, a developing group of online high school institutions. A goodwill and other long-lived assets impairment charge of $25.4 million was recorded at Kaplan in the third quarter of 2009 related to certain of the Kaplan Venture’s businesses, as the book value of these businesses exceeded their estimated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activities.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television division revenue of $189.6 million for the third quarter of 2009 represents a 4% increase from $181.8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2008; for the first nine months of 2009, revenue increased 5% to $559.8 million, from $535.0 million in the same period of 2008. The 2009 revenue increase is due to continued growth in the division’s cable modem and telephone revenues, and a $4 monthly rate increase for most basic subscribers in June 2009.</w:t>
      </w:r>
    </w:p>
    <w:p>
      <w:pPr>
        <w:spacing w:after="0" w:line="14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Cable division operating income declined 3% to $40.3 million in the third quarter of 2009, versus $41.6 million in the third quarter of 2008; cable division operating income for the first nine months of 2009 increased 5% to $122.1 million, from $116.0 million for the first nine months of 2008. The decline in operating income in the third quarter of 2009 is due to increased programming, bad debt and general and administrative costs. The increase in operating income for the first nine months of 2009 is the result of the division’s revenue growth.</w:t>
      </w:r>
    </w:p>
    <w:p>
      <w:pPr>
        <w:spacing w:after="0" w:line="143"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At September 30, 2009, Revenue Generating Units (RGUs) grew 1% due to continued growth in high-speed data and telephony subscribers, partially offset by a reduction in basic and digital subscribers. RGUs include about 6,400 subscribers who receive free basic cable service, primarily local governments, schools and other organizations as required by the various franchise agreements. A summary of RGUs is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12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w w:val="89"/>
              </w:rPr>
              <w:t>Cable Television Division Subscribers</w:t>
            </w:r>
          </w:p>
        </w:tc>
        <w:tc>
          <w:tcPr>
            <w:tcW w:w="51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2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80" w:type="dxa"/>
            <w:vAlign w:val="bottom"/>
            <w:tcBorders>
              <w:top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677,751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Digital</w:t>
            </w:r>
          </w:p>
        </w:tc>
        <w:tc>
          <w:tcPr>
            <w:tcW w:w="5120" w:type="dxa"/>
            <w:vAlign w:val="bottom"/>
            <w:gridSpan w:val="2"/>
          </w:tcPr>
          <w:p>
            <w:pPr>
              <w:jc w:val="right"/>
              <w:spacing w:after="0"/>
              <w:rPr>
                <w:sz w:val="20"/>
                <w:szCs w:val="20"/>
                <w:color w:val="auto"/>
              </w:rPr>
            </w:pPr>
            <w:r>
              <w:rPr>
                <w:rFonts w:ascii="Arial" w:cs="Arial" w:eastAsia="Arial" w:hAnsi="Arial"/>
                <w:sz w:val="18"/>
                <w:szCs w:val="18"/>
                <w:color w:val="auto"/>
              </w:rPr>
              <w:t>221,564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388,567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Telephony</w:t>
            </w:r>
          </w:p>
        </w:tc>
        <w:tc>
          <w:tcPr>
            <w:tcW w:w="4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105,211</w:t>
            </w:r>
          </w:p>
        </w:tc>
        <w:tc>
          <w:tcPr>
            <w:tcW w:w="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1,393,093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Below are details of Cable division capital expenditures for the first nine months of 2009 and 2008, as defined by the NCTA Standard Reporting Categories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Scaleable Infrastructure</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Line Extensions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Upgrade/Rebuild</w:t>
            </w: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Support Capital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66.8</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$156.3 million for the third quarter of 2009, a decrease of 20% from $196.2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the third quarter of 2008; division revenue decreased 19% to $485.9 million for the first nine months of 2009, from $599.6 million for the first nine months of 2008. Print advertising revenue at The Post in the third quarter of 2009 declined 28% to $70.0 million, from $97.2 million in the third quarter of 2008, and decreased 27% to $224.4 million for the first nine months of 2009, from $308.6 million in the same period of 2008. The print revenue decline in 2009 is due to large decreases in classified, general, zones and retail advertising. Revenue generated by the Company’s newspaper online publishing activities, primarily washingtonpost.com, declined 18% to $22.6 million for the third quarter of 2009, versus $27.4 million for the third quarter of 2008; newspaper online revenues declined 12% to $68.1 million in the first nine months of 2009, versus $77.3 million for the first nine months of 2008. Display online advertising revenue declined 14% and 4% for the third quarter and first nine months of 2009, respectively. Online classified advertising revenue on washingtonpost.com declined 27% and 26% for the third quarter and first nine months of 2009, respectively.</w:t>
      </w:r>
    </w:p>
    <w:p>
      <w:pPr>
        <w:spacing w:after="0" w:line="11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the first nine months of 2009, Post daily and Sunday circulation declined 3.6% and 3.7%, respectively, compared to the same periods of the prior year. For the nine months ended September 27, 2009, average daily circulation at The Post totaled 600,800 and average Sunday circulation totaled 840,100.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previously announced, the Company offered a Voluntary Retirement Incentive Program to certain employees of The Washington Post newspaper in the first quarter of 2009. A total of 221 employees accepted the offer, and early retirement program expense of $56.8 million was recorded in the second quarter of 2009, which is being funded primarily from the assets of the Company’s pension plans. In the third quarter of 2009, the Company offered a Voluntary Retirement Incentive Program to certain employees at Robinson Terminal Warehouse Corporation; $1.1 million in early retirement program expense was recorded in the third quarter of 2009, also to be funded from the assets of the Company’s pension plans. In the first quarter of 2008, a Voluntary Retirement Incentive Program was also offered, with 231 employees accepting the offer; $79.8 million in early retirement program expense was recorded in the second quarter of 2008, also funded primarily from the assets of the Company’s pension plans.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Post closed its College Park, MD, printing plant in July 2009 and has consolidated its printing operations in Springfield, VA. The Post is also in the process of consolidating certain other operations in Washington, DC. In connection with these activities, accelerated depreciation of $6.1 million and $33.8 million was recorded in the third quarter and first nine months of 2009, respectively; accelerated depreciation of $12.5 million and $13.7 million was recorded in the third quarter and first nine months of 2008, respectively. The Company will incur additional costs related to the shutdown of the College Park, MD printing plant that will be recorded as incurred. The Company also expects to incur a loss on an office lease in conjunction with the consolidation of operations. A portion of the loss may be recorded in the fourth quarter of 2009 and the remainder in 2010, depending on the timing of the consolidation. Additionally, in the third quarter of 2008, the Company completed an impairment review of its community newspapers and The Herald, which resulted in a $59.7 million goodwill impairment loss.</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newspaper division reported an operating loss of $23.6 million in the third quarter of 2009, compared to an operating loss of $82.7 million in the third quarter of 2008. For the first nine months of 2009, the newspaper division reported an operating loss of $166.7 million, compared to an operating loss of $178.3 million for the first nine months of 2008. Excluding early retirement program charges, accelerated depreciation and goodwill impairment losses, operating results declined in the third quarter and first nine months of 2009 due to the significant decline in division advertising revenue and increased bad debt expense, offset by expense reductions. Newsprint expense was down 37% and 19% for the third quarter and first nine months of 2009, respectively, due to a decline in newsprint consumption and prices.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Washington Post contributes to multi-employer pension plans on behalf of three union-represented employee groups; the CWA-ITU National Pension Plan on behalf of Post Mailers, Helpers and Utility Mailers, the IAM National Pension Fund on behalf of Post Machinists, and the Central Pension Fund of the International Union of Operating Engineers on behalf of Post Engineers, Carpenters and Painters. Contributions are made in accordance with the relevant collective bargaining agreements, and are generally based on straight-time hours.</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Washington Post has negotiated in collective bargaining the contractual right to withdraw from the IAM National Pension Fund and from the IUOE Central Pension Fund. The right to withdraw from the CWA-ITU National Pension Plan is the subject of contract negotiations. Of these multi-employer plans, the Company is a significant participant in only the CWA-ITU National Pension Plan. According to the most recent withdrawal liability estimate from the CWA-ITU National Pension Plan, the Company would owe approximately $19 million in withdrawal liability in the event of a 2009 withdrawal. The Company has requested withdrawal liability estimates from the IAM National Pension Fund and from the IUOE Central Pension Fund.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decreased 17% in the third quarter of 2009 to $64.6 million, from $78.0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2008; for the first nine months of 2009, revenue decreased 19% to $192.4 million, from $238.5 million in 2008. The decrease in revenue is due to weaker advertising demand in all markets and most product categories, particularly automotive; political advertising revenue also declined by $3.9 million and $7.1 million for the third quarter and first nine months of 2009, respectively. Additionally, in the third quarter of 2008, the television broadcasting division benefited from $6.3 million in incremental summer Olympics-related advertising at the Company’s NBC affiliates.</w:t>
      </w:r>
    </w:p>
    <w:p>
      <w:pPr>
        <w:spacing w:after="0" w:line="11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third quarter of 2008, the television broadcasting division recorded $4.9 million in non-cash property, plant and equipment gains as a reduction to expense due to new digital equipment received at no cost from Sprint/Nextel in connection with an FCC mandate reallocating a portion of the broadcast spectrum in order to eliminate interference with public safety wireless communication systems.</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Operating income for the third quarter of 2009 declined 50% to $15.1 million, from $30.1 million in 2008; operating income for the first nine months of 2009 declined 52% to $41.5 million, from $86.4 million in 2008. The operating income declines for the third quarter and first nine months of 2009 are due to the revenue decreases discussed above and the $4.9 million in non-cash gains in the third quarter of 2008.</w:t>
      </w:r>
    </w:p>
    <w:p>
      <w:pPr>
        <w:spacing w:after="0" w:line="134"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$40.2 million in the third quarter of 2009, a 33% decrease from $60.0</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the third quarter of 2008; division revenue totaled $131.8 million for the first nine months of 2009, a 25% decrease from $176.0 million in the first nine months of 2008. The decline is due to a 48% and 38% reduction in advertising revenue at Newsweek for the third quarter and first nine months of 2009, respectively, resulting from fewer ad pages at both the domestic and international editions. In February 2009, Newsweek announced a circulation rate base reduction at its domestic edition, from 2.6 million to 1.5 million, by January 2010.</w:t>
      </w:r>
    </w:p>
    <w:p>
      <w:pPr>
        <w:spacing w:after="0" w:line="11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previously announced, Newsweek offered a Voluntary Retirement Incentive Program to certain employees in November 2008 and 44 employees accepted the offer in the first quarter of 2009; early retirement program expense of $6.6 million was recorded in the first quarter of 2009, which is being funded primarily from the assets of the Company’s pension plans. In the first quarter of 2008, Newsweek also offered a Voluntary Retirement Incentive Program to certain employees and 117 employees accepted the offer. The early retirement program expense in 2008 totaled $29.2 million, also funded primarily from the assets of the Company’s pension plans. Of this amount, $24.6 million was recorded in the first quarter of 2008 and $4.6 million was recorded in the second quarter of 2008. In the third quarter of 2009, Newsweek continued to implement cost savings initiatives at its operations and $2.7 million in severance costs were recorded. Additional costs savings initiatives are underway that are expected to result in added charges in the fourth quarter of 2009.</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division had an operating loss of $4.3 million in the third quarter of 2009, compared to operating income of $9.0 million in the third quarter of 2008; the division had an operating loss of $29.7 million for the first nine months of 2009, compared to an operating loss of $27.0 million for the first nine months of 2008. Excluding early retirement program expense, the division’s operating loss increased in the third quarter and first nine months of 2009 due to the revenue reductions discussed above and a reduced pension credit, offset by a decline in subscription and editorial expenses at the domestic edition of Newsweek.</w:t>
      </w:r>
    </w:p>
    <w:p>
      <w:pPr>
        <w:spacing w:after="0" w:line="107" w:lineRule="exact"/>
        <w:rPr>
          <w:sz w:val="20"/>
          <w:szCs w:val="20"/>
          <w:color w:val="auto"/>
        </w:rPr>
      </w:pPr>
    </w:p>
    <w:p>
      <w:pPr>
        <w:jc w:val="both"/>
        <w:ind w:right="380"/>
        <w:spacing w:after="0" w:line="262" w:lineRule="auto"/>
        <w:rPr>
          <w:sz w:val="20"/>
          <w:szCs w:val="20"/>
          <w:color w:val="auto"/>
        </w:rPr>
      </w:pPr>
      <w:r>
        <w:rPr>
          <w:rFonts w:ascii="Arial" w:cs="Arial" w:eastAsia="Arial" w:hAnsi="Arial"/>
          <w:sz w:val="18"/>
          <w:szCs w:val="18"/>
          <w:b w:val="1"/>
          <w:bCs w:val="1"/>
          <w:color w:val="auto"/>
        </w:rPr>
        <w:t xml:space="preserve">Other Businesses and Corporate Office. </w:t>
      </w:r>
      <w:r>
        <w:rPr>
          <w:rFonts w:ascii="Arial" w:cs="Arial" w:eastAsia="Arial" w:hAnsi="Arial"/>
          <w:sz w:val="18"/>
          <w:szCs w:val="18"/>
          <w:color w:val="auto"/>
        </w:rPr>
        <w:t>Other businesses and corporate office included the expenses of the Company’s corporate office and the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Avenue100 Media Solutions (formerly CourseAdvisor). The 2008 results include $3.0 million in early retirement program expense at the corporate office recorded in the second quarter.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310" w:lineRule="auto"/>
        <w:rPr>
          <w:sz w:val="20"/>
          <w:szCs w:val="20"/>
          <w:color w:val="auto"/>
        </w:rPr>
      </w:pPr>
      <w:r>
        <w:rPr>
          <w:rFonts w:ascii="Arial" w:cs="Arial" w:eastAsia="Arial" w:hAnsi="Arial"/>
          <w:sz w:val="16"/>
          <w:szCs w:val="16"/>
          <w:b w:val="1"/>
          <w:bCs w:val="1"/>
          <w:color w:val="auto"/>
        </w:rPr>
        <w:t xml:space="preserve">Equity in (Losses) Earnings of Affiliates. </w:t>
      </w:r>
      <w:r>
        <w:rPr>
          <w:rFonts w:ascii="Arial" w:cs="Arial" w:eastAsia="Arial" w:hAnsi="Arial"/>
          <w:sz w:val="16"/>
          <w:szCs w:val="16"/>
          <w:color w:val="auto"/>
        </w:rPr>
        <w:t>The Company holds a 49% interest in Bowater Mersey Paper Company and interests in several other affiliates.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equity in losses of affiliates for the third quarter of 2009 was $27.1 million, compared to losses of $0.6 million for the third quarter of 2008. For the first nine months of 2009, the Company’s equity in losses of affiliates totaled $28.2 million, compared to losses of $9.5 million for the same period of 2008.</w:t>
      </w:r>
    </w:p>
    <w:p>
      <w:pPr>
        <w:spacing w:after="0" w:line="10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Results for the third quarter of 2009 include $29.0 million in write-downs at two of these affiliate investments. Most of the loss relates to an impairment charge recorded on the Company’s interest in Bowater Mersey Paper Company. The economic environment for newsprint producers remains very challenging. In April 2009, AbitibiBowater, the 51% majority owner, and certain of its U.S. and Canadian subsidiaries filed voluntary petitions in the United States under Chapter 11 of the United States Bankruptcy Code (“Chapter 11”) and under the Companies’ Creditors Arrangement Act (“CCAA”) in Canada. The impairment charge on the Bowater Mersey investment was based on the Company’s best estimate of fair value at September 27, 2009.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Results for the first nine months of 2008 included $6.8 million in impairment charges at two of the Company’s affiliates.</w:t>
      </w:r>
    </w:p>
    <w:p>
      <w:pPr>
        <w:spacing w:after="0" w:line="16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other non-operating income, net, of $0.1 million for the third quarter of 2009,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non-operating expense, net, of $21.1 million for the third quarter of 2008. The third quarter 2008 non-operating expense, net, included $20.6 million in unrealized foreign currency losses.</w:t>
      </w:r>
    </w:p>
    <w:p>
      <w:pPr>
        <w:spacing w:after="0" w:line="13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recorded other non-operating income, net, of $15.8 million for the first nine months of 2009, compared to other non-operating expense, net, of $14.1 million for the same period of the prior year. The 2009 non-operating income, net, included $18.4 million in unrealized foreign currency gains, offset by $2.9 million in impairment write-downs on cost method investments and other items. The 2008 non-operating expense, net, included $13.4 million in unrealized foreign currency losses.</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noted above, a large part of the Company’s non-operating income (expense) is from unrealized foreign currency gains or losses arising from the translation of British pound and Australian dollar-denominated intercompany loans into U.S. dollars. The unrealized foreign currency gains in the first nine months of 2009 were the result of a weakening of the U.S. dollar against the British pound and the Australian dollar in the first nine months of 2009, versus the exchange rates in effect at the end of 2008. The unrealized foreign currency losses in the first nine months of 2008 were the result of a strengthening of the U.S. dollar against the British pound and the Australian dollar in the first nine months of 2008, versus the exchange rates in effect at the end of 2007.</w:t>
      </w:r>
    </w:p>
    <w:p>
      <w:pPr>
        <w:spacing w:after="0" w:line="116" w:lineRule="exact"/>
        <w:rPr>
          <w:sz w:val="20"/>
          <w:szCs w:val="20"/>
          <w:color w:val="auto"/>
        </w:rPr>
      </w:pPr>
    </w:p>
    <w:p>
      <w:pPr>
        <w:jc w:val="center"/>
        <w:ind w:right="380"/>
        <w:spacing w:after="0" w:line="440" w:lineRule="auto"/>
        <w:rPr>
          <w:sz w:val="20"/>
          <w:szCs w:val="20"/>
          <w:color w:val="auto"/>
        </w:rPr>
      </w:pPr>
      <w:r>
        <w:rPr>
          <w:rFonts w:ascii="Arial" w:cs="Arial" w:eastAsia="Arial" w:hAnsi="Arial"/>
          <w:sz w:val="18"/>
          <w:szCs w:val="18"/>
          <w:color w:val="auto"/>
        </w:rPr>
        <w:t>Refer to Note 8 for a summary of non-operating income (expense) for the thirteen and thirty-nine weeks ended September 27, 2009 and September 28, 2008. 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$7.0 million and $21.3 million for the third quarter and first nine months of 2009,</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compared to $5.7 million and $15.0 million for the same periods of 2008. The increases are due to a decline in interest income, as well as higher average interest rates in the first nine months of 2009 versus the same period of the prior year. At September 27, 2009, the Company had $399.1 million in borrowings outstanding at an average interest rate of 7.2%</w:t>
      </w:r>
    </w:p>
    <w:p>
      <w:pPr>
        <w:spacing w:after="0" w:line="13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the third quarter and first nine months of 2009 was 37.2% and 36.7%, respectively. The low effective tax</w:t>
      </w:r>
      <w:r>
        <w:rPr>
          <w:rFonts w:ascii="Arial" w:cs="Arial" w:eastAsia="Arial" w:hAnsi="Arial"/>
          <w:sz w:val="18"/>
          <w:szCs w:val="18"/>
          <w:b w:val="1"/>
          <w:bCs w:val="1"/>
          <w:color w:val="auto"/>
        </w:rPr>
        <w:t xml:space="preserve"> </w:t>
      </w:r>
      <w:r>
        <w:rPr>
          <w:rFonts w:ascii="Arial" w:cs="Arial" w:eastAsia="Arial" w:hAnsi="Arial"/>
          <w:sz w:val="18"/>
          <w:szCs w:val="18"/>
          <w:color w:val="auto"/>
        </w:rPr>
        <w:t>rates for both of these periods are due primarily to favorable adjustments recorded in the third quarter of 2009 for a reduction in state income taxes and for prior year permanent federal tax deductions, offset by $8.5 million of nondeductible goodwill in connection with the impairment charge related to Kaplan Ventures recorded in the third quarter of 2009.</w:t>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tax rate for the third quarter and first nine months of 2008 was 19.5% and 36.0%, respectively. The low effective tax rate for both of these periods is due to a reduction in state income taxes and a favorable $4.6 million provision to return adjustment from 2007, offset by $5.9 million of nondeductible goodwill in connection with the impairment charge recorded in the third quarter of 2008.</w:t>
      </w:r>
    </w:p>
    <w:p>
      <w:pPr>
        <w:spacing w:after="0" w:line="13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calculation of diluted earnings per share for the third quarter and first nine months of 2009 was based on 9,401,010 and 9,399,501</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 average shares outstanding, respectively, compared to 9,358,096 and 9,458,193, respectively, for the third quarter and first nine months of 2008. In the first quarter of 2009, the Company repurchased 3,359 shares of its Class B common stock at a cost of $1.4 million from recipients of vested awards of restricted shares at market price.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Acquisitions and Dispositions. </w:t>
      </w:r>
      <w:r>
        <w:rPr>
          <w:rFonts w:ascii="Arial" w:cs="Arial" w:eastAsia="Arial" w:hAnsi="Arial"/>
          <w:sz w:val="18"/>
          <w:szCs w:val="18"/>
          <w:color w:val="auto"/>
        </w:rPr>
        <w:t>In the first nine months of 2009, the Company completed business acquisitions totaling approximately $8.1 million.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the acquisition of a company at the Kaplan International division in the third quarter of 2009, as well as a small acquisition by the Company in the second quarter of 2009. This also included $3.2 million of additional purchase consideration recorded to goodwill in the second quarter of 2009, in connection with the achievement of certain operating results by a company acquired by Kaplan in 2007. The purchase consideration was contingent on the achievement of certain future operating results and therefore was not included in the Company’s purchase accounting as of December 30, 2007. The Company did not make any acquisitions during the first quarter of 2009.</w:t>
      </w:r>
    </w:p>
    <w:p>
      <w:pPr>
        <w:spacing w:after="0" w:line="14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third quarter of 2008, Kaplan acquired a business in their professional division (now included in Kaplan International). Also in the third quarter of 2008, additional purchase consideration was recorded in connection with the achievement of certain operating results by a company acquired in 2007. The combined acquisition value of these activities was $10.8 million. In the second quarter of 2008, Kaplan acquired two businesses in their professional and test preparation divisions totaling $14.8 million (now included in Kaplan Ventures and Kaplan International). In the first quarter of 2008, Kaplan acquired two businesses in their professional and test preparation divisions totaling $31.4 million (now included in Kaplan International and Test Prep). Also in the first quarter of 2008, the cable division acquired subscribers in the Winona, Mississippi area for $15.6 million.</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2007, Kaplan purchased a 40% interest in Shanghai Kai Bo Education Management Investment Co., Ltd. (“Kaplan China”), a provider of education in China that offers preparation courses for entry to U.K. universities, along with degree and professional training programs at campuses throughout China. In the first quarter of 2008, Kaplan exercised an option to increase its investment in Kaplan China to a majority interest and the transaction was completed in November 2008. Kaplan China’s results from the transaction date forward have been included in the Company’s consolidated financial statements as part of the Kaplan International division.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nine months of 2009, the Company’s capital expenditures totaled $183.0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$260 million to $285 million in 2009.</w:t>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decreased by $154.6 million, to $399.2 million at September 27, 2009, as compared to borrowings of $553.8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at December 28, 2008</w:t>
      </w:r>
      <w:r>
        <w:rPr>
          <w:rFonts w:ascii="Arial" w:cs="Arial" w:eastAsia="Arial" w:hAnsi="Arial"/>
          <w:sz w:val="18"/>
          <w:szCs w:val="18"/>
          <w:i w:val="1"/>
          <w:iCs w:val="1"/>
          <w:color w:val="auto"/>
        </w:rPr>
        <w:t>.</w:t>
      </w:r>
      <w:r>
        <w:rPr>
          <w:rFonts w:ascii="Arial" w:cs="Arial" w:eastAsia="Arial" w:hAnsi="Arial"/>
          <w:sz w:val="18"/>
          <w:szCs w:val="18"/>
          <w:color w:val="auto"/>
        </w:rPr>
        <w:t xml:space="preserve"> At September 27, 2009, the Company has $500.6 million in cash and cash equivalents, compared to $390.5 million at December 28, 2008. The Company had money market investments of $222.2 million and $15.7 million that are classified as “Cash and cash equivalents” in the Company’s Consolidated Balance Sheets as of September 27, 2009 and December 28, 2008, respectively.</w:t>
      </w:r>
    </w:p>
    <w:p>
      <w:pPr>
        <w:spacing w:after="0" w:line="14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September 27, 2009, the Company had $399.2 million in total debt outstanding, which comprised $396.1 of 7.25% unsecured notes due February 1, 2019 and $3.1 million in other debt.</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January 2009, the Company issued $400 million in unsecured ten-year fixed-rate notes due February 1, 2019 (“the Notes”). The Notes have a coupon rate of 7.25 percent per annum, payable semi-annually on February 1 and August 1, beginning August 1, 2009. The Company used the net proceeds from the sale of the Notes and other cash to repay $400 million of 5.5 percent notes that matured on February 15, 2009.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144"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Company’s $500 million commercial paper program continues to serve as a significant source of short-term liquidity. The $500 million revolving credit facility that expires in August 2011 supports the issuance of the Company’s short-term commercial paper and provides for general corporate purposes.</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Company’s credit ratings were affirmed by the rating agencies in October 2008 with a change in ratings outlook from stable to negative. In May 2009, Standard &amp; Poor’s placed the Company’s “A+” long-term corporate credit and senior unsecured ratings, and the Company’s “A-1” short-term commercial paper rating on CreditWatch with negative implications. In June 2009, Standard &amp; Poor’s lowered its long-term rating to “A” from “A+”, affirmed the “A-1” short-term rating, and removed both ratings from CreditWatch. The Company’s rating outlook remains at negative. The Company’s current credit ratings are as follows:</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7"/>
              </w:rPr>
              <w:t>Moody’s</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Standard &amp; Poor’s</w:t>
            </w:r>
          </w:p>
        </w:tc>
      </w:tr>
      <w:tr>
        <w:trPr>
          <w:trHeight w:val="309"/>
        </w:trPr>
        <w:tc>
          <w:tcPr>
            <w:tcW w:w="3540" w:type="dxa"/>
            <w:vAlign w:val="bottom"/>
          </w:tcPr>
          <w:p>
            <w:pPr>
              <w:spacing w:after="0"/>
              <w:rPr>
                <w:sz w:val="20"/>
                <w:szCs w:val="20"/>
                <w:color w:val="auto"/>
              </w:rPr>
            </w:pPr>
            <w:r>
              <w:rPr>
                <w:rFonts w:ascii="Arial" w:cs="Arial" w:eastAsia="Arial" w:hAnsi="Arial"/>
                <w:sz w:val="18"/>
                <w:szCs w:val="18"/>
                <w:color w:val="auto"/>
              </w:rPr>
              <w:t>Long-term</w:t>
            </w:r>
          </w:p>
        </w:tc>
        <w:tc>
          <w:tcPr>
            <w:tcW w:w="2780" w:type="dxa"/>
            <w:vAlign w:val="bottom"/>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A1</w:t>
            </w:r>
          </w:p>
        </w:tc>
        <w:tc>
          <w:tcPr>
            <w:tcW w:w="700" w:type="dxa"/>
            <w:vAlign w:val="bottom"/>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Short-term</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Prime-1</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15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During the third quarter of 2009 and 2008, the Company had average borrowings outstanding of approximately $399.2 million and $525.3 million, respectively, at average annual interest rates of approximately 7.2 percent and 4.7 percent, respectively. During the third quarter of 2009 and 2008, the Company incurred net interest expense of $7.0 million and $5.7 million, respectively.</w:t>
      </w:r>
    </w:p>
    <w:p>
      <w:pPr>
        <w:spacing w:after="0" w:line="140"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During the first nine months of 2009 and 2008, the Company had average borrowings outstanding of approximately $434.9 million and $492.7 million, respectively, at average annual interest rates of approximately 6.8 percent and 4.9 percent, respectively. During the first nine months of 2009 and 2008, the Company incurred net interest expense of $21.3 million and $15.0 million,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September 27, 2009 and December 28, 2008, the Company had working capital of $364.1 million and $257.3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through commercial paper borrowings. In management’s opinion, the Company will have ample liquidity to meet its various cash needs throughout 2009.</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28,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The education division completed a reorganization of its organizational and internal structure during the third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2009. As a result, the education division reorganized its operations for the purpose of making operating decisions and assessing performance into four operating segments: Higher Education, Test Prep, Kaplan International and Kaplan Ventures. The reorganization significantly changed the composition of the reporting units within the education division, and resulted in the reassignment of the goodwill to the affected reporting units using a relative fair value approach.</w:t>
      </w:r>
    </w:p>
    <w:p>
      <w:pPr>
        <w:spacing w:after="0" w:line="10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fair value of the previous reporting units and components transferred were generally determined utilizing a discounted cash flow model and, where appropriate, a market value approach to supplement the discounted cash flow model. The Company made estimates and assumptions regarding future cash flows, discount rates, long-term growth rates and market values to determine each reporting unit and component’s estimated fair value.</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assumptions about future cash flows and growth rates were based on forecasts and long-term business plans of each reporting unit and component. Such assumptions took into account numerous factors including historical experience; anticipated economic conditions; changes in the reporting unit and component’s cost structures; cost savings from recent restructuring activities and other initiatives; and expected revenues from current and future enrollments at the universities, campuses and education centers.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discount rate assumptions for each reporting unit and component took into account the Company’s assessment of the risks inherent in the future cash flows of the respective reporting unit and component and the weighted-average cost of capital of market participants in businesses similar to each reporting unit and component.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key assumptions used by the Company were as follows: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cash flows underlying the education division’s business plans for the periods 2009 through 2013.</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flows beyond 2013 were projected to grow at a long-term growth rate, which the Company estimated between 3% and 6% for each reporting unit and component.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used a discount rate of 10.5% to 20% to risk adjust the cash flow projections in determining the estimated fair value.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 of the reallocation of goodwill is included in Note 4, “Goodwill and Other Intangible Assets,” of the condensed consolidated financial statements of the Company for the thirty-nine weeks ended September 27, 2009. Each post-reorganization reportable segment is also a reporting unit except for Kaplan Ventures, which consists of six reporting units.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a result of the reassignment, the Company performed an interim review of the carrying value of goodwill at the education division for possible impairment on a pre-reorganization and post-reorganization basis. The fair value of the pre-reorganization reporting units each exceeded their respective carrying value by a margin in excess of 15%. On a post-reorganization basis, the estimated fair value of the reporting units within the education division with significant goodwill balances (Higher Education, Test Prep and Kaplan International) exceeded their respective carrying values by a margin in excess of 50%.</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Following the reorganization, two reporting units (Kaplan EduNeering and Kaplan Compliance Solutions, previously within Kaplan Professional) now included in the Kaplan Ventures operating segment failed step one of the interim goodwill impairment review and the Company performed a step two analysis. The Company recorded a goodwill and other long-lived assets impairment charge of $25.4 million related to these two reporting units. Following the impairment, the remaining goodwill balances at these two reporting units as of September 27, 2009 totaled $22.8 million.</w:t>
      </w:r>
    </w:p>
    <w:p>
      <w:pPr>
        <w:spacing w:after="0" w:line="113"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In the fourth quarter of 2008, the Company recorded goodwill impairment charges at two reporting units as part of the annual goodwill impairment review completed as of November 30, 2008. The remaining goodwill balances at these two reporting units as of September 27, 2009 totaled $38.4 million.</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Combined, the goodwill balance of $61.2 million at the four reporting units that have been subject to impairment charges represents less than 5% of the Company’s total goodwill balance of $1,415.3 million as of September 27, 2009. There exists a reasonable possibility that a decrease in the projected cash flows or long-term growth rate, or an increase in the discount rate assumptions used in the discounted cash flow model of these reporting units could result in additional impairment charges. The Company will perform its next annual goodwill impairment review as of November 30, 2009, at which time these assumptions will be reviewed and updated, as necessary. While less likely, additional impairment charges could occur in other reporting units as well, given the inherent variability in projecting future operating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December 28, 2008.</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2008 Annual Report filed on Form 10-K have not otherwise changed significantly.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September 27, 2009.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quarter, the Company began planned finance and accounting reorganization initiatives at its Education, Newspaper Publishing and Magazine Publishing divisions. These initiatives include the realignment of business reporting units, transition and/or integration of tax and accounting functions, and upgrading and consolidation of information technology systems. The Company has taken, and will continue to take, all appropriate steps to monitor and maintain appropriate internal control over financial reporting during this transition period.</w:t>
      </w:r>
    </w:p>
    <w:p>
      <w:pPr>
        <w:spacing w:after="0" w:line="14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No other changes in the Company’s internal control over financial reporting during the quarter ended September 27, 2009 have materially affected, or are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580"/>
              <w:spacing w:after="0"/>
              <w:rPr>
                <w:sz w:val="20"/>
                <w:szCs w:val="20"/>
                <w:color w:val="auto"/>
              </w:rPr>
            </w:pPr>
            <w:r>
              <w:rPr>
                <w:rFonts w:ascii="Arial" w:cs="Arial" w:eastAsia="Arial" w:hAnsi="Arial"/>
                <w:sz w:val="18"/>
                <w:szCs w:val="18"/>
                <w:b w:val="1"/>
                <w:bCs w:val="1"/>
                <w:color w:val="auto"/>
              </w:rPr>
              <w:t>PART II. OTHER INFORMATION</w:t>
            </w:r>
          </w:p>
        </w:tc>
      </w:tr>
      <w:tr>
        <w:trPr>
          <w:trHeight w:val="419"/>
        </w:trPr>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Item 6.</w:t>
            </w:r>
          </w:p>
        </w:tc>
        <w:tc>
          <w:tcPr>
            <w:tcW w:w="1058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Exhibit</w:t>
            </w:r>
          </w:p>
        </w:tc>
        <w:tc>
          <w:tcPr>
            <w:tcW w:w="5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09"/>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2"/>
              </w:rPr>
              <w:t>Restated Certificate of Incorporation of the Company dated November 13, 2003 (incorporated by reference to Exhibit 3.1 to the Company’s</w:t>
            </w: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Annual Report on Form 10-K for the fiscal year ended December 28, 2003).</w:t>
            </w:r>
          </w:p>
        </w:tc>
      </w:tr>
      <w:tr>
        <w:trPr>
          <w:trHeight w:val="318"/>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1"/>
              </w:rPr>
              <w:t>Certificate of Designation for the Company’s Series A Preferred Stock dated September 22, 2003 (incorporated by reference to Exhibit 3.2 to</w:t>
            </w: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88"/>
              </w:rPr>
              <w:t>By-Laws of the Company as amended and restated through November 8, 2007 (incorporated by reference to Exhibit 3.1 to the Company’s Current</w:t>
            </w: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Report on Form 8-K dated November 14, 2007).</w:t>
            </w:r>
          </w:p>
        </w:tc>
      </w:tr>
      <w:tr>
        <w:trPr>
          <w:trHeight w:val="318"/>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1"/>
              </w:rPr>
              <w:t>Second Supplemental Indenture dated January 30, 2009, between the Company and The Bank of New York Mellon Trust Company, N.A., as</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88"/>
              </w:rPr>
              <w:t>successor to The First National Bank of Chicago, as Trustee (incorporated by reference to Exhibit 10.2 to the Company’s Current Report on Form</w:t>
            </w: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8-K dated January 30, 2009).</w:t>
            </w:r>
          </w:p>
        </w:tc>
      </w:tr>
      <w:tr>
        <w:trPr>
          <w:trHeight w:val="318"/>
        </w:trPr>
        <w:tc>
          <w:tcPr>
            <w:tcW w:w="520" w:type="dxa"/>
            <w:vAlign w:val="bottom"/>
          </w:tcPr>
          <w:p>
            <w:pPr>
              <w:jc w:val="right"/>
              <w:ind w:right="116"/>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1"/>
              </w:rPr>
              <w:t>Five Year Credit Agreement dated as of August 8, 2006, among the Company, Citibank, N.A., JPMorgan Chase Bank, N.A., Wachovia Bank,</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1"/>
              </w:rPr>
              <w:t>National Association, SunTrust Bank, The Bank of New York, PNC Bank, National Association, Bank of America, N.A. and Wells Fargo Bank,</w:t>
            </w:r>
          </w:p>
        </w:tc>
      </w:tr>
      <w:tr>
        <w:trPr>
          <w:trHeight w:val="222"/>
        </w:trPr>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8"/>
              </w:rPr>
              <w:t>N.A. (incorporated by reference to Exhibit 4.4 to the Company’s Quarterly Report on Form 10-Q for the quarter ended July 2, 2006).</w:t>
            </w:r>
          </w:p>
        </w:tc>
      </w:tr>
      <w:tr>
        <w:trPr>
          <w:trHeight w:val="324"/>
        </w:trPr>
        <w:tc>
          <w:tcPr>
            <w:tcW w:w="520" w:type="dxa"/>
            <w:vAlign w:val="bottom"/>
          </w:tcPr>
          <w:p>
            <w:pPr>
              <w:jc w:val="right"/>
              <w:ind w:right="116"/>
              <w:spacing w:after="0"/>
              <w:rPr>
                <w:sz w:val="20"/>
                <w:szCs w:val="20"/>
                <w:color w:val="auto"/>
              </w:rPr>
            </w:pPr>
            <w:r>
              <w:rPr>
                <w:rFonts w:ascii="Arial" w:cs="Arial" w:eastAsia="Arial" w:hAnsi="Arial"/>
                <w:sz w:val="18"/>
                <w:szCs w:val="18"/>
                <w:color w:val="auto"/>
                <w:w w:val="85"/>
              </w:rPr>
              <w:t>31.1</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520" w:type="dxa"/>
            <w:vAlign w:val="bottom"/>
          </w:tcPr>
          <w:p>
            <w:pPr>
              <w:jc w:val="right"/>
              <w:ind w:right="116"/>
              <w:spacing w:after="0"/>
              <w:rPr>
                <w:sz w:val="20"/>
                <w:szCs w:val="20"/>
                <w:color w:val="auto"/>
              </w:rPr>
            </w:pPr>
            <w:r>
              <w:rPr>
                <w:rFonts w:ascii="Arial" w:cs="Arial" w:eastAsia="Arial" w:hAnsi="Arial"/>
                <w:sz w:val="18"/>
                <w:szCs w:val="18"/>
                <w:color w:val="auto"/>
                <w:w w:val="85"/>
              </w:rPr>
              <w:t>31.2</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Rule 13a-14(a)/15d-14(a) Certification of the Chief Financial Officer.</w:t>
            </w:r>
          </w:p>
        </w:tc>
      </w:tr>
    </w:tbl>
    <w:p>
      <w:pPr>
        <w:spacing w:after="0" w:line="102" w:lineRule="exact"/>
        <w:rPr>
          <w:sz w:val="20"/>
          <w:szCs w:val="20"/>
          <w:color w:val="auto"/>
        </w:rPr>
      </w:pPr>
    </w:p>
    <w:p>
      <w:pPr>
        <w:ind w:left="5620" w:right="3980" w:hanging="5612"/>
        <w:spacing w:after="0" w:line="440" w:lineRule="auto"/>
        <w:tabs>
          <w:tab w:leader="none" w:pos="10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 of the Chief Executive Officer and the Chief Financial Officer. 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620" w:val="left"/>
          <w:tab w:leader="none" w:pos="7980" w:val="left"/>
        </w:tabs>
        <w:rPr>
          <w:sz w:val="20"/>
          <w:szCs w:val="20"/>
          <w:color w:val="auto"/>
        </w:rPr>
      </w:pPr>
      <w:r>
        <w:rPr>
          <w:rFonts w:ascii="Arial" w:cs="Arial" w:eastAsia="Arial" w:hAnsi="Arial"/>
          <w:sz w:val="18"/>
          <w:szCs w:val="18"/>
          <w:color w:val="auto"/>
        </w:rPr>
        <w:t>Date: November 5,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Donald E. Graham,</w:t>
      </w:r>
    </w:p>
    <w:p>
      <w:pPr>
        <w:jc w:val="center"/>
        <w:ind w:left="6060"/>
        <w:spacing w:after="0" w:line="223" w:lineRule="auto"/>
        <w:rPr>
          <w:sz w:val="20"/>
          <w:szCs w:val="20"/>
          <w:color w:val="auto"/>
        </w:rPr>
      </w:pPr>
      <w:r>
        <w:rPr>
          <w:rFonts w:ascii="Arial" w:cs="Arial" w:eastAsia="Arial" w:hAnsi="Arial"/>
          <w:sz w:val="14"/>
          <w:szCs w:val="14"/>
          <w:b w:val="1"/>
          <w:bCs w:val="1"/>
          <w:color w:val="auto"/>
        </w:rPr>
        <w:t>Chairman &amp;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spacing w:after="0"/>
        <w:tabs>
          <w:tab w:leader="none" w:pos="7900" w:val="left"/>
          <w:tab w:leader="none" w:pos="8240" w:val="left"/>
        </w:tabs>
        <w:rPr>
          <w:sz w:val="20"/>
          <w:szCs w:val="20"/>
          <w:color w:val="auto"/>
        </w:rPr>
      </w:pPr>
      <w:r>
        <w:rPr>
          <w:rFonts w:ascii="Arial" w:cs="Arial" w:eastAsia="Arial" w:hAnsi="Arial"/>
          <w:sz w:val="18"/>
          <w:szCs w:val="18"/>
          <w:color w:val="auto"/>
        </w:rPr>
        <w:t>Date: November 5,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w:t>
      </w:r>
      <w:r>
        <w:rPr>
          <w:rFonts w:ascii="Arial" w:cs="Arial" w:eastAsia="Arial" w:hAnsi="Arial"/>
          <w:sz w:val="13"/>
          <w:szCs w:val="13"/>
          <w:color w:val="auto"/>
        </w:rPr>
        <w:t>AL</w:t>
      </w:r>
      <w:r>
        <w:rPr>
          <w:rFonts w:ascii="Arial" w:cs="Arial" w:eastAsia="Arial" w:hAnsi="Arial"/>
          <w:sz w:val="16"/>
          <w:szCs w:val="16"/>
          <w:color w:val="auto"/>
        </w:rPr>
        <w:t xml:space="preserve"> S. J</w:t>
      </w:r>
      <w:r>
        <w:rPr>
          <w:rFonts w:ascii="Arial" w:cs="Arial" w:eastAsia="Arial" w:hAnsi="Arial"/>
          <w:sz w:val="13"/>
          <w:szCs w:val="13"/>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3473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Hal S. Jones,</w:t>
      </w:r>
    </w:p>
    <w:p>
      <w:pPr>
        <w:jc w:val="center"/>
        <w:ind w:left="6060"/>
        <w:spacing w:after="0" w:line="223" w:lineRule="auto"/>
        <w:rPr>
          <w:sz w:val="20"/>
          <w:szCs w:val="20"/>
          <w:color w:val="auto"/>
        </w:rPr>
      </w:pPr>
      <w:r>
        <w:rPr>
          <w:rFonts w:ascii="Arial" w:cs="Arial" w:eastAsia="Arial" w:hAnsi="Arial"/>
          <w:sz w:val="14"/>
          <w:szCs w:val="14"/>
          <w:b w:val="1"/>
          <w:bCs w:val="1"/>
          <w:color w:val="auto"/>
        </w:rPr>
        <w:t>Senior Vice President-Finance</w:t>
      </w:r>
    </w:p>
    <w:p>
      <w:pPr>
        <w:jc w:val="center"/>
        <w:ind w:left="606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240" w:top="459" w:right="7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2009</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2009</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the Quarterly Report of The Washington Post Company (the “Company”) on Form 10-Q for the period ended September 27, 2009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07"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lowerRoman"/>
      <w:start w:val="3"/>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32"/>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2019-12-10T03:37:09Z</dcterms:created>
  <dcterms:modified xsi:type="dcterms:W3CDTF">2019-12-10T03:37:09Z</dcterms:modified>
</cp:coreProperties>
</file>