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166370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68580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February 25, 2026</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840" w:type="dxa"/>
        <w:tblCellMar>
          <w:top w:w="0" w:type="dxa"/>
          <w:left w:w="0" w:type="dxa"/>
          <w:bottom w:w="0" w:type="dxa"/>
          <w:right w:w="0" w:type="dxa"/>
        </w:tblCellMar>
      </w:tblPr>
      <w:tr>
        <w:trPr>
          <w:trHeight w:val="24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8"/>
              </w:rPr>
              <w:t>Delaware</w:t>
            </w:r>
          </w:p>
        </w:tc>
        <w:tc>
          <w:tcPr>
            <w:tcW w:w="2400" w:type="dxa"/>
            <w:vAlign w:val="bottom"/>
          </w:tcPr>
          <w:p>
            <w:pPr>
              <w:jc w:val="center"/>
              <w:ind w:right="30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91"/>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(State or other jurisdiction of</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200"/>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incorporation)</w:t>
            </w:r>
          </w:p>
        </w:tc>
        <w:tc>
          <w:tcPr>
            <w:tcW w:w="2400" w:type="dxa"/>
            <w:vAlign w:val="bottom"/>
          </w:tcPr>
          <w:p>
            <w:pPr>
              <w:jc w:val="center"/>
              <w:ind w:right="28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527"/>
        </w:trPr>
        <w:tc>
          <w:tcPr>
            <w:tcW w:w="4300" w:type="dxa"/>
            <w:vAlign w:val="bottom"/>
          </w:tcPr>
          <w:p>
            <w:pPr>
              <w:jc w:val="center"/>
              <w:ind w:right="481"/>
              <w:spacing w:after="0"/>
              <w:rPr>
                <w:sz w:val="20"/>
                <w:szCs w:val="20"/>
                <w:color w:val="auto"/>
              </w:rPr>
            </w:pPr>
            <w:r>
              <w:rPr>
                <w:rFonts w:ascii="Arial" w:cs="Arial" w:eastAsia="Arial" w:hAnsi="Arial"/>
                <w:sz w:val="18"/>
                <w:szCs w:val="18"/>
                <w:b w:val="1"/>
                <w:bCs w:val="1"/>
                <w:color w:val="auto"/>
                <w:w w:val="99"/>
              </w:rPr>
              <w:t>1812 North Moore Street, Arlington, Virginia</w:t>
            </w:r>
          </w:p>
        </w:tc>
        <w:tc>
          <w:tcPr>
            <w:tcW w:w="240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16"/>
        </w:trPr>
        <w:tc>
          <w:tcPr>
            <w:tcW w:w="4300" w:type="dxa"/>
            <w:vAlign w:val="bottom"/>
          </w:tcPr>
          <w:p>
            <w:pPr>
              <w:jc w:val="center"/>
              <w:ind w:right="481"/>
              <w:spacing w:after="0"/>
              <w:rPr>
                <w:sz w:val="20"/>
                <w:szCs w:val="20"/>
                <w:color w:val="auto"/>
              </w:rPr>
            </w:pPr>
            <w:r>
              <w:rPr>
                <w:rFonts w:ascii="Arial" w:cs="Arial" w:eastAsia="Arial" w:hAnsi="Arial"/>
                <w:sz w:val="14"/>
                <w:szCs w:val="14"/>
                <w:b w:val="1"/>
                <w:bCs w:val="1"/>
                <w:color w:val="auto"/>
              </w:rPr>
              <w:t>(Address of principal executive offices)</w:t>
            </w:r>
          </w:p>
        </w:tc>
        <w:tc>
          <w:tcPr>
            <w:tcW w:w="2400" w:type="dxa"/>
            <w:vAlign w:val="bottom"/>
          </w:tcPr>
          <w:p>
            <w:pPr>
              <w:spacing w:after="0"/>
              <w:rPr>
                <w:sz w:val="18"/>
                <w:szCs w:val="18"/>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126365</wp:posOffset>
            </wp:positionV>
            <wp:extent cx="48691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280"/>
        <w:spacing w:after="0" w:line="268"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6"/>
          <w:szCs w:val="16"/>
          <w:color w:val="auto"/>
        </w:rPr>
        <w:t>Written communications pursuant to Rule 425 under the Securities Act (17 CFR 230.425)</w:t>
      </w:r>
    </w:p>
    <w:p>
      <w:pPr>
        <w:spacing w:after="0" w:line="179" w:lineRule="exact"/>
        <w:rPr>
          <w:rFonts w:ascii="MS PGothic" w:cs="MS PGothic" w:eastAsia="MS PGothic" w:hAnsi="MS PGothic"/>
          <w:sz w:val="36"/>
          <w:szCs w:val="36"/>
          <w:color w:val="auto"/>
          <w:vertAlign w:val="superscript"/>
        </w:rPr>
      </w:pPr>
    </w:p>
    <w:p>
      <w:pPr>
        <w:ind w:left="560" w:hanging="534"/>
        <w:spacing w:after="0" w:line="183" w:lineRule="auto"/>
        <w:tabs>
          <w:tab w:leader="none" w:pos="560" w:val="left"/>
        </w:tabs>
        <w:numPr>
          <w:ilvl w:val="0"/>
          <w:numId w:val="1"/>
        </w:numPr>
        <w:rPr>
          <w:rFonts w:ascii="MS PGothic" w:cs="MS PGothic" w:eastAsia="MS PGothic" w:hAnsi="MS PGothic"/>
          <w:sz w:val="26"/>
          <w:szCs w:val="26"/>
          <w:color w:val="auto"/>
          <w:vertAlign w:val="superscript"/>
        </w:rPr>
      </w:pPr>
      <w:r>
        <w:rPr>
          <w:rFonts w:ascii="Arial" w:cs="Arial" w:eastAsia="Arial" w:hAnsi="Arial"/>
          <w:sz w:val="13"/>
          <w:szCs w:val="13"/>
          <w:color w:val="auto"/>
        </w:rPr>
        <w:t>Soliciting material pursuant to Rule 14a-12 under the Exchange Act (17 CFR 240.14a-12)</w:t>
      </w:r>
    </w:p>
    <w:p>
      <w:pPr>
        <w:spacing w:after="0" w:line="179" w:lineRule="exact"/>
        <w:rPr>
          <w:rFonts w:ascii="MS PGothic" w:cs="MS PGothic" w:eastAsia="MS PGothic" w:hAnsi="MS PGothic"/>
          <w:sz w:val="26"/>
          <w:szCs w:val="26"/>
          <w:color w:val="auto"/>
          <w:vertAlign w:val="superscript"/>
        </w:rPr>
      </w:pPr>
    </w:p>
    <w:p>
      <w:pPr>
        <w:ind w:left="560" w:hanging="534"/>
        <w:spacing w:after="0" w:line="183" w:lineRule="auto"/>
        <w:tabs>
          <w:tab w:leader="none" w:pos="560" w:val="left"/>
        </w:tabs>
        <w:numPr>
          <w:ilvl w:val="0"/>
          <w:numId w:val="1"/>
        </w:numPr>
        <w:rPr>
          <w:rFonts w:ascii="MS PGothic" w:cs="MS PGothic" w:eastAsia="MS PGothic" w:hAnsi="MS PGothic"/>
          <w:sz w:val="26"/>
          <w:szCs w:val="26"/>
          <w:color w:val="auto"/>
          <w:vertAlign w:val="superscript"/>
        </w:rPr>
      </w:pPr>
      <w:r>
        <w:rPr>
          <w:rFonts w:ascii="Arial" w:cs="Arial" w:eastAsia="Arial" w:hAnsi="Arial"/>
          <w:sz w:val="13"/>
          <w:szCs w:val="13"/>
          <w:color w:val="auto"/>
        </w:rPr>
        <w:t>Pre-commencement communications pursuant to Rule 14d-2(b) under the Exchange Act (17 CFR 240.14d-2(b))</w:t>
      </w:r>
    </w:p>
    <w:p>
      <w:pPr>
        <w:spacing w:after="0" w:line="179" w:lineRule="exact"/>
        <w:rPr>
          <w:rFonts w:ascii="MS PGothic" w:cs="MS PGothic" w:eastAsia="MS PGothic" w:hAnsi="MS PGothic"/>
          <w:sz w:val="26"/>
          <w:szCs w:val="26"/>
          <w:color w:val="auto"/>
          <w:vertAlign w:val="superscript"/>
        </w:rPr>
      </w:pPr>
    </w:p>
    <w:p>
      <w:pPr>
        <w:ind w:right="2660" w:firstLine="26"/>
        <w:spacing w:after="0" w:line="317" w:lineRule="auto"/>
        <w:tabs>
          <w:tab w:leader="none" w:pos="544"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24"/>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5"/>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03" w:lineRule="exact"/>
        <w:rPr>
          <w:sz w:val="24"/>
          <w:szCs w:val="24"/>
          <w:color w:val="auto"/>
        </w:rPr>
      </w:pPr>
    </w:p>
    <w:p>
      <w:pPr>
        <w:ind w:right="580"/>
        <w:spacing w:after="0" w:line="26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15"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0" w:lineRule="exact"/>
        <w:rPr>
          <w:sz w:val="24"/>
          <w:szCs w:val="24"/>
          <w:color w:val="auto"/>
        </w:rPr>
      </w:pPr>
    </w:p>
    <w:p>
      <w:pPr>
        <w:ind w:right="1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February 25, 2026, Graham Holdings Company issued a press release announcing the Company’s earnings for the fourth quarter and year ended December 31, 2025. A copy of this press release is furnished with this report as an exhibit to this Form 8-K.</w:t>
      </w:r>
    </w:p>
    <w:p>
      <w:pPr>
        <w:spacing w:after="0" w:line="200" w:lineRule="exact"/>
        <w:rPr>
          <w:sz w:val="20"/>
          <w:szCs w:val="20"/>
          <w:color w:val="auto"/>
        </w:rPr>
      </w:pPr>
    </w:p>
    <w:p>
      <w:pPr>
        <w:spacing w:after="0" w:line="2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99.1 Graham Holdings Company Earnings Release Dated February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488950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3" w:right="6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8"/>
          <w:szCs w:val="18"/>
          <w:u w:val="single" w:color="auto"/>
          <w:color w:val="0000FF"/>
        </w:rPr>
        <w:t>Graham Holdings Company Earnings Release dated February 25, 2026</w:t>
      </w:r>
    </w:p>
    <w:p>
      <w:pPr>
        <w:spacing w:after="0" w:line="25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color w:val="auto"/>
        </w:rPr>
        <w:t>Exhibit 104</w:t>
      </w:r>
      <w:r>
        <w:rPr>
          <w:sz w:val="20"/>
          <w:szCs w:val="20"/>
          <w:color w:val="auto"/>
        </w:rPr>
        <w:tab/>
      </w:r>
      <w:r>
        <w:rPr>
          <w:rFonts w:ascii="Arial" w:cs="Arial" w:eastAsia="Arial" w:hAnsi="Arial"/>
          <w:sz w:val="17"/>
          <w:szCs w:val="17"/>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4"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February 25, 2026</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34925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43"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829310</wp:posOffset>
            </wp:positionV>
            <wp:extent cx="7089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93" w:right="37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480" w:type="dxa"/>
            <w:vAlign w:val="bottom"/>
          </w:tcPr>
          <w:p>
            <w:pPr>
              <w:spacing w:after="0"/>
              <w:rPr>
                <w:sz w:val="21"/>
                <w:szCs w:val="21"/>
                <w:color w:val="auto"/>
              </w:rPr>
            </w:pPr>
          </w:p>
        </w:tc>
        <w:tc>
          <w:tcPr>
            <w:tcW w:w="2380" w:type="dxa"/>
            <w:vAlign w:val="bottom"/>
            <w:gridSpan w:val="2"/>
          </w:tcPr>
          <w:p>
            <w:pPr>
              <w:ind w:left="1380"/>
              <w:spacing w:after="0"/>
              <w:rPr>
                <w:sz w:val="20"/>
                <w:szCs w:val="20"/>
                <w:color w:val="auto"/>
              </w:rPr>
            </w:pPr>
            <w:r>
              <w:rPr>
                <w:rFonts w:ascii="Arial" w:cs="Arial" w:eastAsia="Arial" w:hAnsi="Arial"/>
                <w:sz w:val="18"/>
                <w:szCs w:val="18"/>
                <w:b w:val="1"/>
                <w:bCs w:val="1"/>
                <w:color w:val="auto"/>
                <w:w w:val="97"/>
              </w:rPr>
              <w:t>Exhibit 99.1</w:t>
            </w:r>
          </w:p>
        </w:tc>
      </w:tr>
      <w:tr>
        <w:trPr>
          <w:trHeight w:val="717"/>
        </w:trPr>
        <w:tc>
          <w:tcPr>
            <w:tcW w:w="940" w:type="dxa"/>
            <w:vAlign w:val="bottom"/>
          </w:tcPr>
          <w:p>
            <w:pPr>
              <w:spacing w:after="0"/>
              <w:rPr>
                <w:sz w:val="20"/>
                <w:szCs w:val="20"/>
                <w:color w:val="auto"/>
              </w:rPr>
            </w:pPr>
            <w:r>
              <w:rPr>
                <w:rFonts w:ascii="Arial" w:cs="Arial" w:eastAsia="Arial" w:hAnsi="Arial"/>
                <w:sz w:val="18"/>
                <w:szCs w:val="18"/>
                <w:color w:val="auto"/>
              </w:rPr>
              <w:t>Contact:</w:t>
            </w:r>
          </w:p>
        </w:tc>
        <w:tc>
          <w:tcPr>
            <w:tcW w:w="2420" w:type="dxa"/>
            <w:vAlign w:val="bottom"/>
          </w:tcPr>
          <w:p>
            <w:pPr>
              <w:ind w:left="280"/>
              <w:spacing w:after="0"/>
              <w:rPr>
                <w:sz w:val="20"/>
                <w:szCs w:val="20"/>
                <w:color w:val="auto"/>
              </w:rPr>
            </w:pPr>
            <w:r>
              <w:rPr>
                <w:rFonts w:ascii="Arial" w:cs="Arial" w:eastAsia="Arial" w:hAnsi="Arial"/>
                <w:sz w:val="18"/>
                <w:szCs w:val="18"/>
                <w:color w:val="auto"/>
              </w:rPr>
              <w:t>Wallace R. Cooney</w:t>
            </w:r>
          </w:p>
        </w:tc>
        <w:tc>
          <w:tcPr>
            <w:tcW w:w="5480" w:type="dxa"/>
            <w:vAlign w:val="bottom"/>
          </w:tcPr>
          <w:p>
            <w:pPr>
              <w:spacing w:after="0"/>
              <w:rPr>
                <w:sz w:val="24"/>
                <w:szCs w:val="24"/>
                <w:color w:val="auto"/>
              </w:rPr>
            </w:pPr>
          </w:p>
        </w:tc>
        <w:tc>
          <w:tcPr>
            <w:tcW w:w="238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For Immediate Release</w:t>
            </w:r>
          </w:p>
        </w:tc>
      </w:tr>
      <w:tr>
        <w:trPr>
          <w:trHeight w:val="281"/>
        </w:trPr>
        <w:tc>
          <w:tcPr>
            <w:tcW w:w="940" w:type="dxa"/>
            <w:vAlign w:val="bottom"/>
          </w:tcPr>
          <w:p>
            <w:pPr>
              <w:spacing w:after="0"/>
              <w:rPr>
                <w:sz w:val="24"/>
                <w:szCs w:val="24"/>
                <w:color w:val="auto"/>
              </w:rPr>
            </w:pPr>
          </w:p>
        </w:tc>
        <w:tc>
          <w:tcPr>
            <w:tcW w:w="2420" w:type="dxa"/>
            <w:vAlign w:val="bottom"/>
          </w:tcPr>
          <w:p>
            <w:pPr>
              <w:ind w:left="280"/>
              <w:spacing w:after="0"/>
              <w:rPr>
                <w:sz w:val="20"/>
                <w:szCs w:val="20"/>
                <w:color w:val="auto"/>
              </w:rPr>
            </w:pPr>
            <w:r>
              <w:rPr>
                <w:rFonts w:ascii="Arial" w:cs="Arial" w:eastAsia="Arial" w:hAnsi="Arial"/>
                <w:sz w:val="18"/>
                <w:szCs w:val="18"/>
                <w:color w:val="auto"/>
              </w:rPr>
              <w:t>(703) 345-6470</w:t>
            </w:r>
          </w:p>
        </w:tc>
        <w:tc>
          <w:tcPr>
            <w:tcW w:w="5480" w:type="dxa"/>
            <w:vAlign w:val="bottom"/>
          </w:tcPr>
          <w:p>
            <w:pPr>
              <w:spacing w:after="0"/>
              <w:rPr>
                <w:sz w:val="24"/>
                <w:szCs w:val="24"/>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February 25, 2026</w:t>
            </w:r>
          </w:p>
        </w:tc>
        <w:tc>
          <w:tcPr>
            <w:tcW w:w="520" w:type="dxa"/>
            <w:vAlign w:val="bottom"/>
          </w:tcPr>
          <w:p>
            <w:pPr>
              <w:spacing w:after="0"/>
              <w:rPr>
                <w:sz w:val="24"/>
                <w:szCs w:val="24"/>
                <w:color w:val="auto"/>
              </w:rPr>
            </w:pPr>
          </w:p>
        </w:tc>
      </w:tr>
      <w:tr>
        <w:trPr>
          <w:trHeight w:val="459"/>
        </w:trPr>
        <w:tc>
          <w:tcPr>
            <w:tcW w:w="9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860" w:type="dxa"/>
            <w:vAlign w:val="bottom"/>
            <w:gridSpan w:val="3"/>
          </w:tcPr>
          <w:p>
            <w:pPr>
              <w:jc w:val="center"/>
              <w:ind w:right="2980"/>
              <w:spacing w:after="0"/>
              <w:rPr>
                <w:sz w:val="20"/>
                <w:szCs w:val="20"/>
                <w:color w:val="auto"/>
              </w:rPr>
            </w:pPr>
            <w:r>
              <w:rPr>
                <w:rFonts w:ascii="Arial" w:cs="Arial" w:eastAsia="Arial" w:hAnsi="Arial"/>
                <w:sz w:val="18"/>
                <w:szCs w:val="18"/>
                <w:color w:val="auto"/>
                <w:w w:val="99"/>
              </w:rPr>
              <w:t>GRAHAM HOLDINGS COMPANY REPORTS</w:t>
            </w:r>
          </w:p>
        </w:tc>
      </w:tr>
      <w:tr>
        <w:trPr>
          <w:trHeight w:val="257"/>
        </w:trPr>
        <w:tc>
          <w:tcPr>
            <w:tcW w:w="94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7860" w:type="dxa"/>
            <w:vAlign w:val="bottom"/>
            <w:gridSpan w:val="3"/>
          </w:tcPr>
          <w:p>
            <w:pPr>
              <w:jc w:val="center"/>
              <w:ind w:right="3000"/>
              <w:spacing w:after="0"/>
              <w:rPr>
                <w:sz w:val="20"/>
                <w:szCs w:val="20"/>
                <w:color w:val="auto"/>
              </w:rPr>
            </w:pPr>
            <w:r>
              <w:rPr>
                <w:rFonts w:ascii="Arial" w:cs="Arial" w:eastAsia="Arial" w:hAnsi="Arial"/>
                <w:sz w:val="18"/>
                <w:szCs w:val="18"/>
                <w:color w:val="auto"/>
                <w:w w:val="99"/>
              </w:rPr>
              <w:t>2025 AND FOURTH QUARTER EARNINGS</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ARLINGTON, VA - Graham Holdings Company (NYSE: GHC) today reported its financial results for the fourth quarter and full year of 2025.</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filed its Form 10-K today for the year ended December 31, 2025 with the Securities and Exchange Commission.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Operating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Revenue for 2025 was $4,911.6 million, up 3% from $4,790.9 million in 2024. Revenues increased at education, healthcare, manufacturing</w:t>
      </w:r>
    </w:p>
    <w:p>
      <w:pPr>
        <w:spacing w:after="0" w:line="14" w:lineRule="exact"/>
        <w:rPr>
          <w:sz w:val="20"/>
          <w:szCs w:val="20"/>
          <w:color w:val="auto"/>
        </w:rPr>
      </w:pPr>
    </w:p>
    <w:p>
      <w:pPr>
        <w:ind w:right="360"/>
        <w:spacing w:after="0" w:line="226" w:lineRule="auto"/>
        <w:rPr>
          <w:sz w:val="20"/>
          <w:szCs w:val="20"/>
          <w:color w:val="auto"/>
        </w:rPr>
      </w:pPr>
      <w:r>
        <w:rPr>
          <w:rFonts w:ascii="Arial" w:cs="Arial" w:eastAsia="Arial" w:hAnsi="Arial"/>
          <w:sz w:val="18"/>
          <w:szCs w:val="18"/>
          <w:color w:val="auto"/>
        </w:rPr>
        <w:t>and other businesses, partially offset by declines at television broadcasting and automotive. The Company reported operating income for 2025 of $234.9 million, compared to $215.5 million in 2024. Excluding goodwill and other long-lived asset impairment charges, operating</w:t>
      </w:r>
    </w:p>
    <w:p>
      <w:pPr>
        <w:spacing w:after="0" w:line="236" w:lineRule="auto"/>
        <w:rPr>
          <w:sz w:val="20"/>
          <w:szCs w:val="20"/>
          <w:color w:val="auto"/>
        </w:rPr>
      </w:pPr>
      <w:r>
        <w:rPr>
          <w:rFonts w:ascii="Arial" w:cs="Arial" w:eastAsia="Arial" w:hAnsi="Arial"/>
          <w:sz w:val="18"/>
          <w:szCs w:val="18"/>
          <w:color w:val="auto"/>
        </w:rPr>
        <w:t>results were down in 2025, due to declines at television broadcasting and automotive, partially offset by increases at education, healthcare,</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7"/>
          <w:szCs w:val="17"/>
          <w:color w:val="auto"/>
        </w:rPr>
        <w:t>manufacturing and other businesses. The Company reported adjusted operating cash flow (non-GAAP) for 2025 of $407.1 million, compared to $447.0 million in 2024. Adjusted operating cash flow declined at television broadcasting and automotive, partially offset by increases at</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education, healthcare, manufacturing, and other businesses. Capital expenditures totaled $79.8 million and $93.1 million for 2025 and 2024, respectively.</w:t>
      </w:r>
    </w:p>
    <w:p>
      <w:pPr>
        <w:spacing w:after="0" w:line="104" w:lineRule="exact"/>
        <w:rPr>
          <w:sz w:val="20"/>
          <w:szCs w:val="20"/>
          <w:color w:val="auto"/>
        </w:rPr>
      </w:pPr>
    </w:p>
    <w:p>
      <w:pPr>
        <w:ind w:right="360"/>
        <w:spacing w:after="0" w:line="259" w:lineRule="auto"/>
        <w:rPr>
          <w:sz w:val="20"/>
          <w:szCs w:val="20"/>
          <w:color w:val="auto"/>
        </w:rPr>
      </w:pPr>
      <w:r>
        <w:rPr>
          <w:rFonts w:ascii="Arial" w:cs="Arial" w:eastAsia="Arial" w:hAnsi="Arial"/>
          <w:sz w:val="17"/>
          <w:szCs w:val="17"/>
          <w:color w:val="auto"/>
        </w:rPr>
        <w:t>For the fourth quarter of 2025, revenue was $ 1,251.0 million, up slightly from $1,245.8 million in 2024. Revenues increased at education, healthcare and manufacturing, partially offset by declines at television broadcasting, automotive and other businesses. The Company</w:t>
      </w:r>
    </w:p>
    <w:p>
      <w:pPr>
        <w:spacing w:after="0" w:line="1"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reported operating income of $47.6 million in the fourth quarter of 2025, compared to $ 72.5 million in 2024. Excluding goodwill and other long-lived asset impairment charges, operating results were down in the fourth quarter of 2025, due to declines at television broadcasting,</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manufacturing and automotive, partially offset by increases at healthcare, other businesses and education. The Company reported adjusted operating cash flow (non-GAAP) for the fourth quarter of 2025 of $97.6 million, compared to $139.6 million in 2024. Adjusted operating cash</w:t>
      </w:r>
    </w:p>
    <w:p>
      <w:pPr>
        <w:spacing w:after="0" w:line="2"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flow declined at television broadcasting, manufacturing, automotive and education, partially offset by increases at healthcare and other businesses. Capital expenditures totaled $25.7 million and $27.1 million for the fourth quarter of 2025 and 2024,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 and Dispositions of Businesses</w:t>
      </w:r>
    </w:p>
    <w:p>
      <w:pPr>
        <w:spacing w:after="0" w:line="158"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On October 21, 2025, the Company acquired a Honda automotive dealership in Woodbridge, VA, including the real property for the dealership operations.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 Cash and Marketable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On November 24, 2025, the Company issued $500 million of 5.625% unsecured eight-year fixed-rate notes due December 1, 2033. Also on</w:t>
      </w:r>
    </w:p>
    <w:p>
      <w:pPr>
        <w:spacing w:after="0" w:line="14" w:lineRule="exact"/>
        <w:rPr>
          <w:sz w:val="20"/>
          <w:szCs w:val="20"/>
          <w:color w:val="auto"/>
        </w:rPr>
      </w:pPr>
    </w:p>
    <w:p>
      <w:pPr>
        <w:ind w:right="200"/>
        <w:spacing w:after="0"/>
        <w:rPr>
          <w:sz w:val="20"/>
          <w:szCs w:val="20"/>
          <w:color w:val="auto"/>
        </w:rPr>
      </w:pPr>
      <w:r>
        <w:rPr>
          <w:rFonts w:ascii="Arial" w:cs="Arial" w:eastAsia="Arial" w:hAnsi="Arial"/>
          <w:sz w:val="17"/>
          <w:szCs w:val="17"/>
          <w:color w:val="auto"/>
        </w:rPr>
        <w:t>November 24, 2025, the Company entered into an Amendment and Restatement Agreement providing for a U.S. $400 million five-year revolving credit facility. In connection with these activities, on November 24, 2025, the Company used the net proceeds from the sale of the</w:t>
      </w:r>
    </w:p>
    <w:p>
      <w:pPr>
        <w:spacing w:after="0" w:line="235" w:lineRule="auto"/>
        <w:rPr>
          <w:sz w:val="20"/>
          <w:szCs w:val="20"/>
          <w:color w:val="auto"/>
        </w:rPr>
      </w:pPr>
      <w:r>
        <w:rPr>
          <w:rFonts w:ascii="Arial" w:cs="Arial" w:eastAsia="Arial" w:hAnsi="Arial"/>
          <w:sz w:val="18"/>
          <w:szCs w:val="18"/>
          <w:color w:val="auto"/>
        </w:rPr>
        <w:t>notes, together with the borrowings under the revolving credit agreement, to (i) redeem the $400 million of 5.75% notes due June 1, 2026, (ii)</w:t>
      </w:r>
    </w:p>
    <w:p>
      <w:pPr>
        <w:ind w:right="100"/>
        <w:spacing w:after="0"/>
        <w:rPr>
          <w:sz w:val="20"/>
          <w:szCs w:val="20"/>
          <w:color w:val="auto"/>
        </w:rPr>
      </w:pPr>
      <w:r>
        <w:rPr>
          <w:rFonts w:ascii="Arial" w:cs="Arial" w:eastAsia="Arial" w:hAnsi="Arial"/>
          <w:sz w:val="17"/>
          <w:szCs w:val="17"/>
          <w:color w:val="auto"/>
        </w:rPr>
        <w:t>refinance outstanding revolving loans under the existing revolving credit facility, and (iii) repay all amounts outstanding under the Company's existing $150 million term loan. On October 21, 2025, the automotive subsidiary borrowed $38.7 million under the delayed draw term loan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finance the acquisition of a Honda automotive dealership, including the real property for the dealership operations.</w:t>
      </w:r>
    </w:p>
    <w:p>
      <w:pPr>
        <w:spacing w:after="0" w:line="140" w:lineRule="exact"/>
        <w:rPr>
          <w:sz w:val="20"/>
          <w:szCs w:val="20"/>
          <w:color w:val="auto"/>
        </w:rPr>
      </w:pPr>
    </w:p>
    <w:p>
      <w:pPr>
        <w:ind w:right="420"/>
        <w:spacing w:after="0" w:line="237" w:lineRule="auto"/>
        <w:rPr>
          <w:sz w:val="20"/>
          <w:szCs w:val="20"/>
          <w:color w:val="auto"/>
        </w:rPr>
      </w:pPr>
      <w:r>
        <w:rPr>
          <w:rFonts w:ascii="Arial" w:cs="Arial" w:eastAsia="Arial" w:hAnsi="Arial"/>
          <w:sz w:val="18"/>
          <w:szCs w:val="18"/>
          <w:color w:val="auto"/>
        </w:rPr>
        <w:t>At December 31, 2025, the Company had $880.8 million in borrowings outstanding at an average interest rate of 5.7%, including $222.5 million outstanding on its $400 million revolving credit facility. Cash, marketable equity securities and other investments totaled $1,400.4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at December 31, 2025.</w:t>
      </w:r>
    </w:p>
    <w:p>
      <w:pPr>
        <w:spacing w:after="0" w:line="140" w:lineRule="exact"/>
        <w:rPr>
          <w:sz w:val="20"/>
          <w:szCs w:val="20"/>
          <w:color w:val="auto"/>
        </w:rPr>
      </w:pPr>
    </w:p>
    <w:p>
      <w:pPr>
        <w:ind w:right="440"/>
        <w:spacing w:after="0" w:line="251" w:lineRule="auto"/>
        <w:rPr>
          <w:sz w:val="20"/>
          <w:szCs w:val="20"/>
          <w:color w:val="auto"/>
        </w:rPr>
      </w:pPr>
      <w:r>
        <w:rPr>
          <w:rFonts w:ascii="Arial" w:cs="Arial" w:eastAsia="Arial" w:hAnsi="Arial"/>
          <w:sz w:val="17"/>
          <w:szCs w:val="17"/>
          <w:color w:val="auto"/>
        </w:rPr>
        <w:t>At December 31, 2024, the Company had $748.2 million in borrowings outstanding at an average interest rate of 6.0%, including $62.8 million outstanding on its $300 million revolving credit facility. Cash, marketable equity securities and other investments totaled $1,156.6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million at December 31, 2024.</w:t>
      </w:r>
    </w:p>
    <w:p>
      <w:pPr>
        <w:spacing w:after="0" w:line="14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Company recognized $83.1 million and $27.0 million in net gains on marketable equity securities in the fourth quarter of 2025 and 2024, respectively.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Common Stock Repurchases</w:t>
      </w:r>
    </w:p>
    <w:p>
      <w:pPr>
        <w:spacing w:after="0" w:line="15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During 2025, the Company purchased a total of 3,978 shares of its Class B common stock at a cost of $3.5 million. At December 31, 2025, there were 4,360,943 shares outstanding. On September 12, 2024, the Board of Directors authorized the Company to acquire up to 500,000</w:t>
      </w:r>
    </w:p>
    <w:p>
      <w:pPr>
        <w:spacing w:after="0" w:line="1" w:lineRule="exact"/>
        <w:rPr>
          <w:sz w:val="20"/>
          <w:szCs w:val="20"/>
          <w:color w:val="auto"/>
        </w:rPr>
      </w:pPr>
    </w:p>
    <w:p>
      <w:pPr>
        <w:ind w:right="1500"/>
        <w:spacing w:after="0" w:line="404" w:lineRule="auto"/>
        <w:rPr>
          <w:sz w:val="20"/>
          <w:szCs w:val="20"/>
          <w:color w:val="auto"/>
        </w:rPr>
      </w:pPr>
      <w:r>
        <w:rPr>
          <w:rFonts w:ascii="Arial" w:cs="Arial" w:eastAsia="Arial" w:hAnsi="Arial"/>
          <w:sz w:val="18"/>
          <w:szCs w:val="18"/>
          <w:color w:val="auto"/>
        </w:rPr>
        <w:t xml:space="preserve">shares of Class B common stock; the Company has remaining authorization for 462,482 shares as of December 31, 2025. </w:t>
      </w:r>
      <w:r>
        <w:rPr>
          <w:rFonts w:ascii="Arial" w:cs="Arial" w:eastAsia="Arial" w:hAnsi="Arial"/>
          <w:sz w:val="18"/>
          <w:szCs w:val="18"/>
          <w:b w:val="1"/>
          <w:bCs w:val="1"/>
          <w:u w:val="single" w:color="auto"/>
          <w:color w:val="auto"/>
        </w:rPr>
        <w:t>Pension Plan</w:t>
      </w:r>
    </w:p>
    <w:p>
      <w:pPr>
        <w:spacing w:after="0" w:line="1"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At December 31, 2025, the Company had a pension surplus of $2,772.4 million, reported in the Company’s Consolidated Balance Sheet as Prepaid Pension Cost, an increase from $2,510.5 million at December 31,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Mandatorily Redeemable Noncontrolling Interest</w:t>
      </w:r>
    </w:p>
    <w:p>
      <w:pPr>
        <w:spacing w:after="0" w:line="144"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Company recorded a credit to interest expense of $ 13.8 million for the fourth quarter ended December 31, 2025 to adjust the fair value of the mandatorily redeemable noncontrolling interest at the healthcare division.</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Company Results</w:t>
      </w:r>
    </w:p>
    <w:p>
      <w:pPr>
        <w:spacing w:after="0" w:line="14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The Company reported net income attributable to common shares of $292.3 million ($66.47 per share) for the year ended December 31, 2025, compared to $724.6 million ($163.40 per share) for the year ended December 31, 2024. For the fourth quarter of 2025, the Company</w:t>
      </w:r>
    </w:p>
    <w:p>
      <w:pPr>
        <w:ind w:right="100"/>
        <w:spacing w:after="0" w:line="237" w:lineRule="auto"/>
        <w:rPr>
          <w:sz w:val="20"/>
          <w:szCs w:val="20"/>
          <w:color w:val="auto"/>
        </w:rPr>
      </w:pPr>
      <w:r>
        <w:rPr>
          <w:rFonts w:ascii="Arial" w:cs="Arial" w:eastAsia="Arial" w:hAnsi="Arial"/>
          <w:sz w:val="18"/>
          <w:szCs w:val="18"/>
          <w:color w:val="auto"/>
        </w:rPr>
        <w:t>reported net income attributable to common shares of $108.7 million ($24.69 per share), compared to $548.8 million ($125.55 per share) for the fourth quarter of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results for 2025 and 2024 were affected by a number of items as described in the Non-GAAP Financial Information schedule attached to</w:t>
      </w:r>
    </w:p>
    <w:p>
      <w:pPr>
        <w:spacing w:after="0" w:line="14"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this release. Excluding these items, net income attributable to common shares was $226.5 million ($51.50 per share) for 2025, compared to $282.2 million ($63.63 per share) for 2024. Excluding these items, net income attributable to common shares was $50.4 million ($11.45 per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 for the fourth quarter of 2025, compared to $98.7 million ($22.58 per share) for the fourth quarter of 2024.</w:t>
      </w:r>
    </w:p>
    <w:p>
      <w:pPr>
        <w:spacing w:after="0" w:line="18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 * * * * * * * * * * *</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Commentary on Fourth Quarter 2025 Results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Division Results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Education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2025, education division revenue totaled $410.1 million, up slightly from $408.2 million for the same period of 2024.</w:t>
      </w:r>
    </w:p>
    <w:p>
      <w:pPr>
        <w:spacing w:after="0" w:line="234" w:lineRule="auto"/>
        <w:rPr>
          <w:sz w:val="20"/>
          <w:szCs w:val="20"/>
          <w:color w:val="auto"/>
        </w:rPr>
      </w:pPr>
      <w:r>
        <w:rPr>
          <w:rFonts w:ascii="Arial" w:cs="Arial" w:eastAsia="Arial" w:hAnsi="Arial"/>
          <w:sz w:val="18"/>
          <w:szCs w:val="18"/>
          <w:color w:val="auto"/>
        </w:rPr>
        <w:t>Kaplan reported operating income for the fourth quarter of 2025 of $24.6 million, compared to $0.1 million in the fourth quarter of 2024.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Excluding a long-lived asset impairment charge recorded in the fourth quarter of 2024, operating income increased.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Kaplan International revenue decreased 3% in the fourth quarter of 2025 (7% on a constant currency basis). The decrease is due largely to</w:t>
      </w:r>
    </w:p>
    <w:p>
      <w:pPr>
        <w:spacing w:after="0" w:line="14"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lower revenue at Pathways, partially offset by growth at UK Professional and Singapore. Kaplan International reported operating income of $24.5 million for the fourth quarter of 2025, a 29% increase from $19.0 million in 2024. The increase is due primarily to improvement at UK</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Professional.</w:t>
      </w:r>
    </w:p>
    <w:p>
      <w:pPr>
        <w:spacing w:after="0" w:line="14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Higher Education revenue in the fourth quarter of 2025 increased 7% compared to the same period of 2024 due to an increase in fees from Purdue Global and growth in other higher education programs. Kaplan recorded $17.4 million and $14.6 million in fees from Purdue Global in</w:t>
      </w:r>
    </w:p>
    <w:p>
      <w:pPr>
        <w:spacing w:after="0" w:line="1"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its Higher Education operating results for the fourth quarters of 2025 and 2024, respectively. Higher Education results improved in the fourth quarter of 2025 due to an increase in the Purdue Global fee recorded.</w:t>
      </w:r>
    </w:p>
    <w:p>
      <w:pPr>
        <w:spacing w:after="0" w:line="10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Supplemental Education revenue increased 7% in the fourth quarter of 2025, driven by growth in most program offerings. Operating results were down in the fourth quarter of 2025 compared to 2024 due to increased employee healthcare and incentive compensation expense, partially offset by revenue growth.</w:t>
      </w:r>
    </w:p>
    <w:p>
      <w:pPr>
        <w:spacing w:after="0" w:line="101"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Kaplan corporate and other expenses were up in the fourth quarter of 2025 due to increased information technology and legal costs, and higher incentive compensation and employee healthcare costs compared to the fourth quarter of 2024.</w:t>
      </w:r>
    </w:p>
    <w:p>
      <w:pPr>
        <w:spacing w:after="0" w:line="100" w:lineRule="exact"/>
        <w:rPr>
          <w:sz w:val="20"/>
          <w:szCs w:val="20"/>
          <w:color w:val="auto"/>
        </w:rPr>
      </w:pPr>
    </w:p>
    <w:p>
      <w:pPr>
        <w:ind w:right="940"/>
        <w:spacing w:after="0" w:line="256" w:lineRule="auto"/>
        <w:rPr>
          <w:sz w:val="20"/>
          <w:szCs w:val="20"/>
          <w:color w:val="auto"/>
        </w:rPr>
      </w:pPr>
      <w:r>
        <w:rPr>
          <w:rFonts w:ascii="Arial" w:cs="Arial" w:eastAsia="Arial" w:hAnsi="Arial"/>
          <w:sz w:val="18"/>
          <w:szCs w:val="18"/>
          <w:color w:val="auto"/>
        </w:rPr>
        <w:t>In the fourth quarter of 2024, Kaplan recorded an intangible asset impairment charge of $22.9 million related to one of the Kaplan International business units.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-more-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20"/>
          </w:cols>
          <w:pgMar w:left="320" w:top="1039"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Television Broadcasting</w:t>
      </w:r>
    </w:p>
    <w:p>
      <w:pPr>
        <w:spacing w:after="0" w:line="156"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For the fourth quarter of 2025, revenue decreased 32% to $110.5 million, from $161.7 million in 2024, due primarily to a $48.4 million decrease in political advertising revenue, a $3.9 million decrease in retransmission revenues, and a decline in digital advertising revenue,</w:t>
      </w:r>
    </w:p>
    <w:p>
      <w:pPr>
        <w:spacing w:after="0" w:line="1"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partially offset by an increase in local and national advertising revenue. Operating income for the fourth quarter of 2025 declined 58% to $33.2 million, from $78.5 million in the same period of 2024, due to decreased revenues, partially offset by lower overall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w:t>
      </w:r>
    </w:p>
    <w:p>
      <w:pPr>
        <w:spacing w:after="0" w:line="156"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Healthcare division revenues increased 28% in the fourth quarter of 2025, while operating income increased 77%. Adjusted operating cash flow (non-GAAP) at Healthcare increased to $36.1 million in the fourth quarter of 2025, from $24.6 million in the fourth quarter of 2024.</w:t>
      </w:r>
    </w:p>
    <w:p>
      <w:pPr>
        <w:spacing w:after="0" w:line="8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CSI Pharmacy Holding Company, LLC (CSI) revenue increased 44% and operating results were up from an expansion of infusion treatment offerings and patient service areas.</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Home health and hospice and other healthcare revenue increased 9% due to growth in home health and hospice services and at all the other healthcare businesses. Operating results improved significantly at home health and hospice due to revenue growth and a reduction in</w:t>
      </w:r>
    </w:p>
    <w:p>
      <w:pPr>
        <w:spacing w:after="0" w:line="1" w:lineRule="exact"/>
        <w:rPr>
          <w:sz w:val="20"/>
          <w:szCs w:val="20"/>
          <w:color w:val="auto"/>
        </w:rPr>
      </w:pPr>
    </w:p>
    <w:p>
      <w:pPr>
        <w:ind w:right="500"/>
        <w:spacing w:after="0" w:line="250" w:lineRule="auto"/>
        <w:rPr>
          <w:sz w:val="20"/>
          <w:szCs w:val="20"/>
          <w:color w:val="auto"/>
        </w:rPr>
      </w:pPr>
      <w:r>
        <w:rPr>
          <w:rFonts w:ascii="Arial" w:cs="Arial" w:eastAsia="Arial" w:hAnsi="Arial"/>
          <w:sz w:val="18"/>
          <w:szCs w:val="18"/>
          <w:color w:val="auto"/>
        </w:rPr>
        <w:t>incentive compensation and pension expense in the fourth quarter of 2025. Operating results declined modestly at the other healthcare businesses.</w:t>
      </w:r>
    </w:p>
    <w:p>
      <w:pPr>
        <w:spacing w:after="0" w:line="10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color w:val="auto"/>
        </w:rPr>
        <w:t>The healthcare division recorded equity in earnings of $4.1 million and $3.5 million for the fourth quarter of 2025 and 2024, respectively, related to its interests in home health and hospice joint ventures.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Manufacturing revenues increased 24% in the fourth quarter of 2025 due to higher revenues at Hoover, Dekko and Joyce, partially offset by</w:t>
      </w:r>
    </w:p>
    <w:p>
      <w:pPr>
        <w:spacing w:after="0" w:line="14" w:lineRule="exact"/>
        <w:rPr>
          <w:sz w:val="20"/>
          <w:szCs w:val="20"/>
          <w:color w:val="auto"/>
        </w:rPr>
      </w:pPr>
    </w:p>
    <w:p>
      <w:pPr>
        <w:ind w:right="400"/>
        <w:spacing w:after="0"/>
        <w:rPr>
          <w:sz w:val="20"/>
          <w:szCs w:val="20"/>
          <w:color w:val="auto"/>
        </w:rPr>
      </w:pPr>
      <w:r>
        <w:rPr>
          <w:rFonts w:ascii="Arial" w:cs="Arial" w:eastAsia="Arial" w:hAnsi="Arial"/>
          <w:sz w:val="17"/>
          <w:szCs w:val="17"/>
          <w:color w:val="auto"/>
        </w:rPr>
        <w:t>lower revenues at Forney. The revenue increase at Hoover is due largely to the Arconic acquisition, partially offset by a decline in overall product demand. Operating results were down in the fourth quarter of 2025 due largely to a significant decline in results at Hoover and a</w:t>
      </w:r>
    </w:p>
    <w:p>
      <w:pPr>
        <w:spacing w:after="0" w:line="235" w:lineRule="auto"/>
        <w:rPr>
          <w:sz w:val="20"/>
          <w:szCs w:val="20"/>
          <w:color w:val="auto"/>
        </w:rPr>
      </w:pPr>
      <w:r>
        <w:rPr>
          <w:rFonts w:ascii="Arial" w:cs="Arial" w:eastAsia="Arial" w:hAnsi="Arial"/>
          <w:sz w:val="18"/>
          <w:szCs w:val="18"/>
          <w:color w:val="auto"/>
        </w:rPr>
        <w:t>small decline in results at Joyce, partially offset by improved results at Dekko and Forney. Hoover results in the fourth quarter of 2025</w:t>
      </w:r>
    </w:p>
    <w:p>
      <w:pPr>
        <w:spacing w:after="0" w:line="237" w:lineRule="auto"/>
        <w:rPr>
          <w:sz w:val="20"/>
          <w:szCs w:val="20"/>
          <w:color w:val="auto"/>
        </w:rPr>
      </w:pPr>
      <w:r>
        <w:rPr>
          <w:rFonts w:ascii="Arial" w:cs="Arial" w:eastAsia="Arial" w:hAnsi="Arial"/>
          <w:sz w:val="18"/>
          <w:szCs w:val="18"/>
          <w:color w:val="auto"/>
        </w:rPr>
        <w:t>included transition and intangible asset amortization costs related to the Arconic transaction, along with a substantial decline in Hoover’s core fire-retardant wood products business from the continued sluggish multi-family housing market.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w:t>
      </w:r>
    </w:p>
    <w:p>
      <w:pPr>
        <w:spacing w:after="0" w:line="15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Revenues for the fourth quarter of 2025 decreased 6% due to the closure of the Ourisman Jeep of Bethesda dealership in September 2025, and declines in new and used vehicle sales and sales of finance and insurance product offerings that was partly related to the adverse</w:t>
      </w:r>
    </w:p>
    <w:p>
      <w:pPr>
        <w:spacing w:after="0" w:line="235" w:lineRule="auto"/>
        <w:rPr>
          <w:sz w:val="20"/>
          <w:szCs w:val="20"/>
          <w:color w:val="auto"/>
        </w:rPr>
      </w:pPr>
      <w:r>
        <w:rPr>
          <w:rFonts w:ascii="Arial" w:cs="Arial" w:eastAsia="Arial" w:hAnsi="Arial"/>
          <w:sz w:val="18"/>
          <w:szCs w:val="18"/>
          <w:color w:val="auto"/>
        </w:rPr>
        <w:t>impacts of the federal government shutdown in the fourth quarter of 2025. This decline was partially offset by the Honda of Woodbridge</w:t>
      </w:r>
    </w:p>
    <w:p>
      <w:pPr>
        <w:spacing w:after="0" w:line="1" w:lineRule="exact"/>
        <w:rPr>
          <w:sz w:val="20"/>
          <w:szCs w:val="20"/>
          <w:color w:val="auto"/>
        </w:rPr>
      </w:pPr>
    </w:p>
    <w:p>
      <w:pPr>
        <w:ind w:right="20"/>
        <w:spacing w:after="0"/>
        <w:rPr>
          <w:sz w:val="20"/>
          <w:szCs w:val="20"/>
          <w:color w:val="auto"/>
        </w:rPr>
      </w:pPr>
      <w:r>
        <w:rPr>
          <w:rFonts w:ascii="Arial" w:cs="Arial" w:eastAsia="Arial" w:hAnsi="Arial"/>
          <w:sz w:val="17"/>
          <w:szCs w:val="17"/>
          <w:color w:val="auto"/>
        </w:rPr>
        <w:t>acquisition in October 2025 and sales growth for services and parts. Operating results for the fourth quarter of 2025 declined due to lower sales and overall gross margins on new and used vehicles and a decline in finance and insurance product sales, partially offset by the Honda</w:t>
      </w:r>
    </w:p>
    <w:p>
      <w:pPr>
        <w:spacing w:after="0" w:line="235" w:lineRule="auto"/>
        <w:rPr>
          <w:sz w:val="20"/>
          <w:szCs w:val="20"/>
          <w:color w:val="auto"/>
        </w:rPr>
      </w:pPr>
      <w:r>
        <w:rPr>
          <w:rFonts w:ascii="Arial" w:cs="Arial" w:eastAsia="Arial" w:hAnsi="Arial"/>
          <w:sz w:val="18"/>
          <w:szCs w:val="18"/>
          <w:color w:val="auto"/>
        </w:rPr>
        <w:t>of Woodbridge acquisition and higher gross profit on services and parts. In addition, as a result of underperformance at the Chrysler-Dodge-</w:t>
      </w:r>
    </w:p>
    <w:p>
      <w:pPr>
        <w:ind w:right="220"/>
        <w:spacing w:after="0" w:line="237" w:lineRule="auto"/>
        <w:rPr>
          <w:sz w:val="20"/>
          <w:szCs w:val="20"/>
          <w:color w:val="auto"/>
        </w:rPr>
      </w:pPr>
      <w:r>
        <w:rPr>
          <w:rFonts w:ascii="Arial" w:cs="Arial" w:eastAsia="Arial" w:hAnsi="Arial"/>
          <w:sz w:val="18"/>
          <w:szCs w:val="18"/>
          <w:color w:val="auto"/>
        </w:rPr>
        <w:t>Jeep-Ram automotive dealership from a continued decline in revenues, the Company recorded a $10.1 million intangible asset impairment charge in the fourth quarter of 2025.</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 by category for other businesses: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right"/>
              <w:ind w:right="261"/>
              <w:spacing w:after="0"/>
              <w:rPr>
                <w:sz w:val="20"/>
                <w:szCs w:val="20"/>
                <w:color w:val="auto"/>
              </w:rPr>
            </w:pPr>
            <w:r>
              <w:rPr>
                <w:rFonts w:ascii="Arial" w:cs="Arial" w:eastAsia="Arial" w:hAnsi="Arial"/>
                <w:sz w:val="14"/>
                <w:szCs w:val="14"/>
                <w:b w:val="1"/>
                <w:bCs w:val="1"/>
                <w:color w:val="auto"/>
              </w:rPr>
              <w:t>Three Months Ended</w:t>
            </w:r>
          </w:p>
        </w:tc>
        <w:tc>
          <w:tcPr>
            <w:tcW w:w="900" w:type="dxa"/>
            <w:vAlign w:val="bottom"/>
          </w:tcPr>
          <w:p>
            <w:pPr>
              <w:spacing w:after="0"/>
              <w:rPr>
                <w:sz w:val="17"/>
                <w:szCs w:val="17"/>
                <w:color w:val="auto"/>
              </w:rPr>
            </w:pPr>
          </w:p>
        </w:tc>
      </w:tr>
      <w:tr>
        <w:trPr>
          <w:trHeight w:val="225"/>
        </w:trPr>
        <w:tc>
          <w:tcPr>
            <w:tcW w:w="8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521"/>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242"/>
              <w:spacing w:after="0"/>
              <w:rPr>
                <w:sz w:val="20"/>
                <w:szCs w:val="20"/>
                <w:color w:val="auto"/>
              </w:rPr>
            </w:pPr>
            <w:r>
              <w:rPr>
                <w:rFonts w:ascii="Arial" w:cs="Arial" w:eastAsia="Arial" w:hAnsi="Arial"/>
                <w:sz w:val="14"/>
                <w:szCs w:val="14"/>
                <w:color w:val="auto"/>
              </w:rPr>
              <w:t>%</w:t>
            </w:r>
          </w:p>
        </w:tc>
      </w:tr>
      <w:tr>
        <w:trPr>
          <w:trHeight w:val="210"/>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2025</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color w:val="auto"/>
              </w:rPr>
              <w:t>Change</w:t>
            </w:r>
          </w:p>
        </w:tc>
      </w:tr>
      <w:tr>
        <w:trPr>
          <w:trHeight w:val="22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6"/>
        </w:trPr>
        <w:tc>
          <w:tcPr>
            <w:tcW w:w="8240" w:type="dxa"/>
            <w:vAlign w:val="bottom"/>
          </w:tcPr>
          <w:p>
            <w:pPr>
              <w:ind w:left="140"/>
              <w:spacing w:after="0" w:line="236" w:lineRule="exact"/>
              <w:rPr>
                <w:sz w:val="20"/>
                <w:szCs w:val="20"/>
                <w:color w:val="auto"/>
              </w:rPr>
            </w:pPr>
            <w:r>
              <w:rPr>
                <w:rFonts w:ascii="Arial" w:cs="Arial" w:eastAsia="Arial" w:hAnsi="Arial"/>
                <w:sz w:val="16"/>
                <w:szCs w:val="16"/>
                <w:color w:val="auto"/>
              </w:rPr>
              <w:t xml:space="preserve">Specialty </w:t>
            </w:r>
            <w:r>
              <w:rPr>
                <w:rFonts w:ascii="Arial" w:cs="Arial" w:eastAsia="Arial" w:hAnsi="Arial"/>
                <w:sz w:val="21"/>
                <w:szCs w:val="21"/>
                <w:color w:val="auto"/>
                <w:vertAlign w:val="superscript"/>
              </w:rPr>
              <w:t>(1)</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3"/>
              <w:spacing w:after="0"/>
              <w:rPr>
                <w:sz w:val="20"/>
                <w:szCs w:val="20"/>
                <w:color w:val="auto"/>
              </w:rPr>
            </w:pPr>
            <w:r>
              <w:rPr>
                <w:rFonts w:ascii="Arial" w:cs="Arial" w:eastAsia="Arial" w:hAnsi="Arial"/>
                <w:sz w:val="16"/>
                <w:szCs w:val="16"/>
                <w:b w:val="1"/>
                <w:bCs w:val="1"/>
                <w:color w:val="auto"/>
              </w:rPr>
              <w:t>45,639</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46,853</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82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Retail </w:t>
            </w:r>
            <w:r>
              <w:rPr>
                <w:rFonts w:ascii="Arial" w:cs="Arial" w:eastAsia="Arial" w:hAnsi="Arial"/>
                <w:sz w:val="21"/>
                <w:szCs w:val="21"/>
                <w:color w:val="auto"/>
                <w:vertAlign w:val="superscript"/>
              </w:rPr>
              <w:t>(2)</w:t>
            </w:r>
          </w:p>
        </w:tc>
        <w:tc>
          <w:tcPr>
            <w:tcW w:w="220" w:type="dxa"/>
            <w:vAlign w:val="bottom"/>
          </w:tcPr>
          <w:p>
            <w:pPr>
              <w:spacing w:after="0"/>
              <w:rPr>
                <w:sz w:val="19"/>
                <w:szCs w:val="19"/>
                <w:color w:val="auto"/>
              </w:rPr>
            </w:pPr>
          </w:p>
        </w:tc>
        <w:tc>
          <w:tcPr>
            <w:tcW w:w="800" w:type="dxa"/>
            <w:vAlign w:val="bottom"/>
          </w:tcPr>
          <w:p>
            <w:pPr>
              <w:jc w:val="right"/>
              <w:ind w:right="3"/>
              <w:spacing w:after="0"/>
              <w:rPr>
                <w:sz w:val="20"/>
                <w:szCs w:val="20"/>
                <w:color w:val="auto"/>
              </w:rPr>
            </w:pPr>
            <w:r>
              <w:rPr>
                <w:rFonts w:ascii="Arial" w:cs="Arial" w:eastAsia="Arial" w:hAnsi="Arial"/>
                <w:sz w:val="16"/>
                <w:szCs w:val="16"/>
                <w:b w:val="1"/>
                <w:bCs w:val="1"/>
                <w:color w:val="auto"/>
              </w:rPr>
              <w:t>37,182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32,998</w:t>
            </w:r>
          </w:p>
        </w:tc>
        <w:tc>
          <w:tcPr>
            <w:tcW w:w="900" w:type="dxa"/>
            <w:vAlign w:val="bottom"/>
          </w:tcPr>
          <w:p>
            <w:pPr>
              <w:jc w:val="right"/>
              <w:ind w:right="2"/>
              <w:spacing w:after="0"/>
              <w:rPr>
                <w:sz w:val="20"/>
                <w:szCs w:val="20"/>
                <w:color w:val="auto"/>
              </w:rPr>
            </w:pPr>
            <w:r>
              <w:rPr>
                <w:rFonts w:ascii="Arial" w:cs="Arial" w:eastAsia="Arial" w:hAnsi="Arial"/>
                <w:sz w:val="16"/>
                <w:szCs w:val="16"/>
                <w:color w:val="auto"/>
              </w:rPr>
              <w:t>13</w:t>
            </w:r>
          </w:p>
        </w:tc>
      </w:tr>
      <w:tr>
        <w:trPr>
          <w:trHeight w:val="230"/>
        </w:trPr>
        <w:tc>
          <w:tcPr>
            <w:tcW w:w="8240" w:type="dxa"/>
            <w:vAlign w:val="bottom"/>
          </w:tcPr>
          <w:p>
            <w:pPr>
              <w:ind w:left="140"/>
              <w:spacing w:after="0" w:line="230" w:lineRule="exact"/>
              <w:rPr>
                <w:sz w:val="20"/>
                <w:szCs w:val="20"/>
                <w:color w:val="auto"/>
              </w:rPr>
            </w:pPr>
            <w:r>
              <w:rPr>
                <w:rFonts w:ascii="Arial" w:cs="Arial" w:eastAsia="Arial" w:hAnsi="Arial"/>
                <w:sz w:val="16"/>
                <w:szCs w:val="16"/>
                <w:color w:val="auto"/>
              </w:rPr>
              <w:t xml:space="preserve">Media </w:t>
            </w:r>
            <w:r>
              <w:rPr>
                <w:rFonts w:ascii="Arial" w:cs="Arial" w:eastAsia="Arial" w:hAnsi="Arial"/>
                <w:sz w:val="21"/>
                <w:szCs w:val="21"/>
                <w:color w:val="auto"/>
                <w:vertAlign w:val="superscript"/>
              </w:rPr>
              <w:t>(3)</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17,757</w:t>
            </w: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22,916</w:t>
            </w: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20"/>
        </w:trPr>
        <w:tc>
          <w:tcPr>
            <w:tcW w:w="824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100,578</w:t>
            </w:r>
          </w:p>
        </w:tc>
        <w:tc>
          <w:tcPr>
            <w:tcW w:w="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102,767</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 xml:space="preserve">(1) </w:t>
      </w:r>
      <w:r>
        <w:rPr>
          <w:rFonts w:ascii="Arial" w:cs="Arial" w:eastAsia="Arial" w:hAnsi="Arial"/>
          <w:sz w:val="14"/>
          <w:szCs w:val="14"/>
          <w:color w:val="auto"/>
        </w:rPr>
        <w:t>Includes Clyde’s Restaurant Group, Decile and Supporting Cast</w:t>
      </w:r>
    </w:p>
    <w:p>
      <w:pPr>
        <w:spacing w:after="0" w:line="49" w:lineRule="exact"/>
        <w:rPr>
          <w:sz w:val="20"/>
          <w:szCs w:val="20"/>
          <w:color w:val="auto"/>
        </w:rPr>
      </w:pPr>
    </w:p>
    <w:p>
      <w:pPr>
        <w:ind w:left="360" w:hanging="334"/>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Framebridge, Saatchi Art and Society6</w:t>
      </w:r>
    </w:p>
    <w:p>
      <w:pPr>
        <w:spacing w:after="0" w:line="55" w:lineRule="exact"/>
        <w:rPr>
          <w:rFonts w:ascii="Arial" w:cs="Arial" w:eastAsia="Arial" w:hAnsi="Arial"/>
          <w:sz w:val="14"/>
          <w:szCs w:val="14"/>
          <w:color w:val="auto"/>
        </w:rPr>
      </w:pPr>
    </w:p>
    <w:p>
      <w:pPr>
        <w:ind w:left="360" w:hanging="334"/>
        <w:spacing w:after="0"/>
        <w:tabs>
          <w:tab w:leader="none" w:pos="36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Slate, Foreign Policy, Code3, City Cast and World of Good Brands</w:t>
      </w:r>
    </w:p>
    <w:p>
      <w:pPr>
        <w:spacing w:after="0" w:line="153"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Overall, revenue from other businesses decreased 2% in the fourth quarter of 2025. Specialty revenue decreased due to declines at Clyde’s Restaurant Group (CRG) partly related to the adverse impacts of the federal government shutdown in the fourth quarter of 2025. This decline was partially offset by revenue growth at Supporting Cast.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ectPr>
          <w:pgSz w:w="11900" w:h="16838" w:orient="portrait"/>
          <w:cols w:equalWidth="0" w:num="1">
            <w:col w:w="11240"/>
          </w:cols>
          <w:pgMar w:left="320" w:top="1041" w:right="339" w:bottom="1440"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104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Retail revenue increased due to revenue growth at Framebridge and Saatchi Art, partially offset by lower revenue at Society6. Media</w:t>
      </w:r>
    </w:p>
    <w:p>
      <w:pPr>
        <w:spacing w:after="0" w:line="1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revenue declined due to lower revenue at World of Good Brands (WGB), Slate and Code3, partially offset by revenue growth at City Cast and Foreign Policy.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improved in the fourth quarter of 2025 due to a reduction in losses at WGB, Society6, Saatchi Art, Decile and Supporting</w:t>
      </w:r>
    </w:p>
    <w:p>
      <w:pPr>
        <w:spacing w:after="0" w:line="14" w:lineRule="exact"/>
        <w:rPr>
          <w:sz w:val="20"/>
          <w:szCs w:val="20"/>
          <w:color w:val="auto"/>
        </w:rPr>
      </w:pPr>
    </w:p>
    <w:p>
      <w:pPr>
        <w:ind w:right="260"/>
        <w:spacing w:after="0"/>
        <w:rPr>
          <w:sz w:val="20"/>
          <w:szCs w:val="20"/>
          <w:color w:val="auto"/>
        </w:rPr>
      </w:pPr>
      <w:r>
        <w:rPr>
          <w:rFonts w:ascii="Arial" w:cs="Arial" w:eastAsia="Arial" w:hAnsi="Arial"/>
          <w:sz w:val="17"/>
          <w:szCs w:val="17"/>
          <w:color w:val="auto"/>
        </w:rPr>
        <w:t>Cast and improved results at Code3, partially offset by increased losses at City Cast and Foreign Policy, a decline in results at Slate and a small decline in results at CRG. Framebridge operating losses were up slightly; operating results include ongoing expansion investments</w:t>
      </w:r>
    </w:p>
    <w:p>
      <w:pPr>
        <w:spacing w:after="0" w:line="1" w:lineRule="exact"/>
        <w:rPr>
          <w:sz w:val="20"/>
          <w:szCs w:val="20"/>
          <w:color w:val="auto"/>
        </w:rPr>
      </w:pPr>
    </w:p>
    <w:p>
      <w:pPr>
        <w:ind w:right="540"/>
        <w:spacing w:after="0" w:line="250" w:lineRule="auto"/>
        <w:rPr>
          <w:sz w:val="20"/>
          <w:szCs w:val="20"/>
          <w:color w:val="auto"/>
        </w:rPr>
      </w:pPr>
      <w:r>
        <w:rPr>
          <w:rFonts w:ascii="Arial" w:cs="Arial" w:eastAsia="Arial" w:hAnsi="Arial"/>
          <w:sz w:val="18"/>
          <w:szCs w:val="18"/>
          <w:color w:val="auto"/>
        </w:rPr>
        <w:t>from new retail store openings and the new manufacturing facility in Nevada. Adjusted operating cash flow losses (non-GAAP) at other businesses improved to $12.0 million in the fourth quarter of 2025, from $16.1 million in the fourth quarter of 2024.</w:t>
      </w:r>
    </w:p>
    <w:p>
      <w:pPr>
        <w:spacing w:after="0" w:line="10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In the fourth quarter of 2024, the Company offered Separation Incentive Programs (SIPs) to certain employees at WGB and Decile; $0.3 million in related non-operating pension expense was recorded.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Earnings of Affiliates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Overall, the Company recorded equity in earnings of affiliates of $5.9 million for the fourth quarter of 2025, compared to $5.2 million for 2024.</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These amounts include $1.4 million in net gains for both 2025 and 2024 from affiliates whose operations are not managed by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Interest Income (Expense)</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Company reported net interest income of $0.8 million and incurred net interest expense of $46.2 million for the fourth quarter of 2025 and 2024, respectively. The Company recorded a credit to interest expense of $13.8 million and interest expense of $34.2 million in the fourth</w:t>
      </w:r>
    </w:p>
    <w:p>
      <w:pPr>
        <w:spacing w:after="0" w:line="1"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quarter of 2025 and 2024, respectively, to adjust the fair value of the mandatorily redeemable noncontrolling interest at GHG. Excluding these adjustments, the net interest expense increased modestly for the fourth quarter of 2025 compared to 2024.</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Pension and Postretirement Benefit Income, Net</w:t>
      </w:r>
    </w:p>
    <w:p>
      <w:pPr>
        <w:spacing w:after="0" w:line="144"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color w:val="auto"/>
        </w:rPr>
        <w:t>The Company recorded net non-operating pension and postretirement benefit income of $33.3 million for the fourth quarter of 2025, compared to $689.6 million for the fourth quarter of 2024.</w:t>
      </w:r>
    </w:p>
    <w:p>
      <w:pPr>
        <w:spacing w:after="0" w:line="100" w:lineRule="exact"/>
        <w:rPr>
          <w:sz w:val="20"/>
          <w:szCs w:val="20"/>
          <w:color w:val="auto"/>
        </w:rPr>
      </w:pPr>
    </w:p>
    <w:p>
      <w:pPr>
        <w:ind w:right="380"/>
        <w:spacing w:after="0" w:line="251" w:lineRule="auto"/>
        <w:rPr>
          <w:sz w:val="20"/>
          <w:szCs w:val="20"/>
          <w:color w:val="auto"/>
        </w:rPr>
      </w:pPr>
      <w:r>
        <w:rPr>
          <w:rFonts w:ascii="Arial" w:cs="Arial" w:eastAsia="Arial" w:hAnsi="Arial"/>
          <w:sz w:val="17"/>
          <w:szCs w:val="17"/>
          <w:color w:val="auto"/>
        </w:rPr>
        <w:t>In the fourth quarter of 2024, the Company recorded a pre-tax, noncash pension settlement gain of $653.4 million in connection with the purchase of an irrevocable group annuity contract from an insurance company. Also in the fourth quarter of 2024, the Company recorded</w:t>
      </w:r>
    </w:p>
    <w:p>
      <w:pPr>
        <w:spacing w:after="0" w:line="1"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$0.5 million in expenses related to non-operating SIPs at Kaplan, manufacturing and other businesses. The SIPs were funded by the assets of the Company’s pension plan.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Non-Operating Income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For the fourth quarter of 2025, the Company recorded other non-operating income, net, of $1.7 million, compared to $9.6 million for the fourth</w:t>
      </w:r>
    </w:p>
    <w:p>
      <w:pPr>
        <w:spacing w:after="0" w:line="14" w:lineRule="exact"/>
        <w:rPr>
          <w:sz w:val="20"/>
          <w:szCs w:val="20"/>
          <w:color w:val="auto"/>
        </w:rPr>
      </w:pPr>
    </w:p>
    <w:p>
      <w:pPr>
        <w:ind w:right="220"/>
        <w:spacing w:after="0"/>
        <w:rPr>
          <w:sz w:val="20"/>
          <w:szCs w:val="20"/>
          <w:color w:val="auto"/>
        </w:rPr>
      </w:pPr>
      <w:r>
        <w:rPr>
          <w:rFonts w:ascii="Arial" w:cs="Arial" w:eastAsia="Arial" w:hAnsi="Arial"/>
          <w:sz w:val="17"/>
          <w:szCs w:val="17"/>
          <w:color w:val="auto"/>
        </w:rPr>
        <w:t>quarter of 2024. The 2025 amounts included $4.7 million in gains on sales of cost method investments, partially offset by $2.3 million in foreign currency losses and other items. The 2024 amounts included $11.1 million in foreign currency gains and other items, partially offset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by a $1.7 million decrease in the fair value of a cost method investment.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Per Share</w:t>
      </w:r>
    </w:p>
    <w:p>
      <w:pPr>
        <w:spacing w:after="0" w:line="14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The calculation of diluted earnings per share for the fourth quarter of 2025 was based on 4,378,973 weighted average shares outstanding compared to 4,341,412 for the fourth quarter of 2024.</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44"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All public statements made by the Company and its representatives that are not statements of historical fact, including certain statements in this press release, in the Company’s Annual Report on Form 10-K and in the Company’s 2025 Annual Report to Stockholders, are “forward-</w:t>
      </w:r>
    </w:p>
    <w:p>
      <w:pPr>
        <w:ind w:right="40"/>
        <w:spacing w:after="0"/>
        <w:rPr>
          <w:sz w:val="20"/>
          <w:szCs w:val="20"/>
          <w:color w:val="auto"/>
        </w:rPr>
      </w:pPr>
      <w:r>
        <w:rPr>
          <w:rFonts w:ascii="Arial" w:cs="Arial" w:eastAsia="Arial" w:hAnsi="Arial"/>
          <w:sz w:val="17"/>
          <w:szCs w:val="17"/>
          <w:color w:val="auto"/>
        </w:rPr>
        <w:t>looking statements” within the meaning of the Private Securities Litigation Reform Act of 1995. Forward-looking statements are based on expectations, forecasts, and assumptions by the Company’s management and involve a number of risks, uncertainties, and other factors that</w:t>
      </w:r>
    </w:p>
    <w:p>
      <w:pPr>
        <w:spacing w:after="0" w:line="235" w:lineRule="auto"/>
        <w:rPr>
          <w:sz w:val="20"/>
          <w:szCs w:val="20"/>
          <w:color w:val="auto"/>
        </w:rPr>
      </w:pPr>
      <w:r>
        <w:rPr>
          <w:rFonts w:ascii="Arial" w:cs="Arial" w:eastAsia="Arial" w:hAnsi="Arial"/>
          <w:sz w:val="18"/>
          <w:szCs w:val="18"/>
          <w:color w:val="auto"/>
        </w:rPr>
        <w:t>could cause actual results to differ from those stated, including, without limitation, comments about expectations related to acquisitions or</w:t>
      </w:r>
    </w:p>
    <w:p>
      <w:pPr>
        <w:ind w:right="420"/>
        <w:spacing w:after="0" w:line="226" w:lineRule="auto"/>
        <w:rPr>
          <w:sz w:val="20"/>
          <w:szCs w:val="20"/>
          <w:color w:val="auto"/>
        </w:rPr>
      </w:pPr>
      <w:r>
        <w:rPr>
          <w:rFonts w:ascii="Arial" w:cs="Arial" w:eastAsia="Arial" w:hAnsi="Arial"/>
          <w:sz w:val="18"/>
          <w:szCs w:val="18"/>
          <w:color w:val="auto"/>
        </w:rPr>
        <w:t>dispositions or related business activities, the Company’s business strategies and objectives, the prospects for growth in the Company’s various business operations, the Company’s future financial performance, and the risks and uncertainties described in Item 1A of the</w:t>
      </w:r>
    </w:p>
    <w:p>
      <w:pPr>
        <w:spacing w:after="0" w:line="236" w:lineRule="auto"/>
        <w:rPr>
          <w:sz w:val="20"/>
          <w:szCs w:val="20"/>
          <w:color w:val="auto"/>
        </w:rPr>
      </w:pPr>
      <w:r>
        <w:rPr>
          <w:rFonts w:ascii="Arial" w:cs="Arial" w:eastAsia="Arial" w:hAnsi="Arial"/>
          <w:sz w:val="18"/>
          <w:szCs w:val="18"/>
          <w:color w:val="auto"/>
        </w:rPr>
        <w:t>Company’s Annual Report on Form 10-K. Accordingly, undue reliance should not be placed on any forward-looking statement made by or on</w:t>
      </w:r>
    </w:p>
    <w:p>
      <w:pPr>
        <w:spacing w:after="0" w:line="1" w:lineRule="exact"/>
        <w:rPr>
          <w:sz w:val="20"/>
          <w:szCs w:val="20"/>
          <w:color w:val="auto"/>
        </w:rPr>
      </w:pPr>
    </w:p>
    <w:p>
      <w:pPr>
        <w:ind w:right="540"/>
        <w:spacing w:after="0"/>
        <w:rPr>
          <w:sz w:val="20"/>
          <w:szCs w:val="20"/>
          <w:color w:val="auto"/>
        </w:rPr>
      </w:pPr>
      <w:r>
        <w:rPr>
          <w:rFonts w:ascii="Arial" w:cs="Arial" w:eastAsia="Arial" w:hAnsi="Arial"/>
          <w:sz w:val="17"/>
          <w:szCs w:val="17"/>
          <w:color w:val="auto"/>
        </w:rPr>
        <w:t>behalf of the Company. Any forward-looking statements made in this press release speaks only as of the date on which it is made. The Company assumes no obligation to update any forward-looking statement after the date on which such statement is made, even if new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subsequently becomes available.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03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1,251,017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1,245,800</w:t>
            </w: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1,165,185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1,120,823</w:t>
            </w: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20,862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21,014</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7,283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7,925</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6"/>
                <w:szCs w:val="16"/>
                <w:color w:val="auto"/>
              </w:rPr>
              <w:t>Impairment of intangible and other long-lived assets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10,100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23,535</w:t>
            </w:r>
          </w:p>
        </w:tc>
        <w:tc>
          <w:tcPr>
            <w:tcW w:w="78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47,587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72,503</w:t>
            </w:r>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Equity in earnings of affiliates, net</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5,928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5,167</w:t>
            </w:r>
          </w:p>
        </w:tc>
        <w:tc>
          <w:tcPr>
            <w:tcW w:w="7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2,032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3,302</w:t>
            </w: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(1,240)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(49,542)</w:t>
            </w:r>
          </w:p>
        </w:tc>
        <w:tc>
          <w:tcPr>
            <w:tcW w:w="7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33,273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689,570</w:t>
            </w:r>
          </w:p>
        </w:tc>
        <w:tc>
          <w:tcPr>
            <w:tcW w:w="7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83,144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27,019</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1,661</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9,573</w:t>
            </w:r>
          </w:p>
        </w:tc>
        <w:tc>
          <w:tcPr>
            <w:tcW w:w="78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172,385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757,592</w:t>
            </w:r>
          </w:p>
        </w:tc>
        <w:tc>
          <w:tcPr>
            <w:tcW w:w="7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61,500</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206,000</w:t>
            </w:r>
          </w:p>
        </w:tc>
        <w:tc>
          <w:tcPr>
            <w:tcW w:w="78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110,885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551,592</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(2,162)</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w:t>
            </w: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108,723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548,791</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80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24.93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126.63</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4,336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4,305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24.69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125.55</w:t>
            </w:r>
          </w:p>
        </w:tc>
        <w:tc>
          <w:tcPr>
            <w:tcW w:w="7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60" w:type="dxa"/>
            <w:vAlign w:val="bottom"/>
          </w:tcPr>
          <w:p>
            <w:pPr>
              <w:spacing w:after="0"/>
              <w:rPr>
                <w:sz w:val="19"/>
                <w:szCs w:val="19"/>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b w:val="1"/>
                <w:bCs w:val="1"/>
                <w:color w:val="auto"/>
              </w:rPr>
              <w:t>4,379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4,341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40"/>
          </w:cols>
          <w:pgMar w:left="320" w:top="1093" w:right="339" w:bottom="1440" w:gutter="0" w:footer="0" w:header="0"/>
        </w:sectPr>
      </w:pPr>
    </w:p>
    <w:bookmarkStart w:id="9" w:name="page10"/>
    <w:bookmarkEnd w:id="9"/>
    <w:p>
      <w:pPr>
        <w:jc w:val="center"/>
        <w:ind w:right="780"/>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u w:val="single" w:color="auto"/>
          <w:color w:val="auto"/>
        </w:rPr>
        <w:t>CONSOLIDATED STATEMENTS OF OPERATIONS</w:t>
      </w:r>
    </w:p>
    <w:p>
      <w:pPr>
        <w:spacing w:after="0" w:line="50" w:lineRule="exact"/>
        <w:rPr>
          <w:sz w:val="20"/>
          <w:szCs w:val="20"/>
          <w:color w:val="auto"/>
        </w:rPr>
      </w:pPr>
    </w:p>
    <w:p>
      <w:pPr>
        <w:jc w:val="center"/>
        <w:ind w:right="780"/>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Twelve Months 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jc w:val="right"/>
              <w:ind w:right="2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color w:val="auto"/>
              </w:rPr>
              <w:t>2024</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color w:val="auto"/>
              </w:rPr>
              <w:t>Operating revenues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4,911,563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4,790,904</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4,551,875</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4,401,413</w:t>
            </w: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6"/>
                <w:szCs w:val="16"/>
                <w:color w:val="auto"/>
              </w:rPr>
              <w:t>Depreciation of property, plant and equipment</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80,366</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87,046</w:t>
            </w:r>
          </w:p>
        </w:tc>
        <w:tc>
          <w:tcPr>
            <w:tcW w:w="7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32,040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37,119</w:t>
            </w:r>
          </w:p>
        </w:tc>
        <w:tc>
          <w:tcPr>
            <w:tcW w:w="7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6"/>
                <w:szCs w:val="16"/>
                <w:color w:val="auto"/>
              </w:rPr>
              <w:t>Impairment of goodwill and other long-lived assets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12,335</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49,822</w:t>
            </w:r>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234,947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215,504</w:t>
            </w:r>
          </w:p>
        </w:tc>
        <w:tc>
          <w:tcPr>
            <w:tcW w:w="7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Equity in gains (losses) of affiliates, net</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16,394</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(3,303)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8,257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9,868</w:t>
            </w:r>
          </w:p>
        </w:tc>
        <w:tc>
          <w:tcPr>
            <w:tcW w:w="7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(118,787)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(186,149)</w:t>
            </w:r>
          </w:p>
        </w:tc>
        <w:tc>
          <w:tcPr>
            <w:tcW w:w="780" w:type="dxa"/>
            <w:vAlign w:val="bottom"/>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Non-operating pension and postretirement benefit income, net</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127,539</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794,949</w:t>
            </w: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Gain on marketable equity securities, net</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200,170</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181,295</w:t>
            </w:r>
          </w:p>
        </w:tc>
        <w:tc>
          <w:tcPr>
            <w:tcW w:w="7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Other (expense) income, net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(18,853)</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12,546</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449,667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1,024,710</w:t>
            </w:r>
          </w:p>
        </w:tc>
        <w:tc>
          <w:tcPr>
            <w:tcW w:w="7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Provision for income taxes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146,400</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292,100</w:t>
            </w: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2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303,267</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732,610</w:t>
            </w: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3"/>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noncontrolling interests</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(10,976)</w:t>
            </w: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(7,976)</w:t>
            </w:r>
          </w:p>
        </w:tc>
        <w:tc>
          <w:tcPr>
            <w:tcW w:w="78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27"/>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Graham Holdings Company Common Stockholders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292,291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724,634</w:t>
            </w:r>
          </w:p>
        </w:tc>
        <w:tc>
          <w:tcPr>
            <w:tcW w:w="78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 Share Information Attributable to Graham Holdings Company Common Stockholders</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6"/>
                <w:szCs w:val="16"/>
                <w:color w:val="auto"/>
              </w:rPr>
              <w:t>Basic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67.11</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164.62</w:t>
            </w: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Basic average number of common shares outstanding</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4,331</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4,372</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Diluted net income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66.47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163.40</w:t>
            </w:r>
          </w:p>
        </w:tc>
        <w:tc>
          <w:tcPr>
            <w:tcW w:w="78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0"/>
        </w:trPr>
        <w:tc>
          <w:tcPr>
            <w:tcW w:w="8000" w:type="dxa"/>
            <w:vAlign w:val="bottom"/>
          </w:tcPr>
          <w:p>
            <w:pPr>
              <w:ind w:left="220"/>
              <w:spacing w:after="0"/>
              <w:rPr>
                <w:sz w:val="20"/>
                <w:szCs w:val="20"/>
                <w:color w:val="auto"/>
              </w:rPr>
            </w:pPr>
            <w:r>
              <w:rPr>
                <w:rFonts w:ascii="Arial" w:cs="Arial" w:eastAsia="Arial" w:hAnsi="Arial"/>
                <w:sz w:val="16"/>
                <w:szCs w:val="16"/>
                <w:color w:val="auto"/>
              </w:rPr>
              <w:t>Diluted average number of common shares outstanding</w:t>
            </w:r>
          </w:p>
        </w:tc>
        <w:tc>
          <w:tcPr>
            <w:tcW w:w="240" w:type="dxa"/>
            <w:vAlign w:val="bottom"/>
          </w:tcPr>
          <w:p>
            <w:pPr>
              <w:spacing w:after="0"/>
              <w:rPr>
                <w:sz w:val="19"/>
                <w:szCs w:val="19"/>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b w:val="1"/>
                <w:bCs w:val="1"/>
                <w:color w:val="auto"/>
              </w:rPr>
              <w:t>4,373</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4,405</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240"/>
          </w:cols>
          <w:pgMar w:left="320" w:top="109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BUSINESS DIVISION INFORMATION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359"/>
              <w:spacing w:after="0"/>
              <w:rPr>
                <w:sz w:val="20"/>
                <w:szCs w:val="20"/>
                <w:color w:val="auto"/>
              </w:rPr>
            </w:pPr>
            <w:r>
              <w:rPr>
                <w:rFonts w:ascii="Arial" w:cs="Arial" w:eastAsia="Arial" w:hAnsi="Arial"/>
                <w:sz w:val="14"/>
                <w:szCs w:val="14"/>
                <w:b w:val="1"/>
                <w:bCs w:val="1"/>
                <w:color w:val="auto"/>
              </w:rPr>
              <w:t>Twelve Months Ended</w:t>
            </w:r>
          </w:p>
        </w:tc>
        <w:tc>
          <w:tcPr>
            <w:tcW w:w="900" w:type="dxa"/>
            <w:vAlign w:val="bottom"/>
          </w:tcPr>
          <w:p>
            <w:pPr>
              <w:spacing w:after="0"/>
              <w:rPr>
                <w:sz w:val="17"/>
                <w:szCs w:val="17"/>
                <w:color w:val="auto"/>
              </w:rPr>
            </w:pPr>
          </w:p>
        </w:tc>
      </w:tr>
      <w:tr>
        <w:trPr>
          <w:trHeight w:val="225"/>
        </w:trPr>
        <w:tc>
          <w:tcPr>
            <w:tcW w:w="45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Change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rPr>
              <w:t>2024</w:t>
            </w:r>
          </w:p>
        </w:tc>
        <w:tc>
          <w:tcPr>
            <w:tcW w:w="9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410,126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408,191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1,744,332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1,691,778</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110,481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161,720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425,106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535,678</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230,674</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179,967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815,049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611,109</w:t>
            </w:r>
          </w:p>
        </w:tc>
        <w:tc>
          <w:tcPr>
            <w:tcW w:w="90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117,799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94,728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436,279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395,642</w:t>
            </w: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281,362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298,431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1,133,153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1,200,477</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100,578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102,767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357,660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356,520</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618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2,479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2,302</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1"/>
        </w:trPr>
        <w:tc>
          <w:tcPr>
            <w:tcW w:w="45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(621)</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(2,495)</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(2,602)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5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1,251,017</w:t>
            </w:r>
          </w:p>
        </w:tc>
        <w:tc>
          <w:tcPr>
            <w:tcW w:w="2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1,245,800</w:t>
            </w: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4,911,563</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4,790,904</w:t>
            </w: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2"/>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385,523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408,116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1,584,459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1,590,949</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77,323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83,230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312,836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334,513</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199,111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162,170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719,080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560,224</w:t>
            </w: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118,919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88,187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417,658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377,272</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286,075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289,335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1,115,773</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1,162,462</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118,829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126,809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459,459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491,372</w:t>
            </w: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18,271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16,029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69,846</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61,210</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(621)</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(2,495)</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(2,602)</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5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1,203,430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1,173,297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4,676,616</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4,575,400</w:t>
            </w: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2"/>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24,603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159,873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100,829</w:t>
            </w: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33,158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78,490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112,270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201,165</w:t>
            </w:r>
          </w:p>
        </w:tc>
        <w:tc>
          <w:tcPr>
            <w:tcW w:w="90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31,563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17,797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95,969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50,885</w:t>
            </w:r>
          </w:p>
        </w:tc>
        <w:tc>
          <w:tcPr>
            <w:tcW w:w="9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(1,120)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6,541</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18,621</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18,370</w:t>
            </w:r>
          </w:p>
        </w:tc>
        <w:tc>
          <w:tcPr>
            <w:tcW w:w="9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(4,713)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9,096</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17,380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38,015</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(18,251)</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(24,042)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(101,799)</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(134,852)</w:t>
            </w: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(17,653)</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(67,367)</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(58,908)</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3"/>
        </w:trPr>
        <w:tc>
          <w:tcPr>
            <w:tcW w:w="45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47,587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72,503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234,947</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215,504</w:t>
            </w:r>
          </w:p>
        </w:tc>
        <w:tc>
          <w:tcPr>
            <w:tcW w:w="90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161"/>
        </w:trPr>
        <w:tc>
          <w:tcPr>
            <w:tcW w:w="45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Amortization of Intangible Assets and Impairment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4580" w:type="dxa"/>
            <w:vAlign w:val="bottom"/>
          </w:tcPr>
          <w:p>
            <w:pPr>
              <w:ind w:left="100"/>
              <w:spacing w:after="0"/>
              <w:rPr>
                <w:sz w:val="20"/>
                <w:szCs w:val="20"/>
                <w:color w:val="auto"/>
              </w:rPr>
            </w:pPr>
            <w:r>
              <w:rPr>
                <w:rFonts w:ascii="Arial" w:cs="Arial" w:eastAsia="Arial" w:hAnsi="Arial"/>
                <w:sz w:val="16"/>
                <w:szCs w:val="16"/>
                <w:b w:val="1"/>
                <w:bCs w:val="1"/>
                <w:color w:val="auto"/>
              </w:rPr>
              <w:t>Goodwill and Other Long-Lived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901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25,150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6,123</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33,417</w:t>
            </w:r>
          </w:p>
        </w:tc>
        <w:tc>
          <w:tcPr>
            <w:tcW w:w="90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1,360</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5,440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5,430</w:t>
            </w:r>
          </w:p>
        </w:tc>
        <w:tc>
          <w:tcPr>
            <w:tcW w:w="90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125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1,455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1,511</w:t>
            </w: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3,743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2,431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13,047</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10,818</w:t>
            </w: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10,105</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10,675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1,149</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7,635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35,751</w:t>
            </w: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5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17,383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31,460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44,375</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86,941</w:t>
            </w: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161"/>
        </w:trPr>
        <w:tc>
          <w:tcPr>
            <w:tcW w:w="45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6"/>
        </w:trPr>
        <w:tc>
          <w:tcPr>
            <w:tcW w:w="4580" w:type="dxa"/>
            <w:vAlign w:val="bottom"/>
          </w:tcPr>
          <w:p>
            <w:pPr>
              <w:ind w:left="100"/>
              <w:spacing w:after="0" w:line="175" w:lineRule="exact"/>
              <w:rPr>
                <w:sz w:val="20"/>
                <w:szCs w:val="20"/>
                <w:color w:val="auto"/>
              </w:rPr>
            </w:pPr>
            <w:r>
              <w:rPr>
                <w:rFonts w:ascii="Arial" w:cs="Arial" w:eastAsia="Arial" w:hAnsi="Arial"/>
                <w:sz w:val="16"/>
                <w:szCs w:val="16"/>
                <w:b w:val="1"/>
                <w:bCs w:val="1"/>
                <w:color w:val="auto"/>
              </w:rPr>
              <w:t>Intangible Assets and Impairment of Goodwill and Other</w:t>
            </w: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23"/>
        </w:trPr>
        <w:tc>
          <w:tcPr>
            <w:tcW w:w="4580" w:type="dxa"/>
            <w:vAlign w:val="bottom"/>
          </w:tcPr>
          <w:p>
            <w:pPr>
              <w:ind w:left="100"/>
              <w:spacing w:after="0"/>
              <w:rPr>
                <w:sz w:val="20"/>
                <w:szCs w:val="20"/>
                <w:color w:val="auto"/>
              </w:rPr>
            </w:pPr>
            <w:r>
              <w:rPr>
                <w:rFonts w:ascii="Arial" w:cs="Arial" w:eastAsia="Arial" w:hAnsi="Arial"/>
                <w:sz w:val="16"/>
                <w:szCs w:val="16"/>
                <w:b w:val="1"/>
                <w:bCs w:val="1"/>
                <w:color w:val="auto"/>
              </w:rPr>
              <w:t>Long-Lived Assets</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3"/>
        </w:trPr>
        <w:tc>
          <w:tcPr>
            <w:tcW w:w="458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25,504</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25,225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165,996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134,246</w:t>
            </w: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34,518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79,850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117,710</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206,595</w:t>
            </w:r>
          </w:p>
        </w:tc>
        <w:tc>
          <w:tcPr>
            <w:tcW w:w="90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31,688</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17,915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97,424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52,396</w:t>
            </w:r>
          </w:p>
        </w:tc>
        <w:tc>
          <w:tcPr>
            <w:tcW w:w="9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2,623</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8,972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31,668</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29,188</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5,392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9,100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28,055</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38,029</w:t>
            </w: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29"/>
        </w:trPr>
        <w:tc>
          <w:tcPr>
            <w:tcW w:w="458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(17,102)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(21,645)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(94,164)</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(99,101)</w:t>
            </w: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458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(17,653)</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(15,454)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(67,367)</w:t>
            </w: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(58,908)</w:t>
            </w: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26"/>
        </w:trPr>
        <w:tc>
          <w:tcPr>
            <w:tcW w:w="4580" w:type="dxa"/>
            <w:vAlign w:val="bottom"/>
          </w:tcPr>
          <w:p>
            <w:pPr>
              <w:spacing w:after="0"/>
              <w:rPr>
                <w:sz w:val="19"/>
                <w:szCs w:val="19"/>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64,970</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103,963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279,322</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302,445</w:t>
            </w: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ectPr>
          <w:pgSz w:w="11900" w:h="16838" w:orient="portrait"/>
          <w:cols w:equalWidth="0" w:num="1">
            <w:col w:w="11240"/>
          </w:cols>
          <w:pgMar w:left="320" w:top="971" w:right="339" w:bottom="246" w:gutter="0" w:footer="0" w:header="0"/>
        </w:sectPr>
      </w:pP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971" w:right="339" w:bottom="246"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96"/>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3"/>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5"/>
        </w:trPr>
        <w:tc>
          <w:tcPr>
            <w:tcW w:w="4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9"/>
                <w:szCs w:val="19"/>
                <w:color w:val="auto"/>
              </w:rPr>
            </w:pPr>
          </w:p>
        </w:tc>
        <w:tc>
          <w:tcPr>
            <w:tcW w:w="880" w:type="dxa"/>
            <w:vAlign w:val="bottom"/>
            <w:gridSpan w:val="2"/>
          </w:tcPr>
          <w:p>
            <w:pPr>
              <w:jc w:val="right"/>
              <w:ind w:right="244"/>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90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r>
      <w:tr>
        <w:trPr>
          <w:trHeight w:val="210"/>
        </w:trPr>
        <w:tc>
          <w:tcPr>
            <w:tcW w:w="46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18"/>
                <w:szCs w:val="18"/>
                <w:color w:val="auto"/>
              </w:rPr>
            </w:pPr>
          </w:p>
        </w:tc>
        <w:tc>
          <w:tcPr>
            <w:tcW w:w="920" w:type="dxa"/>
            <w:vAlign w:val="bottom"/>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8"/>
                <w:szCs w:val="18"/>
                <w:color w:val="auto"/>
              </w:rPr>
            </w:pPr>
          </w:p>
        </w:tc>
        <w:tc>
          <w:tcPr>
            <w:tcW w:w="740" w:type="dxa"/>
            <w:vAlign w:val="bottom"/>
          </w:tcPr>
          <w:p>
            <w:pPr>
              <w:jc w:val="right"/>
              <w:ind w:right="339"/>
              <w:spacing w:after="0"/>
              <w:rPr>
                <w:sz w:val="20"/>
                <w:szCs w:val="20"/>
                <w:color w:val="auto"/>
              </w:rPr>
            </w:pPr>
            <w:r>
              <w:rPr>
                <w:rFonts w:ascii="Arial" w:cs="Arial" w:eastAsia="Arial" w:hAnsi="Arial"/>
                <w:sz w:val="14"/>
                <w:szCs w:val="14"/>
                <w:color w:val="auto"/>
                <w:w w:val="96"/>
              </w:rPr>
              <w:t>2024</w:t>
            </w:r>
          </w:p>
        </w:tc>
        <w:tc>
          <w:tcPr>
            <w:tcW w:w="100" w:type="dxa"/>
            <w:vAlign w:val="bottom"/>
          </w:tcPr>
          <w:p>
            <w:pPr>
              <w:spacing w:after="0"/>
              <w:rPr>
                <w:sz w:val="18"/>
                <w:szCs w:val="18"/>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color w:val="auto"/>
              </w:rPr>
              <w:t>Change</w:t>
            </w:r>
          </w:p>
        </w:tc>
        <w:tc>
          <w:tcPr>
            <w:tcW w:w="260" w:type="dxa"/>
            <w:vAlign w:val="bottom"/>
          </w:tcPr>
          <w:p>
            <w:pPr>
              <w:spacing w:after="0"/>
              <w:rPr>
                <w:sz w:val="18"/>
                <w:szCs w:val="18"/>
                <w:color w:val="auto"/>
              </w:rPr>
            </w:pPr>
          </w:p>
        </w:tc>
        <w:tc>
          <w:tcPr>
            <w:tcW w:w="920" w:type="dxa"/>
            <w:vAlign w:val="bottom"/>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460" w:type="dxa"/>
            <w:vAlign w:val="bottom"/>
          </w:tcPr>
          <w:p>
            <w:pPr>
              <w:spacing w:after="0"/>
              <w:rPr>
                <w:sz w:val="18"/>
                <w:szCs w:val="18"/>
                <w:color w:val="auto"/>
              </w:rPr>
            </w:pPr>
          </w:p>
        </w:tc>
        <w:tc>
          <w:tcPr>
            <w:tcW w:w="720" w:type="dxa"/>
            <w:vAlign w:val="bottom"/>
          </w:tcPr>
          <w:p>
            <w:pPr>
              <w:jc w:val="right"/>
              <w:ind w:right="319"/>
              <w:spacing w:after="0"/>
              <w:rPr>
                <w:sz w:val="20"/>
                <w:szCs w:val="20"/>
                <w:color w:val="auto"/>
              </w:rPr>
            </w:pPr>
            <w:r>
              <w:rPr>
                <w:rFonts w:ascii="Arial" w:cs="Arial" w:eastAsia="Arial" w:hAnsi="Arial"/>
                <w:sz w:val="14"/>
                <w:szCs w:val="14"/>
                <w:color w:val="auto"/>
                <w:w w:val="96"/>
              </w:rPr>
              <w:t>2024</w:t>
            </w:r>
          </w:p>
        </w:tc>
        <w:tc>
          <w:tcPr>
            <w:tcW w:w="120" w:type="dxa"/>
            <w:vAlign w:val="bottom"/>
          </w:tcPr>
          <w:p>
            <w:pPr>
              <w:spacing w:after="0"/>
              <w:rPr>
                <w:sz w:val="18"/>
                <w:szCs w:val="18"/>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Change</w:t>
            </w:r>
          </w:p>
        </w:tc>
      </w:tr>
      <w:tr>
        <w:trPr>
          <w:trHeight w:val="223"/>
        </w:trPr>
        <w:tc>
          <w:tcPr>
            <w:tcW w:w="46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Depreciation</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r>
      <w:tr>
        <w:trPr>
          <w:trHeight w:val="229"/>
        </w:trPr>
        <w:tc>
          <w:tcPr>
            <w:tcW w:w="46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7,216</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8,322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29,477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35,058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(16)</w:t>
            </w:r>
          </w:p>
        </w:tc>
      </w:tr>
      <w:tr>
        <w:trPr>
          <w:trHeight w:val="230"/>
        </w:trPr>
        <w:tc>
          <w:tcPr>
            <w:tcW w:w="46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2,461</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2,680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10,311</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11,174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6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1,957</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1,828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7,303</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6,859</w:t>
            </w:r>
          </w:p>
        </w:tc>
        <w:tc>
          <w:tcPr>
            <w:tcW w:w="900" w:type="dxa"/>
            <w:vAlign w:val="bottom"/>
            <w:gridSpan w:val="2"/>
          </w:tcPr>
          <w:p>
            <w:pPr>
              <w:jc w:val="right"/>
              <w:ind w:right="8"/>
              <w:spacing w:after="0"/>
              <w:rPr>
                <w:sz w:val="20"/>
                <w:szCs w:val="20"/>
                <w:color w:val="auto"/>
              </w:rPr>
            </w:pPr>
            <w:r>
              <w:rPr>
                <w:rFonts w:ascii="Arial" w:cs="Arial" w:eastAsia="Arial" w:hAnsi="Arial"/>
                <w:sz w:val="16"/>
                <w:szCs w:val="16"/>
                <w:color w:val="auto"/>
              </w:rPr>
              <w:t>6</w:t>
            </w:r>
          </w:p>
        </w:tc>
      </w:tr>
      <w:tr>
        <w:trPr>
          <w:trHeight w:val="230"/>
        </w:trPr>
        <w:tc>
          <w:tcPr>
            <w:tcW w:w="46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3,905</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2,756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12,481</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10,983</w:t>
            </w:r>
          </w:p>
        </w:tc>
        <w:tc>
          <w:tcPr>
            <w:tcW w:w="900" w:type="dxa"/>
            <w:vAlign w:val="bottom"/>
            <w:gridSpan w:val="2"/>
          </w:tcPr>
          <w:p>
            <w:pPr>
              <w:jc w:val="right"/>
              <w:ind w:right="8"/>
              <w:spacing w:after="0"/>
              <w:rPr>
                <w:sz w:val="20"/>
                <w:szCs w:val="20"/>
                <w:color w:val="auto"/>
              </w:rPr>
            </w:pPr>
            <w:r>
              <w:rPr>
                <w:rFonts w:ascii="Arial" w:cs="Arial" w:eastAsia="Arial" w:hAnsi="Arial"/>
                <w:sz w:val="16"/>
                <w:szCs w:val="16"/>
                <w:color w:val="auto"/>
              </w:rPr>
              <w:t>14</w:t>
            </w:r>
          </w:p>
        </w:tc>
      </w:tr>
      <w:tr>
        <w:trPr>
          <w:trHeight w:val="229"/>
        </w:trPr>
        <w:tc>
          <w:tcPr>
            <w:tcW w:w="46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1,806</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1,756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6,961</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6,959</w:t>
            </w:r>
          </w:p>
        </w:tc>
        <w:tc>
          <w:tcPr>
            <w:tcW w:w="900" w:type="dxa"/>
            <w:vAlign w:val="bottom"/>
            <w:gridSpan w:val="2"/>
          </w:tcPr>
          <w:p>
            <w:pPr>
              <w:jc w:val="right"/>
              <w:ind w:right="8"/>
              <w:spacing w:after="0"/>
              <w:rPr>
                <w:sz w:val="20"/>
                <w:szCs w:val="20"/>
                <w:color w:val="auto"/>
              </w:rPr>
            </w:pPr>
            <w:r>
              <w:rPr>
                <w:rFonts w:ascii="Arial" w:cs="Arial" w:eastAsia="Arial" w:hAnsi="Arial"/>
                <w:sz w:val="16"/>
                <w:szCs w:val="16"/>
                <w:color w:val="auto"/>
              </w:rPr>
              <w:t>0</w:t>
            </w:r>
          </w:p>
        </w:tc>
      </w:tr>
      <w:tr>
        <w:trPr>
          <w:trHeight w:val="229"/>
        </w:trPr>
        <w:tc>
          <w:tcPr>
            <w:tcW w:w="46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3,346</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3,583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13,159</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15,492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231"/>
        </w:trPr>
        <w:tc>
          <w:tcPr>
            <w:tcW w:w="46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171</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674</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900" w:type="dxa"/>
            <w:vAlign w:val="bottom"/>
            <w:gridSpan w:val="2"/>
          </w:tcPr>
          <w:p>
            <w:pPr>
              <w:jc w:val="right"/>
              <w:ind w:right="8"/>
              <w:spacing w:after="0"/>
              <w:rPr>
                <w:sz w:val="20"/>
                <w:szCs w:val="20"/>
                <w:color w:val="auto"/>
              </w:rPr>
            </w:pPr>
            <w:r>
              <w:rPr>
                <w:rFonts w:ascii="Arial" w:cs="Arial" w:eastAsia="Arial" w:hAnsi="Arial"/>
                <w:sz w:val="16"/>
                <w:szCs w:val="16"/>
                <w:color w:val="auto"/>
              </w:rPr>
              <w:t>29</w:t>
            </w:r>
          </w:p>
        </w:tc>
      </w:tr>
      <w:tr>
        <w:trPr>
          <w:trHeight w:val="223"/>
        </w:trPr>
        <w:tc>
          <w:tcPr>
            <w:tcW w:w="46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20,862</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21,014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80,366</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87,046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222"/>
        </w:trPr>
        <w:tc>
          <w:tcPr>
            <w:tcW w:w="460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46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4,317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4,466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17,271</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17,733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46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1,475</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1,472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5,901</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6,055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46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2,496</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4,890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9,984</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19,303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29"/>
        </w:trPr>
        <w:tc>
          <w:tcPr>
            <w:tcW w:w="46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865</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980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3,461</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2,877</w:t>
            </w:r>
          </w:p>
        </w:tc>
        <w:tc>
          <w:tcPr>
            <w:tcW w:w="900" w:type="dxa"/>
            <w:vAlign w:val="bottom"/>
            <w:gridSpan w:val="2"/>
          </w:tcPr>
          <w:p>
            <w:pPr>
              <w:jc w:val="right"/>
              <w:ind w:right="8"/>
              <w:spacing w:after="0"/>
              <w:rPr>
                <w:sz w:val="20"/>
                <w:szCs w:val="20"/>
                <w:color w:val="auto"/>
              </w:rPr>
            </w:pPr>
            <w:r>
              <w:rPr>
                <w:rFonts w:ascii="Arial" w:cs="Arial" w:eastAsia="Arial" w:hAnsi="Arial"/>
                <w:sz w:val="16"/>
                <w:szCs w:val="16"/>
                <w:color w:val="auto"/>
              </w:rPr>
              <w:t>20</w:t>
            </w:r>
          </w:p>
        </w:tc>
      </w:tr>
      <w:tr>
        <w:trPr>
          <w:trHeight w:val="230"/>
        </w:trPr>
        <w:tc>
          <w:tcPr>
            <w:tcW w:w="46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16</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63</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116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(46)</w:t>
            </w:r>
          </w:p>
        </w:tc>
      </w:tr>
      <w:tr>
        <w:trPr>
          <w:trHeight w:val="229"/>
        </w:trPr>
        <w:tc>
          <w:tcPr>
            <w:tcW w:w="46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1,805</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7,673</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7,517</w:t>
            </w:r>
          </w:p>
        </w:tc>
        <w:tc>
          <w:tcPr>
            <w:tcW w:w="900" w:type="dxa"/>
            <w:vAlign w:val="bottom"/>
            <w:gridSpan w:val="2"/>
          </w:tcPr>
          <w:p>
            <w:pPr>
              <w:jc w:val="right"/>
              <w:ind w:right="8"/>
              <w:spacing w:after="0"/>
              <w:rPr>
                <w:sz w:val="20"/>
                <w:szCs w:val="20"/>
                <w:color w:val="auto"/>
              </w:rPr>
            </w:pPr>
            <w:r>
              <w:rPr>
                <w:rFonts w:ascii="Arial" w:cs="Arial" w:eastAsia="Arial" w:hAnsi="Arial"/>
                <w:sz w:val="16"/>
                <w:szCs w:val="16"/>
                <w:color w:val="auto"/>
              </w:rPr>
              <w:t>2</w:t>
            </w:r>
          </w:p>
        </w:tc>
      </w:tr>
      <w:tr>
        <w:trPr>
          <w:trHeight w:val="231"/>
        </w:trPr>
        <w:tc>
          <w:tcPr>
            <w:tcW w:w="46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763</w:t>
            </w: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894</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3,047</w:t>
            </w: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3,937</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(23)</w:t>
            </w:r>
          </w:p>
        </w:tc>
      </w:tr>
      <w:tr>
        <w:trPr>
          <w:trHeight w:val="223"/>
        </w:trPr>
        <w:tc>
          <w:tcPr>
            <w:tcW w:w="46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11,737</w:t>
            </w:r>
          </w:p>
        </w:tc>
        <w:tc>
          <w:tcPr>
            <w:tcW w:w="4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14,672</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47,400</w:t>
            </w:r>
          </w:p>
        </w:tc>
        <w:tc>
          <w:tcPr>
            <w:tcW w:w="4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57,538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(18)</w:t>
            </w:r>
          </w:p>
        </w:tc>
      </w:tr>
      <w:tr>
        <w:trPr>
          <w:trHeight w:val="215"/>
        </w:trPr>
        <w:tc>
          <w:tcPr>
            <w:tcW w:w="46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3"/>
        </w:trPr>
        <w:tc>
          <w:tcPr>
            <w:tcW w:w="4600" w:type="dxa"/>
            <w:vAlign w:val="bottom"/>
          </w:tcPr>
          <w:p>
            <w:pPr>
              <w:ind w:left="140"/>
              <w:spacing w:after="0"/>
              <w:rPr>
                <w:sz w:val="20"/>
                <w:szCs w:val="20"/>
                <w:color w:val="auto"/>
              </w:rPr>
            </w:pPr>
            <w:r>
              <w:rPr>
                <w:rFonts w:ascii="Arial" w:cs="Arial" w:eastAsia="Arial" w:hAnsi="Arial"/>
                <w:sz w:val="16"/>
                <w:szCs w:val="16"/>
                <w:color w:val="auto"/>
              </w:rPr>
              <w:t>Education</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37,037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38,013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212,744</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187,037</w:t>
            </w:r>
          </w:p>
        </w:tc>
        <w:tc>
          <w:tcPr>
            <w:tcW w:w="900" w:type="dxa"/>
            <w:vAlign w:val="bottom"/>
            <w:gridSpan w:val="2"/>
          </w:tcPr>
          <w:p>
            <w:pPr>
              <w:jc w:val="right"/>
              <w:ind w:right="8"/>
              <w:spacing w:after="0"/>
              <w:rPr>
                <w:sz w:val="20"/>
                <w:szCs w:val="20"/>
                <w:color w:val="auto"/>
              </w:rPr>
            </w:pPr>
            <w:r>
              <w:rPr>
                <w:rFonts w:ascii="Arial" w:cs="Arial" w:eastAsia="Arial" w:hAnsi="Arial"/>
                <w:sz w:val="16"/>
                <w:szCs w:val="16"/>
                <w:color w:val="auto"/>
              </w:rPr>
              <w:t>14</w:t>
            </w:r>
          </w:p>
        </w:tc>
      </w:tr>
      <w:tr>
        <w:trPr>
          <w:trHeight w:val="229"/>
        </w:trPr>
        <w:tc>
          <w:tcPr>
            <w:tcW w:w="4600" w:type="dxa"/>
            <w:vAlign w:val="bottom"/>
          </w:tcPr>
          <w:p>
            <w:pPr>
              <w:ind w:left="140"/>
              <w:spacing w:after="0"/>
              <w:rPr>
                <w:sz w:val="20"/>
                <w:szCs w:val="20"/>
                <w:color w:val="auto"/>
              </w:rPr>
            </w:pPr>
            <w:r>
              <w:rPr>
                <w:rFonts w:ascii="Arial" w:cs="Arial" w:eastAsia="Arial" w:hAnsi="Arial"/>
                <w:sz w:val="16"/>
                <w:szCs w:val="16"/>
                <w:color w:val="auto"/>
              </w:rPr>
              <w:t>Television broadcasting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38,454</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84,002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133,922</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223,824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230"/>
        </w:trPr>
        <w:tc>
          <w:tcPr>
            <w:tcW w:w="4600" w:type="dxa"/>
            <w:vAlign w:val="bottom"/>
          </w:tcPr>
          <w:p>
            <w:pPr>
              <w:ind w:left="140"/>
              <w:spacing w:after="0"/>
              <w:rPr>
                <w:sz w:val="20"/>
                <w:szCs w:val="20"/>
                <w:color w:val="auto"/>
              </w:rPr>
            </w:pPr>
            <w:r>
              <w:rPr>
                <w:rFonts w:ascii="Arial" w:cs="Arial" w:eastAsia="Arial" w:hAnsi="Arial"/>
                <w:sz w:val="16"/>
                <w:szCs w:val="16"/>
                <w:color w:val="auto"/>
              </w:rPr>
              <w:t>Healthcare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36,141</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24,633</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114,711</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78,558</w:t>
            </w:r>
          </w:p>
        </w:tc>
        <w:tc>
          <w:tcPr>
            <w:tcW w:w="900" w:type="dxa"/>
            <w:vAlign w:val="bottom"/>
            <w:gridSpan w:val="2"/>
          </w:tcPr>
          <w:p>
            <w:pPr>
              <w:jc w:val="right"/>
              <w:ind w:right="8"/>
              <w:spacing w:after="0"/>
              <w:rPr>
                <w:sz w:val="20"/>
                <w:szCs w:val="20"/>
                <w:color w:val="auto"/>
              </w:rPr>
            </w:pPr>
            <w:r>
              <w:rPr>
                <w:rFonts w:ascii="Arial" w:cs="Arial" w:eastAsia="Arial" w:hAnsi="Arial"/>
                <w:sz w:val="16"/>
                <w:szCs w:val="16"/>
                <w:color w:val="auto"/>
              </w:rPr>
              <w:t>46</w:t>
            </w:r>
          </w:p>
        </w:tc>
      </w:tr>
      <w:tr>
        <w:trPr>
          <w:trHeight w:val="230"/>
        </w:trPr>
        <w:tc>
          <w:tcPr>
            <w:tcW w:w="4600" w:type="dxa"/>
            <w:vAlign w:val="bottom"/>
          </w:tcPr>
          <w:p>
            <w:pPr>
              <w:ind w:left="140"/>
              <w:spacing w:after="0"/>
              <w:rPr>
                <w:sz w:val="20"/>
                <w:szCs w:val="20"/>
                <w:color w:val="auto"/>
              </w:rPr>
            </w:pPr>
            <w:r>
              <w:rPr>
                <w:rFonts w:ascii="Arial" w:cs="Arial" w:eastAsia="Arial" w:hAnsi="Arial"/>
                <w:sz w:val="16"/>
                <w:szCs w:val="16"/>
                <w:color w:val="auto"/>
              </w:rPr>
              <w:t>Manufacturing</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7,393</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12,708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47,610</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43,048</w:t>
            </w:r>
          </w:p>
        </w:tc>
        <w:tc>
          <w:tcPr>
            <w:tcW w:w="900" w:type="dxa"/>
            <w:vAlign w:val="bottom"/>
            <w:gridSpan w:val="2"/>
          </w:tcPr>
          <w:p>
            <w:pPr>
              <w:jc w:val="right"/>
              <w:ind w:right="8"/>
              <w:spacing w:after="0"/>
              <w:rPr>
                <w:sz w:val="20"/>
                <w:szCs w:val="20"/>
                <w:color w:val="auto"/>
              </w:rPr>
            </w:pPr>
            <w:r>
              <w:rPr>
                <w:rFonts w:ascii="Arial" w:cs="Arial" w:eastAsia="Arial" w:hAnsi="Arial"/>
                <w:sz w:val="16"/>
                <w:szCs w:val="16"/>
                <w:color w:val="auto"/>
              </w:rPr>
              <w:t>11</w:t>
            </w:r>
          </w:p>
        </w:tc>
      </w:tr>
      <w:tr>
        <w:trPr>
          <w:trHeight w:val="230"/>
        </w:trPr>
        <w:tc>
          <w:tcPr>
            <w:tcW w:w="4600" w:type="dxa"/>
            <w:vAlign w:val="bottom"/>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7,214</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10,886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35,079</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45,104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(22)</w:t>
            </w:r>
          </w:p>
        </w:tc>
      </w:tr>
      <w:tr>
        <w:trPr>
          <w:trHeight w:val="229"/>
        </w:trPr>
        <w:tc>
          <w:tcPr>
            <w:tcW w:w="4600" w:type="dxa"/>
            <w:vAlign w:val="bottom"/>
          </w:tcPr>
          <w:p>
            <w:pPr>
              <w:ind w:left="140"/>
              <w:spacing w:after="0"/>
              <w:rPr>
                <w:sz w:val="20"/>
                <w:szCs w:val="20"/>
                <w:color w:val="auto"/>
              </w:rPr>
            </w:pPr>
            <w:r>
              <w:rPr>
                <w:rFonts w:ascii="Arial" w:cs="Arial" w:eastAsia="Arial" w:hAnsi="Arial"/>
                <w:sz w:val="16"/>
                <w:szCs w:val="16"/>
                <w:color w:val="auto"/>
              </w:rPr>
              <w:t>Other businesses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(11,951)</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(16,122)</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(73,332)</w:t>
            </w:r>
          </w:p>
        </w:tc>
        <w:tc>
          <w:tcPr>
            <w:tcW w:w="4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(76,092)</w:t>
            </w:r>
          </w:p>
        </w:tc>
        <w:tc>
          <w:tcPr>
            <w:tcW w:w="900" w:type="dxa"/>
            <w:vAlign w:val="bottom"/>
            <w:gridSpan w:val="2"/>
          </w:tcPr>
          <w:p>
            <w:pPr>
              <w:jc w:val="right"/>
              <w:ind w:right="8"/>
              <w:spacing w:after="0"/>
              <w:rPr>
                <w:sz w:val="20"/>
                <w:szCs w:val="20"/>
                <w:color w:val="auto"/>
              </w:rPr>
            </w:pPr>
            <w:r>
              <w:rPr>
                <w:rFonts w:ascii="Arial" w:cs="Arial" w:eastAsia="Arial" w:hAnsi="Arial"/>
                <w:sz w:val="16"/>
                <w:szCs w:val="16"/>
                <w:color w:val="auto"/>
              </w:rPr>
              <w:t>4</w:t>
            </w:r>
          </w:p>
        </w:tc>
      </w:tr>
      <w:tr>
        <w:trPr>
          <w:trHeight w:val="231"/>
        </w:trPr>
        <w:tc>
          <w:tcPr>
            <w:tcW w:w="4600" w:type="dxa"/>
            <w:vAlign w:val="bottom"/>
          </w:tcPr>
          <w:p>
            <w:pPr>
              <w:ind w:left="140"/>
              <w:spacing w:after="0"/>
              <w:rPr>
                <w:sz w:val="20"/>
                <w:szCs w:val="20"/>
                <w:color w:val="auto"/>
              </w:rPr>
            </w:pPr>
            <w:r>
              <w:rPr>
                <w:rFonts w:ascii="Arial" w:cs="Arial" w:eastAsia="Arial" w:hAnsi="Arial"/>
                <w:sz w:val="16"/>
                <w:szCs w:val="16"/>
                <w:color w:val="auto"/>
              </w:rPr>
              <w:t>Corporate office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(16,719)</w:t>
            </w:r>
          </w:p>
        </w:tc>
        <w:tc>
          <w:tcPr>
            <w:tcW w:w="4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(14,471)</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(63,646)</w:t>
            </w:r>
          </w:p>
        </w:tc>
        <w:tc>
          <w:tcPr>
            <w:tcW w:w="4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(54,450)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26"/>
        </w:trPr>
        <w:tc>
          <w:tcPr>
            <w:tcW w:w="460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97,569</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139,649</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407,088</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447,029</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(9)</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9" w:lineRule="exact"/>
        <w:rPr>
          <w:sz w:val="20"/>
          <w:szCs w:val="20"/>
          <w:color w:val="auto"/>
        </w:rPr>
      </w:pPr>
    </w:p>
    <w:p>
      <w:pPr>
        <w:ind w:left="360" w:right="400" w:hanging="336"/>
        <w:spacing w:after="0" w:line="180" w:lineRule="auto"/>
        <w:rPr>
          <w:sz w:val="20"/>
          <w:szCs w:val="20"/>
          <w:color w:val="auto"/>
        </w:rPr>
      </w:pPr>
      <w:r>
        <w:rPr>
          <w:rFonts w:ascii="Times New Roman" w:cs="Times New Roman" w:eastAsia="Times New Roman" w:hAnsi="Times New Roman"/>
          <w:sz w:val="30"/>
          <w:szCs w:val="30"/>
          <w:color w:val="auto"/>
          <w:vertAlign w:val="subscript"/>
        </w:rPr>
        <w:t>(1)</w:t>
      </w:r>
      <w:r>
        <w:rPr>
          <w:rFonts w:ascii="Arial" w:cs="Arial" w:eastAsia="Arial" w:hAnsi="Arial"/>
          <w:sz w:val="12"/>
          <w:szCs w:val="12"/>
          <w:color w:val="auto"/>
        </w:rPr>
        <w:t xml:space="preserve"> Adjusted Operating Cash Flow (non-GAAP) is calculated as Operating Income (Loss) before Amortization of Intangible Assets and Impairment of Goodwill and Other Long-Lived Assets plus Depreciation Expense and Pension Expense.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98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EDUCATION DIVISION INFORMATION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3"/>
          </w:tcPr>
          <w:p>
            <w:pPr>
              <w:jc w:val="right"/>
              <w:ind w:right="379"/>
              <w:spacing w:after="0"/>
              <w:rPr>
                <w:sz w:val="20"/>
                <w:szCs w:val="20"/>
                <w:color w:val="auto"/>
              </w:rPr>
            </w:pPr>
            <w:r>
              <w:rPr>
                <w:rFonts w:ascii="Arial" w:cs="Arial" w:eastAsia="Arial" w:hAnsi="Arial"/>
                <w:sz w:val="14"/>
                <w:szCs w:val="14"/>
                <w:b w:val="1"/>
                <w:bCs w:val="1"/>
                <w:color w:val="auto"/>
              </w:rPr>
              <w:t>Twelve Months Ended</w:t>
            </w:r>
          </w:p>
        </w:tc>
        <w:tc>
          <w:tcPr>
            <w:tcW w:w="880" w:type="dxa"/>
            <w:vAlign w:val="bottom"/>
          </w:tcPr>
          <w:p>
            <w:pPr>
              <w:spacing w:after="0"/>
              <w:rPr>
                <w:sz w:val="17"/>
                <w:szCs w:val="17"/>
                <w:color w:val="auto"/>
              </w:rPr>
            </w:pPr>
          </w:p>
        </w:tc>
      </w:tr>
      <w:tr>
        <w:trPr>
          <w:trHeight w:val="225"/>
        </w:trPr>
        <w:tc>
          <w:tcPr>
            <w:tcW w:w="4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Pr>
          <w:p>
            <w:pPr>
              <w:jc w:val="right"/>
              <w:ind w:right="239"/>
              <w:spacing w:after="0"/>
              <w:rPr>
                <w:sz w:val="20"/>
                <w:szCs w:val="20"/>
                <w:color w:val="auto"/>
              </w:rPr>
            </w:pPr>
            <w:r>
              <w:rPr>
                <w:rFonts w:ascii="Arial" w:cs="Arial" w:eastAsia="Arial" w:hAnsi="Arial"/>
                <w:sz w:val="14"/>
                <w:szCs w:val="14"/>
                <w:color w:val="auto"/>
              </w:rPr>
              <w:t>%</w:t>
            </w:r>
          </w:p>
        </w:tc>
      </w:tr>
      <w:tr>
        <w:trPr>
          <w:trHeight w:val="21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2025</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2024</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Change</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2024</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color w:val="auto"/>
              </w:rPr>
              <w:t>Change</w:t>
            </w: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251,851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260,374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1,079,570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1,074,207</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83,824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77,997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349,211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324,815</w:t>
            </w: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74,916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70,241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317,159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291,630</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270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585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5,761</w:t>
            </w: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(735)</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(2,193)</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(4,635)</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410,126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408,191</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1,744,332</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1,691,778</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2"/>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227,341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241,349</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966,168</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972,508</w:t>
            </w: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72,876</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68,505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292,801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284,065</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69,877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64,745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283,767</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264,696</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15,457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8,813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75</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37,973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40,909</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901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2,220</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6,123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10,487</w:t>
            </w: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Impairment of long-lived assets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22,930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22,930</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1"/>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(929)</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(2,373)</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(4,646)</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385,523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408,116</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1,584,459</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1,590,949</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09"/>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24,510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19,025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29</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113,402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101,699</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10,948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9,492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56,410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40,750</w:t>
            </w: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5,039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5,496</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33,392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26,934</w:t>
            </w: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(15,187)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(8,791)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(37,388)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(35,148)</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(901)</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(2,220)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59</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(6,123)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(10,487)</w:t>
            </w:r>
          </w:p>
        </w:tc>
        <w:tc>
          <w:tcPr>
            <w:tcW w:w="88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Impairment of intangible assets</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(22,930)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(22,930)</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24,603</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159,873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100,829</w:t>
            </w:r>
          </w:p>
        </w:tc>
        <w:tc>
          <w:tcPr>
            <w:tcW w:w="88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161"/>
        </w:trPr>
        <w:tc>
          <w:tcPr>
            <w:tcW w:w="474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(Loss) before Amortization of Intangible</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3"/>
        </w:trPr>
        <w:tc>
          <w:tcPr>
            <w:tcW w:w="4740" w:type="dxa"/>
            <w:vAlign w:val="bottom"/>
          </w:tcPr>
          <w:p>
            <w:pPr>
              <w:ind w:left="100"/>
              <w:spacing w:after="0"/>
              <w:rPr>
                <w:sz w:val="20"/>
                <w:szCs w:val="20"/>
                <w:color w:val="auto"/>
              </w:rPr>
            </w:pPr>
            <w:r>
              <w:rPr>
                <w:rFonts w:ascii="Arial" w:cs="Arial" w:eastAsia="Arial" w:hAnsi="Arial"/>
                <w:sz w:val="16"/>
                <w:szCs w:val="16"/>
                <w:b w:val="1"/>
                <w:bCs w:val="1"/>
                <w:color w:val="auto"/>
              </w:rPr>
              <w:t>Assets and Impairment of Intangible Assets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6"/>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24,510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19,025</w:t>
            </w:r>
          </w:p>
        </w:tc>
        <w:tc>
          <w:tcPr>
            <w:tcW w:w="1000" w:type="dxa"/>
            <w:vAlign w:val="bottom"/>
          </w:tcPr>
          <w:p>
            <w:pPr>
              <w:jc w:val="right"/>
              <w:ind w:right="119"/>
              <w:spacing w:after="0"/>
              <w:rPr>
                <w:sz w:val="20"/>
                <w:szCs w:val="20"/>
                <w:color w:val="auto"/>
              </w:rPr>
            </w:pPr>
            <w:r>
              <w:rPr>
                <w:rFonts w:ascii="Arial" w:cs="Arial" w:eastAsia="Arial" w:hAnsi="Arial"/>
                <w:sz w:val="18"/>
                <w:szCs w:val="18"/>
                <w:color w:val="auto"/>
              </w:rPr>
              <w:t>29</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113,402</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101,699</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10,948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9,492</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56,410</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40,750</w:t>
            </w: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5,039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5,496</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(8)</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33,392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26,934</w:t>
            </w: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(15,187)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(8,791)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(73)</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(37,388)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(35,148)</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25,504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25,225</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165,996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134,246</w:t>
            </w: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8"/>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6,140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6,948</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25,154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28,683</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272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534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1,425</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2,825</w:t>
            </w:r>
          </w:p>
        </w:tc>
        <w:tc>
          <w:tcPr>
            <w:tcW w:w="88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795</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2,871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3,487</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31"/>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50</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23"/>
        </w:trPr>
        <w:tc>
          <w:tcPr>
            <w:tcW w:w="47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7,216</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8,322</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29,477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35,058</w:t>
            </w: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08"/>
        </w:trPr>
        <w:tc>
          <w:tcPr>
            <w:tcW w:w="474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143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177</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571</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704</w:t>
            </w: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1,848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1,891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7,394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7,620</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1,930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7,718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7,848</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396</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1,588</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1,561</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47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4,317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4,466</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17,271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17,733</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47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6"/>
                <w:szCs w:val="16"/>
                <w:color w:val="auto"/>
              </w:rPr>
              <w:t>Kaplan international</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30,793</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26,150</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139,127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131,086</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Higher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13,068</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11,917</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65,229</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51,195</w:t>
            </w:r>
          </w:p>
        </w:tc>
        <w:tc>
          <w:tcPr>
            <w:tcW w:w="88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30"/>
        </w:trPr>
        <w:tc>
          <w:tcPr>
            <w:tcW w:w="4740" w:type="dxa"/>
            <w:vAlign w:val="bottom"/>
          </w:tcPr>
          <w:p>
            <w:pPr>
              <w:ind w:left="140"/>
              <w:spacing w:after="0"/>
              <w:rPr>
                <w:sz w:val="20"/>
                <w:szCs w:val="20"/>
                <w:color w:val="auto"/>
              </w:rPr>
            </w:pPr>
            <w:r>
              <w:rPr>
                <w:rFonts w:ascii="Arial" w:cs="Arial" w:eastAsia="Arial" w:hAnsi="Arial"/>
                <w:sz w:val="16"/>
                <w:szCs w:val="16"/>
                <w:color w:val="auto"/>
              </w:rPr>
              <w:t>Supplemental education</w:t>
            </w:r>
          </w:p>
        </w:tc>
        <w:tc>
          <w:tcPr>
            <w:tcW w:w="24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b w:val="1"/>
                <w:bCs w:val="1"/>
                <w:color w:val="auto"/>
              </w:rPr>
              <w:t>7,764</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8,304</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9"/>
                <w:szCs w:val="19"/>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b w:val="1"/>
                <w:bCs w:val="1"/>
                <w:color w:val="auto"/>
              </w:rPr>
              <w:t>43,981</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38,269</w:t>
            </w: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29"/>
        </w:trPr>
        <w:tc>
          <w:tcPr>
            <w:tcW w:w="4740" w:type="dxa"/>
            <w:vAlign w:val="bottom"/>
          </w:tcPr>
          <w:p>
            <w:pPr>
              <w:ind w:left="140"/>
              <w:spacing w:after="0"/>
              <w:rPr>
                <w:sz w:val="20"/>
                <w:szCs w:val="20"/>
                <w:color w:val="auto"/>
              </w:rPr>
            </w:pPr>
            <w:r>
              <w:rPr>
                <w:rFonts w:ascii="Arial" w:cs="Arial" w:eastAsia="Arial" w:hAnsi="Arial"/>
                <w:sz w:val="16"/>
                <w:szCs w:val="16"/>
                <w:color w:val="auto"/>
              </w:rPr>
              <w:t>Kaplan corporate and other</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(14,782)</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(8,361)</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(35,773)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(33,524)</w:t>
            </w: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31"/>
        </w:trPr>
        <w:tc>
          <w:tcPr>
            <w:tcW w:w="4740" w:type="dxa"/>
            <w:vAlign w:val="bottom"/>
          </w:tcPr>
          <w:p>
            <w:pPr>
              <w:ind w:left="140"/>
              <w:spacing w:after="0"/>
              <w:rPr>
                <w:sz w:val="20"/>
                <w:szCs w:val="20"/>
                <w:color w:val="auto"/>
              </w:rPr>
            </w:pPr>
            <w:r>
              <w:rPr>
                <w:rFonts w:ascii="Arial" w:cs="Arial" w:eastAsia="Arial" w:hAnsi="Arial"/>
                <w:sz w:val="16"/>
                <w:szCs w:val="16"/>
                <w:color w:val="auto"/>
              </w:rPr>
              <w:t>Intersegment elimination</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194</w:t>
            </w:r>
          </w:p>
        </w:tc>
        <w:tc>
          <w:tcPr>
            <w:tcW w:w="2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180</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6"/>
        </w:trPr>
        <w:tc>
          <w:tcPr>
            <w:tcW w:w="474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37,037</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38,013</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212,744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187,037</w:t>
            </w: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3"/>
          <w:szCs w:val="13"/>
          <w:color w:val="auto"/>
        </w:rPr>
        <w:t>____________</w:t>
      </w:r>
    </w:p>
    <w:p>
      <w:pPr>
        <w:spacing w:after="0" w:line="35" w:lineRule="exact"/>
        <w:rPr>
          <w:sz w:val="20"/>
          <w:szCs w:val="20"/>
          <w:color w:val="auto"/>
        </w:rPr>
      </w:pPr>
    </w:p>
    <w:p>
      <w:pPr>
        <w:ind w:left="360" w:right="80" w:hanging="334"/>
        <w:spacing w:after="0" w:line="285" w:lineRule="auto"/>
        <w:tabs>
          <w:tab w:leader="none" w:pos="3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-more-</w:t>
      </w:r>
    </w:p>
    <w:p>
      <w:pPr>
        <w:sectPr>
          <w:pgSz w:w="11900" w:h="16838" w:orient="portrait"/>
          <w:cols w:equalWidth="0" w:num="1">
            <w:col w:w="11180"/>
          </w:cols>
          <w:pgMar w:left="320" w:top="971" w:right="399" w:bottom="260" w:gutter="0" w:footer="0" w:header="0"/>
        </w:sectPr>
      </w:pP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180"/>
          </w:cols>
          <w:pgMar w:left="320" w:top="971" w:right="399" w:bottom="260" w:gutter="0" w:footer="0" w:header="0"/>
          <w:type w:val="continuous"/>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GRAHAM HOLDINGS COMPANY</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HEALTHCARE DIVISION INFORMATION</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Twelve Months Ended</w:t>
            </w:r>
          </w:p>
        </w:tc>
        <w:tc>
          <w:tcPr>
            <w:tcW w:w="880" w:type="dxa"/>
            <w:vAlign w:val="bottom"/>
          </w:tcPr>
          <w:p>
            <w:pPr>
              <w:spacing w:after="0"/>
              <w:rPr>
                <w:sz w:val="17"/>
                <w:szCs w:val="17"/>
                <w:color w:val="auto"/>
              </w:rPr>
            </w:pPr>
          </w:p>
        </w:tc>
      </w:tr>
      <w:tr>
        <w:trPr>
          <w:trHeight w:val="225"/>
        </w:trPr>
        <w:tc>
          <w:tcPr>
            <w:tcW w:w="4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559"/>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Pr>
          <w:p>
            <w:pPr>
              <w:jc w:val="right"/>
              <w:ind w:right="3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9"/>
                <w:szCs w:val="19"/>
                <w:color w:val="auto"/>
              </w:rPr>
            </w:pPr>
          </w:p>
        </w:tc>
        <w:tc>
          <w:tcPr>
            <w:tcW w:w="880" w:type="dxa"/>
            <w:vAlign w:val="bottom"/>
          </w:tcPr>
          <w:p>
            <w:pPr>
              <w:jc w:val="right"/>
              <w:ind w:right="220"/>
              <w:spacing w:after="0"/>
              <w:rPr>
                <w:sz w:val="20"/>
                <w:szCs w:val="20"/>
                <w:color w:val="auto"/>
              </w:rPr>
            </w:pPr>
            <w:r>
              <w:rPr>
                <w:rFonts w:ascii="Arial" w:cs="Arial" w:eastAsia="Arial" w:hAnsi="Arial"/>
                <w:sz w:val="14"/>
                <w:szCs w:val="14"/>
                <w:color w:val="auto"/>
              </w:rPr>
              <w:t>%</w:t>
            </w:r>
          </w:p>
        </w:tc>
      </w:tr>
      <w:tr>
        <w:trPr>
          <w:trHeight w:val="20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color w:val="auto"/>
              </w:rPr>
              <w:t>2024</w:t>
            </w:r>
          </w:p>
        </w:tc>
        <w:tc>
          <w:tcPr>
            <w:tcW w:w="10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Change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color w:val="auto"/>
                <w:w w:val="96"/>
              </w:rPr>
              <w:t>2024</w:t>
            </w:r>
          </w:p>
        </w:tc>
        <w:tc>
          <w:tcPr>
            <w:tcW w:w="880" w:type="dxa"/>
            <w:vAlign w:val="bottom"/>
          </w:tcPr>
          <w:p>
            <w:pPr>
              <w:jc w:val="right"/>
              <w:ind w:right="40"/>
              <w:spacing w:after="0"/>
              <w:rPr>
                <w:sz w:val="20"/>
                <w:szCs w:val="20"/>
                <w:color w:val="auto"/>
              </w:rPr>
            </w:pPr>
            <w:r>
              <w:rPr>
                <w:rFonts w:ascii="Arial" w:cs="Arial" w:eastAsia="Arial" w:hAnsi="Arial"/>
                <w:sz w:val="14"/>
                <w:szCs w:val="14"/>
                <w:color w:val="auto"/>
              </w:rPr>
              <w:t>Change</w:t>
            </w:r>
          </w:p>
        </w:tc>
      </w:tr>
      <w:tr>
        <w:trPr>
          <w:trHeight w:val="223"/>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Operating Revenues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6"/>
                <w:szCs w:val="16"/>
                <w:color w:val="auto"/>
              </w:rPr>
              <w:t>CSI</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141,463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98,084</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44</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465,508</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299,598</w:t>
            </w:r>
          </w:p>
        </w:tc>
        <w:tc>
          <w:tcPr>
            <w:tcW w:w="88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31"/>
        </w:trPr>
        <w:tc>
          <w:tcPr>
            <w:tcW w:w="47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89,211</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81,883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349,541</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311,511</w:t>
            </w: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23"/>
        </w:trPr>
        <w:tc>
          <w:tcPr>
            <w:tcW w:w="47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230,674</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179,967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28</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815,049</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611,109</w:t>
            </w:r>
          </w:p>
        </w:tc>
        <w:tc>
          <w:tcPr>
            <w:tcW w:w="880" w:type="dxa"/>
            <w:vAlign w:val="bottom"/>
          </w:tcPr>
          <w:p>
            <w:pPr>
              <w:jc w:val="right"/>
              <w:spacing w:after="0"/>
              <w:rPr>
                <w:sz w:val="20"/>
                <w:szCs w:val="20"/>
                <w:color w:val="auto"/>
              </w:rPr>
            </w:pPr>
            <w:r>
              <w:rPr>
                <w:rFonts w:ascii="Arial" w:cs="Arial" w:eastAsia="Arial" w:hAnsi="Arial"/>
                <w:sz w:val="16"/>
                <w:szCs w:val="16"/>
                <w:color w:val="auto"/>
              </w:rPr>
              <w:t>33</w:t>
            </w:r>
          </w:p>
        </w:tc>
      </w:tr>
      <w:tr>
        <w:trPr>
          <w:trHeight w:val="209"/>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6"/>
                <w:szCs w:val="16"/>
                <w:color w:val="auto"/>
              </w:rPr>
              <w:t>CSI</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125,266</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84,015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49</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412,274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260,508</w:t>
            </w: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30"/>
        </w:trPr>
        <w:tc>
          <w:tcPr>
            <w:tcW w:w="47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73,845</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78,155</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306,806</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299,716</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23"/>
        </w:trPr>
        <w:tc>
          <w:tcPr>
            <w:tcW w:w="47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199,111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162,170</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719,080</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560,224</w:t>
            </w: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6"/>
                <w:szCs w:val="16"/>
                <w:color w:val="auto"/>
              </w:rPr>
              <w:t>CSI</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16,197</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14,069</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53,234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39,090</w:t>
            </w: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47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15,366</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42,735</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11,795</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31,563</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17,797</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77</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95,969</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50,885</w:t>
            </w:r>
          </w:p>
        </w:tc>
        <w:tc>
          <w:tcPr>
            <w:tcW w:w="8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61"/>
        </w:trPr>
        <w:tc>
          <w:tcPr>
            <w:tcW w:w="47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Amortization of Intangible Assets and Impairment of Long-</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3"/>
        </w:trPr>
        <w:tc>
          <w:tcPr>
            <w:tcW w:w="4780" w:type="dxa"/>
            <w:vAlign w:val="bottom"/>
          </w:tcPr>
          <w:p>
            <w:pPr>
              <w:ind w:left="100"/>
              <w:spacing w:after="0"/>
              <w:rPr>
                <w:sz w:val="20"/>
                <w:szCs w:val="20"/>
                <w:color w:val="auto"/>
              </w:rPr>
            </w:pPr>
            <w:r>
              <w:rPr>
                <w:rFonts w:ascii="Arial" w:cs="Arial" w:eastAsia="Arial" w:hAnsi="Arial"/>
                <w:sz w:val="16"/>
                <w:szCs w:val="16"/>
                <w:b w:val="1"/>
                <w:bCs w:val="1"/>
                <w:color w:val="auto"/>
              </w:rPr>
              <w:t>Lived Assets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6"/>
                <w:szCs w:val="16"/>
                <w:color w:val="auto"/>
              </w:rPr>
              <w:t>CSI</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43</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30</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150</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133</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30"/>
        </w:trPr>
        <w:tc>
          <w:tcPr>
            <w:tcW w:w="47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82</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1,305</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23"/>
        </w:trPr>
        <w:tc>
          <w:tcPr>
            <w:tcW w:w="47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125</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6</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1,455</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1,511</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61"/>
        </w:trPr>
        <w:tc>
          <w:tcPr>
            <w:tcW w:w="47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Operating Income before Amortization of Intangible Assets</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3"/>
        </w:trPr>
        <w:tc>
          <w:tcPr>
            <w:tcW w:w="4780" w:type="dxa"/>
            <w:vAlign w:val="bottom"/>
          </w:tcPr>
          <w:p>
            <w:pPr>
              <w:ind w:left="100"/>
              <w:spacing w:after="0"/>
              <w:rPr>
                <w:sz w:val="20"/>
                <w:szCs w:val="20"/>
                <w:color w:val="auto"/>
              </w:rPr>
            </w:pPr>
            <w:r>
              <w:rPr>
                <w:rFonts w:ascii="Arial" w:cs="Arial" w:eastAsia="Arial" w:hAnsi="Arial"/>
                <w:sz w:val="16"/>
                <w:szCs w:val="16"/>
                <w:b w:val="1"/>
                <w:bCs w:val="1"/>
                <w:color w:val="auto"/>
              </w:rPr>
              <w:t>and Impairment of Long-Lived Assets</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6"/>
                <w:szCs w:val="16"/>
                <w:color w:val="auto"/>
              </w:rPr>
              <w:t>CSI</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16,240</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14,102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15</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53,384</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39,223</w:t>
            </w: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1"/>
        </w:trPr>
        <w:tc>
          <w:tcPr>
            <w:tcW w:w="47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15,448</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44,040</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13,173</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47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31,688</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17,915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77</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97,424</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52,396</w:t>
            </w:r>
          </w:p>
        </w:tc>
        <w:tc>
          <w:tcPr>
            <w:tcW w:w="8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08"/>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Depreciation</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4780" w:type="dxa"/>
            <w:vAlign w:val="bottom"/>
          </w:tcPr>
          <w:p>
            <w:pPr>
              <w:ind w:left="140"/>
              <w:spacing w:after="0"/>
              <w:rPr>
                <w:sz w:val="20"/>
                <w:szCs w:val="20"/>
                <w:color w:val="auto"/>
              </w:rPr>
            </w:pPr>
            <w:r>
              <w:rPr>
                <w:rFonts w:ascii="Arial" w:cs="Arial" w:eastAsia="Arial" w:hAnsi="Arial"/>
                <w:sz w:val="16"/>
                <w:szCs w:val="16"/>
                <w:color w:val="auto"/>
              </w:rPr>
              <w:t>CSI</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284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166</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71</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829</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586</w:t>
            </w:r>
          </w:p>
        </w:tc>
        <w:tc>
          <w:tcPr>
            <w:tcW w:w="88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230"/>
        </w:trPr>
        <w:tc>
          <w:tcPr>
            <w:tcW w:w="47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1,673</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1,662</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6,474</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6,273</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23"/>
        </w:trPr>
        <w:tc>
          <w:tcPr>
            <w:tcW w:w="47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1,957</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7,303</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6,859</w:t>
            </w:r>
          </w:p>
        </w:tc>
        <w:tc>
          <w:tcPr>
            <w:tcW w:w="88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9"/>
        </w:trPr>
        <w:tc>
          <w:tcPr>
            <w:tcW w:w="4780" w:type="dxa"/>
            <w:vAlign w:val="bottom"/>
          </w:tcPr>
          <w:p>
            <w:pPr>
              <w:ind w:left="20"/>
              <w:spacing w:after="0"/>
              <w:rPr>
                <w:sz w:val="20"/>
                <w:szCs w:val="20"/>
                <w:color w:val="auto"/>
              </w:rPr>
            </w:pPr>
            <w:r>
              <w:rPr>
                <w:rFonts w:ascii="Arial" w:cs="Arial" w:eastAsia="Arial" w:hAnsi="Arial"/>
                <w:sz w:val="16"/>
                <w:szCs w:val="16"/>
                <w:b w:val="1"/>
                <w:bCs w:val="1"/>
                <w:color w:val="auto"/>
              </w:rPr>
              <w:t>Pension Expense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9"/>
        </w:trPr>
        <w:tc>
          <w:tcPr>
            <w:tcW w:w="4780" w:type="dxa"/>
            <w:vAlign w:val="bottom"/>
          </w:tcPr>
          <w:p>
            <w:pPr>
              <w:ind w:left="140"/>
              <w:spacing w:after="0"/>
              <w:rPr>
                <w:sz w:val="20"/>
                <w:szCs w:val="20"/>
                <w:color w:val="auto"/>
              </w:rPr>
            </w:pPr>
            <w:r>
              <w:rPr>
                <w:rFonts w:ascii="Arial" w:cs="Arial" w:eastAsia="Arial" w:hAnsi="Arial"/>
                <w:sz w:val="16"/>
                <w:szCs w:val="16"/>
                <w:color w:val="auto"/>
              </w:rPr>
              <w:t>CSI</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47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2,496</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9,984</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19,303</w:t>
            </w: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23"/>
        </w:trPr>
        <w:tc>
          <w:tcPr>
            <w:tcW w:w="47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2,496</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4,890</w:t>
            </w:r>
          </w:p>
        </w:tc>
        <w:tc>
          <w:tcPr>
            <w:tcW w:w="1000" w:type="dxa"/>
            <w:vAlign w:val="bottom"/>
          </w:tcPr>
          <w:p>
            <w:pPr>
              <w:jc w:val="right"/>
              <w:ind w:right="60"/>
              <w:spacing w:after="0"/>
              <w:rPr>
                <w:sz w:val="20"/>
                <w:szCs w:val="20"/>
                <w:color w:val="auto"/>
              </w:rPr>
            </w:pPr>
            <w:r>
              <w:rPr>
                <w:rFonts w:ascii="Arial" w:cs="Arial" w:eastAsia="Arial" w:hAnsi="Arial"/>
                <w:sz w:val="16"/>
                <w:szCs w:val="16"/>
                <w:color w:val="auto"/>
              </w:rPr>
              <w:t>(49)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9,984</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19,303</w:t>
            </w:r>
          </w:p>
        </w:tc>
        <w:tc>
          <w:tcPr>
            <w:tcW w:w="880" w:type="dxa"/>
            <w:vAlign w:val="bottom"/>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478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Adjusted Operating Cash Flow (non-GAAP)</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4780" w:type="dxa"/>
            <w:vAlign w:val="bottom"/>
          </w:tcPr>
          <w:p>
            <w:pPr>
              <w:ind w:left="140"/>
              <w:spacing w:after="0"/>
              <w:rPr>
                <w:sz w:val="20"/>
                <w:szCs w:val="20"/>
                <w:color w:val="auto"/>
              </w:rPr>
            </w:pPr>
            <w:r>
              <w:rPr>
                <w:rFonts w:ascii="Arial" w:cs="Arial" w:eastAsia="Arial" w:hAnsi="Arial"/>
                <w:sz w:val="16"/>
                <w:szCs w:val="16"/>
                <w:color w:val="auto"/>
              </w:rPr>
              <w:t>CSI</w:t>
            </w: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b w:val="1"/>
                <w:bCs w:val="1"/>
                <w:color w:val="auto"/>
              </w:rPr>
              <w:t>16,524</w:t>
            </w: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14,268</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16</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b w:val="1"/>
                <w:bCs w:val="1"/>
                <w:color w:val="auto"/>
              </w:rPr>
              <w:t>54,213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39,809</w:t>
            </w:r>
          </w:p>
        </w:tc>
        <w:tc>
          <w:tcPr>
            <w:tcW w:w="8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30"/>
        </w:trPr>
        <w:tc>
          <w:tcPr>
            <w:tcW w:w="4780" w:type="dxa"/>
            <w:vAlign w:val="bottom"/>
          </w:tcPr>
          <w:p>
            <w:pPr>
              <w:ind w:left="140"/>
              <w:spacing w:after="0"/>
              <w:rPr>
                <w:sz w:val="20"/>
                <w:szCs w:val="20"/>
                <w:color w:val="auto"/>
              </w:rPr>
            </w:pPr>
            <w:r>
              <w:rPr>
                <w:rFonts w:ascii="Arial" w:cs="Arial" w:eastAsia="Arial" w:hAnsi="Arial"/>
                <w:sz w:val="16"/>
                <w:szCs w:val="16"/>
                <w:color w:val="auto"/>
              </w:rPr>
              <w:t>Other Healthcare</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19,617</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10,365</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89</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60,498</w:t>
            </w:r>
          </w:p>
        </w:tc>
        <w:tc>
          <w:tcPr>
            <w:tcW w:w="4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38,749</w:t>
            </w:r>
          </w:p>
        </w:tc>
        <w:tc>
          <w:tcPr>
            <w:tcW w:w="88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26"/>
        </w:trPr>
        <w:tc>
          <w:tcPr>
            <w:tcW w:w="4780" w:type="dxa"/>
            <w:vAlign w:val="bottom"/>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36,141</w:t>
            </w:r>
          </w:p>
        </w:tc>
        <w:tc>
          <w:tcPr>
            <w:tcW w:w="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24,633</w:t>
            </w:r>
          </w:p>
        </w:tc>
        <w:tc>
          <w:tcPr>
            <w:tcW w:w="1000" w:type="dxa"/>
            <w:vAlign w:val="bottom"/>
          </w:tcPr>
          <w:p>
            <w:pPr>
              <w:jc w:val="right"/>
              <w:ind w:right="100"/>
              <w:spacing w:after="0"/>
              <w:rPr>
                <w:sz w:val="20"/>
                <w:szCs w:val="20"/>
                <w:color w:val="auto"/>
              </w:rPr>
            </w:pPr>
            <w:r>
              <w:rPr>
                <w:rFonts w:ascii="Arial" w:cs="Arial" w:eastAsia="Arial" w:hAnsi="Arial"/>
                <w:sz w:val="16"/>
                <w:szCs w:val="16"/>
                <w:color w:val="auto"/>
              </w:rPr>
              <w:t>47</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114,711</w:t>
            </w:r>
          </w:p>
        </w:tc>
        <w:tc>
          <w:tcPr>
            <w:tcW w:w="4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78,558</w:t>
            </w:r>
          </w:p>
        </w:tc>
        <w:tc>
          <w:tcPr>
            <w:tcW w:w="880" w:type="dxa"/>
            <w:vAlign w:val="bottom"/>
          </w:tcPr>
          <w:p>
            <w:pPr>
              <w:jc w:val="right"/>
              <w:spacing w:after="0"/>
              <w:rPr>
                <w:sz w:val="20"/>
                <w:szCs w:val="20"/>
                <w:color w:val="auto"/>
              </w:rPr>
            </w:pPr>
            <w:r>
              <w:rPr>
                <w:rFonts w:ascii="Arial" w:cs="Arial" w:eastAsia="Arial" w:hAnsi="Arial"/>
                <w:sz w:val="16"/>
                <w:szCs w:val="16"/>
                <w:color w:val="auto"/>
              </w:rPr>
              <w:t>46</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____________</w:t>
      </w:r>
    </w:p>
    <w:p>
      <w:pPr>
        <w:spacing w:after="0" w:line="29" w:lineRule="exact"/>
        <w:rPr>
          <w:sz w:val="20"/>
          <w:szCs w:val="20"/>
          <w:color w:val="auto"/>
        </w:rPr>
      </w:pPr>
    </w:p>
    <w:p>
      <w:pPr>
        <w:ind w:left="360" w:right="80" w:hanging="334"/>
        <w:spacing w:after="0" w:line="283" w:lineRule="auto"/>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Operating Cash Flow (non-GAAP) is calculated as Operating Income (Loss) before Amortization of Intangible Assets and Impairment of Long-Lived Assets plus Depreciation Expense and Pension Expense.</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-more-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180"/>
          </w:cols>
          <w:pgMar w:left="320" w:top="971" w:right="39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NON-GAAP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I</w:t>
      </w:r>
      <w:r>
        <w:rPr>
          <w:rFonts w:ascii="Arial" w:cs="Arial" w:eastAsia="Arial" w:hAnsi="Arial"/>
          <w:sz w:val="17"/>
          <w:szCs w:val="17"/>
          <w:color w:val="auto"/>
        </w:rPr>
        <w:t>n addition to the results reported in accordance with accounting principles generally accepted in the United States (GAAP) included in this</w:t>
      </w:r>
    </w:p>
    <w:p>
      <w:pPr>
        <w:spacing w:after="0" w:line="25" w:lineRule="exact"/>
        <w:rPr>
          <w:sz w:val="20"/>
          <w:szCs w:val="20"/>
          <w:color w:val="auto"/>
        </w:rPr>
      </w:pPr>
    </w:p>
    <w:p>
      <w:pPr>
        <w:ind w:right="80"/>
        <w:spacing w:after="0"/>
        <w:rPr>
          <w:sz w:val="20"/>
          <w:szCs w:val="20"/>
          <w:color w:val="auto"/>
        </w:rPr>
      </w:pPr>
      <w:r>
        <w:rPr>
          <w:rFonts w:ascii="Arial" w:cs="Arial" w:eastAsia="Arial" w:hAnsi="Arial"/>
          <w:sz w:val="17"/>
          <w:szCs w:val="17"/>
          <w:color w:val="auto"/>
        </w:rPr>
        <w:t>press release, the Company has provided information regarding Adjusted Operating Cash Flow and Net income excluding certain items described below, reconciled to the most directly comparable GAAP measures. Management believes that these non-GAAP measures, when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read in conjunction with the Company’s GAAP financials, provide useful information to investors by offering:</w:t>
      </w:r>
    </w:p>
    <w:p>
      <w:pPr>
        <w:spacing w:after="0" w:line="8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make meaningful period-to-period comparisons of the Company’s ongoing results;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identify trends in the Company’s underlying business; and</w:t>
      </w:r>
    </w:p>
    <w:p>
      <w:pPr>
        <w:spacing w:after="0" w:line="4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better understanding of how management plans and measures the Company’s underlying business.</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Adjusted Operating Cash Flow and Net income, excluding certain items, should not be considered substitutes or alternatives to computations calculated in accordance with and required by GAAP. These non-GAAP financial measures should be read only in conjunction with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presented on a GAAP basis.</w:t>
      </w:r>
    </w:p>
    <w:p>
      <w:pPr>
        <w:spacing w:after="0" w:line="86" w:lineRule="exact"/>
        <w:rPr>
          <w:sz w:val="20"/>
          <w:szCs w:val="20"/>
          <w:color w:val="auto"/>
        </w:rPr>
      </w:pPr>
    </w:p>
    <w:p>
      <w:pPr>
        <w:ind w:right="120"/>
        <w:spacing w:after="0" w:line="251" w:lineRule="auto"/>
        <w:rPr>
          <w:sz w:val="20"/>
          <w:szCs w:val="20"/>
          <w:color w:val="auto"/>
        </w:rPr>
      </w:pPr>
      <w:r>
        <w:rPr>
          <w:rFonts w:ascii="Arial" w:cs="Arial" w:eastAsia="Arial" w:hAnsi="Arial"/>
          <w:sz w:val="17"/>
          <w:szCs w:val="17"/>
          <w:color w:val="auto"/>
        </w:rPr>
        <w:t>The gains and losses on marketable equity securities relate to the change in the fair value (quoted prices) of its portfolio of equity securities. The mandatorily redeemable noncontrolling interest represents the ownership portion of a group of minority shareholders at a subsidiary of</w:t>
      </w:r>
    </w:p>
    <w:p>
      <w:pPr>
        <w:spacing w:after="0" w:line="235" w:lineRule="auto"/>
        <w:rPr>
          <w:sz w:val="20"/>
          <w:szCs w:val="20"/>
          <w:color w:val="auto"/>
        </w:rPr>
      </w:pPr>
      <w:r>
        <w:rPr>
          <w:rFonts w:ascii="Arial" w:cs="Arial" w:eastAsia="Arial" w:hAnsi="Arial"/>
          <w:sz w:val="18"/>
          <w:szCs w:val="18"/>
          <w:color w:val="auto"/>
        </w:rPr>
        <w:t>the Company's Healthcare business. The Company measures the redemption value of this minority ownership on a quarterly basis with</w:t>
      </w:r>
    </w:p>
    <w:p>
      <w:pPr>
        <w:ind w:right="440"/>
        <w:spacing w:after="0" w:line="226" w:lineRule="auto"/>
        <w:rPr>
          <w:sz w:val="20"/>
          <w:szCs w:val="20"/>
          <w:color w:val="auto"/>
        </w:rPr>
      </w:pPr>
      <w:r>
        <w:rPr>
          <w:rFonts w:ascii="Arial" w:cs="Arial" w:eastAsia="Arial" w:hAnsi="Arial"/>
          <w:sz w:val="18"/>
          <w:szCs w:val="18"/>
          <w:color w:val="auto"/>
        </w:rPr>
        <w:t>changes in the fair value recorded as interest expense or income, which is included in net income for the period. The effect of gains and losses on marketable equity securities and net interest expense related to fair value adjustments of the mandatorily redeemable</w:t>
      </w:r>
    </w:p>
    <w:p>
      <w:pPr>
        <w:spacing w:after="0" w:line="2" w:lineRule="exact"/>
        <w:rPr>
          <w:sz w:val="20"/>
          <w:szCs w:val="20"/>
          <w:color w:val="auto"/>
        </w:rPr>
      </w:pPr>
    </w:p>
    <w:p>
      <w:pPr>
        <w:ind w:right="580"/>
        <w:spacing w:after="0"/>
        <w:rPr>
          <w:sz w:val="20"/>
          <w:szCs w:val="20"/>
          <w:color w:val="auto"/>
        </w:rPr>
      </w:pPr>
      <w:r>
        <w:rPr>
          <w:rFonts w:ascii="Arial" w:cs="Arial" w:eastAsia="Arial" w:hAnsi="Arial"/>
          <w:sz w:val="17"/>
          <w:szCs w:val="17"/>
          <w:color w:val="auto"/>
        </w:rPr>
        <w:t>noncontrolling interest are not directly related to the core performance of the Company’s business operations since these items do not directly relate to the sale of the Company’s services or products. GAAP requires that the Company include the gains and losses on</w:t>
      </w:r>
    </w:p>
    <w:p>
      <w:pPr>
        <w:spacing w:after="0" w:line="235" w:lineRule="auto"/>
        <w:rPr>
          <w:sz w:val="20"/>
          <w:szCs w:val="20"/>
          <w:color w:val="auto"/>
        </w:rPr>
      </w:pPr>
      <w:r>
        <w:rPr>
          <w:rFonts w:ascii="Arial" w:cs="Arial" w:eastAsia="Arial" w:hAnsi="Arial"/>
          <w:sz w:val="18"/>
          <w:szCs w:val="18"/>
          <w:color w:val="auto"/>
        </w:rPr>
        <w:t>marketable equity securities and net interest expense related to fair value adjustments of the mandatorily redeemable noncontrolling interest</w:t>
      </w:r>
    </w:p>
    <w:p>
      <w:pPr>
        <w:spacing w:after="0" w:line="226" w:lineRule="auto"/>
        <w:rPr>
          <w:sz w:val="20"/>
          <w:szCs w:val="20"/>
          <w:color w:val="auto"/>
        </w:rPr>
      </w:pPr>
      <w:r>
        <w:rPr>
          <w:rFonts w:ascii="Arial" w:cs="Arial" w:eastAsia="Arial" w:hAnsi="Arial"/>
          <w:sz w:val="18"/>
          <w:szCs w:val="18"/>
          <w:color w:val="auto"/>
        </w:rPr>
        <w:t>in net income on the Statements of Operations. The Company excludes the gains and losses on marketable equity securities and net interest expense related to fair value adjustments of the mandatorily redeemable noncontrolling interest from the non-GAAP adjusted net income</w:t>
      </w:r>
    </w:p>
    <w:p>
      <w:pPr>
        <w:spacing w:after="0" w:line="2"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because these items are independent of the Company’s core operations and not indicative of the performance of the Company’s business operations.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-more-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20"/>
          </w:cols>
          <w:pgMar w:left="320" w:top="1039"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The following tables reconcile the non-GAAP financial measures for Net income, excluding certain items, to the most directly comparable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GAAP measures:</w:t>
      </w:r>
    </w:p>
    <w:p>
      <w:pPr>
        <w:spacing w:after="0" w:line="131" w:lineRule="exact"/>
        <w:rPr>
          <w:sz w:val="20"/>
          <w:szCs w:val="20"/>
          <w:color w:val="auto"/>
        </w:rPr>
      </w:pPr>
    </w:p>
    <w:p>
      <w:pPr>
        <w:ind w:left="6740"/>
        <w:spacing w:after="0"/>
        <w:rPr>
          <w:sz w:val="20"/>
          <w:szCs w:val="20"/>
          <w:color w:val="auto"/>
        </w:rPr>
      </w:pPr>
      <w:r>
        <w:rPr>
          <w:rFonts w:ascii="Arial" w:cs="Arial" w:eastAsia="Arial" w:hAnsi="Arial"/>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29210</wp:posOffset>
            </wp:positionV>
            <wp:extent cx="4037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3733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2025</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b w:val="1"/>
                <w:bCs w:val="1"/>
                <w:color w:val="auto"/>
              </w:rPr>
              <w:t>2024</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144"/>
              <w:spacing w:after="0"/>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5"/>
                <w:szCs w:val="15"/>
                <w:color w:val="auto"/>
              </w:rPr>
            </w:pPr>
          </w:p>
        </w:tc>
        <w:tc>
          <w:tcPr>
            <w:tcW w:w="900" w:type="dxa"/>
            <w:vAlign w:val="bottom"/>
            <w:vMerge w:val="restart"/>
          </w:tcPr>
          <w:p>
            <w:pPr>
              <w:jc w:val="right"/>
              <w:ind w:right="244"/>
              <w:spacing w:after="0"/>
              <w:rPr>
                <w:sz w:val="20"/>
                <w:szCs w:val="20"/>
                <w:color w:val="auto"/>
              </w:rPr>
            </w:pPr>
            <w:r>
              <w:rPr>
                <w:rFonts w:ascii="Arial" w:cs="Arial" w:eastAsia="Arial" w:hAnsi="Arial"/>
                <w:sz w:val="15"/>
                <w:szCs w:val="15"/>
                <w:b w:val="1"/>
                <w:bCs w:val="1"/>
                <w:color w:val="auto"/>
              </w:rPr>
              <w:t>Income</w:t>
            </w: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jc w:val="center"/>
              <w:ind w:right="124"/>
              <w:spacing w:after="0"/>
              <w:rPr>
                <w:sz w:val="20"/>
                <w:szCs w:val="20"/>
                <w:color w:val="auto"/>
              </w:rPr>
            </w:pPr>
            <w:r>
              <w:rPr>
                <w:rFonts w:ascii="Arial" w:cs="Arial" w:eastAsia="Arial" w:hAnsi="Arial"/>
                <w:sz w:val="15"/>
                <w:szCs w:val="15"/>
                <w:color w:val="auto"/>
              </w:rPr>
              <w:t>Income</w:t>
            </w:r>
          </w:p>
        </w:tc>
        <w:tc>
          <w:tcPr>
            <w:tcW w:w="240" w:type="dxa"/>
            <w:vAlign w:val="bottom"/>
          </w:tcPr>
          <w:p>
            <w:pPr>
              <w:spacing w:after="0"/>
              <w:rPr>
                <w:sz w:val="15"/>
                <w:szCs w:val="15"/>
                <w:color w:val="auto"/>
              </w:rPr>
            </w:pPr>
          </w:p>
        </w:tc>
        <w:tc>
          <w:tcPr>
            <w:tcW w:w="900" w:type="dxa"/>
            <w:vAlign w:val="bottom"/>
            <w:vMerge w:val="restart"/>
          </w:tcPr>
          <w:p>
            <w:pPr>
              <w:jc w:val="right"/>
              <w:ind w:right="264"/>
              <w:spacing w:after="0"/>
              <w:rPr>
                <w:sz w:val="20"/>
                <w:szCs w:val="20"/>
                <w:color w:val="auto"/>
              </w:rPr>
            </w:pPr>
            <w:r>
              <w:rPr>
                <w:rFonts w:ascii="Arial" w:cs="Arial" w:eastAsia="Arial" w:hAnsi="Arial"/>
                <w:sz w:val="15"/>
                <w:szCs w:val="15"/>
                <w:color w:val="auto"/>
              </w:rPr>
              <w:t>Income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144"/>
              <w:spacing w:after="0" w:line="162" w:lineRule="exact"/>
              <w:rPr>
                <w:sz w:val="20"/>
                <w:szCs w:val="20"/>
                <w:color w:val="auto"/>
              </w:rPr>
            </w:pPr>
            <w:r>
              <w:rPr>
                <w:rFonts w:ascii="Arial" w:cs="Arial" w:eastAsia="Arial" w:hAnsi="Arial"/>
                <w:sz w:val="15"/>
                <w:szCs w:val="15"/>
                <w:b w:val="1"/>
                <w:bCs w:val="1"/>
                <w:color w:val="auto"/>
              </w:rPr>
              <w:t>before</w:t>
            </w:r>
          </w:p>
        </w:tc>
        <w:tc>
          <w:tcPr>
            <w:tcW w:w="2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20" w:type="dxa"/>
            <w:vAlign w:val="bottom"/>
            <w:gridSpan w:val="2"/>
            <w:vMerge w:val="restart"/>
          </w:tcPr>
          <w:p>
            <w:pPr>
              <w:jc w:val="right"/>
              <w:ind w:right="24"/>
              <w:spacing w:after="0"/>
              <w:rPr>
                <w:sz w:val="20"/>
                <w:szCs w:val="20"/>
                <w:color w:val="auto"/>
              </w:rPr>
            </w:pPr>
            <w:r>
              <w:rPr>
                <w:rFonts w:ascii="Arial" w:cs="Arial" w:eastAsia="Arial" w:hAnsi="Arial"/>
                <w:sz w:val="15"/>
                <w:szCs w:val="15"/>
                <w:b w:val="1"/>
                <w:bCs w:val="1"/>
                <w:color w:val="auto"/>
              </w:rPr>
              <w:t>Net Income</w:t>
            </w:r>
          </w:p>
        </w:tc>
        <w:tc>
          <w:tcPr>
            <w:tcW w:w="260" w:type="dxa"/>
            <w:vAlign w:val="bottom"/>
          </w:tcPr>
          <w:p>
            <w:pPr>
              <w:spacing w:after="0"/>
              <w:rPr>
                <w:sz w:val="14"/>
                <w:szCs w:val="14"/>
                <w:color w:val="auto"/>
              </w:rPr>
            </w:pPr>
          </w:p>
        </w:tc>
        <w:tc>
          <w:tcPr>
            <w:tcW w:w="800" w:type="dxa"/>
            <w:vAlign w:val="bottom"/>
          </w:tcPr>
          <w:p>
            <w:pPr>
              <w:jc w:val="center"/>
              <w:ind w:right="124"/>
              <w:spacing w:after="0" w:line="162" w:lineRule="exact"/>
              <w:rPr>
                <w:sz w:val="20"/>
                <w:szCs w:val="20"/>
                <w:color w:val="auto"/>
              </w:rPr>
            </w:pPr>
            <w:r>
              <w:rPr>
                <w:rFonts w:ascii="Arial" w:cs="Arial" w:eastAsia="Arial" w:hAnsi="Arial"/>
                <w:sz w:val="15"/>
                <w:szCs w:val="15"/>
                <w:color w:val="auto"/>
              </w:rPr>
              <w:t>before</w:t>
            </w:r>
          </w:p>
        </w:tc>
        <w:tc>
          <w:tcPr>
            <w:tcW w:w="2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ind w:right="44"/>
              <w:spacing w:after="0"/>
              <w:rPr>
                <w:sz w:val="20"/>
                <w:szCs w:val="20"/>
                <w:color w:val="auto"/>
              </w:rPr>
            </w:pPr>
            <w:r>
              <w:rPr>
                <w:rFonts w:ascii="Arial" w:cs="Arial" w:eastAsia="Arial" w:hAnsi="Arial"/>
                <w:sz w:val="15"/>
                <w:szCs w:val="15"/>
                <w:color w:val="auto"/>
                <w:w w:val="99"/>
              </w:rPr>
              <w:t>Net Income</w:t>
            </w:r>
          </w:p>
        </w:tc>
        <w:tc>
          <w:tcPr>
            <w:tcW w:w="0" w:type="dxa"/>
            <w:vAlign w:val="bottom"/>
          </w:tcPr>
          <w:p>
            <w:pPr>
              <w:spacing w:after="0"/>
              <w:rPr>
                <w:sz w:val="1"/>
                <w:szCs w:val="1"/>
                <w:color w:val="auto"/>
              </w:rPr>
            </w:pPr>
          </w:p>
        </w:tc>
      </w:tr>
      <w:tr>
        <w:trPr>
          <w:trHeight w:val="129"/>
        </w:trPr>
        <w:tc>
          <w:tcPr>
            <w:tcW w:w="4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income</w:t>
            </w:r>
          </w:p>
        </w:tc>
        <w:tc>
          <w:tcPr>
            <w:tcW w:w="220" w:type="dxa"/>
            <w:vAlign w:val="bottom"/>
          </w:tcPr>
          <w:p>
            <w:pPr>
              <w:spacing w:after="0"/>
              <w:rPr>
                <w:sz w:val="11"/>
                <w:szCs w:val="11"/>
                <w:color w:val="auto"/>
              </w:rPr>
            </w:pPr>
          </w:p>
        </w:tc>
        <w:tc>
          <w:tcPr>
            <w:tcW w:w="900" w:type="dxa"/>
            <w:vAlign w:val="bottom"/>
            <w:vMerge w:val="restart"/>
          </w:tcPr>
          <w:p>
            <w:pPr>
              <w:jc w:val="right"/>
              <w:ind w:right="304"/>
              <w:spacing w:after="0"/>
              <w:rPr>
                <w:sz w:val="20"/>
                <w:szCs w:val="20"/>
                <w:color w:val="auto"/>
              </w:rPr>
            </w:pPr>
            <w:r>
              <w:rPr>
                <w:rFonts w:ascii="Arial" w:cs="Arial" w:eastAsia="Arial" w:hAnsi="Arial"/>
                <w:sz w:val="15"/>
                <w:szCs w:val="15"/>
                <w:b w:val="1"/>
                <w:bCs w:val="1"/>
                <w:color w:val="auto"/>
              </w:rPr>
              <w:t>Taxes</w:t>
            </w:r>
          </w:p>
        </w:tc>
        <w:tc>
          <w:tcPr>
            <w:tcW w:w="10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vMerge w:val="restart"/>
          </w:tcPr>
          <w:p>
            <w:pPr>
              <w:jc w:val="center"/>
              <w:ind w:right="124"/>
              <w:spacing w:after="0"/>
              <w:rPr>
                <w:sz w:val="20"/>
                <w:szCs w:val="20"/>
                <w:color w:val="auto"/>
              </w:rPr>
            </w:pPr>
            <w:r>
              <w:rPr>
                <w:rFonts w:ascii="Arial" w:cs="Arial" w:eastAsia="Arial" w:hAnsi="Arial"/>
                <w:sz w:val="15"/>
                <w:szCs w:val="15"/>
                <w:color w:val="auto"/>
                <w:w w:val="99"/>
              </w:rPr>
              <w:t>income</w:t>
            </w:r>
          </w:p>
        </w:tc>
        <w:tc>
          <w:tcPr>
            <w:tcW w:w="240" w:type="dxa"/>
            <w:vAlign w:val="bottom"/>
          </w:tcPr>
          <w:p>
            <w:pPr>
              <w:spacing w:after="0"/>
              <w:rPr>
                <w:sz w:val="11"/>
                <w:szCs w:val="11"/>
                <w:color w:val="auto"/>
              </w:rPr>
            </w:pPr>
          </w:p>
        </w:tc>
        <w:tc>
          <w:tcPr>
            <w:tcW w:w="900" w:type="dxa"/>
            <w:vAlign w:val="bottom"/>
            <w:vMerge w:val="restart"/>
          </w:tcPr>
          <w:p>
            <w:pPr>
              <w:jc w:val="right"/>
              <w:ind w:right="304"/>
              <w:spacing w:after="0"/>
              <w:rPr>
                <w:sz w:val="20"/>
                <w:szCs w:val="20"/>
                <w:color w:val="auto"/>
              </w:rPr>
            </w:pPr>
            <w:r>
              <w:rPr>
                <w:rFonts w:ascii="Arial" w:cs="Arial" w:eastAsia="Arial" w:hAnsi="Arial"/>
                <w:sz w:val="15"/>
                <w:szCs w:val="15"/>
                <w:color w:val="auto"/>
              </w:rPr>
              <w:t>Taxes</w:t>
            </w:r>
          </w:p>
        </w:tc>
        <w:tc>
          <w:tcPr>
            <w:tcW w:w="1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4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8"/>
        </w:trPr>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(in thousands, except per share amounts)</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44"/>
              <w:spacing w:after="0"/>
              <w:rPr>
                <w:sz w:val="20"/>
                <w:szCs w:val="20"/>
                <w:color w:val="auto"/>
              </w:rPr>
            </w:pPr>
            <w:r>
              <w:rPr>
                <w:rFonts w:ascii="Arial" w:cs="Arial" w:eastAsia="Arial" w:hAnsi="Arial"/>
                <w:sz w:val="15"/>
                <w:szCs w:val="15"/>
                <w:b w:val="1"/>
                <w:bCs w:val="1"/>
                <w:color w:val="auto"/>
                <w:w w:val="98"/>
              </w:rPr>
              <w:t>taxes</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24"/>
              <w:spacing w:after="0"/>
              <w:rPr>
                <w:sz w:val="20"/>
                <w:szCs w:val="20"/>
                <w:color w:val="auto"/>
              </w:rPr>
            </w:pPr>
            <w:r>
              <w:rPr>
                <w:rFonts w:ascii="Arial" w:cs="Arial" w:eastAsia="Arial" w:hAnsi="Arial"/>
                <w:sz w:val="15"/>
                <w:szCs w:val="15"/>
                <w:color w:val="auto"/>
              </w:rPr>
              <w:t>taxes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Amounts attributable to Graham Holdings Company Common</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172,385</w:t>
            </w:r>
          </w:p>
        </w:tc>
        <w:tc>
          <w:tcPr>
            <w:tcW w:w="2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61,500</w:t>
            </w:r>
          </w:p>
        </w:tc>
        <w:tc>
          <w:tcPr>
            <w:tcW w:w="240" w:type="dxa"/>
            <w:vAlign w:val="bottom"/>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110,885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757,592</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206,000</w:t>
            </w: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551,592</w:t>
            </w:r>
          </w:p>
        </w:tc>
        <w:tc>
          <w:tcPr>
            <w:tcW w:w="0" w:type="dxa"/>
            <w:vAlign w:val="bottom"/>
          </w:tcPr>
          <w:p>
            <w:pPr>
              <w:spacing w:after="0"/>
              <w:rPr>
                <w:sz w:val="1"/>
                <w:szCs w:val="1"/>
                <w:color w:val="auto"/>
              </w:rPr>
            </w:pPr>
          </w:p>
        </w:tc>
      </w:tr>
      <w:tr>
        <w:trPr>
          <w:trHeight w:val="214"/>
        </w:trPr>
        <w:tc>
          <w:tcPr>
            <w:tcW w:w="488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(2,162)</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(2,801)</w:t>
            </w:r>
          </w:p>
        </w:tc>
        <w:tc>
          <w:tcPr>
            <w:tcW w:w="0" w:type="dxa"/>
            <w:vAlign w:val="bottom"/>
          </w:tcPr>
          <w:p>
            <w:pPr>
              <w:spacing w:after="0"/>
              <w:rPr>
                <w:sz w:val="1"/>
                <w:szCs w:val="1"/>
                <w:color w:val="auto"/>
              </w:rPr>
            </w:pPr>
          </w:p>
        </w:tc>
      </w:tr>
      <w:tr>
        <w:trPr>
          <w:trHeight w:val="212"/>
        </w:trPr>
        <w:tc>
          <w:tcPr>
            <w:tcW w:w="4880" w:type="dxa"/>
            <w:vAlign w:val="bottom"/>
          </w:tcPr>
          <w:p>
            <w:pPr>
              <w:ind w:left="20"/>
              <w:spacing w:after="0"/>
              <w:rPr>
                <w:sz w:val="20"/>
                <w:szCs w:val="20"/>
                <w:color w:val="auto"/>
              </w:rPr>
            </w:pPr>
            <w:r>
              <w:rPr>
                <w:rFonts w:ascii="Arial" w:cs="Arial" w:eastAsia="Arial" w:hAnsi="Arial"/>
                <w:sz w:val="15"/>
                <w:szCs w:val="15"/>
                <w:color w:val="auto"/>
              </w:rPr>
              <w:t>Attributable to Graham Holdings Company 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108,723</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548,791</w:t>
            </w:r>
          </w:p>
        </w:tc>
        <w:tc>
          <w:tcPr>
            <w:tcW w:w="0" w:type="dxa"/>
            <w:vAlign w:val="bottom"/>
          </w:tcPr>
          <w:p>
            <w:pPr>
              <w:spacing w:after="0"/>
              <w:rPr>
                <w:sz w:val="1"/>
                <w:szCs w:val="1"/>
                <w:color w:val="auto"/>
              </w:rPr>
            </w:pPr>
          </w:p>
        </w:tc>
      </w:tr>
      <w:tr>
        <w:trPr>
          <w:trHeight w:val="208"/>
        </w:trPr>
        <w:tc>
          <w:tcPr>
            <w:tcW w:w="48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88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9"/>
                <w:szCs w:val="19"/>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10,100</w:t>
            </w:r>
          </w:p>
        </w:tc>
        <w:tc>
          <w:tcPr>
            <w:tcW w:w="220" w:type="dxa"/>
            <w:vAlign w:val="bottom"/>
          </w:tcPr>
          <w:p>
            <w:pPr>
              <w:spacing w:after="0"/>
              <w:rPr>
                <w:sz w:val="19"/>
                <w:szCs w:val="19"/>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2,307</w:t>
            </w:r>
          </w:p>
        </w:tc>
        <w:tc>
          <w:tcPr>
            <w:tcW w:w="240" w:type="dxa"/>
            <w:vAlign w:val="bottom"/>
          </w:tcPr>
          <w:p>
            <w:pPr>
              <w:spacing w:after="0"/>
              <w:rPr>
                <w:sz w:val="19"/>
                <w:szCs w:val="19"/>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7,793</w:t>
            </w:r>
          </w:p>
        </w:tc>
        <w:tc>
          <w:tcPr>
            <w:tcW w:w="260" w:type="dxa"/>
            <w:vAlign w:val="bottom"/>
          </w:tcPr>
          <w:p>
            <w:pPr>
              <w:spacing w:after="0"/>
              <w:rPr>
                <w:sz w:val="19"/>
                <w:szCs w:val="19"/>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23,536</w:t>
            </w:r>
          </w:p>
        </w:tc>
        <w:tc>
          <w:tcPr>
            <w:tcW w:w="240" w:type="dxa"/>
            <w:vAlign w:val="bottom"/>
          </w:tcPr>
          <w:p>
            <w:pPr>
              <w:spacing w:after="0"/>
              <w:rPr>
                <w:sz w:val="19"/>
                <w:szCs w:val="19"/>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5,311</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18,225</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Settlement gain related to retiree annuity pension purchase</w:t>
            </w:r>
          </w:p>
        </w:tc>
        <w:tc>
          <w:tcPr>
            <w:tcW w:w="16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(653,427)</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(167,285)</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(486,142)</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8"/>
                <w:szCs w:val="18"/>
                <w:color w:val="auto"/>
              </w:rPr>
            </w:pPr>
          </w:p>
        </w:tc>
        <w:tc>
          <w:tcPr>
            <w:tcW w:w="90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2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505</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129</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376</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40" w:type="dxa"/>
            <w:vAlign w:val="bottom"/>
          </w:tcPr>
          <w:p>
            <w:pPr>
              <w:jc w:val="right"/>
              <w:ind w:right="4"/>
              <w:spacing w:after="0"/>
              <w:rPr>
                <w:sz w:val="20"/>
                <w:szCs w:val="20"/>
                <w:color w:val="auto"/>
              </w:rPr>
            </w:pPr>
            <w:r>
              <w:rPr>
                <w:rFonts w:ascii="Arial" w:cs="Arial" w:eastAsia="Arial" w:hAnsi="Arial"/>
                <w:sz w:val="15"/>
                <w:szCs w:val="15"/>
                <w:b w:val="1"/>
                <w:bCs w:val="1"/>
                <w:color w:val="auto"/>
              </w:rPr>
              <w:t>(83,144)</w:t>
            </w:r>
          </w:p>
        </w:tc>
        <w:tc>
          <w:tcPr>
            <w:tcW w:w="220" w:type="dxa"/>
            <w:vAlign w:val="bottom"/>
          </w:tcPr>
          <w:p>
            <w:pPr>
              <w:spacing w:after="0"/>
              <w:rPr>
                <w:sz w:val="18"/>
                <w:szCs w:val="18"/>
                <w:color w:val="auto"/>
              </w:rPr>
            </w:pPr>
          </w:p>
        </w:tc>
        <w:tc>
          <w:tcPr>
            <w:tcW w:w="900" w:type="dxa"/>
            <w:vAlign w:val="bottom"/>
          </w:tcPr>
          <w:p>
            <w:pPr>
              <w:jc w:val="right"/>
              <w:ind w:right="64"/>
              <w:spacing w:after="0"/>
              <w:rPr>
                <w:sz w:val="20"/>
                <w:szCs w:val="20"/>
                <w:color w:val="auto"/>
              </w:rPr>
            </w:pPr>
            <w:r>
              <w:rPr>
                <w:rFonts w:ascii="Arial" w:cs="Arial" w:eastAsia="Arial" w:hAnsi="Arial"/>
                <w:sz w:val="15"/>
                <w:szCs w:val="15"/>
                <w:b w:val="1"/>
                <w:bCs w:val="1"/>
                <w:color w:val="auto"/>
              </w:rPr>
              <w:t>(21,127)</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(62,017)</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(27,018)</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(6,927)</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(20,091)</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Net gains of affiliates whose operations are not managed by the</w:t>
            </w:r>
          </w:p>
        </w:tc>
        <w:tc>
          <w:tcPr>
            <w:tcW w:w="160" w:type="dxa"/>
            <w:vAlign w:val="bottom"/>
          </w:tcPr>
          <w:p>
            <w:pPr>
              <w:spacing w:after="0"/>
              <w:rPr>
                <w:sz w:val="15"/>
                <w:szCs w:val="15"/>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(1,394)</w:t>
            </w:r>
          </w:p>
        </w:tc>
        <w:tc>
          <w:tcPr>
            <w:tcW w:w="220" w:type="dxa"/>
            <w:vAlign w:val="bottom"/>
          </w:tcPr>
          <w:p>
            <w:pPr>
              <w:spacing w:after="0"/>
              <w:rPr>
                <w:sz w:val="15"/>
                <w:szCs w:val="15"/>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(374)</w:t>
            </w: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(1,020)</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(1,380)</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(354)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(1,026)</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Non-operating (gain) loss, from sales, valuation adjustments and</w:t>
            </w:r>
          </w:p>
        </w:tc>
        <w:tc>
          <w:tcPr>
            <w:tcW w:w="160" w:type="dxa"/>
            <w:vAlign w:val="bottom"/>
          </w:tcPr>
          <w:p>
            <w:pPr>
              <w:spacing w:after="0"/>
              <w:rPr>
                <w:sz w:val="15"/>
                <w:szCs w:val="15"/>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(4,462)</w:t>
            </w:r>
          </w:p>
        </w:tc>
        <w:tc>
          <w:tcPr>
            <w:tcW w:w="220" w:type="dxa"/>
            <w:vAlign w:val="bottom"/>
          </w:tcPr>
          <w:p>
            <w:pPr>
              <w:spacing w:after="0"/>
              <w:rPr>
                <w:sz w:val="15"/>
                <w:szCs w:val="15"/>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(1,118)</w:t>
            </w: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(3,344)</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520"/>
              <w:spacing w:after="0"/>
              <w:rPr>
                <w:sz w:val="20"/>
                <w:szCs w:val="20"/>
                <w:color w:val="auto"/>
              </w:rPr>
            </w:pPr>
            <w:r>
              <w:rPr>
                <w:rFonts w:ascii="Arial" w:cs="Arial" w:eastAsia="Arial" w:hAnsi="Arial"/>
                <w:sz w:val="15"/>
                <w:szCs w:val="15"/>
                <w:color w:val="auto"/>
              </w:rPr>
              <w:t>impairments of equity and cost method investments</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1,718</w:t>
            </w:r>
          </w:p>
        </w:tc>
        <w:tc>
          <w:tcPr>
            <w:tcW w:w="240" w:type="dxa"/>
            <w:vAlign w:val="bottom"/>
          </w:tcPr>
          <w:p>
            <w:pPr>
              <w:spacing w:after="0"/>
              <w:rPr>
                <w:sz w:val="18"/>
                <w:szCs w:val="18"/>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441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1,277</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(Credit to) interest expense related to the fair value adjustment of</w:t>
            </w:r>
          </w:p>
        </w:tc>
        <w:tc>
          <w:tcPr>
            <w:tcW w:w="160" w:type="dxa"/>
            <w:vAlign w:val="bottom"/>
          </w:tcPr>
          <w:p>
            <w:pPr>
              <w:spacing w:after="0"/>
              <w:rPr>
                <w:sz w:val="15"/>
                <w:szCs w:val="15"/>
                <w:color w:val="auto"/>
              </w:rPr>
            </w:pPr>
          </w:p>
        </w:tc>
        <w:tc>
          <w:tcPr>
            <w:tcW w:w="8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(13,786)</w:t>
            </w:r>
          </w:p>
        </w:tc>
        <w:tc>
          <w:tcPr>
            <w:tcW w:w="220" w:type="dxa"/>
            <w:vAlign w:val="bottom"/>
          </w:tcPr>
          <w:p>
            <w:pPr>
              <w:spacing w:after="0"/>
              <w:rPr>
                <w:sz w:val="15"/>
                <w:szCs w:val="15"/>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(4,156)</w:t>
            </w: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(9,630)</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520"/>
              <w:spacing w:after="0"/>
              <w:rPr>
                <w:sz w:val="20"/>
                <w:szCs w:val="20"/>
                <w:color w:val="auto"/>
              </w:rPr>
            </w:pPr>
            <w:r>
              <w:rPr>
                <w:rFonts w:ascii="Arial" w:cs="Arial" w:eastAsia="Arial" w:hAnsi="Arial"/>
                <w:sz w:val="15"/>
                <w:szCs w:val="15"/>
                <w:color w:val="auto"/>
              </w:rPr>
              <w:t>the mandatorily redeemable noncontrolling interest</w:t>
            </w: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34,150</w:t>
            </w:r>
          </w:p>
        </w:tc>
        <w:tc>
          <w:tcPr>
            <w:tcW w:w="24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color w:val="auto"/>
              </w:rPr>
              <w:t>(3,171)</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37,321</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Tax expense related to the Company’s pension and other</w:t>
            </w:r>
          </w:p>
        </w:tc>
        <w:tc>
          <w:tcPr>
            <w:tcW w:w="160" w:type="dxa"/>
            <w:vAlign w:val="bottom"/>
          </w:tcPr>
          <w:p>
            <w:pPr>
              <w:spacing w:after="0"/>
              <w:rPr>
                <w:sz w:val="15"/>
                <w:szCs w:val="15"/>
                <w:color w:val="auto"/>
              </w:rPr>
            </w:pPr>
          </w:p>
        </w:tc>
        <w:tc>
          <w:tcPr>
            <w:tcW w:w="84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5"/>
                <w:szCs w:val="15"/>
                <w:color w:val="auto"/>
              </w:rPr>
            </w:pPr>
          </w:p>
        </w:tc>
        <w:tc>
          <w:tcPr>
            <w:tcW w:w="900" w:type="dxa"/>
            <w:vAlign w:val="bottom"/>
            <w:vMerge w:val="restart"/>
          </w:tcPr>
          <w:p>
            <w:pPr>
              <w:jc w:val="right"/>
              <w:ind w:right="64"/>
              <w:spacing w:after="0"/>
              <w:rPr>
                <w:sz w:val="20"/>
                <w:szCs w:val="20"/>
                <w:color w:val="auto"/>
              </w:rPr>
            </w:pPr>
            <w:r>
              <w:rPr>
                <w:rFonts w:ascii="Arial" w:cs="Arial" w:eastAsia="Arial" w:hAnsi="Arial"/>
                <w:sz w:val="15"/>
                <w:szCs w:val="15"/>
                <w:b w:val="1"/>
                <w:bCs w:val="1"/>
                <w:color w:val="auto"/>
              </w:rPr>
              <w:t>(9,928)</w:t>
            </w:r>
          </w:p>
        </w:tc>
        <w:tc>
          <w:tcPr>
            <w:tcW w:w="240" w:type="dxa"/>
            <w:vAlign w:val="bottom"/>
          </w:tcPr>
          <w:p>
            <w:pPr>
              <w:spacing w:after="0"/>
              <w:rPr>
                <w:sz w:val="15"/>
                <w:szCs w:val="15"/>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9,928</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880" w:type="dxa"/>
            <w:vAlign w:val="bottom"/>
          </w:tcPr>
          <w:p>
            <w:pPr>
              <w:ind w:left="52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90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488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50,433</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98,731</w:t>
            </w:r>
          </w:p>
        </w:tc>
        <w:tc>
          <w:tcPr>
            <w:tcW w:w="0" w:type="dxa"/>
            <w:vAlign w:val="bottom"/>
          </w:tcPr>
          <w:p>
            <w:pPr>
              <w:spacing w:after="0"/>
              <w:rPr>
                <w:sz w:val="1"/>
                <w:szCs w:val="1"/>
                <w:color w:val="auto"/>
              </w:rPr>
            </w:pPr>
          </w:p>
        </w:tc>
      </w:tr>
      <w:tr>
        <w:trPr>
          <w:trHeight w:val="271"/>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88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80" w:type="dxa"/>
            <w:vAlign w:val="bottom"/>
          </w:tcPr>
          <w:p>
            <w:pPr>
              <w:ind w:left="20"/>
              <w:spacing w:after="0"/>
              <w:rPr>
                <w:sz w:val="20"/>
                <w:szCs w:val="20"/>
                <w:color w:val="auto"/>
              </w:rPr>
            </w:pPr>
            <w:r>
              <w:rPr>
                <w:rFonts w:ascii="Arial" w:cs="Arial" w:eastAsia="Arial" w:hAnsi="Arial"/>
                <w:sz w:val="15"/>
                <w:szCs w:val="15"/>
                <w:color w:val="auto"/>
              </w:rPr>
              <w:t>Diluted income per common share, as reported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24.69</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125.55</w:t>
            </w:r>
          </w:p>
        </w:tc>
        <w:tc>
          <w:tcPr>
            <w:tcW w:w="0" w:type="dxa"/>
            <w:vAlign w:val="bottom"/>
          </w:tcPr>
          <w:p>
            <w:pPr>
              <w:spacing w:after="0"/>
              <w:rPr>
                <w:sz w:val="1"/>
                <w:szCs w:val="1"/>
                <w:color w:val="auto"/>
              </w:rPr>
            </w:pPr>
          </w:p>
        </w:tc>
      </w:tr>
      <w:tr>
        <w:trPr>
          <w:trHeight w:val="203"/>
        </w:trPr>
        <w:tc>
          <w:tcPr>
            <w:tcW w:w="488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88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1.77</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4.17</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Settlement gain related to retiree annuity pension purchase</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(111.23)</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Charges related to non-operating Separation Incentive Programs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0.09</w:t>
            </w:r>
          </w:p>
        </w:tc>
        <w:tc>
          <w:tcPr>
            <w:tcW w:w="0" w:type="dxa"/>
            <w:vAlign w:val="bottom"/>
          </w:tcPr>
          <w:p>
            <w:pPr>
              <w:spacing w:after="0"/>
              <w:rPr>
                <w:sz w:val="1"/>
                <w:szCs w:val="1"/>
                <w:color w:val="auto"/>
              </w:rPr>
            </w:pPr>
          </w:p>
        </w:tc>
      </w:tr>
      <w:tr>
        <w:trPr>
          <w:trHeight w:val="216"/>
        </w:trPr>
        <w:tc>
          <w:tcPr>
            <w:tcW w:w="488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5"/>
                <w:szCs w:val="15"/>
                <w:b w:val="1"/>
                <w:bCs w:val="1"/>
                <w:color w:val="auto"/>
              </w:rPr>
              <w:t>(14.08)</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(4.60)</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Net gains of affiliates whose operations are not managed by the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(0.23)</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520"/>
              <w:spacing w:after="0"/>
              <w:rPr>
                <w:sz w:val="20"/>
                <w:szCs w:val="20"/>
                <w:color w:val="auto"/>
              </w:rPr>
            </w:pPr>
            <w:r>
              <w:rPr>
                <w:rFonts w:ascii="Arial" w:cs="Arial" w:eastAsia="Arial" w:hAnsi="Arial"/>
                <w:sz w:val="15"/>
                <w:szCs w:val="15"/>
                <w:color w:val="auto"/>
              </w:rPr>
              <w:t>Company</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(0.23)</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Non-operating (gain) loss, from sales, valuation adjustments and</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(0.76)</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520"/>
              <w:spacing w:after="0"/>
              <w:rPr>
                <w:sz w:val="20"/>
                <w:szCs w:val="20"/>
                <w:color w:val="auto"/>
              </w:rPr>
            </w:pPr>
            <w:r>
              <w:rPr>
                <w:rFonts w:ascii="Arial" w:cs="Arial" w:eastAsia="Arial" w:hAnsi="Arial"/>
                <w:sz w:val="15"/>
                <w:szCs w:val="15"/>
                <w:color w:val="auto"/>
              </w:rPr>
              <w:t>impairments of equity and cost method investments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0.29</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(Credit to) interest expense related to the fair value adjustment of</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(2.19)</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880" w:type="dxa"/>
            <w:vAlign w:val="bottom"/>
          </w:tcPr>
          <w:p>
            <w:pPr>
              <w:ind w:left="520"/>
              <w:spacing w:after="0"/>
              <w:rPr>
                <w:sz w:val="20"/>
                <w:szCs w:val="20"/>
                <w:color w:val="auto"/>
              </w:rPr>
            </w:pPr>
            <w:r>
              <w:rPr>
                <w:rFonts w:ascii="Arial" w:cs="Arial" w:eastAsia="Arial" w:hAnsi="Arial"/>
                <w:sz w:val="15"/>
                <w:szCs w:val="15"/>
                <w:color w:val="auto"/>
              </w:rPr>
              <w:t>the mandatorily redeemable noncontrolling interest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8.54</w:t>
            </w:r>
          </w:p>
        </w:tc>
        <w:tc>
          <w:tcPr>
            <w:tcW w:w="0" w:type="dxa"/>
            <w:vAlign w:val="bottom"/>
          </w:tcPr>
          <w:p>
            <w:pPr>
              <w:spacing w:after="0"/>
              <w:rPr>
                <w:sz w:val="1"/>
                <w:szCs w:val="1"/>
                <w:color w:val="auto"/>
              </w:rPr>
            </w:pPr>
          </w:p>
        </w:tc>
      </w:tr>
      <w:tr>
        <w:trPr>
          <w:trHeight w:val="183"/>
        </w:trPr>
        <w:tc>
          <w:tcPr>
            <w:tcW w:w="4880" w:type="dxa"/>
            <w:vAlign w:val="bottom"/>
          </w:tcPr>
          <w:p>
            <w:pPr>
              <w:ind w:left="400"/>
              <w:spacing w:after="0"/>
              <w:rPr>
                <w:sz w:val="20"/>
                <w:szCs w:val="20"/>
                <w:color w:val="auto"/>
              </w:rPr>
            </w:pPr>
            <w:r>
              <w:rPr>
                <w:rFonts w:ascii="Arial" w:cs="Arial" w:eastAsia="Arial" w:hAnsi="Arial"/>
                <w:sz w:val="15"/>
                <w:szCs w:val="15"/>
                <w:color w:val="auto"/>
              </w:rPr>
              <w:t>Tax expense related to the Company’s pension and other</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2.25</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880" w:type="dxa"/>
            <w:vAlign w:val="bottom"/>
          </w:tcPr>
          <w:p>
            <w:pPr>
              <w:ind w:left="520"/>
              <w:spacing w:after="0"/>
              <w:rPr>
                <w:sz w:val="20"/>
                <w:szCs w:val="20"/>
                <w:color w:val="auto"/>
              </w:rPr>
            </w:pPr>
            <w:r>
              <w:rPr>
                <w:rFonts w:ascii="Arial" w:cs="Arial" w:eastAsia="Arial" w:hAnsi="Arial"/>
                <w:sz w:val="15"/>
                <w:szCs w:val="15"/>
                <w:color w:val="auto"/>
              </w:rPr>
              <w:t>postretirement plans</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488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11.45</w:t>
            </w: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22.58</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-more-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039" w:right="339" w:bottom="1440" w:gutter="0" w:footer="0" w:header="0"/>
        </w:sectPr>
      </w:pPr>
    </w:p>
    <w:bookmarkStart w:id="16" w:name="page17"/>
    <w:bookmarkEnd w:id="16"/>
    <w:p>
      <w:pPr>
        <w:ind w:left="6720"/>
        <w:spacing w:after="0"/>
        <w:rPr>
          <w:sz w:val="20"/>
          <w:szCs w:val="20"/>
          <w:color w:val="auto"/>
        </w:rPr>
      </w:pPr>
      <w:r>
        <w:rPr>
          <w:rFonts w:ascii="Arial" w:cs="Arial" w:eastAsia="Arial" w:hAnsi="Arial"/>
          <w:sz w:val="16"/>
          <w:szCs w:val="16"/>
          <w:b w:val="1"/>
          <w:bCs w:val="1"/>
          <w:color w:val="auto"/>
        </w:rPr>
        <w:t>Twelve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29210</wp:posOffset>
            </wp:positionV>
            <wp:extent cx="39947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994785"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2025</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2024</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center"/>
              <w:ind w:right="144"/>
              <w:spacing w:after="0" w:line="163" w:lineRule="exact"/>
              <w:rPr>
                <w:sz w:val="20"/>
                <w:szCs w:val="20"/>
                <w:color w:val="auto"/>
              </w:rPr>
            </w:pPr>
            <w:r>
              <w:rPr>
                <w:rFonts w:ascii="Arial" w:cs="Arial" w:eastAsia="Arial" w:hAnsi="Arial"/>
                <w:sz w:val="15"/>
                <w:szCs w:val="15"/>
                <w:b w:val="1"/>
                <w:bCs w:val="1"/>
                <w:color w:val="auto"/>
                <w:w w:val="98"/>
              </w:rPr>
              <w:t>Income</w:t>
            </w:r>
          </w:p>
        </w:tc>
        <w:tc>
          <w:tcPr>
            <w:tcW w:w="200" w:type="dxa"/>
            <w:vAlign w:val="bottom"/>
          </w:tcPr>
          <w:p>
            <w:pPr>
              <w:spacing w:after="0"/>
              <w:rPr>
                <w:sz w:val="14"/>
                <w:szCs w:val="14"/>
                <w:color w:val="auto"/>
              </w:rPr>
            </w:pPr>
          </w:p>
        </w:tc>
        <w:tc>
          <w:tcPr>
            <w:tcW w:w="880" w:type="dxa"/>
            <w:vAlign w:val="bottom"/>
            <w:vMerge w:val="restart"/>
          </w:tcPr>
          <w:p>
            <w:pPr>
              <w:jc w:val="right"/>
              <w:ind w:right="224"/>
              <w:spacing w:after="0"/>
              <w:rPr>
                <w:sz w:val="20"/>
                <w:szCs w:val="20"/>
                <w:color w:val="auto"/>
              </w:rPr>
            </w:pPr>
            <w:r>
              <w:rPr>
                <w:rFonts w:ascii="Arial" w:cs="Arial" w:eastAsia="Arial" w:hAnsi="Arial"/>
                <w:sz w:val="15"/>
                <w:szCs w:val="15"/>
                <w:b w:val="1"/>
                <w:bCs w:val="1"/>
                <w:color w:val="auto"/>
              </w:rPr>
              <w:t>Income</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5"/>
                <w:szCs w:val="15"/>
                <w:color w:val="auto"/>
              </w:rPr>
              <w:t>Income before</w:t>
            </w:r>
          </w:p>
        </w:tc>
        <w:tc>
          <w:tcPr>
            <w:tcW w:w="220" w:type="dxa"/>
            <w:vAlign w:val="bottom"/>
          </w:tcPr>
          <w:p>
            <w:pPr>
              <w:spacing w:after="0"/>
              <w:rPr>
                <w:sz w:val="14"/>
                <w:szCs w:val="14"/>
                <w:color w:val="auto"/>
              </w:rPr>
            </w:pPr>
          </w:p>
        </w:tc>
        <w:tc>
          <w:tcPr>
            <w:tcW w:w="840" w:type="dxa"/>
            <w:vAlign w:val="bottom"/>
            <w:vMerge w:val="restart"/>
          </w:tcPr>
          <w:p>
            <w:pPr>
              <w:jc w:val="right"/>
              <w:ind w:right="224"/>
              <w:spacing w:after="0"/>
              <w:rPr>
                <w:sz w:val="20"/>
                <w:szCs w:val="20"/>
                <w:color w:val="auto"/>
              </w:rPr>
            </w:pPr>
            <w:r>
              <w:rPr>
                <w:rFonts w:ascii="Arial" w:cs="Arial" w:eastAsia="Arial" w:hAnsi="Arial"/>
                <w:sz w:val="15"/>
                <w:szCs w:val="15"/>
                <w:color w:val="auto"/>
              </w:rPr>
              <w:t>Income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4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vMerge w:val="restart"/>
          </w:tcPr>
          <w:p>
            <w:pPr>
              <w:jc w:val="center"/>
              <w:ind w:right="144"/>
              <w:spacing w:after="0"/>
              <w:rPr>
                <w:sz w:val="20"/>
                <w:szCs w:val="20"/>
                <w:color w:val="auto"/>
              </w:rPr>
            </w:pPr>
            <w:r>
              <w:rPr>
                <w:rFonts w:ascii="Arial" w:cs="Arial" w:eastAsia="Arial" w:hAnsi="Arial"/>
                <w:sz w:val="15"/>
                <w:szCs w:val="15"/>
                <w:b w:val="1"/>
                <w:bCs w:val="1"/>
                <w:color w:val="auto"/>
              </w:rPr>
              <w:t>before</w:t>
            </w:r>
          </w:p>
        </w:tc>
        <w:tc>
          <w:tcPr>
            <w:tcW w:w="2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Net Income</w:t>
            </w:r>
          </w:p>
        </w:tc>
        <w:tc>
          <w:tcPr>
            <w:tcW w:w="11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940" w:type="dxa"/>
            <w:vAlign w:val="bottom"/>
            <w:gridSpan w:val="2"/>
            <w:vMerge w:val="restart"/>
          </w:tcPr>
          <w:p>
            <w:pPr>
              <w:jc w:val="right"/>
              <w:ind w:right="4"/>
              <w:spacing w:after="0"/>
              <w:rPr>
                <w:sz w:val="20"/>
                <w:szCs w:val="20"/>
                <w:color w:val="auto"/>
              </w:rPr>
            </w:pPr>
            <w:r>
              <w:rPr>
                <w:rFonts w:ascii="Arial" w:cs="Arial" w:eastAsia="Arial" w:hAnsi="Arial"/>
                <w:sz w:val="15"/>
                <w:szCs w:val="15"/>
                <w:color w:val="auto"/>
              </w:rPr>
              <w:t>Net Income</w:t>
            </w:r>
          </w:p>
        </w:tc>
        <w:tc>
          <w:tcPr>
            <w:tcW w:w="0" w:type="dxa"/>
            <w:vAlign w:val="bottom"/>
          </w:tcPr>
          <w:p>
            <w:pPr>
              <w:spacing w:after="0"/>
              <w:rPr>
                <w:sz w:val="1"/>
                <w:szCs w:val="1"/>
                <w:color w:val="auto"/>
              </w:rPr>
            </w:pPr>
          </w:p>
        </w:tc>
      </w:tr>
      <w:tr>
        <w:trPr>
          <w:trHeight w:val="95"/>
        </w:trPr>
        <w:tc>
          <w:tcPr>
            <w:tcW w:w="4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Taxes</w:t>
            </w:r>
          </w:p>
        </w:tc>
        <w:tc>
          <w:tcPr>
            <w:tcW w:w="960" w:type="dxa"/>
            <w:vAlign w:val="bottom"/>
            <w:gridSpan w:val="2"/>
            <w:vMerge w:val="continue"/>
          </w:tcPr>
          <w:p>
            <w:pPr>
              <w:spacing w:after="0"/>
              <w:rPr>
                <w:sz w:val="8"/>
                <w:szCs w:val="8"/>
                <w:color w:val="auto"/>
              </w:rPr>
            </w:pPr>
          </w:p>
        </w:tc>
        <w:tc>
          <w:tcPr>
            <w:tcW w:w="1180" w:type="dxa"/>
            <w:vAlign w:val="bottom"/>
            <w:gridSpan w:val="2"/>
            <w:vMerge w:val="restart"/>
          </w:tcPr>
          <w:p>
            <w:pPr>
              <w:jc w:val="right"/>
              <w:ind w:right="44"/>
              <w:spacing w:after="0"/>
              <w:rPr>
                <w:sz w:val="20"/>
                <w:szCs w:val="20"/>
                <w:color w:val="auto"/>
              </w:rPr>
            </w:pPr>
            <w:r>
              <w:rPr>
                <w:rFonts w:ascii="Arial" w:cs="Arial" w:eastAsia="Arial" w:hAnsi="Arial"/>
                <w:sz w:val="15"/>
                <w:szCs w:val="15"/>
                <w:color w:val="auto"/>
              </w:rPr>
              <w:t>income taxes</w:t>
            </w:r>
          </w:p>
        </w:tc>
        <w:tc>
          <w:tcPr>
            <w:tcW w:w="220" w:type="dxa"/>
            <w:vAlign w:val="bottom"/>
          </w:tcPr>
          <w:p>
            <w:pPr>
              <w:spacing w:after="0"/>
              <w:rPr>
                <w:sz w:val="8"/>
                <w:szCs w:val="8"/>
                <w:color w:val="auto"/>
              </w:rPr>
            </w:pPr>
          </w:p>
        </w:tc>
        <w:tc>
          <w:tcPr>
            <w:tcW w:w="840" w:type="dxa"/>
            <w:vAlign w:val="bottom"/>
            <w:vMerge w:val="restart"/>
          </w:tcPr>
          <w:p>
            <w:pPr>
              <w:jc w:val="right"/>
              <w:ind w:right="264"/>
              <w:spacing w:after="0"/>
              <w:rPr>
                <w:sz w:val="20"/>
                <w:szCs w:val="20"/>
                <w:color w:val="auto"/>
              </w:rPr>
            </w:pPr>
            <w:r>
              <w:rPr>
                <w:rFonts w:ascii="Arial" w:cs="Arial" w:eastAsia="Arial" w:hAnsi="Arial"/>
                <w:sz w:val="15"/>
                <w:szCs w:val="15"/>
                <w:color w:val="auto"/>
              </w:rPr>
              <w:t>Taxes</w:t>
            </w: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4940" w:type="dxa"/>
            <w:vAlign w:val="bottom"/>
            <w:vMerge w:val="restart"/>
          </w:tcPr>
          <w:p>
            <w:pPr>
              <w:ind w:left="20"/>
              <w:spacing w:after="0"/>
              <w:rPr>
                <w:sz w:val="20"/>
                <w:szCs w:val="20"/>
                <w:color w:val="auto"/>
              </w:rPr>
            </w:pPr>
            <w:r>
              <w:rPr>
                <w:rFonts w:ascii="Arial" w:cs="Arial" w:eastAsia="Arial" w:hAnsi="Arial"/>
                <w:sz w:val="15"/>
                <w:szCs w:val="15"/>
                <w:color w:val="auto"/>
              </w:rPr>
              <w:t>(in thousands, except per share amounts)</w:t>
            </w:r>
          </w:p>
        </w:tc>
        <w:tc>
          <w:tcPr>
            <w:tcW w:w="1080" w:type="dxa"/>
            <w:vAlign w:val="bottom"/>
            <w:gridSpan w:val="2"/>
            <w:vMerge w:val="restart"/>
          </w:tcPr>
          <w:p>
            <w:pPr>
              <w:jc w:val="center"/>
              <w:spacing w:after="0"/>
              <w:rPr>
                <w:sz w:val="20"/>
                <w:szCs w:val="20"/>
                <w:color w:val="auto"/>
              </w:rPr>
            </w:pPr>
            <w:r>
              <w:rPr>
                <w:rFonts w:ascii="Arial" w:cs="Arial" w:eastAsia="Arial" w:hAnsi="Arial"/>
                <w:sz w:val="15"/>
                <w:szCs w:val="15"/>
                <w:b w:val="1"/>
                <w:bCs w:val="1"/>
                <w:color w:val="auto"/>
              </w:rPr>
              <w:t>income taxes</w:t>
            </w: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494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gridSpan w:val="2"/>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4940" w:type="dxa"/>
            <w:vAlign w:val="bottom"/>
          </w:tcPr>
          <w:p>
            <w:pPr>
              <w:ind w:left="20"/>
              <w:spacing w:after="0" w:line="163" w:lineRule="exact"/>
              <w:rPr>
                <w:sz w:val="20"/>
                <w:szCs w:val="20"/>
                <w:color w:val="auto"/>
              </w:rPr>
            </w:pPr>
            <w:r>
              <w:rPr>
                <w:rFonts w:ascii="Arial" w:cs="Arial" w:eastAsia="Arial" w:hAnsi="Arial"/>
                <w:sz w:val="15"/>
                <w:szCs w:val="15"/>
                <w:b w:val="1"/>
                <w:bCs w:val="1"/>
                <w:color w:val="auto"/>
              </w:rPr>
              <w:t>Amounts attributable to Graham Holdings Company Common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5"/>
                <w:szCs w:val="15"/>
                <w:b w:val="1"/>
                <w:bCs w:val="1"/>
                <w:color w:val="auto"/>
              </w:rPr>
              <w:t>Stockholders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5"/>
                <w:szCs w:val="15"/>
                <w:color w:val="auto"/>
              </w:rPr>
              <w:t>As reported</w:t>
            </w:r>
          </w:p>
        </w:tc>
        <w:tc>
          <w:tcPr>
            <w:tcW w:w="1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449,667</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rPr>
              <w:t>146,400</w:t>
            </w:r>
          </w:p>
        </w:tc>
        <w:tc>
          <w:tcPr>
            <w:tcW w:w="2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303,267</w:t>
            </w:r>
          </w:p>
        </w:tc>
        <w:tc>
          <w:tcPr>
            <w:tcW w:w="300" w:type="dxa"/>
            <w:vAlign w:val="bottom"/>
          </w:tcPr>
          <w:p>
            <w:pPr>
              <w:ind w:left="10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1,024,710</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292,100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732,610</w:t>
            </w:r>
          </w:p>
        </w:tc>
        <w:tc>
          <w:tcPr>
            <w:tcW w:w="0" w:type="dxa"/>
            <w:vAlign w:val="bottom"/>
          </w:tcPr>
          <w:p>
            <w:pPr>
              <w:spacing w:after="0"/>
              <w:rPr>
                <w:sz w:val="1"/>
                <w:szCs w:val="1"/>
                <w:color w:val="auto"/>
              </w:rPr>
            </w:pPr>
          </w:p>
        </w:tc>
      </w:tr>
      <w:tr>
        <w:trPr>
          <w:trHeight w:val="214"/>
        </w:trPr>
        <w:tc>
          <w:tcPr>
            <w:tcW w:w="4940" w:type="dxa"/>
            <w:vAlign w:val="bottom"/>
          </w:tcPr>
          <w:p>
            <w:pPr>
              <w:ind w:left="20"/>
              <w:spacing w:after="0"/>
              <w:rPr>
                <w:sz w:val="20"/>
                <w:szCs w:val="20"/>
                <w:color w:val="auto"/>
              </w:rPr>
            </w:pPr>
            <w:r>
              <w:rPr>
                <w:rFonts w:ascii="Arial" w:cs="Arial" w:eastAsia="Arial" w:hAnsi="Arial"/>
                <w:sz w:val="15"/>
                <w:szCs w:val="15"/>
                <w:color w:val="auto"/>
              </w:rPr>
              <w:t>Attributable to noncontrolling interests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(10,976)</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(7,976)</w:t>
            </w:r>
          </w:p>
        </w:tc>
        <w:tc>
          <w:tcPr>
            <w:tcW w:w="0" w:type="dxa"/>
            <w:vAlign w:val="bottom"/>
          </w:tcPr>
          <w:p>
            <w:pPr>
              <w:spacing w:after="0"/>
              <w:rPr>
                <w:sz w:val="1"/>
                <w:szCs w:val="1"/>
                <w:color w:val="auto"/>
              </w:rPr>
            </w:pPr>
          </w:p>
        </w:tc>
      </w:tr>
      <w:tr>
        <w:trPr>
          <w:trHeight w:val="212"/>
        </w:trPr>
        <w:tc>
          <w:tcPr>
            <w:tcW w:w="4940" w:type="dxa"/>
            <w:vAlign w:val="bottom"/>
          </w:tcPr>
          <w:p>
            <w:pPr>
              <w:ind w:left="20"/>
              <w:spacing w:after="0"/>
              <w:rPr>
                <w:sz w:val="20"/>
                <w:szCs w:val="20"/>
                <w:color w:val="auto"/>
              </w:rPr>
            </w:pPr>
            <w:r>
              <w:rPr>
                <w:rFonts w:ascii="Arial" w:cs="Arial" w:eastAsia="Arial" w:hAnsi="Arial"/>
                <w:sz w:val="15"/>
                <w:szCs w:val="15"/>
                <w:color w:val="auto"/>
              </w:rPr>
              <w:t>Attributable to Graham Holdings Company Stockholders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292,291</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724,634</w:t>
            </w:r>
          </w:p>
        </w:tc>
        <w:tc>
          <w:tcPr>
            <w:tcW w:w="0" w:type="dxa"/>
            <w:vAlign w:val="bottom"/>
          </w:tcPr>
          <w:p>
            <w:pPr>
              <w:spacing w:after="0"/>
              <w:rPr>
                <w:sz w:val="1"/>
                <w:szCs w:val="1"/>
                <w:color w:val="auto"/>
              </w:rPr>
            </w:pPr>
          </w:p>
        </w:tc>
      </w:tr>
      <w:tr>
        <w:trPr>
          <w:trHeight w:val="208"/>
        </w:trPr>
        <w:tc>
          <w:tcPr>
            <w:tcW w:w="494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8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12,335</w:t>
            </w:r>
          </w:p>
        </w:tc>
        <w:tc>
          <w:tcPr>
            <w:tcW w:w="200" w:type="dxa"/>
            <w:vAlign w:val="bottom"/>
          </w:tcPr>
          <w:p>
            <w:pPr>
              <w:spacing w:after="0"/>
              <w:rPr>
                <w:sz w:val="19"/>
                <w:szCs w:val="19"/>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rPr>
              <w:t>2,830</w:t>
            </w:r>
          </w:p>
        </w:tc>
        <w:tc>
          <w:tcPr>
            <w:tcW w:w="20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9,505</w:t>
            </w:r>
          </w:p>
        </w:tc>
        <w:tc>
          <w:tcPr>
            <w:tcW w:w="30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49,822</w:t>
            </w:r>
          </w:p>
        </w:tc>
        <w:tc>
          <w:tcPr>
            <w:tcW w:w="220" w:type="dxa"/>
            <w:vAlign w:val="bottom"/>
          </w:tcPr>
          <w:p>
            <w:pPr>
              <w:spacing w:after="0"/>
              <w:rPr>
                <w:sz w:val="19"/>
                <w:szCs w:val="19"/>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10,377</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39,445</w:t>
            </w:r>
          </w:p>
        </w:tc>
        <w:tc>
          <w:tcPr>
            <w:tcW w:w="0" w:type="dxa"/>
            <w:vAlign w:val="bottom"/>
          </w:tcPr>
          <w:p>
            <w:pPr>
              <w:spacing w:after="0"/>
              <w:rPr>
                <w:sz w:val="1"/>
                <w:szCs w:val="1"/>
                <w:color w:val="auto"/>
              </w:rPr>
            </w:pPr>
          </w:p>
        </w:tc>
      </w:tr>
      <w:tr>
        <w:trPr>
          <w:trHeight w:val="216"/>
        </w:trPr>
        <w:tc>
          <w:tcPr>
            <w:tcW w:w="4940" w:type="dxa"/>
            <w:vAlign w:val="bottom"/>
          </w:tcPr>
          <w:p>
            <w:pPr>
              <w:ind w:left="400"/>
              <w:spacing w:after="0"/>
              <w:rPr>
                <w:sz w:val="20"/>
                <w:szCs w:val="20"/>
                <w:color w:val="auto"/>
              </w:rPr>
            </w:pPr>
            <w:r>
              <w:rPr>
                <w:rFonts w:ascii="Arial" w:cs="Arial" w:eastAsia="Arial" w:hAnsi="Arial"/>
                <w:sz w:val="15"/>
                <w:szCs w:val="15"/>
                <w:color w:val="auto"/>
              </w:rPr>
              <w:t>Settlement gain related to retiree annuity pension purchase</w:t>
            </w:r>
          </w:p>
        </w:tc>
        <w:tc>
          <w:tcPr>
            <w:tcW w:w="18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(653,427)</w:t>
            </w:r>
          </w:p>
        </w:tc>
        <w:tc>
          <w:tcPr>
            <w:tcW w:w="22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(167,285)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(486,142)</w:t>
            </w:r>
          </w:p>
        </w:tc>
        <w:tc>
          <w:tcPr>
            <w:tcW w:w="0" w:type="dxa"/>
            <w:vAlign w:val="bottom"/>
          </w:tcPr>
          <w:p>
            <w:pPr>
              <w:spacing w:after="0"/>
              <w:rPr>
                <w:sz w:val="1"/>
                <w:szCs w:val="1"/>
                <w:color w:val="auto"/>
              </w:rPr>
            </w:pPr>
          </w:p>
        </w:tc>
      </w:tr>
      <w:tr>
        <w:trPr>
          <w:trHeight w:val="170"/>
        </w:trPr>
        <w:tc>
          <w:tcPr>
            <w:tcW w:w="4940" w:type="dxa"/>
            <w:vAlign w:val="bottom"/>
          </w:tcPr>
          <w:p>
            <w:pPr>
              <w:ind w:left="400"/>
              <w:spacing w:after="0" w:line="169" w:lineRule="exact"/>
              <w:rPr>
                <w:sz w:val="20"/>
                <w:szCs w:val="20"/>
                <w:color w:val="auto"/>
              </w:rPr>
            </w:pPr>
            <w:r>
              <w:rPr>
                <w:rFonts w:ascii="Arial" w:cs="Arial" w:eastAsia="Arial" w:hAnsi="Arial"/>
                <w:sz w:val="15"/>
                <w:szCs w:val="15"/>
                <w:color w:val="auto"/>
              </w:rPr>
              <w:t>Charges related to non-operating Voluntary Retirement Incentive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40" w:type="dxa"/>
            <w:vAlign w:val="bottom"/>
          </w:tcPr>
          <w:p>
            <w:pPr>
              <w:ind w:left="520"/>
              <w:spacing w:after="0"/>
              <w:rPr>
                <w:sz w:val="20"/>
                <w:szCs w:val="20"/>
                <w:color w:val="auto"/>
              </w:rPr>
            </w:pPr>
            <w:r>
              <w:rPr>
                <w:rFonts w:ascii="Arial" w:cs="Arial" w:eastAsia="Arial" w:hAnsi="Arial"/>
                <w:sz w:val="15"/>
                <w:szCs w:val="15"/>
                <w:color w:val="auto"/>
              </w:rPr>
              <w:t>Program and Separation Incentive Programs</w:t>
            </w:r>
          </w:p>
        </w:tc>
        <w:tc>
          <w:tcPr>
            <w:tcW w:w="18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9,185</w:t>
            </w:r>
          </w:p>
        </w:tc>
        <w:tc>
          <w:tcPr>
            <w:tcW w:w="200" w:type="dxa"/>
            <w:vAlign w:val="bottom"/>
          </w:tcPr>
          <w:p>
            <w:pPr>
              <w:spacing w:after="0"/>
              <w:rPr>
                <w:sz w:val="19"/>
                <w:szCs w:val="19"/>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rPr>
              <w:t>2,351</w:t>
            </w:r>
          </w:p>
        </w:tc>
        <w:tc>
          <w:tcPr>
            <w:tcW w:w="20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6,834</w:t>
            </w:r>
          </w:p>
        </w:tc>
        <w:tc>
          <w:tcPr>
            <w:tcW w:w="30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20,998</w:t>
            </w:r>
          </w:p>
        </w:tc>
        <w:tc>
          <w:tcPr>
            <w:tcW w:w="220" w:type="dxa"/>
            <w:vAlign w:val="bottom"/>
          </w:tcPr>
          <w:p>
            <w:pPr>
              <w:spacing w:after="0"/>
              <w:rPr>
                <w:sz w:val="19"/>
                <w:szCs w:val="19"/>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5,375</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15,623</w:t>
            </w:r>
          </w:p>
        </w:tc>
        <w:tc>
          <w:tcPr>
            <w:tcW w:w="0" w:type="dxa"/>
            <w:vAlign w:val="bottom"/>
          </w:tcPr>
          <w:p>
            <w:pPr>
              <w:spacing w:after="0"/>
              <w:rPr>
                <w:sz w:val="1"/>
                <w:szCs w:val="1"/>
                <w:color w:val="auto"/>
              </w:rPr>
            </w:pPr>
          </w:p>
        </w:tc>
      </w:tr>
      <w:tr>
        <w:trPr>
          <w:trHeight w:val="216"/>
        </w:trPr>
        <w:tc>
          <w:tcPr>
            <w:tcW w:w="494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80" w:type="dxa"/>
            <w:vAlign w:val="bottom"/>
          </w:tcPr>
          <w:p>
            <w:pPr>
              <w:spacing w:after="0"/>
              <w:rPr>
                <w:sz w:val="18"/>
                <w:szCs w:val="18"/>
                <w:color w:val="auto"/>
              </w:rPr>
            </w:pPr>
          </w:p>
        </w:tc>
        <w:tc>
          <w:tcPr>
            <w:tcW w:w="900" w:type="dxa"/>
            <w:vAlign w:val="bottom"/>
          </w:tcPr>
          <w:p>
            <w:pPr>
              <w:jc w:val="right"/>
              <w:ind w:right="4"/>
              <w:spacing w:after="0"/>
              <w:rPr>
                <w:sz w:val="20"/>
                <w:szCs w:val="20"/>
                <w:color w:val="auto"/>
              </w:rPr>
            </w:pPr>
            <w:r>
              <w:rPr>
                <w:rFonts w:ascii="Arial" w:cs="Arial" w:eastAsia="Arial" w:hAnsi="Arial"/>
                <w:sz w:val="15"/>
                <w:szCs w:val="15"/>
                <w:b w:val="1"/>
                <w:bCs w:val="1"/>
                <w:color w:val="auto"/>
              </w:rPr>
              <w:t>(200,170)</w:t>
            </w:r>
          </w:p>
        </w:tc>
        <w:tc>
          <w:tcPr>
            <w:tcW w:w="200" w:type="dxa"/>
            <w:vAlign w:val="bottom"/>
          </w:tcPr>
          <w:p>
            <w:pPr>
              <w:spacing w:after="0"/>
              <w:rPr>
                <w:sz w:val="18"/>
                <w:szCs w:val="18"/>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b w:val="1"/>
                <w:bCs w:val="1"/>
                <w:color w:val="auto"/>
              </w:rPr>
              <w:t>(51,133)</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(149,037)</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(181,295)</w:t>
            </w:r>
          </w:p>
        </w:tc>
        <w:tc>
          <w:tcPr>
            <w:tcW w:w="22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(46,430)</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(134,865)</w:t>
            </w:r>
          </w:p>
        </w:tc>
        <w:tc>
          <w:tcPr>
            <w:tcW w:w="0" w:type="dxa"/>
            <w:vAlign w:val="bottom"/>
          </w:tcPr>
          <w:p>
            <w:pPr>
              <w:spacing w:after="0"/>
              <w:rPr>
                <w:sz w:val="1"/>
                <w:szCs w:val="1"/>
                <w:color w:val="auto"/>
              </w:rPr>
            </w:pPr>
          </w:p>
        </w:tc>
      </w:tr>
      <w:tr>
        <w:trPr>
          <w:trHeight w:val="170"/>
        </w:trPr>
        <w:tc>
          <w:tcPr>
            <w:tcW w:w="4940" w:type="dxa"/>
            <w:vAlign w:val="bottom"/>
          </w:tcPr>
          <w:p>
            <w:pPr>
              <w:ind w:left="400"/>
              <w:spacing w:after="0" w:line="169" w:lineRule="exact"/>
              <w:rPr>
                <w:sz w:val="20"/>
                <w:szCs w:val="20"/>
                <w:color w:val="auto"/>
              </w:rPr>
            </w:pPr>
            <w:r>
              <w:rPr>
                <w:rFonts w:ascii="Arial" w:cs="Arial" w:eastAsia="Arial" w:hAnsi="Arial"/>
                <w:sz w:val="15"/>
                <w:szCs w:val="15"/>
                <w:color w:val="auto"/>
              </w:rPr>
              <w:t>Net losses of affiliates whose operations are not managed by the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40" w:type="dxa"/>
            <w:vAlign w:val="bottom"/>
          </w:tcPr>
          <w:p>
            <w:pPr>
              <w:ind w:left="520"/>
              <w:spacing w:after="0"/>
              <w:rPr>
                <w:sz w:val="20"/>
                <w:szCs w:val="20"/>
                <w:color w:val="auto"/>
              </w:rPr>
            </w:pPr>
            <w:r>
              <w:rPr>
                <w:rFonts w:ascii="Arial" w:cs="Arial" w:eastAsia="Arial" w:hAnsi="Arial"/>
                <w:sz w:val="15"/>
                <w:szCs w:val="15"/>
                <w:color w:val="auto"/>
              </w:rPr>
              <w:t>Company</w:t>
            </w:r>
          </w:p>
        </w:tc>
        <w:tc>
          <w:tcPr>
            <w:tcW w:w="18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16,716</w:t>
            </w:r>
          </w:p>
        </w:tc>
        <w:tc>
          <w:tcPr>
            <w:tcW w:w="200" w:type="dxa"/>
            <w:vAlign w:val="bottom"/>
          </w:tcPr>
          <w:p>
            <w:pPr>
              <w:spacing w:after="0"/>
              <w:rPr>
                <w:sz w:val="19"/>
                <w:szCs w:val="19"/>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rPr>
              <w:t>4,270</w:t>
            </w:r>
          </w:p>
        </w:tc>
        <w:tc>
          <w:tcPr>
            <w:tcW w:w="20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12,446</w:t>
            </w:r>
          </w:p>
        </w:tc>
        <w:tc>
          <w:tcPr>
            <w:tcW w:w="30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3,543</w:t>
            </w:r>
          </w:p>
        </w:tc>
        <w:tc>
          <w:tcPr>
            <w:tcW w:w="220" w:type="dxa"/>
            <w:vAlign w:val="bottom"/>
          </w:tcPr>
          <w:p>
            <w:pPr>
              <w:spacing w:after="0"/>
              <w:rPr>
                <w:sz w:val="19"/>
                <w:szCs w:val="19"/>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907</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2,636</w:t>
            </w:r>
          </w:p>
        </w:tc>
        <w:tc>
          <w:tcPr>
            <w:tcW w:w="0" w:type="dxa"/>
            <w:vAlign w:val="bottom"/>
          </w:tcPr>
          <w:p>
            <w:pPr>
              <w:spacing w:after="0"/>
              <w:rPr>
                <w:sz w:val="1"/>
                <w:szCs w:val="1"/>
                <w:color w:val="auto"/>
              </w:rPr>
            </w:pPr>
          </w:p>
        </w:tc>
      </w:tr>
      <w:tr>
        <w:trPr>
          <w:trHeight w:val="216"/>
        </w:trPr>
        <w:tc>
          <w:tcPr>
            <w:tcW w:w="494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80" w:type="dxa"/>
            <w:vAlign w:val="bottom"/>
          </w:tcPr>
          <w:p>
            <w:pPr>
              <w:spacing w:after="0"/>
              <w:rPr>
                <w:sz w:val="18"/>
                <w:szCs w:val="18"/>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(7,246)</w:t>
            </w:r>
          </w:p>
        </w:tc>
        <w:tc>
          <w:tcPr>
            <w:tcW w:w="220" w:type="dxa"/>
            <w:vAlign w:val="bottom"/>
          </w:tcPr>
          <w:p>
            <w:pPr>
              <w:spacing w:after="0"/>
              <w:rPr>
                <w:sz w:val="18"/>
                <w:szCs w:val="18"/>
                <w:color w:val="auto"/>
              </w:rPr>
            </w:pPr>
          </w:p>
        </w:tc>
        <w:tc>
          <w:tcPr>
            <w:tcW w:w="840" w:type="dxa"/>
            <w:vAlign w:val="bottom"/>
          </w:tcPr>
          <w:p>
            <w:pPr>
              <w:jc w:val="right"/>
              <w:ind w:right="44"/>
              <w:spacing w:after="0"/>
              <w:rPr>
                <w:sz w:val="20"/>
                <w:szCs w:val="20"/>
                <w:color w:val="auto"/>
              </w:rPr>
            </w:pPr>
            <w:r>
              <w:rPr>
                <w:rFonts w:ascii="Arial" w:cs="Arial" w:eastAsia="Arial" w:hAnsi="Arial"/>
                <w:sz w:val="15"/>
                <w:szCs w:val="15"/>
                <w:color w:val="auto"/>
              </w:rPr>
              <w:t>(1,956)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(5,290)</w:t>
            </w:r>
          </w:p>
        </w:tc>
        <w:tc>
          <w:tcPr>
            <w:tcW w:w="0" w:type="dxa"/>
            <w:vAlign w:val="bottom"/>
          </w:tcPr>
          <w:p>
            <w:pPr>
              <w:spacing w:after="0"/>
              <w:rPr>
                <w:sz w:val="1"/>
                <w:szCs w:val="1"/>
                <w:color w:val="auto"/>
              </w:rPr>
            </w:pPr>
          </w:p>
        </w:tc>
      </w:tr>
      <w:tr>
        <w:trPr>
          <w:trHeight w:val="170"/>
        </w:trPr>
        <w:tc>
          <w:tcPr>
            <w:tcW w:w="4940" w:type="dxa"/>
            <w:vAlign w:val="bottom"/>
          </w:tcPr>
          <w:p>
            <w:pPr>
              <w:ind w:left="400"/>
              <w:spacing w:after="0" w:line="169" w:lineRule="exact"/>
              <w:rPr>
                <w:sz w:val="20"/>
                <w:szCs w:val="20"/>
                <w:color w:val="auto"/>
              </w:rPr>
            </w:pPr>
            <w:r>
              <w:rPr>
                <w:rFonts w:ascii="Arial" w:cs="Arial" w:eastAsia="Arial" w:hAnsi="Arial"/>
                <w:sz w:val="15"/>
                <w:szCs w:val="15"/>
                <w:color w:val="auto"/>
              </w:rPr>
              <w:t>Non-operating (gain) loss, net, from earnings, valuation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520"/>
              <w:spacing w:after="0"/>
              <w:rPr>
                <w:sz w:val="20"/>
                <w:szCs w:val="20"/>
                <w:color w:val="auto"/>
              </w:rPr>
            </w:pPr>
            <w:r>
              <w:rPr>
                <w:rFonts w:ascii="Arial" w:cs="Arial" w:eastAsia="Arial" w:hAnsi="Arial"/>
                <w:sz w:val="15"/>
                <w:szCs w:val="15"/>
                <w:color w:val="auto"/>
              </w:rPr>
              <w:t>adjustments, sales and impairments of equity and cost method</w:t>
            </w:r>
          </w:p>
        </w:tc>
        <w:tc>
          <w:tcPr>
            <w:tcW w:w="180" w:type="dxa"/>
            <w:vAlign w:val="bottom"/>
          </w:tcPr>
          <w:p>
            <w:pPr>
              <w:spacing w:after="0"/>
              <w:rPr>
                <w:sz w:val="15"/>
                <w:szCs w:val="15"/>
                <w:color w:val="auto"/>
              </w:rPr>
            </w:pPr>
          </w:p>
        </w:tc>
        <w:tc>
          <w:tcPr>
            <w:tcW w:w="90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(8,906)</w:t>
            </w:r>
          </w:p>
        </w:tc>
        <w:tc>
          <w:tcPr>
            <w:tcW w:w="200" w:type="dxa"/>
            <w:vAlign w:val="bottom"/>
          </w:tcPr>
          <w:p>
            <w:pPr>
              <w:spacing w:after="0"/>
              <w:rPr>
                <w:sz w:val="15"/>
                <w:szCs w:val="15"/>
                <w:color w:val="auto"/>
              </w:rPr>
            </w:pPr>
          </w:p>
        </w:tc>
        <w:tc>
          <w:tcPr>
            <w:tcW w:w="880" w:type="dxa"/>
            <w:vAlign w:val="bottom"/>
            <w:vMerge w:val="restart"/>
          </w:tcPr>
          <w:p>
            <w:pPr>
              <w:jc w:val="right"/>
              <w:ind w:right="44"/>
              <w:spacing w:after="0"/>
              <w:rPr>
                <w:sz w:val="20"/>
                <w:szCs w:val="20"/>
                <w:color w:val="auto"/>
              </w:rPr>
            </w:pPr>
            <w:r>
              <w:rPr>
                <w:rFonts w:ascii="Arial" w:cs="Arial" w:eastAsia="Arial" w:hAnsi="Arial"/>
                <w:sz w:val="15"/>
                <w:szCs w:val="15"/>
                <w:b w:val="1"/>
                <w:bCs w:val="1"/>
                <w:color w:val="auto"/>
              </w:rPr>
              <w:t>(2,308)</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(6,598)</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40" w:type="dxa"/>
            <w:vAlign w:val="bottom"/>
          </w:tcPr>
          <w:p>
            <w:pPr>
              <w:ind w:left="520"/>
              <w:spacing w:after="0"/>
              <w:rPr>
                <w:sz w:val="20"/>
                <w:szCs w:val="20"/>
                <w:color w:val="auto"/>
              </w:rPr>
            </w:pPr>
            <w:r>
              <w:rPr>
                <w:rFonts w:ascii="Arial" w:cs="Arial" w:eastAsia="Arial" w:hAnsi="Arial"/>
                <w:sz w:val="15"/>
                <w:szCs w:val="15"/>
                <w:color w:val="auto"/>
              </w:rPr>
              <w:t>investments</w:t>
            </w:r>
          </w:p>
        </w:tc>
        <w:tc>
          <w:tcPr>
            <w:tcW w:w="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16,698</w:t>
            </w:r>
          </w:p>
        </w:tc>
        <w:tc>
          <w:tcPr>
            <w:tcW w:w="220" w:type="dxa"/>
            <w:vAlign w:val="bottom"/>
          </w:tcPr>
          <w:p>
            <w:pPr>
              <w:spacing w:after="0"/>
              <w:rPr>
                <w:sz w:val="18"/>
                <w:szCs w:val="18"/>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4,274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12,424</w:t>
            </w:r>
          </w:p>
        </w:tc>
        <w:tc>
          <w:tcPr>
            <w:tcW w:w="0" w:type="dxa"/>
            <w:vAlign w:val="bottom"/>
          </w:tcPr>
          <w:p>
            <w:pPr>
              <w:spacing w:after="0"/>
              <w:rPr>
                <w:sz w:val="1"/>
                <w:szCs w:val="1"/>
                <w:color w:val="auto"/>
              </w:rPr>
            </w:pPr>
          </w:p>
        </w:tc>
      </w:tr>
      <w:tr>
        <w:trPr>
          <w:trHeight w:val="170"/>
        </w:trPr>
        <w:tc>
          <w:tcPr>
            <w:tcW w:w="4940" w:type="dxa"/>
            <w:vAlign w:val="bottom"/>
          </w:tcPr>
          <w:p>
            <w:pPr>
              <w:ind w:left="400"/>
              <w:spacing w:after="0" w:line="169" w:lineRule="exact"/>
              <w:rPr>
                <w:sz w:val="20"/>
                <w:szCs w:val="20"/>
                <w:color w:val="auto"/>
              </w:rPr>
            </w:pPr>
            <w:r>
              <w:rPr>
                <w:rFonts w:ascii="Arial" w:cs="Arial" w:eastAsia="Arial" w:hAnsi="Arial"/>
                <w:sz w:val="15"/>
                <w:szCs w:val="15"/>
                <w:color w:val="auto"/>
              </w:rPr>
              <w:t>Interest expense related to the fair value adjustment of the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4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8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54,492</w:t>
            </w:r>
          </w:p>
        </w:tc>
        <w:tc>
          <w:tcPr>
            <w:tcW w:w="200" w:type="dxa"/>
            <w:vAlign w:val="bottom"/>
          </w:tcPr>
          <w:p>
            <w:pPr>
              <w:spacing w:after="0"/>
              <w:rPr>
                <w:sz w:val="19"/>
                <w:szCs w:val="19"/>
                <w:color w:val="auto"/>
              </w:rPr>
            </w:pPr>
          </w:p>
        </w:tc>
        <w:tc>
          <w:tcPr>
            <w:tcW w:w="880" w:type="dxa"/>
            <w:vAlign w:val="bottom"/>
          </w:tcPr>
          <w:p>
            <w:pPr>
              <w:jc w:val="right"/>
              <w:ind w:right="84"/>
              <w:spacing w:after="0"/>
              <w:rPr>
                <w:sz w:val="20"/>
                <w:szCs w:val="20"/>
                <w:color w:val="auto"/>
              </w:rPr>
            </w:pPr>
            <w:r>
              <w:rPr>
                <w:rFonts w:ascii="Arial" w:cs="Arial" w:eastAsia="Arial" w:hAnsi="Arial"/>
                <w:sz w:val="15"/>
                <w:szCs w:val="15"/>
                <w:b w:val="1"/>
                <w:bCs w:val="1"/>
                <w:color w:val="auto"/>
              </w:rPr>
              <w:t>3,340</w:t>
            </w:r>
          </w:p>
        </w:tc>
        <w:tc>
          <w:tcPr>
            <w:tcW w:w="20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51,152</w:t>
            </w:r>
          </w:p>
        </w:tc>
        <w:tc>
          <w:tcPr>
            <w:tcW w:w="30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119,295</w:t>
            </w:r>
          </w:p>
        </w:tc>
        <w:tc>
          <w:tcPr>
            <w:tcW w:w="220" w:type="dxa"/>
            <w:vAlign w:val="bottom"/>
          </w:tcPr>
          <w:p>
            <w:pPr>
              <w:spacing w:after="0"/>
              <w:rPr>
                <w:sz w:val="19"/>
                <w:szCs w:val="19"/>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5,569</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113,726</w:t>
            </w:r>
          </w:p>
        </w:tc>
        <w:tc>
          <w:tcPr>
            <w:tcW w:w="0" w:type="dxa"/>
            <w:vAlign w:val="bottom"/>
          </w:tcPr>
          <w:p>
            <w:pPr>
              <w:spacing w:after="0"/>
              <w:rPr>
                <w:sz w:val="1"/>
                <w:szCs w:val="1"/>
                <w:color w:val="auto"/>
              </w:rPr>
            </w:pPr>
          </w:p>
        </w:tc>
      </w:tr>
      <w:tr>
        <w:trPr>
          <w:trHeight w:val="170"/>
        </w:trPr>
        <w:tc>
          <w:tcPr>
            <w:tcW w:w="4940" w:type="dxa"/>
            <w:vAlign w:val="bottom"/>
          </w:tcPr>
          <w:p>
            <w:pPr>
              <w:ind w:left="400"/>
              <w:spacing w:after="0" w:line="169" w:lineRule="exact"/>
              <w:rPr>
                <w:sz w:val="20"/>
                <w:szCs w:val="20"/>
                <w:color w:val="auto"/>
              </w:rPr>
            </w:pPr>
            <w:r>
              <w:rPr>
                <w:rFonts w:ascii="Arial" w:cs="Arial" w:eastAsia="Arial" w:hAnsi="Arial"/>
                <w:sz w:val="15"/>
                <w:szCs w:val="15"/>
                <w:color w:val="auto"/>
              </w:rPr>
              <w:t>Tax expense related to the Company’s pension and other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40" w:type="dxa"/>
            <w:vAlign w:val="bottom"/>
          </w:tcPr>
          <w:p>
            <w:pPr>
              <w:ind w:left="520"/>
              <w:spacing w:after="0"/>
              <w:rPr>
                <w:sz w:val="20"/>
                <w:szCs w:val="20"/>
                <w:color w:val="auto"/>
              </w:rPr>
            </w:pPr>
            <w:r>
              <w:rPr>
                <w:rFonts w:ascii="Arial" w:cs="Arial" w:eastAsia="Arial" w:hAnsi="Arial"/>
                <w:sz w:val="15"/>
                <w:szCs w:val="15"/>
                <w:color w:val="auto"/>
              </w:rPr>
              <w:t>postretirement plans</w:t>
            </w:r>
          </w:p>
        </w:tc>
        <w:tc>
          <w:tcPr>
            <w:tcW w:w="180" w:type="dxa"/>
            <w:vAlign w:val="bottom"/>
          </w:tcPr>
          <w:p>
            <w:pPr>
              <w:spacing w:after="0"/>
              <w:rPr>
                <w:sz w:val="19"/>
                <w:szCs w:val="19"/>
                <w:color w:val="auto"/>
              </w:rPr>
            </w:pPr>
          </w:p>
        </w:tc>
        <w:tc>
          <w:tcPr>
            <w:tcW w:w="900" w:type="dxa"/>
            <w:vAlign w:val="bottom"/>
          </w:tcPr>
          <w:p>
            <w:pPr>
              <w:jc w:val="right"/>
              <w:ind w:right="4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9"/>
                <w:szCs w:val="19"/>
                <w:color w:val="auto"/>
              </w:rPr>
            </w:pPr>
          </w:p>
        </w:tc>
        <w:tc>
          <w:tcPr>
            <w:tcW w:w="880" w:type="dxa"/>
            <w:vAlign w:val="bottom"/>
          </w:tcPr>
          <w:p>
            <w:pPr>
              <w:jc w:val="right"/>
              <w:ind w:right="44"/>
              <w:spacing w:after="0"/>
              <w:rPr>
                <w:sz w:val="20"/>
                <w:szCs w:val="20"/>
                <w:color w:val="auto"/>
              </w:rPr>
            </w:pPr>
            <w:r>
              <w:rPr>
                <w:rFonts w:ascii="Arial" w:cs="Arial" w:eastAsia="Arial" w:hAnsi="Arial"/>
                <w:sz w:val="15"/>
                <w:szCs w:val="15"/>
                <w:b w:val="1"/>
                <w:bCs w:val="1"/>
                <w:color w:val="auto"/>
              </w:rPr>
              <w:t>(9,928)</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9,928</w:t>
            </w:r>
          </w:p>
        </w:tc>
        <w:tc>
          <w:tcPr>
            <w:tcW w:w="300" w:type="dxa"/>
            <w:vAlign w:val="bottom"/>
          </w:tcPr>
          <w:p>
            <w:pPr>
              <w:spacing w:after="0"/>
              <w:rPr>
                <w:sz w:val="19"/>
                <w:szCs w:val="19"/>
                <w:color w:val="auto"/>
              </w:rPr>
            </w:pPr>
          </w:p>
        </w:tc>
        <w:tc>
          <w:tcPr>
            <w:tcW w:w="880" w:type="dxa"/>
            <w:vAlign w:val="bottom"/>
          </w:tcPr>
          <w:p>
            <w:pPr>
              <w:jc w:val="right"/>
              <w:ind w:right="24"/>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9"/>
                <w:szCs w:val="19"/>
                <w:color w:val="auto"/>
              </w:rPr>
            </w:pPr>
          </w:p>
        </w:tc>
        <w:tc>
          <w:tcPr>
            <w:tcW w:w="840" w:type="dxa"/>
            <w:vAlign w:val="bottom"/>
          </w:tcPr>
          <w:p>
            <w:pPr>
              <w:jc w:val="right"/>
              <w:ind w:right="84"/>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9"/>
        </w:trPr>
        <w:tc>
          <w:tcPr>
            <w:tcW w:w="4940" w:type="dxa"/>
            <w:vAlign w:val="bottom"/>
          </w:tcPr>
          <w:p>
            <w:pPr>
              <w:ind w:left="180"/>
              <w:spacing w:after="0"/>
              <w:rPr>
                <w:sz w:val="20"/>
                <w:szCs w:val="20"/>
                <w:color w:val="auto"/>
              </w:rPr>
            </w:pPr>
            <w:r>
              <w:rPr>
                <w:rFonts w:ascii="Arial" w:cs="Arial" w:eastAsia="Arial" w:hAnsi="Arial"/>
                <w:sz w:val="15"/>
                <w:szCs w:val="15"/>
                <w:color w:val="auto"/>
              </w:rPr>
              <w:t>Net Income, adjusted (non-GAAP)</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226,521</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282,191</w:t>
            </w:r>
          </w:p>
        </w:tc>
        <w:tc>
          <w:tcPr>
            <w:tcW w:w="0" w:type="dxa"/>
            <w:vAlign w:val="bottom"/>
          </w:tcPr>
          <w:p>
            <w:pPr>
              <w:spacing w:after="0"/>
              <w:rPr>
                <w:sz w:val="1"/>
                <w:szCs w:val="1"/>
                <w:color w:val="auto"/>
              </w:rPr>
            </w:pPr>
          </w:p>
        </w:tc>
      </w:tr>
      <w:tr>
        <w:trPr>
          <w:trHeight w:val="298"/>
        </w:trPr>
        <w:tc>
          <w:tcPr>
            <w:tcW w:w="4940" w:type="dxa"/>
            <w:vAlign w:val="bottom"/>
          </w:tcPr>
          <w:p>
            <w:pPr>
              <w:ind w:left="20"/>
              <w:spacing w:after="0"/>
              <w:rPr>
                <w:sz w:val="20"/>
                <w:szCs w:val="20"/>
                <w:color w:val="auto"/>
              </w:rPr>
            </w:pPr>
            <w:r>
              <w:rPr>
                <w:rFonts w:ascii="Arial" w:cs="Arial" w:eastAsia="Arial" w:hAnsi="Arial"/>
                <w:sz w:val="15"/>
                <w:szCs w:val="15"/>
                <w:b w:val="1"/>
                <w:bCs w:val="1"/>
                <w:color w:val="auto"/>
              </w:rPr>
              <w:t>Per share information attributable to Graham Holdings Company</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40" w:type="dxa"/>
            <w:vAlign w:val="bottom"/>
          </w:tcPr>
          <w:p>
            <w:pPr>
              <w:ind w:left="20"/>
              <w:spacing w:after="0"/>
              <w:rPr>
                <w:sz w:val="20"/>
                <w:szCs w:val="20"/>
                <w:color w:val="auto"/>
              </w:rPr>
            </w:pPr>
            <w:r>
              <w:rPr>
                <w:rFonts w:ascii="Arial" w:cs="Arial" w:eastAsia="Arial" w:hAnsi="Arial"/>
                <w:sz w:val="15"/>
                <w:szCs w:val="15"/>
                <w:b w:val="1"/>
                <w:bCs w:val="1"/>
                <w:color w:val="auto"/>
              </w:rPr>
              <w:t>Common Stockholders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940" w:type="dxa"/>
            <w:vAlign w:val="bottom"/>
          </w:tcPr>
          <w:p>
            <w:pPr>
              <w:ind w:left="20"/>
              <w:spacing w:after="0"/>
              <w:rPr>
                <w:sz w:val="20"/>
                <w:szCs w:val="20"/>
                <w:color w:val="auto"/>
              </w:rPr>
            </w:pPr>
            <w:r>
              <w:rPr>
                <w:rFonts w:ascii="Arial" w:cs="Arial" w:eastAsia="Arial" w:hAnsi="Arial"/>
                <w:sz w:val="15"/>
                <w:szCs w:val="15"/>
                <w:color w:val="auto"/>
              </w:rPr>
              <w:t>Diluted income per common share, as reported</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66.47</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163.40</w:t>
            </w:r>
          </w:p>
        </w:tc>
        <w:tc>
          <w:tcPr>
            <w:tcW w:w="0" w:type="dxa"/>
            <w:vAlign w:val="bottom"/>
          </w:tcPr>
          <w:p>
            <w:pPr>
              <w:spacing w:after="0"/>
              <w:rPr>
                <w:sz w:val="1"/>
                <w:szCs w:val="1"/>
                <w:color w:val="auto"/>
              </w:rPr>
            </w:pPr>
          </w:p>
        </w:tc>
      </w:tr>
      <w:tr>
        <w:trPr>
          <w:trHeight w:val="203"/>
        </w:trPr>
        <w:tc>
          <w:tcPr>
            <w:tcW w:w="4940" w:type="dxa"/>
            <w:vAlign w:val="bottom"/>
          </w:tcPr>
          <w:p>
            <w:pPr>
              <w:ind w:left="180"/>
              <w:spacing w:after="0"/>
              <w:rPr>
                <w:sz w:val="20"/>
                <w:szCs w:val="20"/>
                <w:color w:val="auto"/>
              </w:rPr>
            </w:pPr>
            <w:r>
              <w:rPr>
                <w:rFonts w:ascii="Arial" w:cs="Arial" w:eastAsia="Arial" w:hAnsi="Arial"/>
                <w:sz w:val="15"/>
                <w:szCs w:val="15"/>
                <w:color w:val="auto"/>
              </w:rPr>
              <w:t>Adjustments:</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40" w:type="dxa"/>
            <w:vAlign w:val="bottom"/>
          </w:tcPr>
          <w:p>
            <w:pPr>
              <w:ind w:left="400"/>
              <w:spacing w:after="0"/>
              <w:rPr>
                <w:sz w:val="20"/>
                <w:szCs w:val="20"/>
                <w:color w:val="auto"/>
              </w:rPr>
            </w:pPr>
            <w:r>
              <w:rPr>
                <w:rFonts w:ascii="Arial" w:cs="Arial" w:eastAsia="Arial" w:hAnsi="Arial"/>
                <w:sz w:val="15"/>
                <w:szCs w:val="15"/>
                <w:color w:val="auto"/>
              </w:rPr>
              <w:t>Goodwill and other long-lived asset impairment charges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2.16</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8.89</w:t>
            </w:r>
          </w:p>
        </w:tc>
        <w:tc>
          <w:tcPr>
            <w:tcW w:w="0" w:type="dxa"/>
            <w:vAlign w:val="bottom"/>
          </w:tcPr>
          <w:p>
            <w:pPr>
              <w:spacing w:after="0"/>
              <w:rPr>
                <w:sz w:val="1"/>
                <w:szCs w:val="1"/>
                <w:color w:val="auto"/>
              </w:rPr>
            </w:pPr>
          </w:p>
        </w:tc>
      </w:tr>
      <w:tr>
        <w:trPr>
          <w:trHeight w:val="216"/>
        </w:trPr>
        <w:tc>
          <w:tcPr>
            <w:tcW w:w="4940" w:type="dxa"/>
            <w:vAlign w:val="bottom"/>
          </w:tcPr>
          <w:p>
            <w:pPr>
              <w:ind w:left="400"/>
              <w:spacing w:after="0"/>
              <w:rPr>
                <w:sz w:val="20"/>
                <w:szCs w:val="20"/>
                <w:color w:val="auto"/>
              </w:rPr>
            </w:pPr>
            <w:r>
              <w:rPr>
                <w:rFonts w:ascii="Arial" w:cs="Arial" w:eastAsia="Arial" w:hAnsi="Arial"/>
                <w:sz w:val="15"/>
                <w:szCs w:val="15"/>
                <w:color w:val="auto"/>
              </w:rPr>
              <w:t>Settlement gain related to retiree annuity pension purchase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(109.62)</w:t>
            </w:r>
          </w:p>
        </w:tc>
        <w:tc>
          <w:tcPr>
            <w:tcW w:w="0" w:type="dxa"/>
            <w:vAlign w:val="bottom"/>
          </w:tcPr>
          <w:p>
            <w:pPr>
              <w:spacing w:after="0"/>
              <w:rPr>
                <w:sz w:val="1"/>
                <w:szCs w:val="1"/>
                <w:color w:val="auto"/>
              </w:rPr>
            </w:pPr>
          </w:p>
        </w:tc>
      </w:tr>
      <w:tr>
        <w:trPr>
          <w:trHeight w:val="170"/>
        </w:trPr>
        <w:tc>
          <w:tcPr>
            <w:tcW w:w="4940" w:type="dxa"/>
            <w:vAlign w:val="bottom"/>
          </w:tcPr>
          <w:p>
            <w:pPr>
              <w:ind w:left="400"/>
              <w:spacing w:after="0" w:line="169" w:lineRule="exact"/>
              <w:rPr>
                <w:sz w:val="20"/>
                <w:szCs w:val="20"/>
                <w:color w:val="auto"/>
              </w:rPr>
            </w:pPr>
            <w:r>
              <w:rPr>
                <w:rFonts w:ascii="Arial" w:cs="Arial" w:eastAsia="Arial" w:hAnsi="Arial"/>
                <w:sz w:val="15"/>
                <w:szCs w:val="15"/>
                <w:color w:val="auto"/>
              </w:rPr>
              <w:t>Charges related to non-operating Voluntary Retirement Incentive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40" w:type="dxa"/>
            <w:vAlign w:val="bottom"/>
          </w:tcPr>
          <w:p>
            <w:pPr>
              <w:ind w:left="520"/>
              <w:spacing w:after="0"/>
              <w:rPr>
                <w:sz w:val="20"/>
                <w:szCs w:val="20"/>
                <w:color w:val="auto"/>
              </w:rPr>
            </w:pPr>
            <w:r>
              <w:rPr>
                <w:rFonts w:ascii="Arial" w:cs="Arial" w:eastAsia="Arial" w:hAnsi="Arial"/>
                <w:sz w:val="15"/>
                <w:szCs w:val="15"/>
                <w:color w:val="auto"/>
              </w:rPr>
              <w:t>Program and Separation Incentive Programs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1.55</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3.52</w:t>
            </w:r>
          </w:p>
        </w:tc>
        <w:tc>
          <w:tcPr>
            <w:tcW w:w="0" w:type="dxa"/>
            <w:vAlign w:val="bottom"/>
          </w:tcPr>
          <w:p>
            <w:pPr>
              <w:spacing w:after="0"/>
              <w:rPr>
                <w:sz w:val="1"/>
                <w:szCs w:val="1"/>
                <w:color w:val="auto"/>
              </w:rPr>
            </w:pPr>
          </w:p>
        </w:tc>
      </w:tr>
      <w:tr>
        <w:trPr>
          <w:trHeight w:val="216"/>
        </w:trPr>
        <w:tc>
          <w:tcPr>
            <w:tcW w:w="4940" w:type="dxa"/>
            <w:vAlign w:val="bottom"/>
          </w:tcPr>
          <w:p>
            <w:pPr>
              <w:ind w:left="400"/>
              <w:spacing w:after="0"/>
              <w:rPr>
                <w:sz w:val="20"/>
                <w:szCs w:val="20"/>
                <w:color w:val="auto"/>
              </w:rPr>
            </w:pPr>
            <w:r>
              <w:rPr>
                <w:rFonts w:ascii="Arial" w:cs="Arial" w:eastAsia="Arial" w:hAnsi="Arial"/>
                <w:sz w:val="15"/>
                <w:szCs w:val="15"/>
                <w:color w:val="auto"/>
              </w:rPr>
              <w:t>Net gains on marketable equity securities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(33.90)</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(30.41)</w:t>
            </w:r>
          </w:p>
        </w:tc>
        <w:tc>
          <w:tcPr>
            <w:tcW w:w="0" w:type="dxa"/>
            <w:vAlign w:val="bottom"/>
          </w:tcPr>
          <w:p>
            <w:pPr>
              <w:spacing w:after="0"/>
              <w:rPr>
                <w:sz w:val="1"/>
                <w:szCs w:val="1"/>
                <w:color w:val="auto"/>
              </w:rPr>
            </w:pPr>
          </w:p>
        </w:tc>
      </w:tr>
      <w:tr>
        <w:trPr>
          <w:trHeight w:val="170"/>
        </w:trPr>
        <w:tc>
          <w:tcPr>
            <w:tcW w:w="4940" w:type="dxa"/>
            <w:vAlign w:val="bottom"/>
          </w:tcPr>
          <w:p>
            <w:pPr>
              <w:ind w:left="400"/>
              <w:spacing w:after="0" w:line="169" w:lineRule="exact"/>
              <w:rPr>
                <w:sz w:val="20"/>
                <w:szCs w:val="20"/>
                <w:color w:val="auto"/>
              </w:rPr>
            </w:pPr>
            <w:r>
              <w:rPr>
                <w:rFonts w:ascii="Arial" w:cs="Arial" w:eastAsia="Arial" w:hAnsi="Arial"/>
                <w:sz w:val="15"/>
                <w:szCs w:val="15"/>
                <w:color w:val="auto"/>
              </w:rPr>
              <w:t>Net losses of affiliates whose operations are not managed by the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40" w:type="dxa"/>
            <w:vAlign w:val="bottom"/>
          </w:tcPr>
          <w:p>
            <w:pPr>
              <w:ind w:left="520"/>
              <w:spacing w:after="0"/>
              <w:rPr>
                <w:sz w:val="20"/>
                <w:szCs w:val="20"/>
                <w:color w:val="auto"/>
              </w:rPr>
            </w:pPr>
            <w:r>
              <w:rPr>
                <w:rFonts w:ascii="Arial" w:cs="Arial" w:eastAsia="Arial" w:hAnsi="Arial"/>
                <w:sz w:val="15"/>
                <w:szCs w:val="15"/>
                <w:color w:val="auto"/>
              </w:rPr>
              <w:t>Company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2.83</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0.59</w:t>
            </w:r>
          </w:p>
        </w:tc>
        <w:tc>
          <w:tcPr>
            <w:tcW w:w="0" w:type="dxa"/>
            <w:vAlign w:val="bottom"/>
          </w:tcPr>
          <w:p>
            <w:pPr>
              <w:spacing w:after="0"/>
              <w:rPr>
                <w:sz w:val="1"/>
                <w:szCs w:val="1"/>
                <w:color w:val="auto"/>
              </w:rPr>
            </w:pPr>
          </w:p>
        </w:tc>
      </w:tr>
      <w:tr>
        <w:trPr>
          <w:trHeight w:val="216"/>
        </w:trPr>
        <w:tc>
          <w:tcPr>
            <w:tcW w:w="4940" w:type="dxa"/>
            <w:vAlign w:val="bottom"/>
          </w:tcPr>
          <w:p>
            <w:pPr>
              <w:ind w:left="400"/>
              <w:spacing w:after="0"/>
              <w:rPr>
                <w:sz w:val="20"/>
                <w:szCs w:val="20"/>
                <w:color w:val="auto"/>
              </w:rPr>
            </w:pPr>
            <w:r>
              <w:rPr>
                <w:rFonts w:ascii="Arial" w:cs="Arial" w:eastAsia="Arial" w:hAnsi="Arial"/>
                <w:sz w:val="15"/>
                <w:szCs w:val="15"/>
                <w:color w:val="auto"/>
              </w:rPr>
              <w:t>Gain on sale of certain businesses and websites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(1.19)</w:t>
            </w:r>
          </w:p>
        </w:tc>
        <w:tc>
          <w:tcPr>
            <w:tcW w:w="0" w:type="dxa"/>
            <w:vAlign w:val="bottom"/>
          </w:tcPr>
          <w:p>
            <w:pPr>
              <w:spacing w:after="0"/>
              <w:rPr>
                <w:sz w:val="1"/>
                <w:szCs w:val="1"/>
                <w:color w:val="auto"/>
              </w:rPr>
            </w:pPr>
          </w:p>
        </w:tc>
      </w:tr>
      <w:tr>
        <w:trPr>
          <w:trHeight w:val="170"/>
        </w:trPr>
        <w:tc>
          <w:tcPr>
            <w:tcW w:w="4940" w:type="dxa"/>
            <w:vAlign w:val="bottom"/>
          </w:tcPr>
          <w:p>
            <w:pPr>
              <w:ind w:left="400"/>
              <w:spacing w:after="0" w:line="169" w:lineRule="exact"/>
              <w:rPr>
                <w:sz w:val="20"/>
                <w:szCs w:val="20"/>
                <w:color w:val="auto"/>
              </w:rPr>
            </w:pPr>
            <w:r>
              <w:rPr>
                <w:rFonts w:ascii="Arial" w:cs="Arial" w:eastAsia="Arial" w:hAnsi="Arial"/>
                <w:sz w:val="15"/>
                <w:szCs w:val="15"/>
                <w:color w:val="auto"/>
              </w:rPr>
              <w:t>Non-operating (gain) loss, net, from earnings, valuation</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940" w:type="dxa"/>
            <w:vAlign w:val="bottom"/>
          </w:tcPr>
          <w:p>
            <w:pPr>
              <w:ind w:left="520"/>
              <w:spacing w:after="0"/>
              <w:rPr>
                <w:sz w:val="20"/>
                <w:szCs w:val="20"/>
                <w:color w:val="auto"/>
              </w:rPr>
            </w:pPr>
            <w:r>
              <w:rPr>
                <w:rFonts w:ascii="Arial" w:cs="Arial" w:eastAsia="Arial" w:hAnsi="Arial"/>
                <w:sz w:val="15"/>
                <w:szCs w:val="15"/>
                <w:color w:val="auto"/>
              </w:rPr>
              <w:t>adjustments, sales and impairments of equity and cost method</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(1.50)</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940" w:type="dxa"/>
            <w:vAlign w:val="bottom"/>
          </w:tcPr>
          <w:p>
            <w:pPr>
              <w:ind w:left="520"/>
              <w:spacing w:after="0"/>
              <w:rPr>
                <w:sz w:val="20"/>
                <w:szCs w:val="20"/>
                <w:color w:val="auto"/>
              </w:rPr>
            </w:pPr>
            <w:r>
              <w:rPr>
                <w:rFonts w:ascii="Arial" w:cs="Arial" w:eastAsia="Arial" w:hAnsi="Arial"/>
                <w:sz w:val="15"/>
                <w:szCs w:val="15"/>
                <w:color w:val="auto"/>
              </w:rPr>
              <w:t>investments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70"/>
        </w:trPr>
        <w:tc>
          <w:tcPr>
            <w:tcW w:w="4940" w:type="dxa"/>
            <w:vAlign w:val="bottom"/>
          </w:tcPr>
          <w:p>
            <w:pPr>
              <w:ind w:left="400"/>
              <w:spacing w:after="0" w:line="169" w:lineRule="exact"/>
              <w:rPr>
                <w:sz w:val="20"/>
                <w:szCs w:val="20"/>
                <w:color w:val="auto"/>
              </w:rPr>
            </w:pPr>
            <w:r>
              <w:rPr>
                <w:rFonts w:ascii="Arial" w:cs="Arial" w:eastAsia="Arial" w:hAnsi="Arial"/>
                <w:sz w:val="15"/>
                <w:szCs w:val="15"/>
                <w:color w:val="auto"/>
              </w:rPr>
              <w:t>Interest expense related to the fair value adjustment of the</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940" w:type="dxa"/>
            <w:vAlign w:val="bottom"/>
          </w:tcPr>
          <w:p>
            <w:pPr>
              <w:ind w:left="520"/>
              <w:spacing w:after="0"/>
              <w:rPr>
                <w:sz w:val="20"/>
                <w:szCs w:val="20"/>
                <w:color w:val="auto"/>
              </w:rPr>
            </w:pPr>
            <w:r>
              <w:rPr>
                <w:rFonts w:ascii="Arial" w:cs="Arial" w:eastAsia="Arial" w:hAnsi="Arial"/>
                <w:sz w:val="15"/>
                <w:szCs w:val="15"/>
                <w:color w:val="auto"/>
              </w:rPr>
              <w:t>mandatorily redeemable noncontrolling interest</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15"/>
                <w:szCs w:val="15"/>
                <w:b w:val="1"/>
                <w:bCs w:val="1"/>
                <w:color w:val="auto"/>
              </w:rPr>
              <w:t>11.63</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25.65</w:t>
            </w:r>
          </w:p>
        </w:tc>
        <w:tc>
          <w:tcPr>
            <w:tcW w:w="0" w:type="dxa"/>
            <w:vAlign w:val="bottom"/>
          </w:tcPr>
          <w:p>
            <w:pPr>
              <w:spacing w:after="0"/>
              <w:rPr>
                <w:sz w:val="1"/>
                <w:szCs w:val="1"/>
                <w:color w:val="auto"/>
              </w:rPr>
            </w:pPr>
          </w:p>
        </w:tc>
      </w:tr>
      <w:tr>
        <w:trPr>
          <w:trHeight w:val="170"/>
        </w:trPr>
        <w:tc>
          <w:tcPr>
            <w:tcW w:w="4940" w:type="dxa"/>
            <w:vAlign w:val="bottom"/>
          </w:tcPr>
          <w:p>
            <w:pPr>
              <w:ind w:left="60"/>
              <w:spacing w:after="0" w:line="169" w:lineRule="exact"/>
              <w:rPr>
                <w:sz w:val="20"/>
                <w:szCs w:val="20"/>
                <w:color w:val="auto"/>
              </w:rPr>
            </w:pPr>
            <w:r>
              <w:rPr>
                <w:rFonts w:ascii="Arial" w:cs="Arial" w:eastAsia="Arial" w:hAnsi="Arial"/>
                <w:sz w:val="15"/>
                <w:szCs w:val="15"/>
                <w:color w:val="auto"/>
              </w:rPr>
              <w:t>Tax expense related to the Company’s pension and other</w:t>
            </w: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940" w:type="dxa"/>
            <w:vAlign w:val="bottom"/>
          </w:tcPr>
          <w:p>
            <w:pPr>
              <w:ind w:left="180"/>
              <w:spacing w:after="0"/>
              <w:rPr>
                <w:sz w:val="20"/>
                <w:szCs w:val="20"/>
                <w:color w:val="auto"/>
              </w:rPr>
            </w:pPr>
            <w:r>
              <w:rPr>
                <w:rFonts w:ascii="Arial" w:cs="Arial" w:eastAsia="Arial" w:hAnsi="Arial"/>
                <w:sz w:val="15"/>
                <w:szCs w:val="15"/>
                <w:color w:val="auto"/>
              </w:rPr>
              <w:t>postretirement plans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2.26</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4940" w:type="dxa"/>
            <w:vAlign w:val="bottom"/>
          </w:tcPr>
          <w:p>
            <w:pPr>
              <w:ind w:left="180"/>
              <w:spacing w:after="0"/>
              <w:rPr>
                <w:sz w:val="20"/>
                <w:szCs w:val="20"/>
                <w:color w:val="auto"/>
              </w:rPr>
            </w:pPr>
            <w:r>
              <w:rPr>
                <w:rFonts w:ascii="Arial" w:cs="Arial" w:eastAsia="Arial" w:hAnsi="Arial"/>
                <w:sz w:val="15"/>
                <w:szCs w:val="15"/>
                <w:color w:val="auto"/>
              </w:rPr>
              <w:t>Diluted income per common share, adjusted (non-GAAP)</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51.50</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63.63</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The adjusted diluted per share amounts may not compute due to rounding.</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240"/>
      </w:cols>
      <w:pgMar w:left="320" w:top="10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2026-02-25T07:34:00Z</dcterms:created>
  <dcterms:modified xsi:type="dcterms:W3CDTF">2026-02-25T07:34:00Z</dcterms:modified>
</cp:coreProperties>
</file>