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Graham Holdings Company</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1-6714</w:t>
            </w:r>
          </w:p>
        </w:tc>
        <w:tc>
          <w:tcPr>
            <w:tcW w:w="348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22"/>
                <w:szCs w:val="22"/>
                <w:color w:val="auto"/>
              </w:rPr>
              <w:t>53-0182885</w:t>
            </w:r>
          </w:p>
        </w:tc>
      </w:tr>
      <w:tr>
        <w:trPr>
          <w:trHeight w:val="270"/>
        </w:trPr>
        <w:tc>
          <w:tcPr>
            <w:tcW w:w="4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(State or other jurisdiction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(Commission</w:t>
            </w:r>
          </w:p>
        </w:tc>
        <w:tc>
          <w:tcPr>
            <w:tcW w:w="34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2"/>
        </w:trPr>
        <w:tc>
          <w:tcPr>
            <w:tcW w:w="4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of incorporation or organization)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File Number)</w:t>
            </w:r>
          </w:p>
        </w:tc>
        <w:tc>
          <w:tcPr>
            <w:tcW w:w="34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608"/>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1300 North 17th St., Arlington, VA</w:t>
            </w:r>
          </w:p>
        </w:tc>
        <w:tc>
          <w:tcPr>
            <w:tcW w:w="3600" w:type="dxa"/>
            <w:vAlign w:val="bottom"/>
          </w:tcPr>
          <w:p>
            <w:pPr>
              <w:spacing w:after="0"/>
              <w:rPr>
                <w:sz w:val="24"/>
                <w:szCs w:val="24"/>
                <w:color w:val="auto"/>
              </w:rPr>
            </w:pPr>
          </w:p>
        </w:tc>
        <w:tc>
          <w:tcPr>
            <w:tcW w:w="3480" w:type="dxa"/>
            <w:vAlign w:val="bottom"/>
            <w:tcBorders>
              <w:bottom w:val="single" w:sz="8" w:color="auto"/>
            </w:tcBorders>
          </w:tcPr>
          <w:p>
            <w:pPr>
              <w:jc w:val="right"/>
              <w:ind w:right="1372"/>
              <w:spacing w:after="0"/>
              <w:rPr>
                <w:sz w:val="20"/>
                <w:szCs w:val="20"/>
                <w:color w:val="auto"/>
              </w:rPr>
            </w:pPr>
            <w:r>
              <w:rPr>
                <w:rFonts w:ascii="Times New Roman" w:cs="Times New Roman" w:eastAsia="Times New Roman" w:hAnsi="Times New Roman"/>
                <w:sz w:val="22"/>
                <w:szCs w:val="22"/>
                <w:color w:val="auto"/>
              </w:rPr>
              <w:t>22209</w:t>
            </w:r>
          </w:p>
        </w:tc>
      </w:tr>
      <w:tr>
        <w:trPr>
          <w:trHeight w:val="277"/>
        </w:trPr>
        <w:tc>
          <w:tcPr>
            <w:tcW w:w="4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(Address of principal executive offices)</w:t>
            </w:r>
          </w:p>
        </w:tc>
        <w:tc>
          <w:tcPr>
            <w:tcW w:w="36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(Zip code)</w:t>
            </w:r>
          </w:p>
        </w:tc>
      </w:tr>
    </w:tbl>
    <w:p>
      <w:pPr>
        <w:spacing w:after="0" w:line="29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color w:val="auto"/>
        </w:rPr>
        <w:t>Nicole Maddrey 703-345-6362</w:t>
      </w:r>
    </w:p>
    <w:p>
      <w:pPr>
        <w:spacing w:after="0" w:line="3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-151130</wp:posOffset>
            </wp:positionV>
            <wp:extent cx="2288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185" w:lineRule="exact"/>
        <w:rPr>
          <w:sz w:val="24"/>
          <w:szCs w:val="24"/>
          <w:color w:val="auto"/>
        </w:rPr>
      </w:pPr>
    </w:p>
    <w:p>
      <w:pPr>
        <w:ind w:right="140" w:firstLine="8"/>
        <w:spacing w:after="0" w:line="271" w:lineRule="auto"/>
        <w:tabs>
          <w:tab w:leader="none" w:pos="35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2023.</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64" w:lineRule="exact"/>
        <w:rPr>
          <w:sz w:val="20"/>
          <w:szCs w:val="20"/>
          <w:color w:val="auto"/>
        </w:rPr>
      </w:pPr>
    </w:p>
    <w:p>
      <w:pPr>
        <w:ind w:right="3400"/>
        <w:spacing w:after="0" w:line="271" w:lineRule="auto"/>
        <w:rPr>
          <w:sz w:val="20"/>
          <w:szCs w:val="20"/>
          <w:color w:val="auto"/>
        </w:rPr>
      </w:pPr>
      <w:r>
        <w:rPr>
          <w:rFonts w:ascii="Times New Roman" w:cs="Times New Roman" w:eastAsia="Times New Roman" w:hAnsi="Times New Roman"/>
          <w:sz w:val="22"/>
          <w:szCs w:val="22"/>
          <w:color w:val="auto"/>
        </w:rPr>
        <w:t>A copy of our Conflict Minerals Report is filed as Exhibit 1.01 and is publicly available at http://www.ghco.com/phoenix.zhtml?c=62487&amp;p=irol-sec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Exhibits</w:t>
      </w:r>
    </w:p>
    <w:p>
      <w:pPr>
        <w:spacing w:after="0" w:line="200" w:lineRule="exact"/>
        <w:rPr>
          <w:sz w:val="20"/>
          <w:szCs w:val="20"/>
          <w:color w:val="auto"/>
        </w:rPr>
      </w:pPr>
    </w:p>
    <w:p>
      <w:pPr>
        <w:spacing w:after="0" w:line="280" w:lineRule="exact"/>
        <w:rPr>
          <w:sz w:val="20"/>
          <w:szCs w:val="20"/>
          <w:color w:val="auto"/>
        </w:rPr>
      </w:pPr>
    </w:p>
    <w:tbl>
      <w:tblPr>
        <w:tblLayout w:type="fixed"/>
        <w:tblInd w:w="680" w:type="dxa"/>
        <w:tblCellMar>
          <w:top w:w="0" w:type="dxa"/>
          <w:left w:w="0" w:type="dxa"/>
          <w:bottom w:w="0" w:type="dxa"/>
          <w:right w:w="0" w:type="dxa"/>
        </w:tblCellMar>
      </w:tblPr>
      <w:tr>
        <w:trPr>
          <w:trHeight w:val="291"/>
        </w:trPr>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Designation</w:t>
            </w:r>
          </w:p>
        </w:tc>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22"/>
                <w:szCs w:val="22"/>
                <w:color w:val="auto"/>
              </w:rPr>
              <w:t>Description</w:t>
            </w:r>
          </w:p>
        </w:tc>
        <w:tc>
          <w:tcPr>
            <w:tcW w:w="4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2"/>
                <w:szCs w:val="22"/>
                <w:color w:val="auto"/>
              </w:rPr>
              <w:t>Method of Filing</w:t>
            </w:r>
          </w:p>
        </w:tc>
      </w:tr>
      <w:tr>
        <w:trPr>
          <w:trHeight w:val="216"/>
        </w:trPr>
        <w:tc>
          <w:tcPr>
            <w:tcW w:w="60" w:type="dxa"/>
            <w:vAlign w:val="bottom"/>
          </w:tcPr>
          <w:p>
            <w:pPr>
              <w:spacing w:after="0"/>
              <w:rPr>
                <w:sz w:val="18"/>
                <w:szCs w:val="18"/>
                <w:color w:val="auto"/>
              </w:rPr>
            </w:pPr>
          </w:p>
        </w:tc>
        <w:tc>
          <w:tcPr>
            <w:tcW w:w="1060" w:type="dxa"/>
            <w:vAlign w:val="bottom"/>
            <w:tcBorders>
              <w:bottom w:val="single" w:sz="8" w:color="0000FF"/>
            </w:tcBorders>
          </w:tcPr>
          <w:p>
            <w:pPr>
              <w:spacing w:after="0" w:line="216" w:lineRule="exact"/>
              <w:rPr>
                <w:sz w:val="20"/>
                <w:szCs w:val="20"/>
                <w:color w:val="auto"/>
              </w:rPr>
            </w:pPr>
            <w:r>
              <w:rPr>
                <w:rFonts w:ascii="Times New Roman" w:cs="Times New Roman" w:eastAsia="Times New Roman" w:hAnsi="Times New Roman"/>
                <w:sz w:val="22"/>
                <w:szCs w:val="22"/>
                <w:color w:val="0000FF"/>
                <w:w w:val="95"/>
              </w:rPr>
              <w:t>Exhibit 1.01</w:t>
            </w:r>
          </w:p>
        </w:tc>
        <w:tc>
          <w:tcPr>
            <w:tcW w:w="4220" w:type="dxa"/>
            <w:vAlign w:val="bottom"/>
          </w:tcPr>
          <w:p>
            <w:pPr>
              <w:ind w:left="1300"/>
              <w:spacing w:after="0" w:line="216" w:lineRule="exact"/>
              <w:rPr>
                <w:sz w:val="20"/>
                <w:szCs w:val="20"/>
                <w:color w:val="auto"/>
              </w:rPr>
            </w:pPr>
            <w:r>
              <w:rPr>
                <w:rFonts w:ascii="Times New Roman" w:cs="Times New Roman" w:eastAsia="Times New Roman" w:hAnsi="Times New Roman"/>
                <w:sz w:val="22"/>
                <w:szCs w:val="22"/>
                <w:color w:val="auto"/>
              </w:rPr>
              <w:t>Conflict Minerals Report</w:t>
            </w:r>
          </w:p>
        </w:tc>
        <w:tc>
          <w:tcPr>
            <w:tcW w:w="4560" w:type="dxa"/>
            <w:vAlign w:val="bottom"/>
          </w:tcPr>
          <w:p>
            <w:pPr>
              <w:ind w:left="740"/>
              <w:spacing w:after="0" w:line="216" w:lineRule="exact"/>
              <w:rPr>
                <w:sz w:val="20"/>
                <w:szCs w:val="20"/>
                <w:color w:val="auto"/>
              </w:rPr>
            </w:pPr>
            <w:r>
              <w:rPr>
                <w:rFonts w:ascii="Times New Roman" w:cs="Times New Roman" w:eastAsia="Times New Roman" w:hAnsi="Times New Roman"/>
                <w:sz w:val="22"/>
                <w:szCs w:val="22"/>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Graham Holdings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91"/>
        </w:trPr>
        <w:tc>
          <w:tcPr>
            <w:tcW w:w="7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Nicole M. Maddrey</w:t>
            </w:r>
          </w:p>
        </w:tc>
        <w:tc>
          <w:tcPr>
            <w:tcW w:w="330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22"/>
                <w:szCs w:val="22"/>
                <w:color w:val="auto"/>
                <w:w w:val="97"/>
              </w:rPr>
              <w:t>May 31, 2024</w:t>
            </w:r>
          </w:p>
        </w:tc>
      </w:tr>
      <w:tr>
        <w:trPr>
          <w:trHeight w:val="282"/>
        </w:trPr>
        <w:tc>
          <w:tcPr>
            <w:tcW w:w="7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By Nicole M. Maddrey, Senior Vice President, Secretary, General Counsel</w:t>
            </w:r>
          </w:p>
        </w:tc>
        <w:tc>
          <w:tcPr>
            <w:tcW w:w="3300" w:type="dxa"/>
            <w:vAlign w:val="bottom"/>
          </w:tcPr>
          <w:p>
            <w:pPr>
              <w:jc w:val="center"/>
              <w:ind w:left="632"/>
              <w:spacing w:after="0"/>
              <w:rPr>
                <w:sz w:val="20"/>
                <w:szCs w:val="20"/>
                <w:color w:val="auto"/>
              </w:rPr>
            </w:pPr>
            <w:r>
              <w:rPr>
                <w:rFonts w:ascii="Times New Roman" w:cs="Times New Roman" w:eastAsia="Times New Roman" w:hAnsi="Times New Roman"/>
                <w:sz w:val="22"/>
                <w:szCs w:val="22"/>
                <w:color w:val="auto"/>
                <w:w w:val="99"/>
              </w:rPr>
              <w:t>(Date)</w:t>
            </w:r>
          </w:p>
        </w:tc>
      </w:tr>
    </w:tbl>
    <w:p>
      <w:pPr>
        <w:sectPr>
          <w:pgSz w:w="11900" w:h="16838" w:orient="portrait"/>
          <w:cols w:equalWidth="0" w:num="1">
            <w:col w:w="11220"/>
          </w:cols>
          <w:pgMar w:left="320" w:top="689" w:right="359" w:bottom="1440" w:gutter="0" w:footer="0" w:header="0"/>
        </w:sectPr>
      </w:pPr>
    </w:p>
    <w:bookmarkStart w:id="2" w:name="page3"/>
    <w:bookmarkEnd w:id="2"/>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1.01 - Graham Holdings Company Conflict Minerals Report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Introduction</w:t>
      </w:r>
    </w:p>
    <w:p>
      <w:pPr>
        <w:spacing w:after="0" w:line="23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the Company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Company and Products Overview</w:t>
      </w:r>
    </w:p>
    <w:p>
      <w:pPr>
        <w:spacing w:after="0" w:line="237"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This Conflict Minerals Report (the “Report”) for the year ended December 31, 2023 (the "Reporting Period"), is presented by Graham Holdings Company (the “Company”) to comply with Rule 13p-1 under the Securities Exchange Act of 1934 (the “Conflict Minerals Rule”). The Company is a diversified holding company whose operations include education, television broadcasting; manufacturing; healthcare; automotive dealerships and other businesses. The Company’s manufacturing companies include Group Dekko Inc. (“Dekko”), Forney Corporation (“Forney”) and Joyce/Dayton Corp. (“Joyce”). Forney is a global supplier of products and systems that control and monitor combustion processes in electric utility and industrial applications. Joyce is a global supplier of screw jacks, linear actuators and lifting systems used in commercial and industrial applications.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In addition, the Company's subsidiary, Society6, LLC and Deny Designs, LLC (together “Society6 Group), run made-to-order marketplaces which offer consumer products in the home décor, accessories, furniture and apparel categories.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 Conflict Mineral Disclosures</w:t>
      </w:r>
    </w:p>
    <w:p>
      <w:pPr>
        <w:spacing w:after="0" w:line="22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Company has reviewed its operations to determine which parts of its business may be subject to the disclosure requirements under the Dodd-Frank Act of 2010, which requires public companies to disclose measures they have taken to identify the source of “conflict minerals” in the products they manufacture or contract to manufacture. The Company did not include products that were not entered into the stream of commerce in the calendar year ended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Dekko, Forney and Joyce manufacture products that contain small amounts of 3TG metals.</w:t>
      </w:r>
    </w:p>
    <w:p>
      <w:pPr>
        <w:spacing w:after="0" w:line="23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These products incorporate generic components obtained from other companies that contain tantalum, tin, tungsten and gold. The 3TG in these generic components are necessary to the functionality of Dekko’s, Forney’s and Joyce’s products. These generic components are purchased</w:t>
      </w:r>
    </w:p>
    <w:p>
      <w:pPr>
        <w:ind w:right="120"/>
        <w:spacing w:after="0" w:line="237" w:lineRule="auto"/>
        <w:rPr>
          <w:sz w:val="20"/>
          <w:szCs w:val="20"/>
          <w:color w:val="auto"/>
        </w:rPr>
      </w:pPr>
      <w:r>
        <w:rPr>
          <w:rFonts w:ascii="Times New Roman" w:cs="Times New Roman" w:eastAsia="Times New Roman" w:hAnsi="Times New Roman"/>
          <w:sz w:val="22"/>
          <w:szCs w:val="22"/>
          <w:color w:val="auto"/>
        </w:rPr>
        <w:t>from manufacturers and distributors. Dekko, Forney and Joyce do not purchase any 3TG metals directly from mines, smelters or refiners.</w:t>
      </w:r>
    </w:p>
    <w:p>
      <w:pPr>
        <w:spacing w:after="0" w:line="20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A portion of the procured components and materials within Dekko power distribution products, lighting products, wire harnesses and electro-mechanical assemblies contain gold and tin used as an electrically conductive plating (including electrical wire and cable (tin), plated terminals within purchased connector assemblies (tin and gold) and tin plated copper purchased by Dekko to manufacture electrical terminals). Tin is the most predominant 3TG metal within Dekko’s products and may also be present in the form of solder used by component suppliers and by Dekko to establish electrical connections. Dekko’s lighting products may contain tungsten (products utilizing incandescent or fluorescent lamp technologies); the steel in some purchased products may also contain tungsten as an alloying element. Printed circuit board assemblies subcontracted by Dekko for inclusion in their products and utilizing certain capacitors may contain tantalum. Forney’s products that contain gold and tin are printed circuit boards and connectors; products that contain tantalum are capacitors; and products that contain tungsten are electrical materials such as resistors. Joyce’s products that contain gold and tin are electrical wiring, name plates, castings and covers; products that contain tantalum are screws and nuts.</w:t>
      </w:r>
    </w:p>
    <w:p>
      <w:pPr>
        <w:spacing w:after="0" w:line="21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With respect to the Society6 Group, the vast majority of the products sold through the Society6 website are manufactured by third parties. A small portion of Society6 Group's products are manufactured in-house by Deny Designs, a wholly owned subsidiary of the Company. Society6 Group undertook due diligence to determine whether any of the materials that were necessary to the functionality or production of the finished products sold by the Society6 Group in the Reporting Period contained any 3TG metals. Society6 Group does not purchase 3TG directly from any mine, refiner or smelter. Society6 Group's due diligence measures included conducting a supply-chain survey by polling all of the third-party manufacturers with which Society6 Group</w:t>
      </w:r>
    </w:p>
    <w:p>
      <w:pPr>
        <w:sectPr>
          <w:pgSz w:w="11900" w:h="16850" w:orient="portrait"/>
          <w:cols w:equalWidth="0" w:num="1">
            <w:col w:w="11240"/>
          </w:cols>
          <w:pgMar w:left="320" w:top="1121" w:right="339" w:bottom="0" w:gutter="0" w:footer="0" w:header="0"/>
        </w:sectPr>
      </w:pPr>
    </w:p>
    <w:bookmarkStart w:id="3" w:name="page4"/>
    <w:bookmarkEnd w:id="3"/>
    <w:p>
      <w:pPr>
        <w:spacing w:after="0" w:line="1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contracted to produce and manufacture the products sold by it during the Reporting Period, and all of the third-party suppliers with which it contracted to supply the materials for Deny Designs to produce and manufacture the products to be sold by it during the Reporting Period. The surveys asked such third-party manufacturers and suppliers to certify in writing whether products or materials supplied to Society6 Group contained any amounts of 3TG. All of such manufacturers and suppliers confirmed that no amount of 3TG was contained in any of the materials in the finished products sold by Society6 Group. As a result, Sociey6 Group does not believe that any of the products sold during the Reporting Period that were manufactured by Deny Designs or by any third-party manufacturer on its behalf contained any 3TG in the materials that were necessary to the functionality or production of its finished products. Therefore, Society6 Group did not conduct its own Reasonable Country of Origin Inquiry with regard to any of the products it sold in the Reporting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Supply Chain Overview</w:t>
      </w:r>
    </w:p>
    <w:p>
      <w:pPr>
        <w:spacing w:after="0" w:line="2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Because Dekko, Forney and Joyce do not purchase 3TG directly from any mine, refiner or smelter, they are in a “downstream” position in the supply chain, that is, downstream in the supply chain from smelters to refiners to retailers. As such, Dekko, Forney and Joyce rely on their direct suppliers and distributors to provide information on the origin of the 3TG contained in components supplied to them, including sources of 3TG that are supplied to them from lower tier suppliers. See Section 4.1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 Conflict Minerals Policy</w:t>
      </w:r>
    </w:p>
    <w:p>
      <w:pPr>
        <w:spacing w:after="0" w:line="237" w:lineRule="exact"/>
        <w:rPr>
          <w:sz w:val="20"/>
          <w:szCs w:val="20"/>
          <w:color w:val="auto"/>
        </w:rPr>
      </w:pPr>
    </w:p>
    <w:p>
      <w:pPr>
        <w:ind w:right="440"/>
        <w:spacing w:after="0" w:line="238" w:lineRule="auto"/>
        <w:rPr>
          <w:sz w:val="20"/>
          <w:szCs w:val="20"/>
          <w:color w:val="auto"/>
        </w:rPr>
      </w:pPr>
      <w:r>
        <w:rPr>
          <w:rFonts w:ascii="Times New Roman" w:cs="Times New Roman" w:eastAsia="Times New Roman" w:hAnsi="Times New Roman"/>
          <w:sz w:val="22"/>
          <w:szCs w:val="22"/>
          <w:color w:val="auto"/>
        </w:rPr>
        <w:t>Dekko, Forney and Joyce adopted conflict minerals policies that are available on each of their respective websites at: https://www.forneycorp.com/policies; http://joycedayton.com/about-us/certifications; and under the "Global Sourcing" tab at http://www.dekko.com/capabilities.</w:t>
      </w:r>
    </w:p>
    <w:p>
      <w:pPr>
        <w:spacing w:after="0" w:line="206"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The Company is committed to the responsible sourcing of Conflict Minerals throughout its supply chain for products that it manufactures that contain these minerals. Under the Conflict Minerals Rule, “conflict minerals” are the source of financing for armed conflicts in the Democratic Republic of the Congo (the “DRC”) and adjoining countries. The Conflict Minerals Rule is intended to reduce a significant source of funding for armed groups that are committing human rights abuses in the DRC and adjoining countries. “Conflict minerals” are four specific minerals and their derivatives: columbite-tantalite (the metal ore from which tantalum is extracted), cassiterite (the metal ore from which tin is extracted), wolframite (the metal ore from which tungsten is extracted), and gold. The Company has policies and systems in place to reduce the risk that the minerals used in any of its products originate from conflict mines in the Covered Countries. It is committed to strengthening its efforts to ensure that it refrains from, directly or indirectly, taking or supporting any action that contributes to the financing of armed groups that are committing human rights abuses in the DRC and other covered countries.</w:t>
      </w:r>
    </w:p>
    <w:p>
      <w:pPr>
        <w:spacing w:after="0" w:line="210"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Reasonable Country of Origin Inquiry (“RCOI”)</w:t>
      </w:r>
    </w:p>
    <w:p>
      <w:pPr>
        <w:spacing w:after="0" w:line="246"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4.1 Requests for Information and Survey Responses</w:t>
      </w:r>
    </w:p>
    <w:p>
      <w:pPr>
        <w:spacing w:after="0" w:line="23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Reasonable country of origin inquiries were conducted that were reasonably designed to determine whether any 3TG necessary to the functionality or production of products originated in the Covered Countries or were from recycled or scrap sources. The Company does not source 3TG metals directly from mines, smelters or refiners and are therefore several levels removed from them. As a result, it relies on the cooperation of its suppliers in the implementation of its conflict minerals policies and the provision of information on the origin of the 3TG contained in the products that they supply to the Company. Dekko, Forney and Joyce undertook an investigation of their suppliers of the generic components to determine the sources of the minerals incorporated into those components. Steps undertaken to determine sourcing included reviewing purchase orders, identifying active purchased SKUs, determining 3TG content (if any) for each SKU; identifying applicable supplier(s) for each 3TG SKU (direct supplier); identifying the manufacturer (OEM) for each SKU (indirect 3TG supplier); providing suppliers with a “Conflict Mineral Reporting Template” (CMRT or the “Template”) developed by the Responsible Minerals Initiative (“RMI”); conducting a due diligence review of responses, including follow-up for clarification, correction or non-responsiveness; validating responses (review of reported smelters/refiners against information found on the RMI website); and identifying and executing corrective actions, where possible, to address any identified smelters of high concern. The Template is designed to provide information concerning the supplier’s policy for the sourcing of 3TG metals, identification of the 3TG metals present in the supplier’s products, the origin of those metals, whether those 3TG metals come from recycled or scrap sources and the supplier’s due diligence regarding conflict-free sourcing practices. A significant number of the Dekko, Forney and Joyce suppliers are distributors and not the actual manufacturer of the components supplied to them. In many cases, these distributors are unable to provide smelter information and direct the requestor to the manufacturer.</w:t>
      </w:r>
    </w:p>
    <w:p>
      <w:pPr>
        <w:spacing w:after="0" w:line="207"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In connection with Dekko’s due diligence efforts for the 2023 RCOI, including Dekko’s subsidiaries Electri-Cable Assemblies and Furnlite, Dekko reviewed approximately 4,463 purchase SKUs for 3TG content, identifying 358 direct material suppliers of which 123 suppliers are “3TG suppliers” with 1,754 SKUs. Of the 123 “3TG suppliers”, there were 66 distributors, leaving 57 direct material suppliers. Dekko solicited the direct suppliers of which 28 responded with updated</w:t>
      </w:r>
    </w:p>
    <w:p>
      <w:pPr>
        <w:spacing w:after="0" w:line="1"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22"/>
          <w:szCs w:val="22"/>
          <w:color w:val="auto"/>
        </w:rPr>
        <w:t xml:space="preserve">CMRT reports resulting in a total of 489 smelters and refiners identified within Dekko’s supply chain as applicable to Dekko through the 3TG content of the products procured from them (confirmed or undetermined). Dekko continues to solicit those suppliers that have not responded to this year’s request for CMRT reports. A review of the CMRTs revealed that nearly all RMI recognized smelters are </w:t>
      </w:r>
      <w:r>
        <w:rPr>
          <w:rFonts w:ascii="Times New Roman" w:cs="Times New Roman" w:eastAsia="Times New Roman" w:hAnsi="Times New Roman"/>
          <w:sz w:val="22"/>
          <w:szCs w:val="22"/>
          <w:i w:val="1"/>
          <w:iCs w:val="1"/>
          <w:color w:val="auto"/>
        </w:rPr>
        <w:t>potentially</w:t>
      </w:r>
      <w:r>
        <w:rPr>
          <w:rFonts w:ascii="Times New Roman" w:cs="Times New Roman" w:eastAsia="Times New Roman" w:hAnsi="Times New Roman"/>
          <w:sz w:val="22"/>
          <w:szCs w:val="22"/>
          <w:color w:val="auto"/>
        </w:rPr>
        <w:t xml:space="preserve"> engaged within Dekko’s supply chain.</w:t>
      </w:r>
    </w:p>
    <w:p>
      <w:pPr>
        <w:spacing w:after="0" w:line="2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With respect to Forney's due diligence measures, Forney reviewed all of its purchase orders from 2023, identified and solicited CMRTs from 41 suppliers of the generic components contained in its products, and received responses from all suppliers. Forney</w:t>
      </w:r>
    </w:p>
    <w:p>
      <w:pPr>
        <w:sectPr>
          <w:pgSz w:w="11900" w:h="16851" w:orient="portrait"/>
          <w:cols w:equalWidth="0" w:num="1">
            <w:col w:w="11240"/>
          </w:cols>
          <w:pgMar w:left="320" w:top="112" w:right="339" w:bottom="0" w:gutter="0" w:footer="0" w:header="0"/>
        </w:sectPr>
      </w:pPr>
    </w:p>
    <w:bookmarkStart w:id="4" w:name="page5"/>
    <w:bookmarkEnd w:id="4"/>
    <w:p>
      <w:pPr>
        <w:ind w:right="20"/>
        <w:spacing w:after="0" w:line="236" w:lineRule="auto"/>
        <w:rPr>
          <w:sz w:val="20"/>
          <w:szCs w:val="20"/>
          <w:color w:val="auto"/>
        </w:rPr>
      </w:pPr>
      <w:r>
        <w:rPr>
          <w:rFonts w:ascii="Times New Roman" w:cs="Times New Roman" w:eastAsia="Times New Roman" w:hAnsi="Times New Roman"/>
          <w:sz w:val="22"/>
          <w:szCs w:val="22"/>
          <w:color w:val="auto"/>
        </w:rPr>
        <w:t>re-engaged multiple times with any of the original 41 suppliers that did not immediately respond, as well as those whose CMRT’s declaration page reflected a 50% or less manufacturer response rate, or whose CMRT reflected uncertainty as to whether their products were sourced from conflict mines. Of the 41 total suppliers, seven indicated that they were a distributor only. Forney supplied all its purchase order information to the distributors so an original manufacturer could be identified. This yielded 14 additional manufacturers whose CMRTs Forney reviewed. Forney also sought country of origin information directly by reviewing the policies and statements on the manufacturers’ websites addressing Conflict Minerals.</w:t>
      </w:r>
    </w:p>
    <w:p>
      <w:pPr>
        <w:spacing w:after="0" w:line="19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In connection with Joyce's due diligence, Joyce Dayton reviewed all active vendors for the Reporting Period and narrowed that to 70 vendors that are at risk of supplying 3TG metals for Joyce. These vendors were contacted multiple times and Joyce received 54 responses. Of those respondents, 6 identified using 3TG metals and RMAP Conformant smelters that were used in processing of the minerals. Of those, two nonconformant smelters were identified. EDrive (a Joyce subsidiary) reviewed all active vendors for the Reporting Period and narrowed that to four vendors that were at risk of supplying 3TG metals for EDrive. These vendors were all contacted multiple times and EDrive received four responses. Of those respondents, one identified using 3TG metals. That vendor identified a RMAP Conformant smelter that was used in the processing of the 3TG metals.</w:t>
      </w:r>
    </w:p>
    <w:p>
      <w:pPr>
        <w:spacing w:after="0" w:line="197"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As reported by suppliers, several of the smelters/refiners in their disclosed supply chains geographically source from mines within the defined DRC region: the vast majority of these are RMAP Conformant smelters, indicating sourcing from “conflict-free” mines. See sections 4.2 and 5.4 of this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4.2 RCOI Conclusion</w:t>
      </w:r>
    </w:p>
    <w:p>
      <w:pPr>
        <w:spacing w:after="0" w:line="224"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Based on the Company’s reasonable country of origin inquiry, and after exercising due diligence measures that revealed that certain smelters/refiners are not RMAP conformant, the Company is unable to conclude that none of the Conflict Minerals that are necessary to the functionality or production of the Company’s products originated in the Covered Countries and is unable to conclude that such Conflict Minerals have not come from recycled or scrap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Due Diligence Program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5.1 Design of Due Diligence; Conformity to a Recognized Due Diligence Framework</w:t>
      </w:r>
    </w:p>
    <w:p>
      <w:pPr>
        <w:spacing w:after="0" w:line="237"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22"/>
          <w:szCs w:val="22"/>
          <w:color w:val="auto"/>
        </w:rPr>
        <w:t>The Company’s due diligence measures have been designed to conform, in all material respects, to the framework in the Organization for Economic Co-operation and Development (OECD) Due Diligence Guidance for Responsible Supply Chains of Minerals from Conflict-Affected and High-Risk Areas, third edition, April 2016 (OECD Guidance) and the related Supplements for gold, tin, tantalum and tungsten. This OECD framework (the “Framework”) is the only due diligence framework recognized by the SEC to date. The Framework stresses five main areas of due</w:t>
      </w:r>
    </w:p>
    <w:p>
      <w:pPr>
        <w:spacing w:after="0" w:line="3"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22"/>
          <w:szCs w:val="22"/>
          <w:color w:val="auto"/>
        </w:rPr>
        <w:t>diligence design detailed below in Sections 5.2 to 5.6, namely: (1) establish strong company management systems, (2) identify and assess risks in the supply chain, (3) design and implement a strategy to respond to identified risks, (4) carry out an independent third party audit of smelter/refiner’s due diligence practices, and (5) report on supply chain due diligence.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5.2 Establish Strong Company Management Systems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Internal Team</w:t>
      </w:r>
    </w:p>
    <w:p>
      <w:pPr>
        <w:spacing w:after="0" w:line="2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Each of Dekko, Forney and Joyce have established a Conflicts Minerals management system that examines the potential use and source of Conflicts Minerals in product offerings.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Conflict Minerals Policy</w:t>
      </w:r>
    </w:p>
    <w:p>
      <w:pPr>
        <w:spacing w:after="0" w:line="2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color w:val="auto"/>
        </w:rPr>
        <w:t>As noted above, Dekko, Forney and Joyce adopted policies which are designed to communicate their commitment to responsible sourcing of Conflict Minerals throughout their supply chain for products that they manufacture. The policies discuss the fact that they are putting policies and systems into place to reduce the risk that Conflict Minerals used in their products originate in the Covered Countries. The policies inform suppliers that because they do not source Conflict Minerals directly from miners, smelters or refiners, they will rely on the cooperation of their suppliers in the implementation of their policies and in enabling them to meet their compliance obligations. The policies are published on each of their respective websites.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5.3 Identify and Assess Risk in the Supply Chain</w:t>
      </w:r>
    </w:p>
    <w:p>
      <w:pPr>
        <w:spacing w:after="0" w:line="237"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As described above, Dekko, Forney and Joyce conduct a survey of all of their suppliers using the Template to obtain chain of custody declarations from their suppliers. The Template includes questions on the use and origin of Conflict Minerals in their components, supplier engagement with sub-tier suppliers, smelters and points of origin of the Conflict Minerals. To strengthen engagement with suppliers, these manufacturers added a Conflict Minerals clause to their purchase orders in order to communicate the expectations and requirements regarding the sourcing and disclosure of Conflict Minerals.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5.4 Design and Implement a Strategy to Respond to Identified Risks</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Smelter and refiner names provided by suppliers were confirmed by comparing them to the information contained on the Responsible Minerals Initiative website. The Company relies on RMI to determine if smelters and refiners reported by its suppliers are conformant with the</w:t>
      </w:r>
    </w:p>
    <w:p>
      <w:pPr>
        <w:sectPr>
          <w:pgSz w:w="11900" w:h="16838" w:orient="portrait"/>
          <w:cols w:equalWidth="0" w:num="1">
            <w:col w:w="11240"/>
          </w:cols>
          <w:pgMar w:left="320" w:top="112"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Responsible Minerals Assurance Program to validate responsible sourcing.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5.5 Carry out Independent Third Party Audit of Supply Chain Due Diligence at Identified Points in the Supply Chain</w:t>
      </w:r>
    </w:p>
    <w:p>
      <w:pPr>
        <w:spacing w:after="0" w:line="23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Dekko, Forney and Joyce do not have a direct relationship with smelters or refiners, nor do they perform direct audits of such entities in their supply chain. The Company leverages the audit work conducted by the RMI to comply with the OECD Guidance to conduct independent third-party audits. The RMI uses an independent third-party auditor to identify smelters and refiners that assure sourcing of only conflict-free minerals.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5.6 Report on Supply Chain Due Diligence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Form SD and this Conflict Minerals Report are both available on the Company’s website at www.ghco.com.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GHCO will file a Form SD with the Securities and Exchange Commission on an annual basis, pursuant to Rule 13p-1 of the 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Results of Due Diligence Review-Facilities Used to Process the Necessary Conflict Minerals</w:t>
      </w:r>
    </w:p>
    <w:p>
      <w:pPr>
        <w:spacing w:after="0" w:line="23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As discussed above, Dekko, Forney and Joyce solicited all their applicable (3TG) suppliers to gather information by means of the Template regarding the sourcing of 3TG in the products supplied to them. With respect to those smelters that were identified by suppliers in their Template, the supplier’s reported validation status was confirmed by comparing it to the information contained on the RMI website. However, because some suppliers did not identify the smelters or refiners used for a particular component or product or responded that the source of the 3TGs contained in products supplied to the Company's subsidiaries was unknown, or provided data only with respect to that individual supplier’s overall 3TG sourcing, without specifying whether such 3TG was used in parts or components supplied to the Company's subsidiaries and because due diligence efforts were unable to identify all such smelters or refiners, the Company is unable to identify with certainty the specific facilities used to process the 3TG in the Company’s products and whether the 3TG in these products is from recycled or scrap sources. As a result, the Company does not have sufficient information to conclusively determine the identity of all of the smelters from which its suppliers source 3TG or the countries of origin of 3TG in the products supplied to the Company. As permitted by guidance from the SEC staff, the Company did not conduct an independent private sector audit of its supply chain due diligence but will do so in the future if, and to the extent, required by the SEC’s rules.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Steps to Mitigate Risk and Improve Due Diligence</w:t>
      </w:r>
    </w:p>
    <w:p>
      <w:pPr>
        <w:spacing w:after="0" w:line="23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The Company is working to strengthen its commitment to the responsible sourcing of conflict minerals. Dekko, Forney and Joyce will continue to include in new purchase orders or contracts, specific language that requires suppliers to cooperate with them by providing information about the supplier’s source of Conflict Minerals and smelters. In addition, the Company will continue working with suppliers to obtain 3TG sourcing information, strengthen procedures to engage with manufacturers and distributors to obtain accurate and complete information about their supply chains and work to increase response rates and the quality of supplier provided smelter lists. Cooperation with respect to 3TG sourcing by the Company’s upstream suppliers, as well as the specification of conflict-free OEM supply sources by customers, will ultimately determine the Company’s ability to mitigate risk, as well as be a factor in awarding future purchases. Dekko, Forney and Joyce will continue to work with suppliers as needed to better communicate the requirements of the Conflicts Mineral Rule and to increase transparency of mineral sourcing.</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2024-05-31T08:34:46Z</dcterms:created>
  <dcterms:modified xsi:type="dcterms:W3CDTF">2024-05-31T08:34:46Z</dcterms:modified>
</cp:coreProperties>
</file>