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5, 2015</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5, 2015, Graham Holdings Company issued a press release announcing the Company’s earnings for the second quarter ended June 30, 2015.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832"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jc w:val="center"/>
              <w:ind w:right="4860"/>
              <w:spacing w:after="0"/>
              <w:rPr>
                <w:sz w:val="20"/>
                <w:szCs w:val="20"/>
                <w:color w:val="auto"/>
              </w:rPr>
            </w:pPr>
            <w:r>
              <w:rPr>
                <w:rFonts w:ascii="Arial" w:cs="Arial" w:eastAsia="Arial" w:hAnsi="Arial"/>
                <w:sz w:val="18"/>
                <w:szCs w:val="18"/>
                <w:color w:val="auto"/>
                <w:w w:val="99"/>
              </w:rPr>
              <w:t>(Registrant)</w:t>
            </w:r>
          </w:p>
        </w:tc>
      </w:tr>
      <w:tr>
        <w:trPr>
          <w:trHeight w:val="824"/>
        </w:trPr>
        <w:tc>
          <w:tcPr>
            <w:tcW w:w="440" w:type="dxa"/>
            <w:vAlign w:val="bottom"/>
            <w:gridSpan w:val="2"/>
          </w:tcPr>
          <w:p>
            <w:pPr>
              <w:spacing w:after="0"/>
              <w:rPr>
                <w:sz w:val="20"/>
                <w:szCs w:val="20"/>
                <w:color w:val="auto"/>
              </w:rPr>
            </w:pPr>
            <w:r>
              <w:rPr>
                <w:rFonts w:ascii="Arial" w:cs="Arial" w:eastAsia="Arial" w:hAnsi="Arial"/>
                <w:sz w:val="18"/>
                <w:szCs w:val="18"/>
                <w:color w:val="auto"/>
              </w:rPr>
              <w:t>Date</w:t>
            </w:r>
          </w:p>
        </w:tc>
        <w:tc>
          <w:tcPr>
            <w:tcW w:w="1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August 5, 2015</w:t>
            </w:r>
          </w:p>
        </w:tc>
        <w:tc>
          <w:tcPr>
            <w:tcW w:w="1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/s/ Hal S. Jones</w:t>
            </w:r>
          </w:p>
        </w:tc>
        <w:tc>
          <w:tcPr>
            <w:tcW w:w="4740" w:type="dxa"/>
            <w:vAlign w:val="bottom"/>
            <w:gridSpan w:val="2"/>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540"/>
              <w:spacing w:after="0"/>
              <w:rPr>
                <w:sz w:val="20"/>
                <w:szCs w:val="20"/>
                <w:color w:val="auto"/>
              </w:rPr>
            </w:pPr>
            <w:r>
              <w:rPr>
                <w:rFonts w:ascii="Arial" w:cs="Arial" w:eastAsia="Arial" w:hAnsi="Arial"/>
                <w:sz w:val="18"/>
                <w:szCs w:val="18"/>
                <w:color w:val="auto"/>
              </w:rPr>
              <w:t>Hal S. Jones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160" w:type="dxa"/>
            <w:vAlign w:val="bottom"/>
            <w:gridSpan w:val="5"/>
          </w:tcPr>
          <w:p>
            <w:pPr>
              <w:jc w:val="center"/>
              <w:ind w:right="296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716"/>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20" w:type="dxa"/>
            <w:vAlign w:val="bottom"/>
            <w:gridSpan w:val="3"/>
          </w:tcPr>
          <w:p>
            <w:pPr>
              <w:jc w:val="right"/>
              <w:ind w:right="8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August 5, 2015</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SECOND QUARTER EARNINGS</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$57.8 million ($9.87 per share) for the second quarter of 2015, compared to $ 374.9 million ($ 50.22 per share) for the second quarter of 2014. Net income attributable to common shares was $57.8 million ($9.87 per share) for the second quarter ended June 30, 2015, compared to $750.1 million ($100.48 per share) for the second quarter of last year. Net income includes $375.2 million ($50.26 per share) in income from discontinued operations for the second quarter of 2014. (Refer to “Discontinued Operations” discussion below.)</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21% fewer diluted shares outstanding in the second quarter of 2015, versus the same period in 2014.</w:t>
      </w:r>
    </w:p>
    <w:p>
      <w:pPr>
        <w:spacing w:after="0" w:line="135" w:lineRule="exact"/>
        <w:rPr>
          <w:sz w:val="20"/>
          <w:szCs w:val="20"/>
          <w:color w:val="auto"/>
        </w:rPr>
      </w:pPr>
    </w:p>
    <w:p>
      <w:pPr>
        <w:jc w:val="both"/>
        <w:ind w:right="200"/>
        <w:spacing w:after="0" w:line="227" w:lineRule="auto"/>
        <w:rPr>
          <w:sz w:val="20"/>
          <w:szCs w:val="20"/>
          <w:color w:val="auto"/>
        </w:rPr>
      </w:pPr>
      <w:r>
        <w:rPr>
          <w:rFonts w:ascii="Arial" w:cs="Arial" w:eastAsia="Arial" w:hAnsi="Arial"/>
          <w:sz w:val="18"/>
          <w:szCs w:val="18"/>
          <w:color w:val="auto"/>
        </w:rPr>
        <w:t>The results for the second quarter of 2015 and 2014 were affected by a number of items as described in the following paragraphs. Excluding these items, income from continuing operations attributable to common shares was $73.7 million ($12.59 per share) for the second quarter of 2015, compared to $54.8 million ($7.34 per share) for the second quarter of 2014.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2015:</w:t>
      </w:r>
    </w:p>
    <w:p>
      <w:pPr>
        <w:spacing w:after="0" w:line="144" w:lineRule="exact"/>
        <w:rPr>
          <w:sz w:val="20"/>
          <w:szCs w:val="20"/>
          <w:color w:val="auto"/>
        </w:rPr>
      </w:pPr>
    </w:p>
    <w:p>
      <w:pPr>
        <w:ind w:left="180" w:right="2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$16.6 million in restructuring charges and accelerated depreciation at the education division (after-tax impact of $10.7 million, or $1.82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 million in costs associated with the spin-off of the Cable division, including the modification of restricted stock awards (after-tax impact of $8.2 million, or $1.39 per share);</w:t>
      </w:r>
    </w:p>
    <w:p>
      <w:pPr>
        <w:spacing w:after="0" w:line="13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 million in non-operating gains arising from the sales of three businesses and an investment (after-tax impact of $5.0 million, or $0.85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$3.6 million in non-operating unrealized foreign currency gains (after-tax impact of $2.3 million, or $0.39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2014:</w:t>
      </w:r>
    </w:p>
    <w:p>
      <w:pPr>
        <w:spacing w:after="0" w:line="144" w:lineRule="exact"/>
        <w:rPr>
          <w:sz w:val="20"/>
          <w:szCs w:val="20"/>
          <w:color w:val="auto"/>
        </w:rPr>
      </w:pPr>
    </w:p>
    <w:p>
      <w:pPr>
        <w:ind w:left="180" w:right="32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 million in restructuring charges and software assets write-offs at the education division (after-tax impact of $6.7 million, or $0.90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$2.9 million in non-operating foreign currency gains (after-tax impact of $1.9 million, or $0.25 per share).</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Revenue for the second quarter of 2015 was $879.6 million, up 1% from $874.4 million in the second quarter of 2014. Revenues increased in other businesses and at the television broadcasting division, while revenues were down at the education and cable divisions. The Company reported operating income of $88.9 million for the second quarter of 2015, compared to $101.6 million for the second quarter of 2014. Operating results were down at the education, cable and television broadcasting divisions, offset by improvement in other businesses.</w:t>
      </w:r>
    </w:p>
    <w:p>
      <w:pPr>
        <w:spacing w:after="0" w:line="13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For the first six months of 2015, the Company reported income from continuing operations attributable to common shares of $79.2 million ($13.53 per share), compared to $505.3 million ($67.74 per share) for the first six months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320"/>
        <w:spacing w:after="0" w:line="227" w:lineRule="auto"/>
        <w:rPr>
          <w:sz w:val="20"/>
          <w:szCs w:val="20"/>
          <w:color w:val="auto"/>
        </w:rPr>
      </w:pPr>
      <w:r>
        <w:rPr>
          <w:rFonts w:ascii="Arial" w:cs="Arial" w:eastAsia="Arial" w:hAnsi="Arial"/>
          <w:sz w:val="18"/>
          <w:szCs w:val="18"/>
          <w:color w:val="auto"/>
        </w:rPr>
        <w:t>2014. Net income attributable to common shares was $78.4 million ($13.40 per share) for the first six months of 2015, compared to $882.2 million ($118.26 per share) for the same period of 2014. Net income includes $0.8 million ($0.13 per share) in losses and $376.9 million ($50.52 per share) in income from discontinued operations for the first six months of 2015 and 2014, respectively. (Refer to “Discontinued Operations” discussion below.)</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results for the first six months of 2015 and 2014 were affected by a number of significant items as described in the following paragraphs. Excluding these items, income from continuing operations attributable to common shares was $104.3 million ($17.91 per share) for the first six months of 2015, compared to $103.0 million ($13.68 per share) for the first six months of 2014. (Refer to the Non-GAAP Financial Information schedule at the end of this release for additional details.)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2015:</w:t>
      </w:r>
    </w:p>
    <w:p>
      <w:pPr>
        <w:spacing w:after="0" w:line="144" w:lineRule="exact"/>
        <w:rPr>
          <w:sz w:val="20"/>
          <w:szCs w:val="20"/>
          <w:color w:val="auto"/>
        </w:rPr>
      </w:pPr>
    </w:p>
    <w:p>
      <w:pPr>
        <w:ind w:left="180" w:right="20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$27.3 million in restructuring charges and accelerated depreciation at the education division (after-tax impact of $17.5 million, or $2.99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$10.9 million in costs associated with the spin-off of the Cable division, including the modification of restricted stock awards (after-tax impact of $9.5 million, or $1.63 per share);</w:t>
      </w:r>
    </w:p>
    <w:p>
      <w:pPr>
        <w:spacing w:after="0" w:line="134"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$13.7 million in non-operating gains arising from the sales of three businesses and an investment, and on the formation of a joint venture (after-tax impact of $8.4 million, or $1.35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 million in non-operating unrealized foreign currency losses (after-tax impact of $2.1 million, or $0.36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2014:</w:t>
      </w:r>
    </w:p>
    <w:p>
      <w:pPr>
        <w:spacing w:after="0" w:line="144" w:lineRule="exact"/>
        <w:rPr>
          <w:sz w:val="20"/>
          <w:szCs w:val="20"/>
          <w:color w:val="auto"/>
        </w:rPr>
      </w:pPr>
    </w:p>
    <w:p>
      <w:pPr>
        <w:ind w:right="500" w:firstLine="8"/>
        <w:spacing w:after="0" w:line="235" w:lineRule="auto"/>
        <w:tabs>
          <w:tab w:leader="none" w:pos="113" w:val="left"/>
        </w:tabs>
        <w:numPr>
          <w:ilvl w:val="0"/>
          <w:numId w:val="5"/>
        </w:numPr>
        <w:rPr>
          <w:rFonts w:ascii="Arial" w:cs="Arial" w:eastAsia="Arial" w:hAnsi="Arial"/>
          <w:sz w:val="18"/>
          <w:szCs w:val="18"/>
          <w:color w:val="auto"/>
        </w:rPr>
      </w:pPr>
      <w:r>
        <w:rPr>
          <w:rFonts w:ascii="Arial" w:cs="Arial" w:eastAsia="Arial" w:hAnsi="Arial"/>
          <w:sz w:val="18"/>
          <w:szCs w:val="18"/>
          <w:color w:val="auto"/>
        </w:rPr>
        <w:t>$15.0 million in early retirement program expense, restructuring charges and software asset write-offs at the education division and the corporate office (after-tax impact of $9.6 million, or $1.29 per share);</w:t>
      </w:r>
    </w:p>
    <w:p>
      <w:pPr>
        <w:spacing w:after="0" w:line="13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$35.73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 million in non-operating unrealized foreign currency gains (after-tax impact of $5.1 million, or $0.69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first six months of 2015 was $1,725.7 million, up 1% from $1,711.0 million in the first six months of 2014. Revenues increased in other businesses and were flat at the television broadcasting division, while revenues were down at the education and cable divisions. The Company reported operating income of $135.5 million for the first six months of 2015, compared to $180.4 million for the first six months of 2014. Operating results improved in other businesses, but declined at the education, cable and television broadcasting divisions.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exchange of the Berkshire Hathaway shares, and income from discontinued operations for the second quarter of 2014 includes a $375.0 million gain from the WPLG exchange.</w:t>
      </w:r>
    </w:p>
    <w:p>
      <w:pPr>
        <w:spacing w:after="0" w:line="13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is contingent upon certain regulatory and accrediting agency approvals and is expected to close in the third quarter of 2015.</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84" w:right="319" w:bottom="1440" w:gutter="0" w:footer="0" w:header="0"/>
        </w:sectPr>
      </w:pPr>
    </w:p>
    <w:bookmarkStart w:id="6" w:name="page7"/>
    <w:bookmarkEnd w:id="6"/>
    <w:p>
      <w:pPr>
        <w:ind w:right="160"/>
        <w:spacing w:after="0" w:line="227"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will be reported in discontinued operations starting in the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Education division revenue totaled $523.6 million for the second quarter of 2015, down 4% from revenue of $543.0 million for the same period of 2014. Kaplan reported operating income of $15.8 million for the second quarter of 2015, compared to operating income of $17.6 million for the second quarter of 2014. Operating results for the second quarter of 2015 and 2014 include restructuring costs and software assets write-offs of $16.6 million and $10.5 million, respectively. The operating results in the second quarter of 2015 also include a $6.9 million long-lived asset impairment charge.</w:t>
      </w:r>
    </w:p>
    <w:p>
      <w:pPr>
        <w:spacing w:after="0" w:line="137"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For the first six months of 2015, education division revenue totaled $1,024.2 million, down 4% from revenue of $1,065.1 million for the same period of 2014. Kaplan reported an operating loss of $7.0 million for the first six months of 2015, compared to operating income of $19.5 million for the first six months of 2014. Restructuring costs and software asset write-offs totaled $27.3 million and $10.5 million for the first six months of 2015 and 2014, respectively. The operating results for the first six months of 2015 also include a $6.9 million long-lived asset impairment charge.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first six months of 2015 compared to 2014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240,717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251,936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478,285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505,715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80,381</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81,098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149,607</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148,902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200,703</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209,045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392,784</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407,892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1,959</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1,385</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3,818</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3,399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(135)</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(267)</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523,625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542,964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1,024,227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1,065,118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24,764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20,952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25,357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34,096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7,079</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2,745</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(10,532)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17,573</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16,898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25,290</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26,756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(25,251)</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(14,603)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(50,601)</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(27,235)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(1,467)</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(2,974)</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346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(6,876)</w:t>
            </w:r>
          </w:p>
        </w:tc>
        <w:tc>
          <w:tcPr>
            <w:tcW w:w="4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(6,876)</w:t>
            </w:r>
          </w:p>
        </w:tc>
        <w:tc>
          <w:tcPr>
            <w:tcW w:w="3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4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26</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15,848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17,637</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(7,001)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19,499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 In connection with these and other plans, KHE incurred $2.5 million and $5.4 million in restructuring costs for the second quarter and first six months of 2015, respectively, and $2.5 million in restructuring costs in the second quarter and first six months of 2014. For the second quarter of 2015, these costs included severance ($ 1.0 million), lease obligation losses ($0.9 million) and accelerated depreciation ($0.6 million). For the first six months of 2015 these costs included severance ($2.2 million), lease obligation losses ($1.8 million), accelerated depreciation ($1.3 million) and other items ($0.1 million). For the second quarter and first six months of 2014 these costs included severance ($2.0 million), accelerated depreciation ($0.3 million), lease obligation losses ($0.1 million) and other items ($0.1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ind w:right="50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 impairment charge in connection with the KHE Campuses business. KHE results include revenue and operating losses related to all KHE Campuses, those being sold to ECA or closed,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4"/>
              <w:spacing w:after="0"/>
              <w:rPr>
                <w:sz w:val="20"/>
                <w:szCs w:val="20"/>
                <w:color w:val="auto"/>
              </w:rPr>
            </w:pPr>
            <w:r>
              <w:rPr>
                <w:rFonts w:ascii="Arial" w:cs="Arial" w:eastAsia="Arial" w:hAnsi="Arial"/>
                <w:sz w:val="16"/>
                <w:szCs w:val="16"/>
                <w:b w:val="1"/>
                <w:bCs w:val="1"/>
                <w:color w:val="auto"/>
              </w:rPr>
              <w:t>62,688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68,749</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124,098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139,848</w:t>
            </w: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b w:val="1"/>
                <w:bCs w:val="1"/>
                <w:color w:val="auto"/>
              </w:rPr>
              <w:t>(4,079)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(6,092)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(12,470)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(10,575)</w:t>
            </w:r>
          </w:p>
        </w:tc>
      </w:tr>
    </w:tbl>
    <w:p>
      <w:pPr>
        <w:spacing w:after="0" w:line="16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and first six months of 2015, KHE revenue declined 4% and 5%, respectively, due largely to declines in average enrollments at Kaplan University and KHE campuses that reflect weaker market demand over the past year and the impact of closed campuses. KHE operating results improved in the second quarter of 2015 due to an overall reduction in operating expenses due to the completion of most of the school closures. KHE operating results were down in the first six months of 2015 due to revenue declines, increased marketing spending at Kaplan University and increased restructuring costs in the first six months of 2015.</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New higher education student enrollments at KHE declined 9% in the second quarter of 2015 (down 12% at Kaplan University and down 1% at the Other Campuses). New student enrollments declined 10% for the first six months of 2015 (down 10% at Kaplan University and down 9% at the Other Campuses). The declines reflect the generally lower demand across KHE and the impact of closed campuses.</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Total students at June 30, 2015, were down 10% compared to June 30, 2014, and declined 9% compared to March 31, 2015. A summary of student enrollments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258"/>
        </w:trPr>
        <w:tc>
          <w:tcPr>
            <w:tcW w:w="7000" w:type="dxa"/>
            <w:vAlign w:val="bottom"/>
          </w:tcPr>
          <w:p>
            <w:pPr>
              <w:spacing w:after="0"/>
              <w:rPr>
                <w:sz w:val="22"/>
                <w:szCs w:val="22"/>
                <w:color w:val="auto"/>
              </w:rPr>
            </w:pPr>
          </w:p>
        </w:tc>
        <w:tc>
          <w:tcPr>
            <w:tcW w:w="1660" w:type="dxa"/>
            <w:vAlign w:val="bottom"/>
          </w:tcPr>
          <w:p>
            <w:pPr>
              <w:jc w:val="right"/>
              <w:ind w:right="563"/>
              <w:spacing w:after="0"/>
              <w:rPr>
                <w:sz w:val="20"/>
                <w:szCs w:val="20"/>
                <w:color w:val="auto"/>
              </w:rPr>
            </w:pPr>
            <w:r>
              <w:rPr>
                <w:rFonts w:ascii="Arial" w:cs="Arial" w:eastAsia="Arial" w:hAnsi="Arial"/>
                <w:sz w:val="14"/>
                <w:szCs w:val="14"/>
                <w:b w:val="1"/>
                <w:bCs w:val="1"/>
                <w:color w:val="auto"/>
              </w:rPr>
              <w:t>June 30,</w:t>
            </w:r>
          </w:p>
        </w:tc>
        <w:tc>
          <w:tcPr>
            <w:tcW w:w="1500" w:type="dxa"/>
            <w:vAlign w:val="bottom"/>
          </w:tcPr>
          <w:p>
            <w:pPr>
              <w:jc w:val="right"/>
              <w:ind w:right="483"/>
              <w:spacing w:after="0"/>
              <w:rPr>
                <w:sz w:val="20"/>
                <w:szCs w:val="20"/>
                <w:color w:val="auto"/>
              </w:rPr>
            </w:pPr>
            <w:r>
              <w:rPr>
                <w:rFonts w:ascii="Arial" w:cs="Arial" w:eastAsia="Arial" w:hAnsi="Arial"/>
                <w:sz w:val="14"/>
                <w:szCs w:val="14"/>
                <w:color w:val="auto"/>
              </w:rPr>
              <w:t>March 31,</w:t>
            </w:r>
          </w:p>
        </w:tc>
        <w:tc>
          <w:tcPr>
            <w:tcW w:w="1260" w:type="dxa"/>
            <w:vAlign w:val="bottom"/>
          </w:tcPr>
          <w:p>
            <w:pPr>
              <w:jc w:val="right"/>
              <w:ind w:right="323"/>
              <w:spacing w:after="0"/>
              <w:rPr>
                <w:sz w:val="20"/>
                <w:szCs w:val="20"/>
                <w:color w:val="auto"/>
              </w:rPr>
            </w:pPr>
            <w:r>
              <w:rPr>
                <w:rFonts w:ascii="Arial" w:cs="Arial" w:eastAsia="Arial" w:hAnsi="Arial"/>
                <w:sz w:val="14"/>
                <w:szCs w:val="14"/>
                <w:color w:val="auto"/>
              </w:rPr>
              <w:t>June 30,</w:t>
            </w:r>
          </w:p>
        </w:tc>
      </w:tr>
      <w:tr>
        <w:trPr>
          <w:trHeight w:val="276"/>
        </w:trPr>
        <w:tc>
          <w:tcPr>
            <w:tcW w:w="7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2015</w:t>
            </w:r>
          </w:p>
        </w:tc>
        <w:tc>
          <w:tcPr>
            <w:tcW w:w="15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color w:val="auto"/>
              </w:rPr>
              <w:t>2015</w:t>
            </w:r>
          </w:p>
        </w:tc>
        <w:tc>
          <w:tcPr>
            <w:tcW w:w="12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660" w:type="dxa"/>
            <w:vAlign w:val="bottom"/>
          </w:tcPr>
          <w:p>
            <w:pPr>
              <w:jc w:val="right"/>
              <w:ind w:right="223"/>
              <w:spacing w:after="0"/>
              <w:rPr>
                <w:sz w:val="20"/>
                <w:szCs w:val="20"/>
                <w:color w:val="auto"/>
              </w:rPr>
            </w:pPr>
            <w:r>
              <w:rPr>
                <w:rFonts w:ascii="Arial" w:cs="Arial" w:eastAsia="Arial" w:hAnsi="Arial"/>
                <w:sz w:val="16"/>
                <w:szCs w:val="16"/>
                <w:b w:val="1"/>
                <w:bCs w:val="1"/>
                <w:color w:val="auto"/>
              </w:rPr>
              <w:t>41,054</w:t>
            </w:r>
          </w:p>
        </w:tc>
        <w:tc>
          <w:tcPr>
            <w:tcW w:w="1500" w:type="dxa"/>
            <w:vAlign w:val="bottom"/>
          </w:tcPr>
          <w:p>
            <w:pPr>
              <w:jc w:val="right"/>
              <w:ind w:right="223"/>
              <w:spacing w:after="0"/>
              <w:rPr>
                <w:sz w:val="20"/>
                <w:szCs w:val="20"/>
                <w:color w:val="auto"/>
              </w:rPr>
            </w:pPr>
            <w:r>
              <w:rPr>
                <w:rFonts w:ascii="Arial" w:cs="Arial" w:eastAsia="Arial" w:hAnsi="Arial"/>
                <w:sz w:val="16"/>
                <w:szCs w:val="16"/>
                <w:color w:val="auto"/>
              </w:rPr>
              <w:t>45,680</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44,515</w:t>
            </w: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6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14,152</w:t>
            </w:r>
          </w:p>
        </w:tc>
        <w:tc>
          <w:tcPr>
            <w:tcW w:w="15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14,850</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16,508</w:t>
            </w:r>
          </w:p>
        </w:tc>
      </w:tr>
      <w:tr>
        <w:trPr>
          <w:trHeight w:val="264"/>
        </w:trPr>
        <w:tc>
          <w:tcPr>
            <w:tcW w:w="7000" w:type="dxa"/>
            <w:vAlign w:val="bottom"/>
          </w:tcPr>
          <w:p>
            <w:pPr>
              <w:spacing w:after="0"/>
              <w:rPr>
                <w:sz w:val="22"/>
                <w:szCs w:val="22"/>
                <w:color w:val="auto"/>
              </w:rPr>
            </w:pPr>
          </w:p>
        </w:tc>
        <w:tc>
          <w:tcPr>
            <w:tcW w:w="16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55,206</w:t>
            </w:r>
          </w:p>
        </w:tc>
        <w:tc>
          <w:tcPr>
            <w:tcW w:w="15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60,530</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61,023</w:t>
            </w:r>
          </w:p>
        </w:tc>
      </w:tr>
      <w:tr>
        <w:trPr>
          <w:trHeight w:val="20"/>
        </w:trPr>
        <w:tc>
          <w:tcPr>
            <w:tcW w:w="70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June 30, 2015 and 2014, by degree and certificate programs,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2014</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22.1%</w:t>
            </w:r>
          </w:p>
        </w:tc>
        <w:tc>
          <w:tcPr>
            <w:tcW w:w="8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25.5%</w:t>
            </w:r>
          </w:p>
        </w:tc>
        <w:tc>
          <w:tcPr>
            <w:tcW w:w="8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35.8%</w:t>
            </w:r>
          </w:p>
        </w:tc>
        <w:tc>
          <w:tcPr>
            <w:tcW w:w="88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16.6%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for the second quarter of 2015 and was flat for the first six months of 2015. Excluding revenues from acquired businesses, KTP revenue decreased 4% and 3% in the second quarter and first six months of 2015, respectively. Enrollment was down 12% and 6% for the second quarter and first six months of 2015, respectively, due primarily to declines in graduate programs. KTP recorded a $7.7 million software asset write-off in the second quarter of 2014 due to a decision to consolidate certain learning management systems. In comparison, KTP operating results improved in the second quarter and first six months of 2015 due to a reduction in operating expenses from tighter cost controls and the inclusion of the software asset write-offs in 2014.</w:t>
      </w:r>
    </w:p>
    <w:p>
      <w:pPr>
        <w:spacing w:after="0" w:line="139"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4% in both the second quarter and first six months of 2015 due to the adverse impact of foreign exchange rates. On a constant currency basis, Kaplan International revenue increased 6% and 5% for the second quarter and first six months of 2015, respectively, due to enrollment growth in Australia and in Singapore higher education programs, offset by enrollment declines in English-language programs. Kaplan International operating income improved in the second quarter of 2015 due to improved results from operations in Australia and Singapore, offset by declines in English-language results. Kaplan International operating income was down in the first six months of 2015 due to declines in English-language results, offset by improved results from operations in Australia and Singapore.</w:t>
      </w:r>
    </w:p>
    <w:p>
      <w:pPr>
        <w:spacing w:after="0" w:line="139"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second quarter of 2015, Kaplan corporate recorded $13.6 million in restructuring charges, including accelerated depreciation ($9.7 million) and lease obligation losses ($3.8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4" w:right="239" w:bottom="1440" w:gutter="0" w:footer="0" w:header="0"/>
          <w:type w:val="continuous"/>
        </w:sectPr>
      </w:pPr>
    </w:p>
    <w:bookmarkStart w:id="8" w:name="page9"/>
    <w:bookmarkEnd w:id="8"/>
    <w:p>
      <w:pPr>
        <w:ind w:right="20"/>
        <w:spacing w:after="0" w:line="227" w:lineRule="auto"/>
        <w:rPr>
          <w:sz w:val="20"/>
          <w:szCs w:val="20"/>
          <w:color w:val="auto"/>
        </w:rPr>
      </w:pPr>
      <w:r>
        <w:rPr>
          <w:rFonts w:ascii="Arial" w:cs="Arial" w:eastAsia="Arial" w:hAnsi="Arial"/>
          <w:sz w:val="18"/>
          <w:szCs w:val="18"/>
          <w:color w:val="auto"/>
        </w:rPr>
        <w:t>related to office space managed by Kaplan corporate. In the first six months of 2015, Kaplan corporate recorded $21.2 million in restructuring charges, including accelerated depreciation ($16.2 million) and lease obligation losses ($4.9 million) related to office space managed by Kaplan corporate. Kaplan corporate expenses also increased in the first six months of 2015 due to increased spending for new business initiatives and replacement of its human resource system, offset by a reduction in incentive compensation costs.</w:t>
      </w:r>
    </w:p>
    <w:p>
      <w:pPr>
        <w:spacing w:after="0" w:line="13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second quarter of 2015, Kaplan sold two small businesses; one was part of KHE and the other was part of Kaplan International. The gains on these dispositions are included in other non-operating income in the second quarter of 2015.</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that will result in additional restructuring plans and related costs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Cable division revenue declined 1% in the second quarter of 2015 to $198.7 million, from $200.8 million for the second quarter of 2014, due to</w:t>
      </w:r>
    </w:p>
    <w:p>
      <w:pPr>
        <w:spacing w:after="0" w:line="219" w:lineRule="auto"/>
        <w:rPr>
          <w:sz w:val="20"/>
          <w:szCs w:val="20"/>
          <w:color w:val="auto"/>
        </w:rPr>
      </w:pPr>
      <w:r>
        <w:rPr>
          <w:rFonts w:ascii="Arial" w:cs="Arial" w:eastAsia="Arial" w:hAnsi="Arial"/>
          <w:sz w:val="18"/>
          <w:szCs w:val="18"/>
          <w:color w:val="auto"/>
        </w:rPr>
        <w:t>4% fewer customers and 8% fewer Primary Service Units (PSUs). Cable division revenue declined 2% in the first six months of 2015 to $397.4</w:t>
      </w:r>
    </w:p>
    <w:p>
      <w:pPr>
        <w:spacing w:after="0" w:line="219" w:lineRule="auto"/>
        <w:rPr>
          <w:sz w:val="20"/>
          <w:szCs w:val="20"/>
          <w:color w:val="auto"/>
        </w:rPr>
      </w:pPr>
      <w:r>
        <w:rPr>
          <w:rFonts w:ascii="Arial" w:cs="Arial" w:eastAsia="Arial" w:hAnsi="Arial"/>
          <w:sz w:val="18"/>
          <w:szCs w:val="18"/>
          <w:color w:val="auto"/>
        </w:rPr>
        <w:t>million, from $404.8 million for the first six months of 2014. Cable division operating income declined 18% in the second quarter of 2015 to</w:t>
      </w:r>
    </w:p>
    <w:p>
      <w:pPr>
        <w:spacing w:after="0" w:line="219" w:lineRule="auto"/>
        <w:rPr>
          <w:sz w:val="20"/>
          <w:szCs w:val="20"/>
          <w:color w:val="auto"/>
        </w:rPr>
      </w:pPr>
      <w:r>
        <w:rPr>
          <w:rFonts w:ascii="Arial" w:cs="Arial" w:eastAsia="Arial" w:hAnsi="Arial"/>
          <w:sz w:val="18"/>
          <w:szCs w:val="18"/>
          <w:color w:val="auto"/>
        </w:rPr>
        <w:t>$38.4 million, from $46.8 million in the second quarter of 2014; for the first six months of 2015, operating income declined 12% to $77.5 million,</w:t>
      </w:r>
    </w:p>
    <w:p>
      <w:pPr>
        <w:spacing w:after="0" w:line="219" w:lineRule="auto"/>
        <w:rPr>
          <w:sz w:val="20"/>
          <w:szCs w:val="20"/>
          <w:color w:val="auto"/>
        </w:rPr>
      </w:pPr>
      <w:r>
        <w:rPr>
          <w:rFonts w:ascii="Arial" w:cs="Arial" w:eastAsia="Arial" w:hAnsi="Arial"/>
          <w:sz w:val="18"/>
          <w:szCs w:val="18"/>
          <w:color w:val="auto"/>
        </w:rPr>
        <w:t>from $87.9 million in the first six months of 2014. The operating income declines are due to lower revenues, and increased stock compensation</w:t>
      </w:r>
    </w:p>
    <w:p>
      <w:pPr>
        <w:spacing w:after="0" w:line="220" w:lineRule="auto"/>
        <w:rPr>
          <w:sz w:val="20"/>
          <w:szCs w:val="20"/>
          <w:color w:val="auto"/>
        </w:rPr>
      </w:pPr>
      <w:r>
        <w:rPr>
          <w:rFonts w:ascii="Arial" w:cs="Arial" w:eastAsia="Arial" w:hAnsi="Arial"/>
          <w:sz w:val="18"/>
          <w:szCs w:val="18"/>
          <w:color w:val="auto"/>
        </w:rPr>
        <w:t>and depreciation expense, offset by reduced programming costs due to fewer customers. In anticipation of the spin-off of Cable ONE, in the</w:t>
      </w:r>
    </w:p>
    <w:p>
      <w:pPr>
        <w:spacing w:after="0" w:line="219" w:lineRule="auto"/>
        <w:rPr>
          <w:sz w:val="20"/>
          <w:szCs w:val="20"/>
          <w:color w:val="auto"/>
        </w:rPr>
      </w:pPr>
      <w:r>
        <w:rPr>
          <w:rFonts w:ascii="Arial" w:cs="Arial" w:eastAsia="Arial" w:hAnsi="Arial"/>
          <w:sz w:val="18"/>
          <w:szCs w:val="18"/>
          <w:color w:val="auto"/>
        </w:rPr>
        <w:t>second quarter of 2015, the Company accelerated vesting on restricted stock awards held by Cable ONE employees, resulting in an</w:t>
      </w:r>
    </w:p>
    <w:p>
      <w:pPr>
        <w:spacing w:after="0"/>
        <w:rPr>
          <w:sz w:val="20"/>
          <w:szCs w:val="20"/>
          <w:color w:val="auto"/>
        </w:rPr>
      </w:pPr>
      <w:r>
        <w:rPr>
          <w:rFonts w:ascii="Arial" w:cs="Arial" w:eastAsia="Arial" w:hAnsi="Arial"/>
          <w:sz w:val="18"/>
          <w:szCs w:val="18"/>
          <w:color w:val="auto"/>
        </w:rPr>
        <w:t>incremental $3.7 million in stock compensation expense recorded in the second quarter of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399,878</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490,309</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497,036</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482,725</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Voice</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138,742</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158,814</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1,035,656</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1,131,848</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672,021</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698,699</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As discussed above, the spin-off of Cable ONE was completed on July 1, 2015 and the historical operating results of the Company's cable division will be reported in discontinued operations starting in the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at the television broadcasting division increased 3% to $90.8 million in the second quarter of 2015, from $88.3 million in the same period of 2014; operating income for the second quarter of 2015 was down 5% to $42.0 million, from $44.1 million in the same period of 2014. The increase in revenue is due to $4.4 million in increased retransmission revenues, offset by a $2.5 million decrease in political advertising revenue compared to the second quarter of 2014. The decline in operating income is due to an increase in spending on digital initiatives, offset by the revenue increase.</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at the television broadcasting division increased slightly to $174.3 million in the first six months of 2015, from $ 173.9 million in the same period of 2014; operating income for the first six months of 2015 was down 9% to $80.6 million, from $88.5 million in the same period of 2014. The increase in revenue is due to $6.7 million in increased retransmission revenues and revenues from the Super Bowl at the Company's NBC affiliates in February 2015, offset by a $4.2 million decrease in political advertising revenue compared to the first six months of 2014 and $9.5 million in incremental winter Olympics-related advertising revenue at the Company’s NBC affiliates booked in the prior year. The decline in operating income is due to an increase in spending on digital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and Trove, a digital innovation team that builds products and technologies in the news space. Other businesses also includes a number of businesses acquired during 2014. These businesses include: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VNA-TIP Healthcare of Bridgeton, MO, provider of home health care and hospice services in Missouri and Illinois;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Joyce/Dayton Corp., a Dayton, OH-based manufacturer of screw jacks and other linear motion systems;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Healthcare Group, Inc. (Residential), a leading provider of skilled home health care and hospice services in Michigan and Illinois.</w:t>
      </w:r>
    </w:p>
    <w:p>
      <w:pPr>
        <w:spacing w:after="0" w:line="14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increase in revenues and operating results for the first six months of 2015 is primarily due to newly acquired businesses in 2014, and increased revenues and improved results at SocialCode and Celtic.</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Excluding early retirement program expense, the total pension credit for the Company’s traditional defined benefit plan was $34.1 million and $45.4 million in the first six months of 2015 and 2014, respectively.</w:t>
      </w:r>
    </w:p>
    <w:p>
      <w:pPr>
        <w:spacing w:after="0" w:line="13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Excluding the pension credit and early retirement program expense, the corporate office expense increase in the first six months of 2015 is due primarily to $7.2 million in expenses related to the cable spin-off transaction, offset by expenses incurred in 2014 related to certain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At June 30, 2015, the Company held a 40% interest in the Celtic joint venture and Residential Home Health Illinois, a 42.5% interest in Residential Hospice Illinois, and interests in several other affiliates. In the second quarter of 2015, the Company acquired an approximate 20% interest in HomeHero, a company that created and manages an online senior home care marketplace. At June 30, 2014, the Company held a 16.5% interest in Classified Ventures, LLC (CV) and interests in several other affiliates. On October 1, 2014, the Company and the remaining partners in CV completed the sale of their entire stakes in CV.</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equity in losses of affiliates of $0.4 million for the second quarter of 2015, compared to income of $91.5 million for the second quarter of 2014. The Company recorded equity in losses of affiliates of $0.8 million for the first six months of 2015, compared to income of $ 95.6 million for the first six months of 2014. The equity in earnings of affiliates for the second quarter and first six months of 2014 was from the Company’s CV investment, which included a pre-tax gain of $90.9 million from Classified Ventures' sale of apartments.com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$11.7 million for the second quarter of 2015, compared to income of $ 268.1 million for the second quarter of 2014. The 2015 amounts included a $4.8 million increase to the CV gain, $2.9 million in gains from the sales of businesses, $3.6 million in unrealized foreign currency gains and other items. The 2014 amounts included a pre-tax gain of $266.7 million in connection with the Company's exchange of Berkshire shares, $2.9 million in unrealized foreign currency gains and other items.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$10.6 million for the first six months of 2015, compared to income of $401.4 million for the first six months of 2014. The 2015 amounts included a $6.0 million gain on the Celtic joint venture transaction, the $4.8 million increase to the CV gain, $2.9 million in gains from the sales of businesses, and other items, offset by $3.2 million in unrealized foreign currency losses. The 2014 amounts included the pre-tax gain of $266.7 million in connection with the Company's exchange of Berkshire shares, the pre-tax $127.7 million gain on the sale of the headquarters building, $7.9 million in unrealized foreign currency gains and other items.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incurred net interest expense of $9.3 million and $17.3 million for the second quarter and first six months of 2015, respectively, compared to $7.9 million and $16.1 million for the first quarter and first six months of 2014. At June 30, 2015, the Company had $954.8 million in borrowings outstanding at an average interest rate of 6.0% and cash, marketable equity securities and other investments of $1,446.0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June 2015, in anticipation of the Cable ONE spin-off, Cable ONE issued debt consisting of $450 million in senior unsecured notes and a</w:t>
      </w:r>
    </w:p>
    <w:p>
      <w:pPr>
        <w:ind w:right="60"/>
        <w:spacing w:after="0" w:line="235" w:lineRule="auto"/>
        <w:rPr>
          <w:sz w:val="20"/>
          <w:szCs w:val="20"/>
          <w:color w:val="auto"/>
        </w:rPr>
      </w:pPr>
      <w:r>
        <w:rPr>
          <w:rFonts w:ascii="Arial" w:cs="Arial" w:eastAsia="Arial" w:hAnsi="Arial"/>
          <w:sz w:val="18"/>
          <w:szCs w:val="18"/>
          <w:color w:val="auto"/>
        </w:rPr>
        <w:t>$100 million term loan. With the spin-off effective on July 1, 2015, this debt is no longer an obligation of the Company. Additionally, Cable ONE retained approximately $100 million in cash on the July 1, 2015 effective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effective tax rate for income from continuing operations for the first six months of 2015 was 36.7%, compared to 23.6% for the first six months of 2014. The lower effective tax rate in 2014 relates to the Berkshire exchange transaction. The pre-tax gain of $266.7 million related to the disposition of the Berkshire shares was not subject to income tax as the exchange qualifies as a tax-free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21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gain (loss)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2015 was based on 5,804,511 and 5,797,756 weighted average shares outstanding, respectively, compared to 7,363,492 and 7,361,441 for the second quarter and first six months of 2014. At June 30, 2015, there were 5,843,313 shares outstanding. On May 14, 2015, the Board of Directors authorized the Company to acquire up to 500,000 shares of its Class B common stock; the Company has remaining authorization for all 500,000 shares as of June 30,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62"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879,571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874,411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718,109</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717,867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61,014</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51,989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4,677</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2,995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6,876</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88,895</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101,560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(353)</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91,503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338</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(9,631)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(8,557)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11,678</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268,114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90,927</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453,261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32,500</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78,600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58,427</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374,661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375,189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58,427</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749,850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57,993</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750,349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(211)</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750,137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374,948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375,189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57,782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750,137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9.92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50.39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9.92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5,720</w:t>
            </w:r>
          </w:p>
        </w:tc>
        <w:tc>
          <w:tcPr>
            <w:tcW w:w="3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7,284</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50.22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100.48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5,805</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7,363</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760" w:right="259" w:bottom="1440" w:gutter="0" w:footer="0" w:header="0"/>
        </w:sectPr>
      </w:pPr>
    </w:p>
    <w:bookmarkStart w:id="12" w:name="page13"/>
    <w:bookmarkEnd w:id="12"/>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1,725,719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1,710,952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1,454,388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1,419,605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119,559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105,206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9,446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5,712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135,450</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180,429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(757)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95,555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(18,152)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(17,377)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10,573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401,387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128,011</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661,234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47,000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156,000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81,011</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505,234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376,921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80,227</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882,155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79,019</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882,873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78,388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882,235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79,172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505,314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(Loss) 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376,921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78,388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882,235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13.61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67.97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118.65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5,712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13.53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67.74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118.26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5,798</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523,625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542,964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1,024,227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1,065,118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198,681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200,829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397,404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404,750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90,753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88,297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174,317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173,948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66,512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42,351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129,771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67,264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879,571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874,411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1,725,719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1,710,952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507,777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525,327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1,031,228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1,045,619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160,236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154,049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319,883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316,808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48,739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44,209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93,741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85,474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68,673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49,346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137,094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85,006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5,251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8,323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790,676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772,851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1,590,269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1,530,523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15,848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17,637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(7,001)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19,499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38,445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46,780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77,521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87,942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42,014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44,088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80,576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88,474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(2,161)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(6,995)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(7,323)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(5,251)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88,895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101,560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135,450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180,429</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21,980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15,372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40,508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31,788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35,405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33,788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71,753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67,575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2,125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2,039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1,254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61,014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51,989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119,559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105,206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8,343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1,798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9,850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3,117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11,553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16,322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3,566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7,894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7,709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Cable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975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888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379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(16,939)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(33,877)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(40,612)</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(22,872)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(30,107)</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ectPr>
          <w:pgSz w:w="11900" w:h="16838" w:orient="portrait"/>
          <w:cols w:equalWidth="0" w:num="1">
            <w:col w:w="11420"/>
          </w:cols>
          <w:pgMar w:left="240" w:top="760" w:right="239" w:bottom="842"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842"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240,717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251,936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478,285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505,715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80,381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81,098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149,607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148,902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200,703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209,045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392,784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407,892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1,959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3,818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523,625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542,964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1,024,227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1,065,118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215,953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230,984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452,928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471,619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73,302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85,002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146,862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159,434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183,130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192,147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367,494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381,136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27,210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15,988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54,419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30,634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1,467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1,798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6,876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507,777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525,327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1,031,228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1,045,619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24,764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20,952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25,357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34,096</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7,079</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(3,904)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2,745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(10,532)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17,573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16,898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25,290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26,756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(25,251)</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(50,601)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(27,235)</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(1,467)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(2,974)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(6,876)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15,848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4,794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7,080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9,622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14,820</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2,263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3,072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6,856</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5,073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4,916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9,727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9,596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9,850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16,006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21,980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15,372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40,508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2,532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2,629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5,257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775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534</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3,947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3,566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7,894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6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2014</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57,782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374,948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79,172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505,314</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and early retirement charges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10,656</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6,725</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17,497</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9,603</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4,400</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4,400</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Cable spin-off costs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8,153</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9,536</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(58,242)</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(58,242)</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(266,733)</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(266,733)</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(81,836)</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Gains from the sales of businesses, an investment and the formation of a joint venture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(4,957)</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(8,367)</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(2,309)</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(1,865)</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2,060</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73,725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54,833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104,298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103,013</w:t>
            </w:r>
          </w:p>
        </w:tc>
      </w:tr>
      <w:tr>
        <w:trPr>
          <w:trHeight w:val="441"/>
        </w:trPr>
        <w:tc>
          <w:tcPr>
            <w:tcW w:w="7000" w:type="dxa"/>
            <w:vAlign w:val="bottom"/>
          </w:tcPr>
          <w:p>
            <w:pPr>
              <w:ind w:left="1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5"/>
        </w:trPr>
        <w:tc>
          <w:tcPr>
            <w:tcW w:w="700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9.87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13.53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67.74</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and early retirement charges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1.82</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0.90</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2.99</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0.75</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0.75</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Cable spin-off costs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1.39</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1.63</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Gains from the sales of businesses, an investment and the formation of a joint venture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(0.85)</w:t>
            </w:r>
          </w:p>
        </w:tc>
        <w:tc>
          <w:tcPr>
            <w:tcW w:w="3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(0.39)</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(0.25)</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0.36</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17.91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13.68</w:t>
            </w: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2019-12-05T17:15:06Z</dcterms:created>
  <dcterms:modified xsi:type="dcterms:W3CDTF">2019-12-05T17:15:06Z</dcterms:modified>
</cp:coreProperties>
</file>