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58"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Washington, D.C. 20549</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SD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Specialized Disclosure Report</w:t>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Graham Holdings Company</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1"/>
          <w:szCs w:val="2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2"/>
              </w:rPr>
              <w:t>Delaware</w:t>
            </w: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1"/>
              </w:rPr>
              <w:t>1-6714</w:t>
            </w:r>
          </w:p>
        </w:tc>
        <w:tc>
          <w:tcPr>
            <w:tcW w:w="3480" w:type="dxa"/>
            <w:vAlign w:val="bottom"/>
            <w:tcBorders>
              <w:bottom w:val="single" w:sz="8" w:color="auto"/>
            </w:tcBorders>
          </w:tcPr>
          <w:p>
            <w:pPr>
              <w:jc w:val="right"/>
              <w:ind w:right="1113"/>
              <w:spacing w:after="0"/>
              <w:rPr>
                <w:sz w:val="20"/>
                <w:szCs w:val="20"/>
                <w:color w:val="auto"/>
              </w:rPr>
            </w:pPr>
            <w:r>
              <w:rPr>
                <w:rFonts w:ascii="Arial" w:cs="Arial" w:eastAsia="Arial" w:hAnsi="Arial"/>
                <w:sz w:val="21"/>
                <w:szCs w:val="21"/>
                <w:color w:val="auto"/>
              </w:rPr>
              <w:t>53-0182885</w:t>
            </w:r>
          </w:p>
        </w:tc>
      </w:tr>
      <w:tr>
        <w:trPr>
          <w:trHeight w:val="272"/>
        </w:trPr>
        <w:tc>
          <w:tcPr>
            <w:tcW w:w="4160" w:type="dxa"/>
            <w:vAlign w:val="bottom"/>
          </w:tcPr>
          <w:p>
            <w:pPr>
              <w:jc w:val="center"/>
              <w:spacing w:after="0"/>
              <w:rPr>
                <w:sz w:val="20"/>
                <w:szCs w:val="20"/>
                <w:color w:val="auto"/>
              </w:rPr>
            </w:pPr>
            <w:r>
              <w:rPr>
                <w:rFonts w:ascii="Arial" w:cs="Arial" w:eastAsia="Arial" w:hAnsi="Arial"/>
                <w:sz w:val="21"/>
                <w:szCs w:val="21"/>
                <w:color w:val="auto"/>
                <w:w w:val="93"/>
              </w:rPr>
              <w:t>(State or other jurisdiction</w:t>
            </w:r>
          </w:p>
        </w:tc>
        <w:tc>
          <w:tcPr>
            <w:tcW w:w="3600" w:type="dxa"/>
            <w:vAlign w:val="bottom"/>
          </w:tcPr>
          <w:p>
            <w:pPr>
              <w:jc w:val="center"/>
              <w:spacing w:after="0"/>
              <w:rPr>
                <w:sz w:val="20"/>
                <w:szCs w:val="20"/>
                <w:color w:val="auto"/>
              </w:rPr>
            </w:pPr>
            <w:r>
              <w:rPr>
                <w:rFonts w:ascii="Arial" w:cs="Arial" w:eastAsia="Arial" w:hAnsi="Arial"/>
                <w:sz w:val="21"/>
                <w:szCs w:val="21"/>
                <w:color w:val="auto"/>
                <w:w w:val="94"/>
              </w:rPr>
              <w:t>(Commission</w:t>
            </w:r>
          </w:p>
        </w:tc>
        <w:tc>
          <w:tcPr>
            <w:tcW w:w="3480" w:type="dxa"/>
            <w:vAlign w:val="bottom"/>
          </w:tcPr>
          <w:p>
            <w:pPr>
              <w:jc w:val="center"/>
              <w:spacing w:after="0"/>
              <w:rPr>
                <w:sz w:val="20"/>
                <w:szCs w:val="20"/>
                <w:color w:val="auto"/>
              </w:rPr>
            </w:pPr>
            <w:r>
              <w:rPr>
                <w:rFonts w:ascii="Arial" w:cs="Arial" w:eastAsia="Arial" w:hAnsi="Arial"/>
                <w:sz w:val="21"/>
                <w:szCs w:val="21"/>
                <w:color w:val="auto"/>
                <w:w w:val="95"/>
              </w:rPr>
              <w:t>(IRS Employer</w:t>
            </w:r>
          </w:p>
        </w:tc>
      </w:tr>
      <w:tr>
        <w:trPr>
          <w:trHeight w:val="272"/>
        </w:trPr>
        <w:tc>
          <w:tcPr>
            <w:tcW w:w="4160" w:type="dxa"/>
            <w:vAlign w:val="bottom"/>
          </w:tcPr>
          <w:p>
            <w:pPr>
              <w:jc w:val="center"/>
              <w:spacing w:after="0"/>
              <w:rPr>
                <w:sz w:val="20"/>
                <w:szCs w:val="20"/>
                <w:color w:val="auto"/>
              </w:rPr>
            </w:pPr>
            <w:r>
              <w:rPr>
                <w:rFonts w:ascii="Arial" w:cs="Arial" w:eastAsia="Arial" w:hAnsi="Arial"/>
                <w:sz w:val="21"/>
                <w:szCs w:val="21"/>
                <w:color w:val="auto"/>
                <w:w w:val="94"/>
              </w:rPr>
              <w:t>of incorporation or organization)</w:t>
            </w:r>
          </w:p>
        </w:tc>
        <w:tc>
          <w:tcPr>
            <w:tcW w:w="3600" w:type="dxa"/>
            <w:vAlign w:val="bottom"/>
          </w:tcPr>
          <w:p>
            <w:pPr>
              <w:jc w:val="center"/>
              <w:spacing w:after="0"/>
              <w:rPr>
                <w:sz w:val="20"/>
                <w:szCs w:val="20"/>
                <w:color w:val="auto"/>
              </w:rPr>
            </w:pPr>
            <w:r>
              <w:rPr>
                <w:rFonts w:ascii="Arial" w:cs="Arial" w:eastAsia="Arial" w:hAnsi="Arial"/>
                <w:sz w:val="21"/>
                <w:szCs w:val="21"/>
                <w:color w:val="auto"/>
                <w:w w:val="95"/>
              </w:rPr>
              <w:t>File Number)</w:t>
            </w:r>
          </w:p>
        </w:tc>
        <w:tc>
          <w:tcPr>
            <w:tcW w:w="3480" w:type="dxa"/>
            <w:vAlign w:val="bottom"/>
          </w:tcPr>
          <w:p>
            <w:pPr>
              <w:jc w:val="center"/>
              <w:spacing w:after="0"/>
              <w:rPr>
                <w:sz w:val="20"/>
                <w:szCs w:val="20"/>
                <w:color w:val="auto"/>
              </w:rPr>
            </w:pPr>
            <w:r>
              <w:rPr>
                <w:rFonts w:ascii="Arial" w:cs="Arial" w:eastAsia="Arial" w:hAnsi="Arial"/>
                <w:sz w:val="21"/>
                <w:szCs w:val="21"/>
                <w:color w:val="auto"/>
                <w:w w:val="97"/>
              </w:rPr>
              <w:t>Identification No.)</w:t>
            </w:r>
          </w:p>
        </w:tc>
      </w:tr>
      <w:tr>
        <w:trPr>
          <w:trHeight w:val="601"/>
        </w:trPr>
        <w:tc>
          <w:tcPr>
            <w:tcW w:w="4160" w:type="dxa"/>
            <w:vAlign w:val="bottom"/>
            <w:tcBorders>
              <w:bottom w:val="single" w:sz="8" w:color="auto"/>
            </w:tcBorders>
          </w:tcPr>
          <w:p>
            <w:pPr>
              <w:jc w:val="center"/>
              <w:spacing w:after="0"/>
              <w:rPr>
                <w:sz w:val="20"/>
                <w:szCs w:val="20"/>
                <w:color w:val="auto"/>
              </w:rPr>
            </w:pPr>
            <w:r>
              <w:rPr>
                <w:rFonts w:ascii="Arial" w:cs="Arial" w:eastAsia="Arial" w:hAnsi="Arial"/>
                <w:sz w:val="21"/>
                <w:szCs w:val="21"/>
                <w:color w:val="auto"/>
                <w:w w:val="95"/>
              </w:rPr>
              <w:t>1300 North 17th St., Arlington, VA</w:t>
            </w:r>
          </w:p>
        </w:tc>
        <w:tc>
          <w:tcPr>
            <w:tcW w:w="3600" w:type="dxa"/>
            <w:vAlign w:val="bottom"/>
          </w:tcPr>
          <w:p>
            <w:pPr>
              <w:spacing w:after="0"/>
              <w:rPr>
                <w:sz w:val="24"/>
                <w:szCs w:val="24"/>
                <w:color w:val="auto"/>
              </w:rPr>
            </w:pPr>
          </w:p>
        </w:tc>
        <w:tc>
          <w:tcPr>
            <w:tcW w:w="3480" w:type="dxa"/>
            <w:vAlign w:val="bottom"/>
            <w:tcBorders>
              <w:bottom w:val="single" w:sz="8" w:color="auto"/>
            </w:tcBorders>
          </w:tcPr>
          <w:p>
            <w:pPr>
              <w:jc w:val="right"/>
              <w:ind w:right="1373"/>
              <w:spacing w:after="0"/>
              <w:rPr>
                <w:sz w:val="20"/>
                <w:szCs w:val="20"/>
                <w:color w:val="auto"/>
              </w:rPr>
            </w:pPr>
            <w:r>
              <w:rPr>
                <w:rFonts w:ascii="Arial" w:cs="Arial" w:eastAsia="Arial" w:hAnsi="Arial"/>
                <w:sz w:val="21"/>
                <w:szCs w:val="21"/>
                <w:color w:val="auto"/>
              </w:rPr>
              <w:t>22209</w:t>
            </w:r>
          </w:p>
        </w:tc>
      </w:tr>
      <w:tr>
        <w:trPr>
          <w:trHeight w:val="267"/>
        </w:trPr>
        <w:tc>
          <w:tcPr>
            <w:tcW w:w="4160" w:type="dxa"/>
            <w:vAlign w:val="bottom"/>
          </w:tcPr>
          <w:p>
            <w:pPr>
              <w:jc w:val="center"/>
              <w:spacing w:after="0"/>
              <w:rPr>
                <w:sz w:val="20"/>
                <w:szCs w:val="20"/>
                <w:color w:val="auto"/>
              </w:rPr>
            </w:pPr>
            <w:r>
              <w:rPr>
                <w:rFonts w:ascii="Arial" w:cs="Arial" w:eastAsia="Arial" w:hAnsi="Arial"/>
                <w:sz w:val="21"/>
                <w:szCs w:val="21"/>
                <w:color w:val="auto"/>
                <w:w w:val="94"/>
              </w:rPr>
              <w:t>(Address of principal executive offices)</w:t>
            </w:r>
          </w:p>
        </w:tc>
        <w:tc>
          <w:tcPr>
            <w:tcW w:w="3600" w:type="dxa"/>
            <w:vAlign w:val="bottom"/>
          </w:tcPr>
          <w:p>
            <w:pPr>
              <w:spacing w:after="0"/>
              <w:rPr>
                <w:sz w:val="23"/>
                <w:szCs w:val="23"/>
                <w:color w:val="auto"/>
              </w:rPr>
            </w:pPr>
          </w:p>
        </w:tc>
        <w:tc>
          <w:tcPr>
            <w:tcW w:w="3480" w:type="dxa"/>
            <w:vAlign w:val="bottom"/>
          </w:tcPr>
          <w:p>
            <w:pPr>
              <w:jc w:val="center"/>
              <w:spacing w:after="0"/>
              <w:rPr>
                <w:sz w:val="20"/>
                <w:szCs w:val="20"/>
                <w:color w:val="auto"/>
              </w:rPr>
            </w:pPr>
            <w:r>
              <w:rPr>
                <w:rFonts w:ascii="Arial" w:cs="Arial" w:eastAsia="Arial" w:hAnsi="Arial"/>
                <w:sz w:val="21"/>
                <w:szCs w:val="21"/>
                <w:color w:val="auto"/>
                <w:w w:val="93"/>
              </w:rPr>
              <w:t>(Zip code)</w:t>
            </w:r>
          </w:p>
        </w:tc>
      </w:tr>
    </w:tbl>
    <w:p>
      <w:pPr>
        <w:spacing w:after="0" w:line="306" w:lineRule="exact"/>
        <w:rPr>
          <w:sz w:val="24"/>
          <w:szCs w:val="24"/>
          <w:color w:val="auto"/>
        </w:rPr>
      </w:pPr>
    </w:p>
    <w:p>
      <w:pPr>
        <w:ind w:left="4580"/>
        <w:spacing w:after="0"/>
        <w:rPr>
          <w:sz w:val="20"/>
          <w:szCs w:val="20"/>
          <w:color w:val="auto"/>
        </w:rPr>
      </w:pPr>
      <w:r>
        <w:rPr>
          <w:rFonts w:ascii="Arial" w:cs="Arial" w:eastAsia="Arial" w:hAnsi="Arial"/>
          <w:sz w:val="21"/>
          <w:szCs w:val="21"/>
          <w:color w:val="auto"/>
        </w:rPr>
        <w:t>Nicole Maddrey (703) 345-6300</w:t>
      </w:r>
    </w:p>
    <w:p>
      <w:pPr>
        <w:spacing w:after="0" w:line="38" w:lineRule="exact"/>
        <w:rPr>
          <w:sz w:val="24"/>
          <w:szCs w:val="24"/>
          <w:color w:val="auto"/>
        </w:rPr>
      </w:pPr>
    </w:p>
    <w:p>
      <w:pPr>
        <w:ind w:left="1080"/>
        <w:spacing w:after="0"/>
        <w:rPr>
          <w:sz w:val="20"/>
          <w:szCs w:val="20"/>
          <w:color w:val="auto"/>
        </w:rPr>
      </w:pPr>
      <w:r>
        <w:rPr>
          <w:rFonts w:ascii="Arial" w:cs="Arial" w:eastAsia="Arial" w:hAnsi="Arial"/>
          <w:sz w:val="21"/>
          <w:szCs w:val="2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2644775</wp:posOffset>
            </wp:positionH>
            <wp:positionV relativeFrom="paragraph">
              <wp:posOffset>-147320</wp:posOffset>
            </wp:positionV>
            <wp:extent cx="228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847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right="620"/>
        <w:spacing w:after="0" w:line="281" w:lineRule="auto"/>
        <w:rPr>
          <w:sz w:val="20"/>
          <w:szCs w:val="20"/>
          <w:color w:val="auto"/>
        </w:rPr>
      </w:pPr>
      <w:r>
        <w:rPr>
          <w:rFonts w:ascii="Arial" w:cs="Arial" w:eastAsia="Arial" w:hAnsi="Arial"/>
          <w:sz w:val="21"/>
          <w:szCs w:val="21"/>
          <w:color w:val="auto"/>
        </w:rPr>
        <w:t>Check the appropriate box to indicate the rule pursuant to which this form is being filed, and provide the period to which the information in this form applies:</w:t>
      </w:r>
    </w:p>
    <w:p>
      <w:pPr>
        <w:spacing w:after="0" w:line="181" w:lineRule="exact"/>
        <w:rPr>
          <w:sz w:val="24"/>
          <w:szCs w:val="24"/>
          <w:color w:val="auto"/>
        </w:rPr>
      </w:pPr>
    </w:p>
    <w:p>
      <w:pPr>
        <w:ind w:right="280" w:firstLine="7"/>
        <w:spacing w:after="0" w:line="281" w:lineRule="auto"/>
        <w:tabs>
          <w:tab w:leader="none" w:pos="349" w:val="left"/>
        </w:tabs>
        <w:numPr>
          <w:ilvl w:val="0"/>
          <w:numId w:val="1"/>
        </w:numPr>
        <w:rPr>
          <w:rFonts w:ascii="Arial" w:cs="Arial" w:eastAsia="Arial" w:hAnsi="Arial"/>
          <w:sz w:val="21"/>
          <w:szCs w:val="21"/>
          <w:color w:val="auto"/>
        </w:rPr>
      </w:pPr>
      <w:r>
        <w:rPr>
          <w:rFonts w:ascii="Arial" w:cs="Arial" w:eastAsia="Arial" w:hAnsi="Arial"/>
          <w:sz w:val="21"/>
          <w:szCs w:val="21"/>
          <w:color w:val="auto"/>
        </w:rPr>
        <w:t>Rule 13p-1 under the Securities Exchange Act (17 CFR 240.13p-1) for the reporting period from January 1 to December 31, 2020.</w:t>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Section 1 - Conflict Minerals Disclosure</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1.02 Exhibit</w:t>
      </w:r>
    </w:p>
    <w:p>
      <w:pPr>
        <w:spacing w:after="0" w:line="258" w:lineRule="exact"/>
        <w:rPr>
          <w:sz w:val="20"/>
          <w:szCs w:val="20"/>
          <w:color w:val="auto"/>
        </w:rPr>
      </w:pPr>
    </w:p>
    <w:p>
      <w:pPr>
        <w:ind w:right="3500"/>
        <w:spacing w:after="0" w:line="281" w:lineRule="auto"/>
        <w:rPr>
          <w:sz w:val="20"/>
          <w:szCs w:val="20"/>
          <w:color w:val="auto"/>
        </w:rPr>
      </w:pPr>
      <w:r>
        <w:rPr>
          <w:rFonts w:ascii="Arial" w:cs="Arial" w:eastAsia="Arial" w:hAnsi="Arial"/>
          <w:sz w:val="21"/>
          <w:szCs w:val="21"/>
          <w:color w:val="auto"/>
        </w:rPr>
        <w:t>A copy of our Conflict Minerals Report is filed as Exhibit 1.01 and is publicly available at http://www.ghco.com/phoenix.zhtml?c=62487&amp;p=irol-sec</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Section 2 - Exhibits</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2.01 Exhibits</w:t>
      </w:r>
    </w:p>
    <w:p>
      <w:pPr>
        <w:spacing w:after="0" w:line="200" w:lineRule="exact"/>
        <w:rPr>
          <w:sz w:val="20"/>
          <w:szCs w:val="20"/>
          <w:color w:val="auto"/>
        </w:rPr>
      </w:pPr>
    </w:p>
    <w:p>
      <w:pPr>
        <w:spacing w:after="0" w:line="284" w:lineRule="exact"/>
        <w:rPr>
          <w:sz w:val="20"/>
          <w:szCs w:val="20"/>
          <w:color w:val="auto"/>
        </w:rPr>
      </w:pPr>
    </w:p>
    <w:tbl>
      <w:tblPr>
        <w:tblLayout w:type="fixed"/>
        <w:tblInd w:w="680" w:type="dxa"/>
        <w:tblCellMar>
          <w:top w:w="0" w:type="dxa"/>
          <w:left w:w="0" w:type="dxa"/>
          <w:bottom w:w="0" w:type="dxa"/>
          <w:right w:w="0" w:type="dxa"/>
        </w:tblCellMar>
      </w:tblPr>
      <w:tr>
        <w:trPr>
          <w:trHeight w:val="281"/>
        </w:trPr>
        <w:tc>
          <w:tcPr>
            <w:tcW w:w="176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Designation</w:t>
            </w:r>
          </w:p>
        </w:tc>
        <w:tc>
          <w:tcPr>
            <w:tcW w:w="3560" w:type="dxa"/>
            <w:vAlign w:val="bottom"/>
            <w:tcBorders>
              <w:bottom w:val="single" w:sz="8" w:color="auto"/>
            </w:tcBorders>
          </w:tcPr>
          <w:p>
            <w:pPr>
              <w:ind w:left="640"/>
              <w:spacing w:after="0"/>
              <w:rPr>
                <w:sz w:val="20"/>
                <w:szCs w:val="20"/>
                <w:color w:val="auto"/>
              </w:rPr>
            </w:pPr>
            <w:r>
              <w:rPr>
                <w:rFonts w:ascii="Arial" w:cs="Arial" w:eastAsia="Arial" w:hAnsi="Arial"/>
                <w:sz w:val="21"/>
                <w:szCs w:val="21"/>
                <w:color w:val="auto"/>
              </w:rPr>
              <w:t>Description</w:t>
            </w:r>
          </w:p>
        </w:tc>
        <w:tc>
          <w:tcPr>
            <w:tcW w:w="4580" w:type="dxa"/>
            <w:vAlign w:val="bottom"/>
            <w:tcBorders>
              <w:bottom w:val="single" w:sz="8" w:color="auto"/>
            </w:tcBorders>
          </w:tcPr>
          <w:p>
            <w:pPr>
              <w:ind w:left="760"/>
              <w:spacing w:after="0"/>
              <w:rPr>
                <w:sz w:val="20"/>
                <w:szCs w:val="20"/>
                <w:color w:val="auto"/>
              </w:rPr>
            </w:pPr>
            <w:r>
              <w:rPr>
                <w:rFonts w:ascii="Arial" w:cs="Arial" w:eastAsia="Arial" w:hAnsi="Arial"/>
                <w:sz w:val="21"/>
                <w:szCs w:val="21"/>
                <w:color w:val="auto"/>
              </w:rPr>
              <w:t>Method of Filing</w:t>
            </w:r>
          </w:p>
        </w:tc>
      </w:tr>
      <w:tr>
        <w:trPr>
          <w:trHeight w:val="272"/>
        </w:trPr>
        <w:tc>
          <w:tcPr>
            <w:tcW w:w="1760" w:type="dxa"/>
            <w:vAlign w:val="bottom"/>
          </w:tcPr>
          <w:p>
            <w:pPr>
              <w:ind w:left="60"/>
              <w:spacing w:after="0"/>
              <w:rPr>
                <w:sz w:val="20"/>
                <w:szCs w:val="20"/>
                <w:color w:val="auto"/>
              </w:rPr>
            </w:pPr>
            <w:r>
              <w:rPr>
                <w:rFonts w:ascii="Arial" w:cs="Arial" w:eastAsia="Arial" w:hAnsi="Arial"/>
                <w:sz w:val="21"/>
                <w:szCs w:val="21"/>
                <w:color w:val="auto"/>
              </w:rPr>
              <w:t>Exhibit 1.01</w:t>
            </w:r>
          </w:p>
        </w:tc>
        <w:tc>
          <w:tcPr>
            <w:tcW w:w="3560" w:type="dxa"/>
            <w:vAlign w:val="bottom"/>
          </w:tcPr>
          <w:p>
            <w:pPr>
              <w:ind w:left="640"/>
              <w:spacing w:after="0"/>
              <w:rPr>
                <w:sz w:val="20"/>
                <w:szCs w:val="20"/>
                <w:color w:val="auto"/>
              </w:rPr>
            </w:pPr>
            <w:r>
              <w:rPr>
                <w:rFonts w:ascii="Arial" w:cs="Arial" w:eastAsia="Arial" w:hAnsi="Arial"/>
                <w:sz w:val="21"/>
                <w:szCs w:val="21"/>
                <w:color w:val="auto"/>
              </w:rPr>
              <w:t>Conflict Minerals Report</w:t>
            </w:r>
          </w:p>
        </w:tc>
        <w:tc>
          <w:tcPr>
            <w:tcW w:w="4580" w:type="dxa"/>
            <w:vAlign w:val="bottom"/>
          </w:tcPr>
          <w:p>
            <w:pPr>
              <w:ind w:left="760"/>
              <w:spacing w:after="0"/>
              <w:rPr>
                <w:sz w:val="20"/>
                <w:szCs w:val="20"/>
                <w:color w:val="auto"/>
              </w:rPr>
            </w:pPr>
            <w:r>
              <w:rPr>
                <w:rFonts w:ascii="Arial" w:cs="Arial" w:eastAsia="Arial" w:hAnsi="Arial"/>
                <w:sz w:val="21"/>
                <w:szCs w:val="21"/>
                <w:color w:val="auto"/>
              </w:rPr>
              <w:t>Filed with this report</w:t>
            </w:r>
          </w:p>
        </w:tc>
      </w:tr>
    </w:tbl>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SIGNATURES</w:t>
      </w:r>
    </w:p>
    <w:p>
      <w:pPr>
        <w:spacing w:after="0" w:line="258" w:lineRule="exact"/>
        <w:rPr>
          <w:sz w:val="20"/>
          <w:szCs w:val="20"/>
          <w:color w:val="auto"/>
        </w:rPr>
      </w:pPr>
    </w:p>
    <w:p>
      <w:pPr>
        <w:ind w:right="200"/>
        <w:spacing w:after="0" w:line="281"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duly authorized undersigned.</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Graham Holdings Company</w:t>
      </w:r>
    </w:p>
    <w:p>
      <w:pPr>
        <w:spacing w:after="0" w:line="36" w:lineRule="exact"/>
        <w:rPr>
          <w:sz w:val="20"/>
          <w:szCs w:val="20"/>
          <w:color w:val="auto"/>
        </w:rPr>
      </w:pPr>
    </w:p>
    <w:p>
      <w:pPr>
        <w:spacing w:after="0"/>
        <w:rPr>
          <w:sz w:val="20"/>
          <w:szCs w:val="20"/>
          <w:color w:val="auto"/>
        </w:rPr>
      </w:pPr>
      <w:r>
        <w:rPr>
          <w:rFonts w:ascii="Arial" w:cs="Arial" w:eastAsia="Arial" w:hAnsi="Arial"/>
          <w:sz w:val="21"/>
          <w:szCs w:val="21"/>
          <w:color w:val="auto"/>
        </w:rPr>
        <w:t>(Registrant)</w:t>
      </w: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81"/>
        </w:trPr>
        <w:tc>
          <w:tcPr>
            <w:tcW w:w="7880" w:type="dxa"/>
            <w:vAlign w:val="bottom"/>
            <w:tcBorders>
              <w:bottom w:val="single" w:sz="8" w:color="auto"/>
            </w:tcBorders>
          </w:tcPr>
          <w:p>
            <w:pPr>
              <w:ind w:left="60"/>
              <w:spacing w:after="0"/>
              <w:rPr>
                <w:sz w:val="20"/>
                <w:szCs w:val="20"/>
                <w:color w:val="auto"/>
              </w:rPr>
            </w:pPr>
            <w:r>
              <w:rPr>
                <w:rFonts w:ascii="Arial" w:cs="Arial" w:eastAsia="Arial" w:hAnsi="Arial"/>
                <w:sz w:val="21"/>
                <w:szCs w:val="21"/>
                <w:color w:val="auto"/>
              </w:rPr>
              <w:t>/s/ Nicole Maddrey</w:t>
            </w:r>
          </w:p>
        </w:tc>
        <w:tc>
          <w:tcPr>
            <w:tcW w:w="3320" w:type="dxa"/>
            <w:vAlign w:val="bottom"/>
            <w:tcBorders>
              <w:bottom w:val="single" w:sz="8" w:color="auto"/>
            </w:tcBorders>
          </w:tcPr>
          <w:p>
            <w:pPr>
              <w:jc w:val="center"/>
              <w:ind w:left="653"/>
              <w:spacing w:after="0"/>
              <w:rPr>
                <w:sz w:val="20"/>
                <w:szCs w:val="20"/>
                <w:color w:val="auto"/>
              </w:rPr>
            </w:pPr>
            <w:r>
              <w:rPr>
                <w:rFonts w:ascii="Arial" w:cs="Arial" w:eastAsia="Arial" w:hAnsi="Arial"/>
                <w:sz w:val="21"/>
                <w:szCs w:val="21"/>
                <w:color w:val="auto"/>
                <w:w w:val="94"/>
              </w:rPr>
              <w:t>May 27, 2021</w:t>
            </w:r>
          </w:p>
        </w:tc>
      </w:tr>
      <w:tr>
        <w:trPr>
          <w:trHeight w:val="272"/>
        </w:trPr>
        <w:tc>
          <w:tcPr>
            <w:tcW w:w="7880" w:type="dxa"/>
            <w:vAlign w:val="bottom"/>
          </w:tcPr>
          <w:p>
            <w:pPr>
              <w:ind w:left="60"/>
              <w:spacing w:after="0"/>
              <w:rPr>
                <w:sz w:val="20"/>
                <w:szCs w:val="20"/>
                <w:color w:val="auto"/>
              </w:rPr>
            </w:pPr>
            <w:r>
              <w:rPr>
                <w:rFonts w:ascii="Arial" w:cs="Arial" w:eastAsia="Arial" w:hAnsi="Arial"/>
                <w:sz w:val="21"/>
                <w:szCs w:val="21"/>
                <w:color w:val="auto"/>
              </w:rPr>
              <w:t>By Nicole Maddrey, Senior Vice President, General Counsel and Secretary</w:t>
            </w:r>
          </w:p>
        </w:tc>
        <w:tc>
          <w:tcPr>
            <w:tcW w:w="3320" w:type="dxa"/>
            <w:vAlign w:val="bottom"/>
          </w:tcPr>
          <w:p>
            <w:pPr>
              <w:jc w:val="center"/>
              <w:ind w:left="653"/>
              <w:spacing w:after="0"/>
              <w:rPr>
                <w:sz w:val="20"/>
                <w:szCs w:val="20"/>
                <w:color w:val="auto"/>
              </w:rPr>
            </w:pPr>
            <w:r>
              <w:rPr>
                <w:rFonts w:ascii="Arial" w:cs="Arial" w:eastAsia="Arial" w:hAnsi="Arial"/>
                <w:sz w:val="21"/>
                <w:szCs w:val="21"/>
                <w:color w:val="auto"/>
                <w:w w:val="95"/>
              </w:rPr>
              <w:t>(Date)</w:t>
            </w:r>
          </w:p>
        </w:tc>
      </w:tr>
    </w:tbl>
    <w:p>
      <w:pPr>
        <w:sectPr>
          <w:pgSz w:w="11900" w:h="16838" w:orient="portrait"/>
          <w:cols w:equalWidth="0" w:num="1">
            <w:col w:w="11220"/>
          </w:cols>
          <w:pgMar w:left="320" w:top="685" w:right="359" w:bottom="1440" w:gutter="0" w:footer="0" w:header="0"/>
        </w:sectPr>
      </w:pPr>
    </w:p>
    <w:bookmarkStart w:id="2" w:name="page3"/>
    <w:bookmarkEnd w:id="2"/>
    <w:p>
      <w:pPr>
        <w:spacing w:after="0"/>
        <w:rPr>
          <w:sz w:val="20"/>
          <w:szCs w:val="20"/>
          <w:color w:val="auto"/>
        </w:rPr>
      </w:pPr>
      <w:r>
        <w:rPr>
          <w:rFonts w:ascii="Arial" w:cs="Arial" w:eastAsia="Arial" w:hAnsi="Arial"/>
          <w:sz w:val="21"/>
          <w:szCs w:val="21"/>
          <w:b w:val="1"/>
          <w:bCs w:val="1"/>
          <w:color w:val="auto"/>
        </w:rPr>
        <w:t>Exhibit 1.01 - Graham Holdings Company Conflict Minerals Report</w:t>
      </w:r>
    </w:p>
    <w:p>
      <w:pPr>
        <w:spacing w:after="0" w:line="3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Introduction</w:t>
      </w:r>
    </w:p>
    <w:p>
      <w:pPr>
        <w:spacing w:after="0" w:line="258" w:lineRule="exact"/>
        <w:rPr>
          <w:sz w:val="20"/>
          <w:szCs w:val="20"/>
          <w:color w:val="auto"/>
        </w:rPr>
      </w:pPr>
    </w:p>
    <w:p>
      <w:pPr>
        <w:ind w:right="80"/>
        <w:spacing w:after="0" w:line="268" w:lineRule="auto"/>
        <w:rPr>
          <w:sz w:val="20"/>
          <w:szCs w:val="20"/>
          <w:color w:val="auto"/>
        </w:rPr>
      </w:pPr>
      <w:r>
        <w:rPr>
          <w:rFonts w:ascii="Arial" w:cs="Arial" w:eastAsia="Arial" w:hAnsi="Arial"/>
          <w:sz w:val="20"/>
          <w:szCs w:val="20"/>
          <w:color w:val="auto"/>
        </w:rPr>
        <w:t>The Dodd-Frank Wall Street Reform and Consumer Protection Act of 2010 and rules promulgated thereunder by the Securities and Exchange Commission (“SEC”) impose certain reporting obligations on public companies that manufacture or contract to manufacture products containing columbite-tantalite (coltan), cassiterite, gold, wolframite, or their derivatives, tantalum, tin and tungsten (each a “Conflict Mineral” as that term is defined in paragraph (d)(3) of Item 1.01 of Form SD) that may have originated from the Democratic Republic of the Congo or an adjoining country, as defined by paragraph (d)(1) of Item 1.01 of Form SD (collectively, “Covered Countries”). We also refer to tin, tantalum, tungsten, and gold collectively as “3TG”. Under the SEC’s rules, if any Conflict Minerals are necessary to the functionality or production of a product manufactured by us or contracted by us to be manufactured and are required to be reported in the calendar year covered by this Form SD, the Company must conduct in good faith a reasonable country of origin inquiry regarding those Conflict Minerals that is reasonably designed to determine whether any Conflict Minerals (a) originated in the Covered Countries or (b) are from recycled or scrap sources, as defined by paragraph (d)(6) of Item 1.01 of Form SD.</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 Company and Products Overview</w:t>
      </w:r>
    </w:p>
    <w:p>
      <w:pPr>
        <w:spacing w:after="0" w:line="258" w:lineRule="exact"/>
        <w:rPr>
          <w:sz w:val="20"/>
          <w:szCs w:val="20"/>
          <w:color w:val="auto"/>
        </w:rPr>
      </w:pPr>
    </w:p>
    <w:p>
      <w:pPr>
        <w:ind w:right="180"/>
        <w:spacing w:after="0" w:line="269" w:lineRule="auto"/>
        <w:rPr>
          <w:sz w:val="20"/>
          <w:szCs w:val="20"/>
          <w:color w:val="auto"/>
        </w:rPr>
      </w:pPr>
      <w:r>
        <w:rPr>
          <w:rFonts w:ascii="Arial" w:cs="Arial" w:eastAsia="Arial" w:hAnsi="Arial"/>
          <w:sz w:val="20"/>
          <w:szCs w:val="20"/>
          <w:color w:val="auto"/>
        </w:rPr>
        <w:t>This Conflict Minerals Report (the “Report”) for the year ended December 31, 2020, is presented by Graham Holdings Company (the “Company”) to comply with Rule 13p-1 under the Securities Exchange Act of 1934 (the “Conflict Minerals Rule”). The Company is a diversified education and media company, whose primary operations include educational services, television broadcasting; online, print and local TV news; home health and hospice care and manufacturing. The Company’s manufacturing companies include Group Dekko Corporation (“Dekko”), Forney Corporation (“Forney”) and Joyce/Dayton Corp (“Joyce”). Forney is a global supplier of products and systems that control and monitor combustion processes in electric utility and industrial applications. Joyce is a global supplier of screw jacks, linear actuators and lifting systems used in commercial and industrial applications. Dekko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w:t>
      </w:r>
    </w:p>
    <w:p>
      <w:pPr>
        <w:spacing w:after="0" w:line="194" w:lineRule="exact"/>
        <w:rPr>
          <w:sz w:val="20"/>
          <w:szCs w:val="20"/>
          <w:color w:val="auto"/>
        </w:rPr>
      </w:pPr>
    </w:p>
    <w:p>
      <w:pPr>
        <w:ind w:right="280"/>
        <w:spacing w:after="0" w:line="292" w:lineRule="auto"/>
        <w:rPr>
          <w:sz w:val="20"/>
          <w:szCs w:val="20"/>
          <w:color w:val="auto"/>
        </w:rPr>
      </w:pPr>
      <w:r>
        <w:rPr>
          <w:rFonts w:ascii="Arial" w:cs="Arial" w:eastAsia="Arial" w:hAnsi="Arial"/>
          <w:sz w:val="19"/>
          <w:szCs w:val="19"/>
          <w:color w:val="auto"/>
        </w:rPr>
        <w:t>The Company has reviewed its operations to determine which parts of its business may be subject to the disclosure requirements under the Dodd-Frank Act of 2010 which requires public companies to disclose measures they have taken to identify the source of “conflict minerals” in the products they manufacture or contract to manufacture. The Company did not include products that were not entered into the stream of commerce in the calendar year ended December 31, 2020, or some products manufactured or contracted to be manufactured by entities acquired by the Company after April 2019.</w:t>
      </w:r>
    </w:p>
    <w:p>
      <w:pPr>
        <w:spacing w:after="0" w:line="177" w:lineRule="exact"/>
        <w:rPr>
          <w:sz w:val="20"/>
          <w:szCs w:val="20"/>
          <w:color w:val="auto"/>
        </w:rPr>
      </w:pPr>
    </w:p>
    <w:p>
      <w:pPr>
        <w:ind w:right="80"/>
        <w:spacing w:after="0" w:line="260" w:lineRule="auto"/>
        <w:rPr>
          <w:sz w:val="20"/>
          <w:szCs w:val="20"/>
          <w:color w:val="auto"/>
        </w:rPr>
      </w:pPr>
      <w:r>
        <w:rPr>
          <w:rFonts w:ascii="Arial" w:cs="Arial" w:eastAsia="Arial" w:hAnsi="Arial"/>
          <w:sz w:val="21"/>
          <w:szCs w:val="21"/>
          <w:color w:val="auto"/>
        </w:rPr>
        <w:t>Dekko, Forney and Joyce manufacture products that contain small amounts of 3TG metals. These products incorporate generic components obtained from other companies that contain</w:t>
      </w:r>
    </w:p>
    <w:p>
      <w:pPr>
        <w:spacing w:after="0" w:line="1" w:lineRule="exact"/>
        <w:rPr>
          <w:sz w:val="20"/>
          <w:szCs w:val="20"/>
          <w:color w:val="auto"/>
        </w:rPr>
      </w:pPr>
    </w:p>
    <w:p>
      <w:pPr>
        <w:jc w:val="both"/>
        <w:ind w:right="120"/>
        <w:spacing w:after="0" w:line="257" w:lineRule="auto"/>
        <w:rPr>
          <w:sz w:val="20"/>
          <w:szCs w:val="20"/>
          <w:color w:val="auto"/>
        </w:rPr>
      </w:pPr>
      <w:r>
        <w:rPr>
          <w:rFonts w:ascii="Arial" w:cs="Arial" w:eastAsia="Arial" w:hAnsi="Arial"/>
          <w:sz w:val="21"/>
          <w:szCs w:val="21"/>
          <w:color w:val="auto"/>
        </w:rPr>
        <w:t>tantalum, tin, tungsten and gold. The 3TG in these generic components are necessary to the functionality of Dekko’s, Forney’s and Joyce’s products. These generic components are purchased from manufacturers and distributors. Dekko, Forney and Joyce do not purchase any 3TG metals directly from mines, smelters or refiners.</w:t>
      </w:r>
    </w:p>
    <w:p>
      <w:pPr>
        <w:spacing w:after="0" w:line="206" w:lineRule="exact"/>
        <w:rPr>
          <w:sz w:val="20"/>
          <w:szCs w:val="20"/>
          <w:color w:val="auto"/>
        </w:rPr>
      </w:pPr>
    </w:p>
    <w:p>
      <w:pPr>
        <w:spacing w:after="0" w:line="284" w:lineRule="auto"/>
        <w:rPr>
          <w:sz w:val="20"/>
          <w:szCs w:val="20"/>
          <w:color w:val="auto"/>
        </w:rPr>
      </w:pPr>
      <w:r>
        <w:rPr>
          <w:rFonts w:ascii="Arial" w:cs="Arial" w:eastAsia="Arial" w:hAnsi="Arial"/>
          <w:sz w:val="19"/>
          <w:szCs w:val="19"/>
          <w:color w:val="auto"/>
        </w:rPr>
        <w:t>A portion of the procured components and materials within Dekko power distribution products, lighting products, wire harnesses and electro-mechanical assemblies contain gold and tin used as an electrically conductive plating (including electrical wire and cable (tin), plated terminals within purchased connector assemblies (tin and gold) and tin plated copper purchased by Dekko to manufacture electrical terminals). Tin is the most predominant 3TG metal within Dekko’s products and may also be present in the form of solder used by component suppliers and by Dekko to establish electrical connections. Dekko’s lighting products may contain tungsten (products utilizing incandescent or fluorescent lamp technologies); the steel in some purchased products may also contain tungsten as an alloying element. Printed circuit board assemblies subcontracted by Dekko for inclusion in their products and utilizing certain capacitors may contain tantalum. Forney’s products that contain gold and tin are Printed Circuit Boards (“PCBs”) and connectors; Forney’s products that contain tantalum are capacitors; Forney’s products that contain tungsten are electrical materials such as resistors. Joyce’s products that contain gold and tin are electrical wiring, name plates, castings and covers; products that contain tantalum are screws and nuts.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3. Supply Chain Overview</w:t>
      </w:r>
    </w:p>
    <w:p>
      <w:pPr>
        <w:spacing w:after="0" w:line="258" w:lineRule="exact"/>
        <w:rPr>
          <w:sz w:val="20"/>
          <w:szCs w:val="20"/>
          <w:color w:val="auto"/>
        </w:rPr>
      </w:pPr>
    </w:p>
    <w:p>
      <w:pPr>
        <w:ind w:right="40"/>
        <w:spacing w:after="0" w:line="259" w:lineRule="auto"/>
        <w:rPr>
          <w:sz w:val="20"/>
          <w:szCs w:val="20"/>
          <w:color w:val="auto"/>
        </w:rPr>
      </w:pPr>
      <w:r>
        <w:rPr>
          <w:rFonts w:ascii="Arial" w:cs="Arial" w:eastAsia="Arial" w:hAnsi="Arial"/>
          <w:sz w:val="21"/>
          <w:szCs w:val="21"/>
          <w:color w:val="auto"/>
        </w:rPr>
        <w:t>Because Dekko, Forney and Joyce do not purchase 3TG directly from any mine, refiner or smelter, they are in a “downstream” position in the supply chain, that is, downstream in the supply chain from smelters to refiners to retailers. As such, Dekko, Forney and Joyce rely on their direct suppliers and distributors to provide information on the origin of the 3TG contained in components supplied to them, including sources of 3TG that are supplied to them from lower tier suppliers. See section Section 4.1 below.</w:t>
      </w:r>
    </w:p>
    <w:p>
      <w:pPr>
        <w:sectPr>
          <w:pgSz w:w="11900" w:h="16838" w:orient="portrait"/>
          <w:cols w:equalWidth="0" w:num="1">
            <w:col w:w="10920"/>
          </w:cols>
          <w:pgMar w:left="640" w:top="1365" w:right="339" w:bottom="0" w:gutter="0" w:footer="0" w:header="0"/>
        </w:sectPr>
      </w:pPr>
    </w:p>
    <w:bookmarkStart w:id="3" w:name="page4"/>
    <w:bookmarkEnd w:id="3"/>
    <w:p>
      <w:pPr>
        <w:spacing w:after="0"/>
        <w:rPr>
          <w:sz w:val="20"/>
          <w:szCs w:val="20"/>
          <w:color w:val="auto"/>
        </w:rPr>
      </w:pPr>
      <w:r>
        <w:rPr>
          <w:rFonts w:ascii="Arial" w:cs="Arial" w:eastAsia="Arial" w:hAnsi="Arial"/>
          <w:sz w:val="21"/>
          <w:szCs w:val="21"/>
          <w:b w:val="1"/>
          <w:bCs w:val="1"/>
          <w:color w:val="auto"/>
        </w:rPr>
        <w:t>3.1 Conflict Minerals Policy</w:t>
      </w:r>
    </w:p>
    <w:p>
      <w:pPr>
        <w:spacing w:after="0" w:line="258" w:lineRule="exact"/>
        <w:rPr>
          <w:sz w:val="20"/>
          <w:szCs w:val="20"/>
          <w:color w:val="auto"/>
        </w:rPr>
      </w:pPr>
    </w:p>
    <w:p>
      <w:pPr>
        <w:jc w:val="both"/>
        <w:ind w:right="20"/>
        <w:spacing w:after="0" w:line="266" w:lineRule="auto"/>
        <w:rPr>
          <w:sz w:val="20"/>
          <w:szCs w:val="20"/>
          <w:color w:val="auto"/>
        </w:rPr>
      </w:pPr>
      <w:r>
        <w:rPr>
          <w:rFonts w:ascii="Arial" w:cs="Arial" w:eastAsia="Arial" w:hAnsi="Arial"/>
          <w:sz w:val="21"/>
          <w:szCs w:val="21"/>
          <w:color w:val="auto"/>
        </w:rPr>
        <w:t>Dekko, Forney and Joyce adopted the following Conflict Minerals Policy (the “Policy”) that is available on Forney’s website at http://forneycorp.com/conflict-minerals-policy and on Joyce’s website at http://joycedayton.com/about-us/certifications and on Dekko’s website at http://www.dekko.com/capabilities/#_tab4.</w:t>
      </w:r>
    </w:p>
    <w:p>
      <w:pPr>
        <w:spacing w:after="0" w:line="197"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The Company is committed to the responsible sourcing of “conflict minerals” throughout its supply chain for products that it manufactures that contain these minerals. Under the Conflict Minerals Rule, “conflict minerals” are the source of financing for armed conflicts in the Democratic Republic of the Congo (the “DRC”) and adjoining countries. The Conflict Minerals Rule is intended to reduce a significant source of funding for armed groups that are committing human rights abuses in the DRC and adjoining countries. “Conflict minerals” are four specific minerals and their derivatives: columbite-tantalite (the metal ore from which tantalum is extracted), cassiterite (the metal ore from which tin is extracted), wolframite (the metal ore from which tungsten is extracted), and gold. The Company has policies and systems in place to reduce the risk that the minerals used in any of its products originate from conflict mines in the DRC. It is committed to strengthening its efforts to ensure that it refrains from, directly or indirectly, taking or supporting any action that contributes to the financing of armed groups that are committing human rights abuses in the DRC and other covered countries.</w:t>
      </w:r>
    </w:p>
    <w:p>
      <w:pPr>
        <w:spacing w:after="0" w:line="188" w:lineRule="exact"/>
        <w:rPr>
          <w:sz w:val="20"/>
          <w:szCs w:val="20"/>
          <w:color w:val="auto"/>
        </w:rPr>
      </w:pPr>
    </w:p>
    <w:p>
      <w:pPr>
        <w:ind w:left="220" w:hanging="214"/>
        <w:spacing w:after="0"/>
        <w:tabs>
          <w:tab w:leader="none" w:pos="22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Reasonable Country of Origin Inquiry (“RCOI”)</w:t>
      </w:r>
    </w:p>
    <w:p>
      <w:pPr>
        <w:spacing w:after="0" w:line="251"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4.1 Requests for Information and Survey Responses</w:t>
      </w:r>
    </w:p>
    <w:p>
      <w:pPr>
        <w:spacing w:after="0" w:line="258" w:lineRule="exact"/>
        <w:rPr>
          <w:sz w:val="20"/>
          <w:szCs w:val="20"/>
          <w:color w:val="auto"/>
        </w:rPr>
      </w:pPr>
    </w:p>
    <w:p>
      <w:pPr>
        <w:spacing w:after="0" w:line="281" w:lineRule="auto"/>
        <w:rPr>
          <w:sz w:val="20"/>
          <w:szCs w:val="20"/>
          <w:color w:val="auto"/>
        </w:rPr>
      </w:pPr>
      <w:r>
        <w:rPr>
          <w:rFonts w:ascii="Arial" w:cs="Arial" w:eastAsia="Arial" w:hAnsi="Arial"/>
          <w:sz w:val="19"/>
          <w:szCs w:val="19"/>
          <w:color w:val="auto"/>
        </w:rPr>
        <w:t>Reasonable country of origin inquiries were conducted that were reasonably designed to determine whether any 3TG necessary to the functionality or production of products originated in the Covered Countries or were from recycled or scrap sources. The Company does not source 3TG metals directly from mines, smelters or refiners and are therefore several levels removed from them. As a result, it relies on the cooperation of its suppliers in the implementation of its conflict minerals policies and the provision of information on the origin of the 3TG contained in the products that they supply to the Company. Dekko and Forney undertook an investigation of their suppliers of the generic components to determine the sources of the minerals incorporated into those components and Joyce investigated its new suppliers. Steps undertaken to determine sourcing included reviewing purchase orders, identifying active purchased SKUs, determining 3TG content (if any) for each SKU; identifying applicable supplier(s) for each 3TG SKU (direct supplier); identifying the manufacturer (OEM) for each SKU (indirect 3TG supplier); providing suppliers with a “Conflict Mineral Reporting Template” (CMRT or the “Template”) developed by the Responsible Minerals Initiative (“RMI”); conducting a due diligence review of responses, including follow-up for clarification, correction or non-responsiveness; validating responses (review of reported smelters/refiners against information the RMI website); and identifying and executing corrective actions, where possible to address any identified smelters of high concern. The Template is designed to provide information concerning the supplier’s policy for the sourcing of 3TG metals, identification of the 3TG metals present in the supplier’s products, the origin of those metals, whether those 3TG metals come from recycled or scrap sources and the supplier’s due diligence regarding conflict-free sourcing practices. A significant number of the Dekko, Forney and Joyce suppliers are distributors and not the actual manufacturer of the components supplied to them. In many cases, these distributors are unable to provide smelter information and direct the requestor to the manufacturer.</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9"/>
          <w:szCs w:val="19"/>
          <w:color w:val="auto"/>
        </w:rPr>
        <w:t xml:space="preserve">In connection with Dekko’s due diligence efforts, including Dekko’s subsidiary Electri-Cable Assemblies (acquired in September 2016) and Furnlite (acquired in August 2018), Dekko reviewed approximately 6,000 purchase SKUs for 3TG content, identifying 129 direct “3TG suppliers” associated with these SKUs for the 2020 RCOI, 48 of which are distributors. Through these 48 distributors, Dekko identified an additional 81 indirect 3TG suppliers (manufacturers) resulting in a total of 210 identified 3TG supply chain entities or 167 (excluding those where applicable manufacturers were identified). Dekko solicited CMRTs from all of these identified indirect suppliers. A total of 376 smelters and refiners were identified within this supply chain as applicable to Dekko through the 3TG content of the products procured from them (confirmed and/or undetermined). A review of the CMRTs revealed that nearly all RMI recognized smelters are </w:t>
      </w:r>
      <w:r>
        <w:rPr>
          <w:rFonts w:ascii="Arial" w:cs="Arial" w:eastAsia="Arial" w:hAnsi="Arial"/>
          <w:sz w:val="19"/>
          <w:szCs w:val="19"/>
          <w:i w:val="1"/>
          <w:iCs w:val="1"/>
          <w:color w:val="auto"/>
        </w:rPr>
        <w:t>potentially</w:t>
      </w:r>
      <w:r>
        <w:rPr>
          <w:rFonts w:ascii="Arial" w:cs="Arial" w:eastAsia="Arial" w:hAnsi="Arial"/>
          <w:sz w:val="19"/>
          <w:szCs w:val="19"/>
          <w:color w:val="auto"/>
        </w:rPr>
        <w:t xml:space="preserve"> engaged within Dekko’s supply chain. With respect to Forney's due diligence measures, Forney reviewed all 121 of its purchase orders from 2020, identified and solicited CMRTs from 18 suppliers of the generic components contained in its products and received responses from 11 suppliers. Forney re-engaged with any of the original 18 suppliers that did not respond, whose CMRT’s declaration page reflected a 50% or less manufacturer response rate, or whose CMRT reflected uncertainty as to whether their products were sourced from conflict mines. Further research revealed that</w:t>
      </w:r>
    </w:p>
    <w:p>
      <w:pPr>
        <w:spacing w:after="0" w:line="8"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color w:val="auto"/>
        </w:rPr>
        <w:t>of the seven direct suppliers who did not respond, six were distributors and one was a manufacturer whose website included a statement confirming that goods supplied do not contain any Conflict Minerals. From the responses from the 11 direct distributors, Forney identified an additional 20 manufacturers or indirect suppliers. Forney reviewed information from its direct and indirect suppliers against publicly available information from the Electronic Component Industry Association, Electronic Industry Citizenship Coalition and various online manufacturer supplier indexes. In connection with Joyce's due diligence, it received responses from four out of five suppliers contacted, all of which responded that no conflict minerals were contained in products that were purchased by Joyce. Forney also sought country of origin information directly by reviewing the policies and statements on the manufacturers’ websites addressing Conflict Minerals.</w:t>
      </w:r>
    </w:p>
    <w:p>
      <w:pPr>
        <w:spacing w:after="0" w:line="201" w:lineRule="exact"/>
        <w:rPr>
          <w:sz w:val="20"/>
          <w:szCs w:val="20"/>
          <w:color w:val="auto"/>
        </w:rPr>
      </w:pPr>
    </w:p>
    <w:p>
      <w:pPr>
        <w:ind w:right="80"/>
        <w:spacing w:after="0" w:line="336" w:lineRule="auto"/>
        <w:rPr>
          <w:sz w:val="20"/>
          <w:szCs w:val="20"/>
          <w:color w:val="auto"/>
        </w:rPr>
      </w:pPr>
      <w:r>
        <w:rPr>
          <w:rFonts w:ascii="Arial" w:cs="Arial" w:eastAsia="Arial" w:hAnsi="Arial"/>
          <w:sz w:val="19"/>
          <w:szCs w:val="19"/>
          <w:color w:val="auto"/>
        </w:rPr>
        <w:t>As reported by suppliers, several of the smelters/refiners in their disclosed supply chains geographically source from mines within the defined DRC region: the vast majority of these are RMAP Conformant smelters, indicating sourcing from “conflict-</w:t>
      </w:r>
    </w:p>
    <w:p>
      <w:pPr>
        <w:sectPr>
          <w:pgSz w:w="11900" w:h="16838" w:orient="portrait"/>
          <w:cols w:equalWidth="0" w:num="1">
            <w:col w:w="10900"/>
          </w:cols>
          <w:pgMar w:left="640" w:top="365" w:right="359" w:bottom="0" w:gutter="0" w:footer="0" w:header="0"/>
        </w:sectPr>
      </w:pPr>
    </w:p>
    <w:bookmarkStart w:id="4" w:name="page5"/>
    <w:bookmarkEnd w:id="4"/>
    <w:p>
      <w:pPr>
        <w:spacing w:after="0" w:line="9" w:lineRule="exact"/>
        <w:rPr>
          <w:sz w:val="20"/>
          <w:szCs w:val="20"/>
          <w:color w:val="auto"/>
        </w:rPr>
      </w:pPr>
    </w:p>
    <w:p>
      <w:pPr>
        <w:spacing w:after="0"/>
        <w:rPr>
          <w:sz w:val="20"/>
          <w:szCs w:val="20"/>
          <w:color w:val="auto"/>
        </w:rPr>
      </w:pPr>
      <w:r>
        <w:rPr>
          <w:rFonts w:ascii="Arial" w:cs="Arial" w:eastAsia="Arial" w:hAnsi="Arial"/>
          <w:sz w:val="21"/>
          <w:szCs w:val="21"/>
          <w:color w:val="auto"/>
        </w:rPr>
        <w:t>free” mines. See sections 4.2 and 5.4 of this report.</w:t>
      </w: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4.2 RCOI Conclusion</w:t>
      </w:r>
    </w:p>
    <w:p>
      <w:pPr>
        <w:spacing w:after="0" w:line="258" w:lineRule="exact"/>
        <w:rPr>
          <w:sz w:val="20"/>
          <w:szCs w:val="20"/>
          <w:color w:val="auto"/>
        </w:rPr>
      </w:pPr>
    </w:p>
    <w:p>
      <w:pPr>
        <w:ind w:right="40"/>
        <w:spacing w:after="0" w:line="261" w:lineRule="auto"/>
        <w:rPr>
          <w:sz w:val="20"/>
          <w:szCs w:val="20"/>
          <w:color w:val="auto"/>
        </w:rPr>
      </w:pPr>
      <w:r>
        <w:rPr>
          <w:rFonts w:ascii="Arial" w:cs="Arial" w:eastAsia="Arial" w:hAnsi="Arial"/>
          <w:sz w:val="21"/>
          <w:szCs w:val="21"/>
          <w:color w:val="auto"/>
        </w:rPr>
        <w:t>Based on the Company’s reasonable country of origin inquiry, and after exercising due diligence measures that revealed that certain smelters/ refiners are not RMAP conformant, the Company is unable to conclude that none of the Conflict Minerals that are necessary to the functionality or production of the Company’s products originated in the Covered Countries and are unable to conclude that they have not come from recycled or scrap resources.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 Due Diligence Program</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5.1 Design of Due Diligence; Conformity to a Recognized Due Diligence Framework</w:t>
      </w:r>
    </w:p>
    <w:p>
      <w:pPr>
        <w:spacing w:after="0" w:line="258" w:lineRule="exact"/>
        <w:rPr>
          <w:sz w:val="20"/>
          <w:szCs w:val="20"/>
          <w:color w:val="auto"/>
        </w:rPr>
      </w:pPr>
    </w:p>
    <w:p>
      <w:pPr>
        <w:ind w:right="100"/>
        <w:spacing w:after="0" w:line="270" w:lineRule="auto"/>
        <w:rPr>
          <w:sz w:val="20"/>
          <w:szCs w:val="20"/>
          <w:color w:val="auto"/>
        </w:rPr>
      </w:pPr>
      <w:r>
        <w:rPr>
          <w:rFonts w:ascii="Arial" w:cs="Arial" w:eastAsia="Arial" w:hAnsi="Arial"/>
          <w:sz w:val="20"/>
          <w:szCs w:val="20"/>
          <w:color w:val="auto"/>
        </w:rPr>
        <w:t>The Company’s due diligence measures have been designed to conform to the framework in the Organization for Economic Co-operation and Development (OECD) Due Diligence Guidance for Responsible Supply Chains of Minerals from Conflict-Affected and High-Risk Areas, third edition, April 2016 (OECD Guidance) and the related Supplements for gold, tin, tantalum and tungsten. This OECD framework (the “Framework”) is the only due diligence framework recognized by the SEC to date. The Framework stresses five main areas of due diligence design detailed below in Sections 5.2 to 5.6, namely: (1) establish strong company management systems, (2) identify and assess risks in the supply chain, (3) design and implement a strategy to respond to identified risks, (4) carry out an independent third party audit of smelter/refiner’s due diligence practices, and (5) report on supply chain due diligence.</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5.2 Establish Strong Company Management Systems</w:t>
      </w: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Internal Team</w:t>
      </w:r>
    </w:p>
    <w:p>
      <w:pPr>
        <w:spacing w:after="0" w:line="258" w:lineRule="exact"/>
        <w:rPr>
          <w:sz w:val="20"/>
          <w:szCs w:val="20"/>
          <w:color w:val="auto"/>
        </w:rPr>
      </w:pPr>
    </w:p>
    <w:p>
      <w:pPr>
        <w:ind w:right="300"/>
        <w:spacing w:after="0" w:line="281" w:lineRule="auto"/>
        <w:rPr>
          <w:sz w:val="20"/>
          <w:szCs w:val="20"/>
          <w:color w:val="auto"/>
        </w:rPr>
      </w:pPr>
      <w:r>
        <w:rPr>
          <w:rFonts w:ascii="Arial" w:cs="Arial" w:eastAsia="Arial" w:hAnsi="Arial"/>
          <w:sz w:val="21"/>
          <w:szCs w:val="21"/>
          <w:color w:val="auto"/>
        </w:rPr>
        <w:t>Each of Dekko, Forney and Joyce have established a Conflicts Minerals management system that examines the potential use and source of Conflicts Minerals in product offerings.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Conflict Minerals Policy</w:t>
      </w:r>
    </w:p>
    <w:p>
      <w:pPr>
        <w:spacing w:after="0" w:line="258" w:lineRule="exact"/>
        <w:rPr>
          <w:sz w:val="20"/>
          <w:szCs w:val="20"/>
          <w:color w:val="auto"/>
        </w:rPr>
      </w:pPr>
    </w:p>
    <w:p>
      <w:pPr>
        <w:spacing w:after="0"/>
        <w:rPr>
          <w:sz w:val="20"/>
          <w:szCs w:val="20"/>
          <w:color w:val="auto"/>
        </w:rPr>
      </w:pPr>
      <w:r>
        <w:rPr>
          <w:rFonts w:ascii="Arial" w:cs="Arial" w:eastAsia="Arial" w:hAnsi="Arial"/>
          <w:sz w:val="21"/>
          <w:szCs w:val="21"/>
          <w:color w:val="auto"/>
        </w:rPr>
        <w:t>As noted above, Dekko, Forney and Joyce adopted policies (“The Policy”) which are designed</w:t>
      </w:r>
    </w:p>
    <w:p>
      <w:pPr>
        <w:spacing w:after="0" w:line="30" w:lineRule="exact"/>
        <w:rPr>
          <w:sz w:val="20"/>
          <w:szCs w:val="20"/>
          <w:color w:val="auto"/>
        </w:rPr>
      </w:pPr>
    </w:p>
    <w:p>
      <w:pPr>
        <w:ind w:right="120"/>
        <w:spacing w:after="0" w:line="254" w:lineRule="auto"/>
        <w:rPr>
          <w:sz w:val="20"/>
          <w:szCs w:val="20"/>
          <w:color w:val="auto"/>
        </w:rPr>
      </w:pPr>
      <w:r>
        <w:rPr>
          <w:rFonts w:ascii="Arial" w:cs="Arial" w:eastAsia="Arial" w:hAnsi="Arial"/>
          <w:sz w:val="21"/>
          <w:szCs w:val="21"/>
          <w:color w:val="auto"/>
        </w:rPr>
        <w:t>to communicate their commitment to responsible sourcing of Conflict Minerals throughout their supply chain for products that they manufacture. The Policy discusses the fact that they are putting policies and systems into place to reduce the risk that Conflict Minerals used in their products originate in the Covered Countries. The Policy informs suppliers that because they do not source Conflict Minerals directly from miners, smelters or refiners, they will rely on the cooperation of their suppliers in the implementation of their Policy and in enabling them to meet their compliance obligations. The Policy is published on each of their respective websites.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5.3 Identify and Assess Risk in the Supply Chain</w:t>
      </w:r>
    </w:p>
    <w:p>
      <w:pPr>
        <w:spacing w:after="0" w:line="258"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As described above, Dekko and Forney conduct a survey of all of their suppliers using the Template to obtain chain of custody declarations from their suppliers and Joyce conducted a survey of its new suppliers. The Template includes questions on the use and origin of Conflict Minerals in their components, supplier engagement with sub-tier suppliers and smelters and points of origin of the Conflict Minerals. To strengthen engagement with suppliers, these manufacturers added a Conflict Minerals clause to their purchase orders in order to communicate the expectations and requirements regarding the sourcing and disclosure of Conflict Minerals.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5.4 Design and Implement a Strategy to Respond to Identified Risks</w:t>
      </w:r>
    </w:p>
    <w:p>
      <w:pPr>
        <w:spacing w:after="0" w:line="258" w:lineRule="exact"/>
        <w:rPr>
          <w:sz w:val="20"/>
          <w:szCs w:val="20"/>
          <w:color w:val="auto"/>
        </w:rPr>
      </w:pPr>
    </w:p>
    <w:p>
      <w:pPr>
        <w:jc w:val="both"/>
        <w:ind w:right="200"/>
        <w:spacing w:after="0" w:line="307" w:lineRule="auto"/>
        <w:rPr>
          <w:sz w:val="20"/>
          <w:szCs w:val="20"/>
          <w:color w:val="auto"/>
        </w:rPr>
      </w:pPr>
      <w:r>
        <w:rPr>
          <w:rFonts w:ascii="Arial" w:cs="Arial" w:eastAsia="Arial" w:hAnsi="Arial"/>
          <w:sz w:val="19"/>
          <w:szCs w:val="19"/>
          <w:color w:val="auto"/>
        </w:rPr>
        <w:t>Smelter and refiner names provided by the suppliers were confirmed by comparing them to the information contained on the Responsible Minerals Initiative (RMI) website. The Company relies on RMI to determine if smelters and refiners reported by its suppliers are conformant with the Responsible Minerals Assurance Program (RMAP) to validate responsible sourcing.</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5.5 Carry out Independent Third Party Audit of Supply Chain Due Diligence at Identified Points in the Supply Chain</w:t>
      </w:r>
    </w:p>
    <w:p>
      <w:pPr>
        <w:spacing w:after="0" w:line="269" w:lineRule="exact"/>
        <w:rPr>
          <w:sz w:val="20"/>
          <w:szCs w:val="20"/>
          <w:color w:val="auto"/>
        </w:rPr>
      </w:pPr>
    </w:p>
    <w:p>
      <w:pPr>
        <w:ind w:right="180"/>
        <w:spacing w:after="0" w:line="261" w:lineRule="auto"/>
        <w:rPr>
          <w:sz w:val="20"/>
          <w:szCs w:val="20"/>
          <w:color w:val="auto"/>
        </w:rPr>
      </w:pPr>
      <w:r>
        <w:rPr>
          <w:rFonts w:ascii="Arial" w:cs="Arial" w:eastAsia="Arial" w:hAnsi="Arial"/>
          <w:sz w:val="21"/>
          <w:szCs w:val="21"/>
          <w:color w:val="auto"/>
        </w:rPr>
        <w:t>Dekko, Forney and Joyce do not have a direct relationship with smelters or refiners, nor do they perform direct audits of such entities in their supply chain. The Company leverages the audit work conducted by the RMI to comply with the OECD Guidance to conduct independent third-party audits. The RMI uses an independent third-party auditor to identify smelters and refiners that assure sourcing of only conflict-free minerals.</w:t>
      </w:r>
    </w:p>
    <w:p>
      <w:pPr>
        <w:spacing w:after="0" w:line="19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5.6 Report on Supply Chain Due Diligence</w:t>
      </w:r>
    </w:p>
    <w:p>
      <w:pPr>
        <w:spacing w:after="0" w:line="258" w:lineRule="exact"/>
        <w:rPr>
          <w:sz w:val="20"/>
          <w:szCs w:val="20"/>
          <w:color w:val="auto"/>
        </w:rPr>
      </w:pPr>
    </w:p>
    <w:p>
      <w:pPr>
        <w:jc w:val="both"/>
        <w:ind w:right="260"/>
        <w:spacing w:after="0" w:line="266" w:lineRule="auto"/>
        <w:rPr>
          <w:sz w:val="20"/>
          <w:szCs w:val="20"/>
          <w:color w:val="auto"/>
        </w:rPr>
      </w:pPr>
      <w:r>
        <w:rPr>
          <w:rFonts w:ascii="Arial" w:cs="Arial" w:eastAsia="Arial" w:hAnsi="Arial"/>
          <w:sz w:val="21"/>
          <w:szCs w:val="21"/>
          <w:color w:val="auto"/>
        </w:rPr>
        <w:t>The Company’s Form SD and this Conflict Minerals Report are both available on the Company’s website at www.ghco.com. GHCO will file a Form SD with the Securities and Exchange Commission on an annual basis, pursuant to Rule 13p-1 of the Act.</w:t>
      </w:r>
    </w:p>
    <w:p>
      <w:pPr>
        <w:sectPr>
          <w:pgSz w:w="11900" w:h="16848" w:orient="portrait"/>
          <w:cols w:equalWidth="0" w:num="1">
            <w:col w:w="10920"/>
          </w:cols>
          <w:pgMar w:left="640" w:top="131" w:right="339" w:bottom="0" w:gutter="0" w:footer="0" w:header="0"/>
        </w:sectPr>
      </w:pPr>
    </w:p>
    <w:bookmarkStart w:id="5" w:name="page6"/>
    <w:bookmarkEnd w:id="5"/>
    <w:p>
      <w:pPr>
        <w:spacing w:after="0" w:line="62"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6. Results of Due Diligence Review-Facilities Used to Process the Necessary Conflict Minerals</w:t>
      </w:r>
    </w:p>
    <w:p>
      <w:pPr>
        <w:spacing w:after="0" w:line="258" w:lineRule="exact"/>
        <w:rPr>
          <w:sz w:val="20"/>
          <w:szCs w:val="20"/>
          <w:color w:val="auto"/>
        </w:rPr>
      </w:pPr>
    </w:p>
    <w:p>
      <w:pPr>
        <w:jc w:val="both"/>
        <w:ind w:left="320" w:right="320"/>
        <w:spacing w:after="0" w:line="268" w:lineRule="auto"/>
        <w:rPr>
          <w:sz w:val="20"/>
          <w:szCs w:val="20"/>
          <w:color w:val="auto"/>
        </w:rPr>
      </w:pPr>
      <w:r>
        <w:rPr>
          <w:rFonts w:ascii="Arial" w:cs="Arial" w:eastAsia="Arial" w:hAnsi="Arial"/>
          <w:sz w:val="20"/>
          <w:szCs w:val="20"/>
          <w:color w:val="auto"/>
        </w:rPr>
        <w:t>As discussed above, Dekko and Forney solicited all of their applicable (3TG) suppliers to gather information by means of the Template regarding the sourcing of 3TG in the products supplied to them. Based on the information provided by suppliers in the Templates, the smelters used to process necessary conflict minerals include those listed on the attached Schedule 1. With respect to those smelters that were identified by suppliers in their Template,</w:t>
      </w:r>
    </w:p>
    <w:p>
      <w:pPr>
        <w:spacing w:after="0" w:line="4" w:lineRule="exact"/>
        <w:rPr>
          <w:sz w:val="20"/>
          <w:szCs w:val="20"/>
          <w:color w:val="auto"/>
        </w:rPr>
      </w:pPr>
    </w:p>
    <w:p>
      <w:pPr>
        <w:ind w:left="320" w:right="220"/>
        <w:spacing w:after="0" w:line="283" w:lineRule="auto"/>
        <w:rPr>
          <w:sz w:val="20"/>
          <w:szCs w:val="20"/>
          <w:color w:val="auto"/>
        </w:rPr>
      </w:pPr>
      <w:r>
        <w:rPr>
          <w:rFonts w:ascii="Arial" w:cs="Arial" w:eastAsia="Arial" w:hAnsi="Arial"/>
          <w:sz w:val="19"/>
          <w:szCs w:val="19"/>
          <w:color w:val="auto"/>
        </w:rPr>
        <w:t>the supplier’s reported validation status was confirmed by comparing it to the information contained on the RMI website. However, because some suppliers did not identify the smelters or refiners used for a particular component or product and because due diligence efforts were unable to identify all such smelters or refiners, the Company is unable to identify with certainty the specific facilities used to process the 3TG in the Company’s products and whether the 3TG in these products is from recycled or scrap sources. As a result, the Company does not have sufficient information to conclusively determine the identity of all of the smelters from which its suppliers source 3TG or the countries of origin of 3TG in the products supplied to to the Company. As permitted by guidance from the SEC staff, the Company did not conduct an independent private sector audit of its supply chain due diligence but will do so in the future if, and to the extent, required by the SEC’s rules.</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21"/>
          <w:szCs w:val="21"/>
          <w:b w:val="1"/>
          <w:bCs w:val="1"/>
          <w:color w:val="auto"/>
        </w:rPr>
        <w:t>7. Steps to Mitigate Risk and Improve Due Diligence</w:t>
      </w:r>
    </w:p>
    <w:p>
      <w:pPr>
        <w:spacing w:after="0" w:line="258" w:lineRule="exact"/>
        <w:rPr>
          <w:sz w:val="20"/>
          <w:szCs w:val="20"/>
          <w:color w:val="auto"/>
        </w:rPr>
      </w:pPr>
    </w:p>
    <w:p>
      <w:pPr>
        <w:ind w:left="320" w:right="100"/>
        <w:spacing w:after="0" w:line="255" w:lineRule="auto"/>
        <w:rPr>
          <w:sz w:val="20"/>
          <w:szCs w:val="20"/>
          <w:color w:val="auto"/>
        </w:rPr>
      </w:pPr>
      <w:r>
        <w:rPr>
          <w:rFonts w:ascii="Arial" w:cs="Arial" w:eastAsia="Arial" w:hAnsi="Arial"/>
          <w:sz w:val="21"/>
          <w:szCs w:val="21"/>
          <w:color w:val="auto"/>
        </w:rPr>
        <w:t>The Company is working to strengthen its commitment to the responsible sourcing of conflict minerals. Dekko, Forney and Joyce will continue to include in new purchase orders or contracts, specific language that requires suppliers to cooperate with them by providing information about the supplier’s source of Conflict Minerals and smelters. In addition, the Company will continue working with suppliers to obtain 3TG sourcing information, strengthen procedures to engage with manufacturers and distributors to obtain accurate and complete information about their supply chains and work to increase response rates and the quality of supplier provided smelter lists. Cooperation with respect to 3TG sourcing by the Company’s upstream suppliers, as well as the specification of conflict-free OEM supply sources by customers, will ultimately determine the Company’s ability to mitigate risk, as well as be a factor in awarding future purchases. Dekko, Forney and Joyce will continue to work with suppliers as needed to better communicate the requirements of the Conflicts Mineral Rule and to increase transparency of mineral sourcing.</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 1</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Facilities Used to Process Conflict Minerals</w:t>
      </w:r>
    </w:p>
    <w:p>
      <w:pPr>
        <w:spacing w:after="0" w:line="97" w:lineRule="exact"/>
        <w:rPr>
          <w:sz w:val="20"/>
          <w:szCs w:val="20"/>
          <w:color w:val="auto"/>
        </w:rPr>
      </w:pPr>
    </w:p>
    <w:tbl>
      <w:tblPr>
        <w:tblLayout w:type="fixed"/>
        <w:tblInd w:w="250" w:type="dxa"/>
        <w:tblCellMar>
          <w:top w:w="0" w:type="dxa"/>
          <w:left w:w="0" w:type="dxa"/>
          <w:bottom w:w="0" w:type="dxa"/>
          <w:right w:w="0" w:type="dxa"/>
        </w:tblCellMar>
      </w:tblPr>
      <w:tr>
        <w:trPr>
          <w:trHeight w:val="147"/>
        </w:trPr>
        <w:tc>
          <w:tcPr>
            <w:tcW w:w="820" w:type="dxa"/>
            <w:vAlign w:val="bottom"/>
            <w:tcBorders>
              <w:top w:val="single" w:sz="8" w:color="auto"/>
              <w:left w:val="single" w:sz="8" w:color="auto"/>
              <w:right w:val="single" w:sz="8" w:color="auto"/>
            </w:tcBorders>
          </w:tcPr>
          <w:p>
            <w:pPr>
              <w:spacing w:after="0"/>
              <w:rPr>
                <w:sz w:val="12"/>
                <w:szCs w:val="12"/>
                <w:color w:val="auto"/>
              </w:rPr>
            </w:pPr>
          </w:p>
        </w:tc>
        <w:tc>
          <w:tcPr>
            <w:tcW w:w="1280" w:type="dxa"/>
            <w:vAlign w:val="bottom"/>
            <w:tcBorders>
              <w:top w:val="single" w:sz="8" w:color="auto"/>
              <w:right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Smelter</w:t>
            </w:r>
          </w:p>
        </w:tc>
        <w:tc>
          <w:tcPr>
            <w:tcW w:w="2260" w:type="dxa"/>
            <w:vAlign w:val="bottom"/>
            <w:tcBorders>
              <w:top w:val="single" w:sz="8" w:color="auto"/>
              <w:right w:val="single" w:sz="8" w:color="auto"/>
            </w:tcBorders>
          </w:tcPr>
          <w:p>
            <w:pPr>
              <w:spacing w:after="0"/>
              <w:rPr>
                <w:sz w:val="12"/>
                <w:szCs w:val="12"/>
                <w:color w:val="auto"/>
              </w:rPr>
            </w:pPr>
          </w:p>
        </w:tc>
        <w:tc>
          <w:tcPr>
            <w:tcW w:w="2220" w:type="dxa"/>
            <w:vAlign w:val="bottom"/>
            <w:tcBorders>
              <w:top w:val="single" w:sz="8" w:color="auto"/>
              <w:right w:val="single" w:sz="8" w:color="auto"/>
            </w:tcBorders>
          </w:tcPr>
          <w:p>
            <w:pPr>
              <w:spacing w:after="0"/>
              <w:rPr>
                <w:sz w:val="12"/>
                <w:szCs w:val="12"/>
                <w:color w:val="auto"/>
              </w:rPr>
            </w:pPr>
          </w:p>
        </w:tc>
        <w:tc>
          <w:tcPr>
            <w:tcW w:w="1120" w:type="dxa"/>
            <w:vAlign w:val="bottom"/>
            <w:tcBorders>
              <w:top w:val="single" w:sz="8" w:color="auto"/>
              <w:right w:val="single" w:sz="8" w:color="auto"/>
            </w:tcBorders>
          </w:tcPr>
          <w:p>
            <w:pPr>
              <w:ind w:left="240"/>
              <w:spacing w:after="0" w:line="147" w:lineRule="exact"/>
              <w:rPr>
                <w:sz w:val="20"/>
                <w:szCs w:val="20"/>
                <w:color w:val="auto"/>
              </w:rPr>
            </w:pPr>
            <w:r>
              <w:rPr>
                <w:rFonts w:ascii="Arial" w:cs="Arial" w:eastAsia="Arial" w:hAnsi="Arial"/>
                <w:sz w:val="14"/>
                <w:szCs w:val="14"/>
                <w:b w:val="1"/>
                <w:bCs w:val="1"/>
                <w:color w:val="auto"/>
              </w:rPr>
              <w:t>Whether</w:t>
            </w:r>
          </w:p>
        </w:tc>
        <w:tc>
          <w:tcPr>
            <w:tcW w:w="1180" w:type="dxa"/>
            <w:vAlign w:val="bottom"/>
            <w:tcBorders>
              <w:top w:val="single" w:sz="8" w:color="auto"/>
              <w:right w:val="single" w:sz="8" w:color="auto"/>
            </w:tcBorders>
          </w:tcPr>
          <w:p>
            <w:pPr>
              <w:spacing w:after="0"/>
              <w:rPr>
                <w:sz w:val="12"/>
                <w:szCs w:val="12"/>
                <w:color w:val="auto"/>
              </w:rPr>
            </w:pPr>
          </w:p>
        </w:tc>
        <w:tc>
          <w:tcPr>
            <w:tcW w:w="980" w:type="dxa"/>
            <w:vAlign w:val="bottom"/>
            <w:tcBorders>
              <w:top w:val="single" w:sz="8" w:color="auto"/>
              <w:right w:val="single" w:sz="8" w:color="auto"/>
            </w:tcBorders>
          </w:tcPr>
          <w:p>
            <w:pPr>
              <w:ind w:left="260"/>
              <w:spacing w:after="0" w:line="147" w:lineRule="exact"/>
              <w:rPr>
                <w:sz w:val="20"/>
                <w:szCs w:val="20"/>
                <w:color w:val="auto"/>
              </w:rPr>
            </w:pPr>
            <w:r>
              <w:rPr>
                <w:rFonts w:ascii="Arial" w:cs="Arial" w:eastAsia="Arial" w:hAnsi="Arial"/>
                <w:sz w:val="14"/>
                <w:szCs w:val="14"/>
                <w:b w:val="1"/>
                <w:bCs w:val="1"/>
                <w:color w:val="auto"/>
              </w:rPr>
              <w:t>Whether</w:t>
            </w:r>
          </w:p>
        </w:tc>
        <w:tc>
          <w:tcPr>
            <w:tcW w:w="12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820" w:type="dxa"/>
            <w:vAlign w:val="bottom"/>
            <w:tcBorders>
              <w:left w:val="single" w:sz="8" w:color="auto"/>
              <w:right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3TG</w:t>
            </w:r>
          </w:p>
        </w:tc>
        <w:tc>
          <w:tcPr>
            <w:tcW w:w="1280" w:type="dxa"/>
            <w:vAlign w:val="bottom"/>
            <w:tcBorders>
              <w:right w:val="single" w:sz="8" w:color="auto"/>
            </w:tcBorders>
            <w:vMerge w:val="continue"/>
          </w:tcPr>
          <w:p>
            <w:pPr>
              <w:spacing w:after="0"/>
              <w:rPr>
                <w:sz w:val="11"/>
                <w:szCs w:val="11"/>
                <w:color w:val="auto"/>
              </w:rPr>
            </w:pPr>
          </w:p>
        </w:tc>
        <w:tc>
          <w:tcPr>
            <w:tcW w:w="2260" w:type="dxa"/>
            <w:vAlign w:val="bottom"/>
            <w:tcBorders>
              <w:right w:val="single" w:sz="8" w:color="auto"/>
            </w:tcBorders>
          </w:tcPr>
          <w:p>
            <w:pPr>
              <w:spacing w:after="0"/>
              <w:rPr>
                <w:sz w:val="11"/>
                <w:szCs w:val="11"/>
                <w:color w:val="auto"/>
              </w:rPr>
            </w:pPr>
          </w:p>
        </w:tc>
        <w:tc>
          <w:tcPr>
            <w:tcW w:w="2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b w:val="1"/>
                <w:bCs w:val="1"/>
                <w:color w:val="auto"/>
                <w:w w:val="95"/>
              </w:rPr>
              <w:t>Smelter Location</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RMAP</w:t>
            </w:r>
          </w:p>
        </w:tc>
        <w:tc>
          <w:tcPr>
            <w:tcW w:w="98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3TG Mined in</w:t>
            </w:r>
          </w:p>
        </w:tc>
        <w:tc>
          <w:tcPr>
            <w:tcW w:w="12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0"/>
              </w:rPr>
              <w:t>Mine Location(s</w:t>
            </w:r>
          </w:p>
        </w:tc>
        <w:tc>
          <w:tcPr>
            <w:tcW w:w="0" w:type="dxa"/>
            <w:vAlign w:val="bottom"/>
          </w:tcPr>
          <w:p>
            <w:pPr>
              <w:spacing w:after="0"/>
              <w:rPr>
                <w:sz w:val="1"/>
                <w:szCs w:val="1"/>
                <w:color w:val="auto"/>
              </w:rPr>
            </w:pPr>
          </w:p>
        </w:tc>
      </w:tr>
      <w:tr>
        <w:trPr>
          <w:trHeight w:val="133"/>
        </w:trPr>
        <w:tc>
          <w:tcPr>
            <w:tcW w:w="820" w:type="dxa"/>
            <w:vAlign w:val="bottom"/>
            <w:tcBorders>
              <w:left w:val="single" w:sz="8" w:color="auto"/>
              <w:right w:val="single" w:sz="8" w:color="auto"/>
            </w:tcBorders>
            <w:vMerge w:val="continue"/>
          </w:tcPr>
          <w:p>
            <w:pPr>
              <w:spacing w:after="0"/>
              <w:rPr>
                <w:sz w:val="11"/>
                <w:szCs w:val="11"/>
                <w:color w:val="auto"/>
              </w:rPr>
            </w:pPr>
          </w:p>
        </w:tc>
        <w:tc>
          <w:tcPr>
            <w:tcW w:w="128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Identification</w:t>
            </w:r>
          </w:p>
        </w:tc>
        <w:tc>
          <w:tcPr>
            <w:tcW w:w="22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Smelter Name</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Smelter Facility Location</w:t>
            </w:r>
          </w:p>
        </w:tc>
        <w:tc>
          <w:tcPr>
            <w:tcW w:w="112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b w:val="1"/>
                <w:bCs w:val="1"/>
                <w:color w:val="auto"/>
              </w:rPr>
              <w:t>in Covered</w:t>
            </w:r>
          </w:p>
        </w:tc>
        <w:tc>
          <w:tcPr>
            <w:tcW w:w="1180" w:type="dxa"/>
            <w:vAlign w:val="bottom"/>
            <w:tcBorders>
              <w:right w:val="single" w:sz="8" w:color="auto"/>
            </w:tcBorders>
            <w:vMerge w:val="continue"/>
          </w:tcPr>
          <w:p>
            <w:pPr>
              <w:spacing w:after="0"/>
              <w:rPr>
                <w:sz w:val="11"/>
                <w:szCs w:val="11"/>
                <w:color w:val="auto"/>
              </w:rPr>
            </w:pPr>
          </w:p>
        </w:tc>
        <w:tc>
          <w:tcPr>
            <w:tcW w:w="980" w:type="dxa"/>
            <w:vAlign w:val="bottom"/>
            <w:tcBorders>
              <w:right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Covered</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8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b w:val="1"/>
                <w:bCs w:val="1"/>
                <w:color w:val="auto"/>
              </w:rPr>
              <w:t>Metal</w:t>
            </w:r>
          </w:p>
        </w:tc>
        <w:tc>
          <w:tcPr>
            <w:tcW w:w="12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(RMI)</w:t>
            </w:r>
          </w:p>
        </w:tc>
        <w:tc>
          <w:tcPr>
            <w:tcW w:w="2260" w:type="dxa"/>
            <w:vAlign w:val="bottom"/>
            <w:tcBorders>
              <w:bottom w:val="single" w:sz="8" w:color="auto"/>
              <w:right w:val="single" w:sz="8" w:color="auto"/>
            </w:tcBorders>
            <w:vMerge w:val="continue"/>
          </w:tcPr>
          <w:p>
            <w:pPr>
              <w:spacing w:after="0"/>
              <w:rPr>
                <w:sz w:val="16"/>
                <w:szCs w:val="16"/>
                <w:color w:val="auto"/>
              </w:rPr>
            </w:pPr>
          </w:p>
        </w:tc>
        <w:tc>
          <w:tcPr>
            <w:tcW w:w="2220" w:type="dxa"/>
            <w:vAlign w:val="bottom"/>
            <w:tcBorders>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b w:val="1"/>
                <w:bCs w:val="1"/>
                <w:color w:val="auto"/>
              </w:rPr>
              <w:t>Countries</w:t>
            </w:r>
          </w:p>
        </w:tc>
        <w:tc>
          <w:tcPr>
            <w:tcW w:w="1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w w:val="98"/>
              </w:rPr>
              <w:t>Validation Status</w:t>
            </w:r>
          </w:p>
        </w:tc>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Country</w:t>
            </w: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if known</w:t>
            </w:r>
          </w:p>
        </w:tc>
        <w:tc>
          <w:tcPr>
            <w:tcW w:w="0" w:type="dxa"/>
            <w:vAlign w:val="bottom"/>
          </w:tcPr>
          <w:p>
            <w:pPr>
              <w:spacing w:after="0"/>
              <w:rPr>
                <w:sz w:val="1"/>
                <w:szCs w:val="1"/>
                <w:color w:val="auto"/>
              </w:rPr>
            </w:pPr>
          </w:p>
        </w:tc>
      </w:tr>
      <w:tr>
        <w:trPr>
          <w:trHeight w:val="178"/>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CID000092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Asaka Riken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CID000211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Changsha South Tantalum</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Niobium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CID000291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8"/>
              </w:rPr>
              <w:t>Guangdong Rising Rare Metals-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EO Materials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CID000456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Exotech Inc.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CID000460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F&amp;X Electro-Materials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CID000616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Guangdong Zhiyuan New</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Material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CID000914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JiuJiang JinXin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CID000917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Jiujiang Tanbre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CID001076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LSM Brasil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CID001163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Metallurgical Products India Pvt.,</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CID001175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Mineracao Taboca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CID001192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Mitsui Mining and Smelting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CID001200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NPM Silmet AS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ESTONIA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27"/>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CID001277</w:t>
            </w:r>
          </w:p>
        </w:tc>
        <w:tc>
          <w:tcPr>
            <w:tcW w:w="2260" w:type="dxa"/>
            <w:vAlign w:val="bottom"/>
            <w:tcBorders>
              <w:right w:val="single" w:sz="8" w:color="auto"/>
            </w:tcBorders>
          </w:tcPr>
          <w:p>
            <w:pPr>
              <w:ind w:left="240"/>
              <w:spacing w:after="0" w:line="127" w:lineRule="exact"/>
              <w:rPr>
                <w:sz w:val="20"/>
                <w:szCs w:val="20"/>
                <w:color w:val="auto"/>
              </w:rPr>
            </w:pPr>
            <w:r>
              <w:rPr>
                <w:rFonts w:ascii="Arial" w:cs="Arial" w:eastAsia="Arial" w:hAnsi="Arial"/>
                <w:sz w:val="14"/>
                <w:szCs w:val="14"/>
                <w:color w:val="auto"/>
                <w:w w:val="96"/>
              </w:rPr>
              <w:t>Ningxia Orient Tantalum Industry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CID001508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QuantumClean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CID001522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Yanling Jincheng Tantalum &amp;</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Niobium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CID001769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Solikamsk Magnesium Works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OAO</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CID001869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Taki Chemical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CID001891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Telex Metals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CID001969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Ulba Metallurgical Plant JSC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KAZAKHSTAN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CID002492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8"/>
              </w:rPr>
              <w:t>Hengyang King Xing Lifeng New</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Materials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CID002504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D Block Metals, LLC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CID002505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FIR Metals &amp; Resource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CID002506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Jiujiang Zhongao Tantalum &amp;</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Niobium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CID002508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XinXing HaoRong Electronic</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Material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CID002512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Jiangxi Dinghai Tantalum &amp;</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Niobium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CID002539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KEMET Blue Metals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MEXICO</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CID002544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H.C. Starck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THAILAND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CID002545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H.C. Starck Tantalum and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Niobium GmbH</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820" w:type="dxa"/>
            <w:vAlign w:val="bottom"/>
            <w:tcBorders>
              <w:left w:val="single" w:sz="8" w:color="auto"/>
              <w:right w:val="single" w:sz="8" w:color="auto"/>
            </w:tcBorders>
          </w:tcPr>
          <w:p>
            <w:pPr>
              <w:ind w:left="200"/>
              <w:spacing w:after="0" w:line="151" w:lineRule="exact"/>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tcPr>
          <w:p>
            <w:pPr>
              <w:ind w:left="240"/>
              <w:spacing w:after="0" w:line="151" w:lineRule="exact"/>
              <w:rPr>
                <w:sz w:val="20"/>
                <w:szCs w:val="20"/>
                <w:color w:val="auto"/>
              </w:rPr>
            </w:pPr>
            <w:r>
              <w:rPr>
                <w:rFonts w:ascii="Arial" w:cs="Arial" w:eastAsia="Arial" w:hAnsi="Arial"/>
                <w:sz w:val="14"/>
                <w:szCs w:val="14"/>
                <w:color w:val="auto"/>
              </w:rPr>
              <w:t>CID002547</w:t>
            </w:r>
          </w:p>
        </w:tc>
        <w:tc>
          <w:tcPr>
            <w:tcW w:w="2260" w:type="dxa"/>
            <w:vAlign w:val="bottom"/>
            <w:tcBorders>
              <w:right w:val="single" w:sz="8" w:color="auto"/>
            </w:tcBorders>
          </w:tcPr>
          <w:p>
            <w:pPr>
              <w:ind w:left="240"/>
              <w:spacing w:after="0" w:line="151" w:lineRule="exact"/>
              <w:rPr>
                <w:sz w:val="20"/>
                <w:szCs w:val="20"/>
                <w:color w:val="auto"/>
              </w:rPr>
            </w:pPr>
            <w:r>
              <w:rPr>
                <w:rFonts w:ascii="Arial" w:cs="Arial" w:eastAsia="Arial" w:hAnsi="Arial"/>
                <w:sz w:val="14"/>
                <w:szCs w:val="14"/>
                <w:color w:val="auto"/>
              </w:rPr>
              <w:t>H.C. Starck Hermsdorf GmbH</w:t>
            </w:r>
          </w:p>
        </w:tc>
        <w:tc>
          <w:tcPr>
            <w:tcW w:w="2220" w:type="dxa"/>
            <w:vAlign w:val="bottom"/>
            <w:tcBorders>
              <w:right w:val="single" w:sz="8" w:color="auto"/>
            </w:tcBorders>
          </w:tcPr>
          <w:p>
            <w:pPr>
              <w:ind w:left="240"/>
              <w:spacing w:after="0" w:line="151" w:lineRule="exact"/>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tcPr>
          <w:p>
            <w:pPr>
              <w:ind w:left="240"/>
              <w:spacing w:after="0" w:line="151" w:lineRule="exact"/>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ind w:left="260"/>
              <w:spacing w:after="0" w:line="151" w:lineRule="exact"/>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ind w:left="260"/>
              <w:spacing w:after="0" w:line="151" w:lineRule="exact"/>
              <w:rPr>
                <w:sz w:val="20"/>
                <w:szCs w:val="20"/>
                <w:color w:val="auto"/>
              </w:rPr>
            </w:pPr>
            <w:r>
              <w:rPr>
                <w:rFonts w:ascii="Arial" w:cs="Arial" w:eastAsia="Arial" w:hAnsi="Arial"/>
                <w:sz w:val="14"/>
                <w:szCs w:val="14"/>
                <w:color w:val="auto"/>
              </w:rPr>
              <w:t>Yes</w:t>
            </w:r>
          </w:p>
        </w:tc>
        <w:tc>
          <w:tcPr>
            <w:tcW w:w="1240" w:type="dxa"/>
            <w:vAlign w:val="bottom"/>
          </w:tcPr>
          <w:p>
            <w:pPr>
              <w:ind w:left="260"/>
              <w:spacing w:after="0" w:line="151" w:lineRule="exact"/>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bl>
    <w:p>
      <w:pPr>
        <w:sectPr>
          <w:pgSz w:w="11900" w:h="16900" w:orient="portrait"/>
          <w:cols w:equalWidth="0" w:num="1">
            <w:col w:w="11340"/>
          </w:cols>
          <w:pgMar w:left="320" w:top="365" w:right="239" w:bottom="0" w:gutter="0" w:footer="0" w:header="0"/>
        </w:sectPr>
      </w:pPr>
    </w:p>
    <w:bookmarkStart w:id="6" w:name="page7"/>
    <w:bookmarkEnd w:id="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6605270</wp:posOffset>
            </wp:positionH>
            <wp:positionV relativeFrom="page">
              <wp:posOffset>88900</wp:posOffset>
            </wp:positionV>
            <wp:extent cx="82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page">
              <wp:posOffset>5987415</wp:posOffset>
            </wp:positionH>
            <wp:positionV relativeFrom="page">
              <wp:posOffset>88900</wp:posOffset>
            </wp:positionV>
            <wp:extent cx="82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page">
              <wp:posOffset>5234305</wp:posOffset>
            </wp:positionH>
            <wp:positionV relativeFrom="page">
              <wp:posOffset>88900</wp:posOffset>
            </wp:positionV>
            <wp:extent cx="825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page">
              <wp:posOffset>4514850</wp:posOffset>
            </wp:positionH>
            <wp:positionV relativeFrom="page">
              <wp:posOffset>88900</wp:posOffset>
            </wp:positionV>
            <wp:extent cx="82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page">
              <wp:posOffset>3110230</wp:posOffset>
            </wp:positionH>
            <wp:positionV relativeFrom="page">
              <wp:posOffset>88900</wp:posOffset>
            </wp:positionV>
            <wp:extent cx="825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page">
              <wp:posOffset>1671320</wp:posOffset>
            </wp:positionH>
            <wp:positionV relativeFrom="page">
              <wp:posOffset>88900</wp:posOffset>
            </wp:positionV>
            <wp:extent cx="82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page">
              <wp:posOffset>360045</wp:posOffset>
            </wp:positionH>
            <wp:positionV relativeFrom="page">
              <wp:posOffset>88900</wp:posOffset>
            </wp:positionV>
            <wp:extent cx="82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25400"/>
                    </a:xfrm>
                    <a:prstGeom prst="rect">
                      <a:avLst/>
                    </a:prstGeom>
                    <a:noFill/>
                  </pic:spPr>
                </pic:pic>
              </a:graphicData>
            </a:graphic>
          </wp:anchor>
        </w:drawing>
        <w:drawing>
          <wp:anchor simplePos="0" relativeHeight="251657728" behindDoc="1" locked="0" layoutInCell="0" allowOverlap="1">
            <wp:simplePos x="0" y="0"/>
            <wp:positionH relativeFrom="page">
              <wp:posOffset>859155</wp:posOffset>
            </wp:positionH>
            <wp:positionV relativeFrom="page">
              <wp:posOffset>88900</wp:posOffset>
            </wp:positionV>
            <wp:extent cx="82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7"/>
        </w:trPr>
        <w:tc>
          <w:tcPr>
            <w:tcW w:w="82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CID002548</w:t>
            </w:r>
          </w:p>
        </w:tc>
        <w:tc>
          <w:tcPr>
            <w:tcW w:w="226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H.C. Starck Inc.</w:t>
            </w:r>
          </w:p>
        </w:tc>
        <w:tc>
          <w:tcPr>
            <w:tcW w:w="22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CID002549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H.C. Starck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CID002550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H.C. Starck Smelting GmbH &amp;</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KG</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CID002557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Global Advanced Metals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Boyertown</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CID002558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Global Advanced Metals Aizu</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CID002568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KEMET Blue Powder</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CID002707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3"/>
              </w:rPr>
              <w:t>Resind Industria e Comercio Ltda.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CID002842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Jiangxi Tuohong New Raw</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Material</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CID002847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PRG Dooel</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NORTH MACEDONIA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CID003191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Jiujiang Janny New Material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Tantalum</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CID003402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CP Metals Inc.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CID000228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9"/>
              </w:rPr>
              <w:t>Chenzhou Yunxiang Mining and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Metallurgy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CID000244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9"/>
              </w:rPr>
              <w:t>Jiangxi Ketai Advanced Material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CID000278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CNMC (Guangxi) PGMA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CID000292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Alpha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CID000306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CV Gita Pesona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CID000309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Aries Kencana Sejahtera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CID000313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Premium Tin Indonesia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CID000315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CV United Smelting</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CID000402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Dowa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CID000438</w:t>
            </w:r>
          </w:p>
        </w:tc>
        <w:tc>
          <w:tcPr>
            <w:tcW w:w="22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EM Vinto</w:t>
            </w:r>
          </w:p>
        </w:tc>
        <w:tc>
          <w:tcPr>
            <w:tcW w:w="222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BOLIVIA (PLURINATIONAL</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vMerge w:val="continue"/>
          </w:tcPr>
          <w:p>
            <w:pPr>
              <w:spacing w:after="0"/>
              <w:rPr>
                <w:sz w:val="15"/>
                <w:szCs w:val="15"/>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STATE OF)</w:t>
            </w: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CID000448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Estanho de Rondonia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CID000468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Fenix Metals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POLAND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CID000538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Gejiu Non-Ferrous Metal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Processing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CID000555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Gejiu Zili Mining And Metallurgy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CID000760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5"/>
              </w:rPr>
              <w:t>Huichang Jinshunda Tin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CID000942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Gejiu Kai Meng Industry and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Trade LLC</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CID001070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 Tin Group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CID001105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Malaysia Smelting Corporation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MALAYSIA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(MSC)</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CID001142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Metallic Resources, Inc.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CID001173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Mineracao Taboca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CID001182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Minsur</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PERU</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CID001191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9"/>
              </w:rPr>
              <w:t>Mitsubishi Materials Corporation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CID001231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3"/>
              </w:rPr>
              <w:t>Jiangxi New Nanshan Technology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CID001305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4"/>
              </w:rPr>
              <w:t>Novosibirsk Processing Plant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CID001314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O.M. Manufacturing (Thailand)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THAILAND</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CID001337</w:t>
            </w:r>
          </w:p>
        </w:tc>
        <w:tc>
          <w:tcPr>
            <w:tcW w:w="22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Operaciones Metalurgicas S.A.</w:t>
            </w:r>
          </w:p>
        </w:tc>
        <w:tc>
          <w:tcPr>
            <w:tcW w:w="222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BOLIVIA (PLURINATIONAL</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vMerge w:val="continue"/>
          </w:tcPr>
          <w:p>
            <w:pPr>
              <w:spacing w:after="0"/>
              <w:rPr>
                <w:sz w:val="15"/>
                <w:szCs w:val="15"/>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STATE OF)</w:t>
            </w: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CID001399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Artha Cipta Langgeng</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CID001402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Babel Inti Perkasa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CID001406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Babel Surya Alam Lestari</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CID001419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Bangka Tin Industry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CID001421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Belitung Industri Sejahtera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CID001428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Bukit Timah</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CID001434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DS Jaya Abadi</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CID001438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Eunindo Usaha Mandiri</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CID001448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Karimun Mining</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CID001453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Mitra Stania Prima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CID001457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Panca Mega Persada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CID001458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Prima Timah Utama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CID001460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Refined Bangka Tin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CID001463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Sariwiguna Binasentosa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CID001468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Stanindo Inti Perkasa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CID001471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Sumber Jaya Indah</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CID001477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Timah Tbk Kundur</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CID001482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Timah Tbk Mentok</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CID001486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Timah Nusantara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CID001490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Tinindo Inter Nusa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CID001493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Tommy Utama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CID001539</w:t>
            </w:r>
          </w:p>
        </w:tc>
        <w:tc>
          <w:tcPr>
            <w:tcW w:w="22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Rui Da Hung</w:t>
            </w:r>
          </w:p>
        </w:tc>
        <w:tc>
          <w:tcPr>
            <w:tcW w:w="222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TAIWAN, PROVINCE OF</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vMerge w:val="continue"/>
          </w:tcPr>
          <w:p>
            <w:pPr>
              <w:spacing w:after="0"/>
              <w:rPr>
                <w:sz w:val="15"/>
                <w:szCs w:val="15"/>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CID001758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Soft Metais Ltda.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CID001898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Thaisarco</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THAILAND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CID001908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Gejiu Yunxin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Electrolysis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CID002015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8"/>
              </w:rPr>
              <w:t>VQB Mineral and Trading Group</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JSC</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CID002036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White Solder Metalurgia e</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Mineracao Ltda.</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CID002158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9"/>
              </w:rPr>
              <w:t>Yunnan Chengfeng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CID002180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Yunnan Tin Company Limited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CID002455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CV Venus Inti Perkasa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CID002468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Magnu's Minerais Metais e Ligas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Ltda.</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820" w:type="dxa"/>
            <w:vAlign w:val="bottom"/>
            <w:tcBorders>
              <w:left w:val="single" w:sz="8" w:color="auto"/>
              <w:right w:val="single" w:sz="8" w:color="auto"/>
            </w:tcBorders>
          </w:tcPr>
          <w:p>
            <w:pPr>
              <w:ind w:left="200"/>
              <w:spacing w:after="0" w:line="108" w:lineRule="exact"/>
              <w:rPr>
                <w:sz w:val="20"/>
                <w:szCs w:val="20"/>
                <w:color w:val="auto"/>
              </w:rPr>
            </w:pPr>
            <w:r>
              <w:rPr>
                <w:rFonts w:ascii="Arial" w:cs="Arial" w:eastAsia="Arial" w:hAnsi="Arial"/>
                <w:sz w:val="12"/>
                <w:szCs w:val="12"/>
                <w:color w:val="auto"/>
              </w:rPr>
              <w:t>Tin</w:t>
            </w:r>
          </w:p>
        </w:tc>
        <w:tc>
          <w:tcPr>
            <w:tcW w:w="1280" w:type="dxa"/>
            <w:vAlign w:val="bottom"/>
            <w:tcBorders>
              <w:right w:val="single" w:sz="8" w:color="auto"/>
            </w:tcBorders>
          </w:tcPr>
          <w:p>
            <w:pPr>
              <w:ind w:left="240"/>
              <w:spacing w:after="0" w:line="108" w:lineRule="exact"/>
              <w:rPr>
                <w:sz w:val="20"/>
                <w:szCs w:val="20"/>
                <w:color w:val="auto"/>
              </w:rPr>
            </w:pPr>
            <w:r>
              <w:rPr>
                <w:rFonts w:ascii="Arial" w:cs="Arial" w:eastAsia="Arial" w:hAnsi="Arial"/>
                <w:sz w:val="12"/>
                <w:szCs w:val="12"/>
                <w:color w:val="auto"/>
              </w:rPr>
              <w:t>CID002478</w:t>
            </w:r>
          </w:p>
        </w:tc>
        <w:tc>
          <w:tcPr>
            <w:tcW w:w="2260" w:type="dxa"/>
            <w:vAlign w:val="bottom"/>
            <w:tcBorders>
              <w:right w:val="single" w:sz="8" w:color="auto"/>
            </w:tcBorders>
          </w:tcPr>
          <w:p>
            <w:pPr>
              <w:ind w:left="240"/>
              <w:spacing w:after="0" w:line="108" w:lineRule="exact"/>
              <w:rPr>
                <w:sz w:val="20"/>
                <w:szCs w:val="20"/>
                <w:color w:val="auto"/>
              </w:rPr>
            </w:pPr>
            <w:r>
              <w:rPr>
                <w:rFonts w:ascii="Arial" w:cs="Arial" w:eastAsia="Arial" w:hAnsi="Arial"/>
                <w:sz w:val="12"/>
                <w:szCs w:val="12"/>
                <w:color w:val="auto"/>
              </w:rPr>
              <w:t>PT Tirus Putra Mandiri</w:t>
            </w:r>
          </w:p>
        </w:tc>
        <w:tc>
          <w:tcPr>
            <w:tcW w:w="2220" w:type="dxa"/>
            <w:vAlign w:val="bottom"/>
            <w:tcBorders>
              <w:right w:val="single" w:sz="8" w:color="auto"/>
            </w:tcBorders>
          </w:tcPr>
          <w:p>
            <w:pPr>
              <w:ind w:left="240"/>
              <w:spacing w:after="0" w:line="108" w:lineRule="exact"/>
              <w:rPr>
                <w:sz w:val="20"/>
                <w:szCs w:val="20"/>
                <w:color w:val="auto"/>
              </w:rPr>
            </w:pPr>
            <w:r>
              <w:rPr>
                <w:rFonts w:ascii="Arial" w:cs="Arial" w:eastAsia="Arial" w:hAnsi="Arial"/>
                <w:sz w:val="12"/>
                <w:szCs w:val="12"/>
                <w:color w:val="auto"/>
              </w:rPr>
              <w:t>INDONESIA</w:t>
            </w:r>
          </w:p>
        </w:tc>
        <w:tc>
          <w:tcPr>
            <w:tcW w:w="1120" w:type="dxa"/>
            <w:vAlign w:val="bottom"/>
            <w:tcBorders>
              <w:right w:val="single" w:sz="8" w:color="auto"/>
            </w:tcBorders>
          </w:tcPr>
          <w:p>
            <w:pPr>
              <w:ind w:left="240"/>
              <w:spacing w:after="0" w:line="108" w:lineRule="exact"/>
              <w:rPr>
                <w:sz w:val="20"/>
                <w:szCs w:val="20"/>
                <w:color w:val="auto"/>
              </w:rPr>
            </w:pPr>
            <w:r>
              <w:rPr>
                <w:rFonts w:ascii="Arial" w:cs="Arial" w:eastAsia="Arial" w:hAnsi="Arial"/>
                <w:sz w:val="12"/>
                <w:szCs w:val="12"/>
                <w:color w:val="auto"/>
              </w:rPr>
              <w:t>No</w:t>
            </w:r>
          </w:p>
        </w:tc>
        <w:tc>
          <w:tcPr>
            <w:tcW w:w="11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1240" w:type="dxa"/>
            <w:vAlign w:val="bottom"/>
          </w:tcPr>
          <w:p>
            <w:pPr>
              <w:ind w:left="260"/>
              <w:spacing w:after="0" w:line="108" w:lineRule="exact"/>
              <w:rPr>
                <w:sz w:val="20"/>
                <w:szCs w:val="20"/>
                <w:color w:val="auto"/>
              </w:rPr>
            </w:pPr>
            <w:r>
              <w:rPr>
                <w:rFonts w:ascii="Arial" w:cs="Arial" w:eastAsia="Arial" w:hAnsi="Arial"/>
                <w:sz w:val="12"/>
                <w:szCs w:val="12"/>
                <w:color w:val="auto"/>
              </w:rPr>
              <w:t>Unknown</w:t>
            </w:r>
          </w:p>
        </w:tc>
        <w:tc>
          <w:tcPr>
            <w:tcW w:w="0" w:type="dxa"/>
            <w:vAlign w:val="bottom"/>
          </w:tcPr>
          <w:p>
            <w:pPr>
              <w:spacing w:after="0"/>
              <w:rPr>
                <w:sz w:val="1"/>
                <w:szCs w:val="1"/>
                <w:color w:val="auto"/>
              </w:rPr>
            </w:pPr>
          </w:p>
        </w:tc>
      </w:tr>
    </w:tbl>
    <w:p>
      <w:pPr>
        <w:sectPr>
          <w:pgSz w:w="11900" w:h="16900" w:orient="portrait"/>
          <w:cols w:equalWidth="0" w:num="1">
            <w:col w:w="11100"/>
          </w:cols>
          <w:pgMar w:left="560" w:top="146" w:right="239" w:bottom="0" w:gutter="0" w:footer="0" w:header="0"/>
        </w:sectPr>
      </w:pPr>
    </w:p>
    <w:bookmarkStart w:id="7" w:name="page8"/>
    <w:bookmarkEnd w:id="7"/>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53"/>
        </w:trPr>
        <w:tc>
          <w:tcPr>
            <w:tcW w:w="820" w:type="dxa"/>
            <w:vAlign w:val="bottom"/>
            <w:tcBorders>
              <w:left w:val="single" w:sz="8" w:color="auto"/>
              <w:bottom w:val="single" w:sz="8" w:color="auto"/>
              <w:right w:val="single" w:sz="8" w:color="auto"/>
            </w:tcBorders>
          </w:tcPr>
          <w:p>
            <w:pPr>
              <w:spacing w:after="0"/>
              <w:rPr>
                <w:sz w:val="4"/>
                <w:szCs w:val="4"/>
                <w:color w:val="auto"/>
              </w:rPr>
            </w:pPr>
          </w:p>
        </w:tc>
        <w:tc>
          <w:tcPr>
            <w:tcW w:w="1280" w:type="dxa"/>
            <w:vAlign w:val="bottom"/>
            <w:tcBorders>
              <w:bottom w:val="single" w:sz="8" w:color="auto"/>
              <w:right w:val="single" w:sz="8" w:color="auto"/>
            </w:tcBorders>
          </w:tcPr>
          <w:p>
            <w:pPr>
              <w:spacing w:after="0"/>
              <w:rPr>
                <w:sz w:val="4"/>
                <w:szCs w:val="4"/>
                <w:color w:val="auto"/>
              </w:rPr>
            </w:pPr>
          </w:p>
        </w:tc>
        <w:tc>
          <w:tcPr>
            <w:tcW w:w="2260" w:type="dxa"/>
            <w:vAlign w:val="bottom"/>
            <w:tcBorders>
              <w:bottom w:val="single" w:sz="8" w:color="auto"/>
              <w:right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18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CID002500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Melt Metais e Ligas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CID002503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ATD Makmur Mandiri Jaya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CID002517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9"/>
              </w:rPr>
              <w:t>O.M. Manufacturing Philippines,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PHILIPPINES</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Inc.</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CID002530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Inti Stania Prima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CID002570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CV Ayi Jaya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6"/>
              </w:rPr>
              <w:t>Electro-Mechanical Facility of the</w:t>
            </w:r>
          </w:p>
        </w:tc>
        <w:tc>
          <w:tcPr>
            <w:tcW w:w="2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CID002572</w:t>
            </w:r>
          </w:p>
        </w:tc>
        <w:tc>
          <w:tcPr>
            <w:tcW w:w="226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Cao Bang Minerals &amp; Metallurgy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Joint Stock Company</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CID002573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Nghe Tinh Non-Ferrous Metals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Joint Stock Company</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CID002574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3"/>
              </w:rPr>
              <w:t>Tuyen Quang Non-Ferrous Metals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Joint Stock Company</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CID002592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CV Dua Sekawan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CID002593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Rajehan Ariq</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CID002703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An Vinh Joint Stock Mineral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Processing Company</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CID002706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3"/>
              </w:rPr>
              <w:t>Resind Industria e Comercio Ltda.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CID002756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Super Ligas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CID002773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Metallo Belgium N.V.</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BELGIUM</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CID002774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Metallo Spain S.L.U.</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SPAIN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CID002776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Bangka Prima Tin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CID002816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Sukses Inti Makmur</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CID002829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Kijang Jaya Mandiri</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CID002834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Thai Nguyen Mining and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Metallurgy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CID002835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Menara Cipta Mulia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CID002844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HuiChang Hill Tin Industry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CID002848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Gejiu Fengming Metallurgy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Chemical Plant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CID002849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Guanyang Guida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 Smelting Plant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CID002858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Modeltech Sdn Bhd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MALAYSIA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CID002870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Lautan Harmonis Sejahtera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CID003116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8"/>
              </w:rPr>
              <w:t>Guangdong Hanhe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CID003190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Chifeng Dajingzi Tin Industry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CID003205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Bangka Serumpun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CID003208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Pongpipat Company Limited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MYANMAR</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CID003325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Tin Technology &amp; Refining</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CID003356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Dongguan CiEXPO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w w:val="98"/>
              </w:rPr>
              <w:t>Environmental Engineering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CID003379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Ma'anshan Weitai Tin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CID003381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Rajawali Rimba Perkasa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CID003387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Luna Smelter,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RWANDA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CID003397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Yunnan Yunfan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CID003409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Precious Minerals and Smelting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Limited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CID003410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Gejiu City Fuxiang Industry and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Trade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CID003449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PT Mitra Sukses Globalindo</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CRM Fundicao De Metais E</w:t>
            </w:r>
          </w:p>
        </w:tc>
        <w:tc>
          <w:tcPr>
            <w:tcW w:w="2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CID003486</w:t>
            </w:r>
          </w:p>
        </w:tc>
        <w:tc>
          <w:tcPr>
            <w:tcW w:w="226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Comercio De Equipamentos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Eletronicos Do Brasil Ltda</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CID003524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CRM Synergies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SPAIN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Tin</w:t>
            </w:r>
          </w:p>
        </w:tc>
        <w:tc>
          <w:tcPr>
            <w:tcW w:w="1280" w:type="dxa"/>
            <w:vAlign w:val="bottom"/>
            <w:tcBorders>
              <w:bottom w:val="single" w:sz="8" w:color="auto"/>
              <w:right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Sizer Metals PTE</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SINGAPORE</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CID000015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Advanced Chemical Company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CID000019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Aida Chemical Industries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CID000035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Allgemeine Gold-und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Silberscheideanstalt A.G.</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CID000041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Almalyk Mining and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UZBEKISTAN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Metallurgical Complex (AMMC)</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CID000058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AngloGold Ashanti Corrego do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Sitio Mineracao</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CID000077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Argor-Heraeus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CID000082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Asahi Pretec Corp.</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CID000090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Asaka Riken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CID000103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Atasay Kuyumculuk Sanayi Ve</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TURKEY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Ticaret A.S.</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CID000113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Aurubis AG</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CID000128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Bangko Sentral ng Pilipinas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PHILIPPINES</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(Central Bank of the Philippines)</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CID000157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Boliden AB</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SWEDEN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CID000176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 Hafner GmbH + Co. KG</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CID000180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Caridad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MEXICO</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CID000185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4"/>
              </w:rPr>
              <w:t>CCR Refinery - Glencore Canada</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CANADA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CID000189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Cendres + Metaux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CID000197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4"/>
              </w:rPr>
              <w:t>Yunnan Copper Industry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CID000233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Chimet S.p.A.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CID000264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Chugai Mining</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CID000328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Daejin Indus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CID000343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6"/>
              </w:rPr>
              <w:t>Daye Non-Ferrous Metals Mining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CID000359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DSC (Do Sung Corporation)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CID000362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DODUCO Contacts and Refining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GmbH</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820" w:type="dxa"/>
            <w:vAlign w:val="bottom"/>
            <w:tcBorders>
              <w:left w:val="single" w:sz="8" w:color="auto"/>
              <w:right w:val="single" w:sz="8" w:color="auto"/>
            </w:tcBorders>
          </w:tcPr>
          <w:p>
            <w:pPr>
              <w:ind w:left="200"/>
              <w:spacing w:after="0" w:line="81" w:lineRule="exact"/>
              <w:rPr>
                <w:sz w:val="20"/>
                <w:szCs w:val="20"/>
                <w:color w:val="auto"/>
              </w:rPr>
            </w:pPr>
            <w:r>
              <w:rPr>
                <w:rFonts w:ascii="Arial" w:cs="Arial" w:eastAsia="Arial" w:hAnsi="Arial"/>
                <w:sz w:val="9"/>
                <w:szCs w:val="9"/>
                <w:color w:val="auto"/>
              </w:rPr>
              <w:t>Gold</w:t>
            </w:r>
          </w:p>
        </w:tc>
        <w:tc>
          <w:tcPr>
            <w:tcW w:w="1280" w:type="dxa"/>
            <w:vAlign w:val="bottom"/>
            <w:tcBorders>
              <w:right w:val="single" w:sz="8" w:color="auto"/>
            </w:tcBorders>
          </w:tcPr>
          <w:p>
            <w:pPr>
              <w:ind w:left="240"/>
              <w:spacing w:after="0" w:line="81" w:lineRule="exact"/>
              <w:rPr>
                <w:sz w:val="20"/>
                <w:szCs w:val="20"/>
                <w:color w:val="auto"/>
              </w:rPr>
            </w:pPr>
            <w:r>
              <w:rPr>
                <w:rFonts w:ascii="Arial" w:cs="Arial" w:eastAsia="Arial" w:hAnsi="Arial"/>
                <w:sz w:val="9"/>
                <w:szCs w:val="9"/>
                <w:color w:val="auto"/>
              </w:rPr>
              <w:t>CID000401</w:t>
            </w:r>
          </w:p>
        </w:tc>
        <w:tc>
          <w:tcPr>
            <w:tcW w:w="2260" w:type="dxa"/>
            <w:vAlign w:val="bottom"/>
            <w:tcBorders>
              <w:right w:val="single" w:sz="8" w:color="auto"/>
            </w:tcBorders>
          </w:tcPr>
          <w:p>
            <w:pPr>
              <w:ind w:left="240"/>
              <w:spacing w:after="0" w:line="81" w:lineRule="exact"/>
              <w:rPr>
                <w:sz w:val="20"/>
                <w:szCs w:val="20"/>
                <w:color w:val="auto"/>
              </w:rPr>
            </w:pPr>
            <w:r>
              <w:rPr>
                <w:rFonts w:ascii="Arial" w:cs="Arial" w:eastAsia="Arial" w:hAnsi="Arial"/>
                <w:sz w:val="9"/>
                <w:szCs w:val="9"/>
                <w:color w:val="auto"/>
              </w:rPr>
              <w:t>Dowa</w:t>
            </w:r>
          </w:p>
        </w:tc>
        <w:tc>
          <w:tcPr>
            <w:tcW w:w="2220" w:type="dxa"/>
            <w:vAlign w:val="bottom"/>
            <w:tcBorders>
              <w:right w:val="single" w:sz="8" w:color="auto"/>
            </w:tcBorders>
          </w:tcPr>
          <w:p>
            <w:pPr>
              <w:ind w:left="240"/>
              <w:spacing w:after="0" w:line="81" w:lineRule="exact"/>
              <w:rPr>
                <w:sz w:val="20"/>
                <w:szCs w:val="20"/>
                <w:color w:val="auto"/>
              </w:rPr>
            </w:pPr>
            <w:r>
              <w:rPr>
                <w:rFonts w:ascii="Arial" w:cs="Arial" w:eastAsia="Arial" w:hAnsi="Arial"/>
                <w:sz w:val="9"/>
                <w:szCs w:val="9"/>
                <w:color w:val="auto"/>
              </w:rPr>
              <w:t>JAPAN</w:t>
            </w:r>
          </w:p>
        </w:tc>
        <w:tc>
          <w:tcPr>
            <w:tcW w:w="1120" w:type="dxa"/>
            <w:vAlign w:val="bottom"/>
            <w:tcBorders>
              <w:right w:val="single" w:sz="8" w:color="auto"/>
            </w:tcBorders>
          </w:tcPr>
          <w:p>
            <w:pPr>
              <w:ind w:left="240"/>
              <w:spacing w:after="0" w:line="81" w:lineRule="exact"/>
              <w:rPr>
                <w:sz w:val="20"/>
                <w:szCs w:val="20"/>
                <w:color w:val="auto"/>
              </w:rPr>
            </w:pPr>
            <w:r>
              <w:rPr>
                <w:rFonts w:ascii="Arial" w:cs="Arial" w:eastAsia="Arial" w:hAnsi="Arial"/>
                <w:sz w:val="9"/>
                <w:szCs w:val="9"/>
                <w:color w:val="auto"/>
              </w:rPr>
              <w:t>No</w:t>
            </w:r>
          </w:p>
        </w:tc>
        <w:tc>
          <w:tcPr>
            <w:tcW w:w="1180" w:type="dxa"/>
            <w:vAlign w:val="bottom"/>
            <w:tcBorders>
              <w:right w:val="single" w:sz="8" w:color="auto"/>
            </w:tcBorders>
          </w:tcPr>
          <w:p>
            <w:pPr>
              <w:ind w:left="260"/>
              <w:spacing w:after="0" w:line="81" w:lineRule="exact"/>
              <w:rPr>
                <w:sz w:val="20"/>
                <w:szCs w:val="20"/>
                <w:color w:val="auto"/>
              </w:rPr>
            </w:pPr>
            <w:r>
              <w:rPr>
                <w:rFonts w:ascii="Arial" w:cs="Arial" w:eastAsia="Arial" w:hAnsi="Arial"/>
                <w:sz w:val="9"/>
                <w:szCs w:val="9"/>
                <w:color w:val="auto"/>
              </w:rPr>
              <w:t>Conformant</w:t>
            </w:r>
          </w:p>
        </w:tc>
        <w:tc>
          <w:tcPr>
            <w:tcW w:w="980" w:type="dxa"/>
            <w:vAlign w:val="bottom"/>
            <w:tcBorders>
              <w:right w:val="single" w:sz="8" w:color="auto"/>
            </w:tcBorders>
          </w:tcPr>
          <w:p>
            <w:pPr>
              <w:spacing w:after="0"/>
              <w:rPr>
                <w:sz w:val="8"/>
                <w:szCs w:val="8"/>
                <w:color w:val="auto"/>
              </w:rPr>
            </w:pPr>
          </w:p>
        </w:tc>
        <w:tc>
          <w:tcPr>
            <w:tcW w:w="1240" w:type="dxa"/>
            <w:vAlign w:val="bottom"/>
          </w:tcPr>
          <w:p>
            <w:pPr>
              <w:ind w:left="260"/>
              <w:spacing w:after="0" w:line="81" w:lineRule="exact"/>
              <w:rPr>
                <w:sz w:val="20"/>
                <w:szCs w:val="20"/>
                <w:color w:val="auto"/>
              </w:rPr>
            </w:pPr>
            <w:r>
              <w:rPr>
                <w:rFonts w:ascii="Arial" w:cs="Arial" w:eastAsia="Arial" w:hAnsi="Arial"/>
                <w:sz w:val="9"/>
                <w:szCs w:val="9"/>
                <w:color w:val="auto"/>
              </w:rPr>
              <w:t>Unknown</w:t>
            </w:r>
          </w:p>
        </w:tc>
        <w:tc>
          <w:tcPr>
            <w:tcW w:w="0" w:type="dxa"/>
            <w:vAlign w:val="bottom"/>
          </w:tcPr>
          <w:p>
            <w:pPr>
              <w:spacing w:after="0"/>
              <w:rPr>
                <w:sz w:val="1"/>
                <w:szCs w:val="1"/>
                <w:color w:val="auto"/>
              </w:rPr>
            </w:pPr>
          </w:p>
        </w:tc>
      </w:tr>
    </w:tbl>
    <w:p>
      <w:pPr>
        <w:sectPr>
          <w:pgSz w:w="11900" w:h="16900" w:orient="portrait"/>
          <w:cols w:equalWidth="0" w:num="1">
            <w:col w:w="11100"/>
          </w:cols>
          <w:pgMar w:left="560" w:top="140" w:right="239" w:bottom="0" w:gutter="0" w:footer="0" w:header="0"/>
        </w:sectPr>
      </w:pPr>
    </w:p>
    <w:bookmarkStart w:id="8" w:name="page9"/>
    <w:bookmarkEnd w:id="8"/>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80"/>
        </w:trPr>
        <w:tc>
          <w:tcPr>
            <w:tcW w:w="820" w:type="dxa"/>
            <w:vAlign w:val="bottom"/>
            <w:tcBorders>
              <w:left w:val="single" w:sz="8" w:color="auto"/>
              <w:bottom w:val="single" w:sz="8" w:color="auto"/>
              <w:right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2260" w:type="dxa"/>
            <w:vAlign w:val="bottom"/>
            <w:tcBorders>
              <w:bottom w:val="single" w:sz="8" w:color="auto"/>
              <w:right w:val="single" w:sz="8" w:color="auto"/>
            </w:tcBorders>
          </w:tcPr>
          <w:p>
            <w:pPr>
              <w:spacing w:after="0"/>
              <w:rPr>
                <w:sz w:val="6"/>
                <w:szCs w:val="6"/>
                <w:color w:val="auto"/>
              </w:rPr>
            </w:pPr>
          </w:p>
        </w:tc>
        <w:tc>
          <w:tcPr>
            <w:tcW w:w="222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980" w:type="dxa"/>
            <w:vAlign w:val="bottom"/>
            <w:tcBorders>
              <w:bottom w:val="single" w:sz="8" w:color="auto"/>
              <w:right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CID000425</w:t>
            </w:r>
          </w:p>
        </w:tc>
        <w:tc>
          <w:tcPr>
            <w:tcW w:w="2260" w:type="dxa"/>
            <w:vAlign w:val="bottom"/>
            <w:tcBorders>
              <w:right w:val="single" w:sz="8" w:color="auto"/>
            </w:tcBorders>
          </w:tcPr>
          <w:p>
            <w:pPr>
              <w:ind w:left="240"/>
              <w:spacing w:after="0" w:line="127" w:lineRule="exact"/>
              <w:rPr>
                <w:sz w:val="20"/>
                <w:szCs w:val="20"/>
                <w:color w:val="auto"/>
              </w:rPr>
            </w:pPr>
            <w:r>
              <w:rPr>
                <w:rFonts w:ascii="Arial" w:cs="Arial" w:eastAsia="Arial" w:hAnsi="Arial"/>
                <w:sz w:val="14"/>
                <w:szCs w:val="14"/>
                <w:color w:val="auto"/>
              </w:rPr>
              <w:t>Eco-System Recycling Co., Ltd.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East Plant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CID000493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OJSC Novosibirsk Refinery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CID000522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Refinery of Seemine Gold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CID000651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Guoda Safina High-Tech</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Environmental Refinery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CID000671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Hangzhou Fuchunjiang Smelting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CID000689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LT Metal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CID000694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Heimerle + Meule GmbH</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CID000707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9"/>
              </w:rPr>
              <w:t>Heraeus Metals Hong Kong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CID000711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8"/>
              </w:rPr>
              <w:t>Heraeus Precious Metals GmbH</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&amp; Co. KG</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CID000767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Hunan Chenzhou Mining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CID000773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Hunan Guiyang yinxing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Nonferrous Smelting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CID000778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HwaSeong CJ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CID000801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4"/>
              </w:rPr>
              <w:t>Inner Mongolia Qiankun Gold and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Silver Refinery Share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CID000807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Ishifuku Metal Industry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CID000814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Istanbul Gold Refinery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TURKEY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CID000823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 Mint</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CID000855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Jiangxi Copper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CID000920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Asahi Refining USA Inc.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CID000924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Asahi Refining Canada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CANADA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CID000927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JSC Ekaterinburg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 Processing Plant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CID000929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JSC Uralelectromed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CID000937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JX Nippon Mining &amp; Metals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CID000956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Kazakhmys Smelting LLC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KAZAKHSTAN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CID000957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Kazzinc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KAZAKHSTAN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CID000969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Kennecott Utah Copper LLC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CID000981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Kojima Chemicals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CID001029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Kyrgyzaltyn JSC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KYRGYZSTAN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CID001032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L'azurde Company For Jewelry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SAUDI ARABIA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CID001056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Lingbao Gold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CID001058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Lingbao Jinyuan Tonghui</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Refinery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CID001078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LS-NIKKO Copper Inc.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CID001093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Luoyang Zijin Yinhui Gold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Refinery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CID001113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Materion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CID001119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Matsuda Sangyo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CID001147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Metalor Technologies (Suzhou)</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CID001149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Metalor Technologies (Hong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Kong)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CID001152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3"/>
              </w:rPr>
              <w:t>Metalor Technologies (Singapore)</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SINGAPORE</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Pte.,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CID001153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Metalor Technologies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CID001157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Metalor USA Refining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Corporation</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CID001161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Metalurgica Met-Mex Penoles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MEXICO</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S.A. De C.V.</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CID001188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9"/>
              </w:rPr>
              <w:t>Mitsubishi Materials Corporation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CID001193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Mitsui Mining and Smelting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CID001204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Moscow Special Alloys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Processing Plant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CID001220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Nadir Metal Rafineri San. Ve Tic.</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TURKEY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A.S.</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CID001236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Navoi Mining and Metallurgical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UZBEKISTAN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Combinat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CID001259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Nihon Material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CID001325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Ohura Precious Metal Industry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tcPr>
          <w:p>
            <w:pPr>
              <w:spacing w:after="0"/>
              <w:rPr>
                <w:sz w:val="11"/>
                <w:szCs w:val="11"/>
                <w:color w:val="auto"/>
              </w:rPr>
            </w:pPr>
          </w:p>
        </w:tc>
        <w:tc>
          <w:tcPr>
            <w:tcW w:w="1280" w:type="dxa"/>
            <w:vAlign w:val="bottom"/>
            <w:tcBorders>
              <w:right w:val="single" w:sz="8" w:color="auto"/>
            </w:tcBorders>
          </w:tcPr>
          <w:p>
            <w:pPr>
              <w:spacing w:after="0"/>
              <w:rPr>
                <w:sz w:val="11"/>
                <w:szCs w:val="11"/>
                <w:color w:val="auto"/>
              </w:rPr>
            </w:pP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OJSC "The Gulidov Krasnoyarsk</w:t>
            </w:r>
          </w:p>
        </w:tc>
        <w:tc>
          <w:tcPr>
            <w:tcW w:w="22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CID001326</w:t>
            </w:r>
          </w:p>
        </w:tc>
        <w:tc>
          <w:tcPr>
            <w:tcW w:w="2260" w:type="dxa"/>
            <w:vAlign w:val="bottom"/>
            <w:tcBorders>
              <w:right w:val="single" w:sz="8" w:color="auto"/>
            </w:tcBorders>
          </w:tcPr>
          <w:p>
            <w:pPr>
              <w:spacing w:after="0" w:line="133" w:lineRule="exact"/>
              <w:rPr>
                <w:sz w:val="20"/>
                <w:szCs w:val="20"/>
                <w:color w:val="auto"/>
              </w:rPr>
            </w:pPr>
            <w:r>
              <w:rPr>
                <w:rFonts w:ascii="Arial" w:cs="Arial" w:eastAsia="Arial" w:hAnsi="Arial"/>
                <w:sz w:val="14"/>
                <w:szCs w:val="14"/>
                <w:color w:val="auto"/>
              </w:rPr>
              <w:t>Non-Ferrous Metals Plant" (OJSC</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Krastsvetmet)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CID001352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PAMP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CID001362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8"/>
              </w:rPr>
              <w:t>Penglai Penggang Gold Industry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CID001386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Prioksky Plant of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Metals</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CID001397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2"/>
              </w:rPr>
              <w:t>PT Aneka Tambang (Persero) Tbk</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INDONESIA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CID001498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PX Precinox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CID001512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Rand Refinery (Pty)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SOUTH AFRICA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CID001534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Royal Canadian Mint</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CANADA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CID001546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Sabin Metal Corp.</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CID001555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Samduck Precious Metals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CID001562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Samwon Metals Corp.</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CID001585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SEMPSA Joyeria Plateria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SPAIN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CID001619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Shandong Tiancheng Biological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Gold Industrial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CID001622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9"/>
              </w:rPr>
              <w:t>Shandong Zhaojin Gold &amp; Silver</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Refinery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CID001736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8"/>
              </w:rPr>
              <w:t>Sichuan Tianze Precious Metals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CID001756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SOE Shyolkovsky Factory of</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74"/>
        </w:trPr>
        <w:tc>
          <w:tcPr>
            <w:tcW w:w="820" w:type="dxa"/>
            <w:vAlign w:val="bottom"/>
            <w:tcBorders>
              <w:left w:val="single" w:sz="8" w:color="auto"/>
              <w:right w:val="single" w:sz="8" w:color="auto"/>
            </w:tcBorders>
            <w:vMerge w:val="continue"/>
          </w:tcPr>
          <w:p>
            <w:pPr>
              <w:spacing w:after="0"/>
              <w:rPr>
                <w:sz w:val="6"/>
                <w:szCs w:val="6"/>
                <w:color w:val="auto"/>
              </w:rPr>
            </w:pPr>
          </w:p>
        </w:tc>
        <w:tc>
          <w:tcPr>
            <w:tcW w:w="1280" w:type="dxa"/>
            <w:vAlign w:val="bottom"/>
            <w:tcBorders>
              <w:right w:val="single" w:sz="8" w:color="auto"/>
            </w:tcBorders>
            <w:vMerge w:val="continue"/>
          </w:tcPr>
          <w:p>
            <w:pPr>
              <w:spacing w:after="0"/>
              <w:rPr>
                <w:sz w:val="6"/>
                <w:szCs w:val="6"/>
                <w:color w:val="auto"/>
              </w:rPr>
            </w:pPr>
          </w:p>
        </w:tc>
        <w:tc>
          <w:tcPr>
            <w:tcW w:w="2260" w:type="dxa"/>
            <w:vAlign w:val="bottom"/>
            <w:tcBorders>
              <w:right w:val="single" w:sz="8" w:color="auto"/>
            </w:tcBorders>
          </w:tcPr>
          <w:p>
            <w:pPr>
              <w:spacing w:after="0" w:line="55" w:lineRule="exact"/>
              <w:rPr>
                <w:sz w:val="20"/>
                <w:szCs w:val="20"/>
                <w:color w:val="auto"/>
              </w:rPr>
            </w:pPr>
            <w:r>
              <w:rPr>
                <w:rFonts w:ascii="Arial" w:cs="Arial" w:eastAsia="Arial" w:hAnsi="Arial"/>
                <w:sz w:val="6"/>
                <w:szCs w:val="6"/>
                <w:color w:val="auto"/>
              </w:rPr>
              <w:t>Secondary Precious Metals</w:t>
            </w:r>
          </w:p>
        </w:tc>
        <w:tc>
          <w:tcPr>
            <w:tcW w:w="2220" w:type="dxa"/>
            <w:vAlign w:val="bottom"/>
            <w:tcBorders>
              <w:right w:val="single" w:sz="8" w:color="auto"/>
            </w:tcBorders>
            <w:vMerge w:val="continue"/>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continue"/>
          </w:tcPr>
          <w:p>
            <w:pPr>
              <w:spacing w:after="0"/>
              <w:rPr>
                <w:sz w:val="6"/>
                <w:szCs w:val="6"/>
                <w:color w:val="auto"/>
              </w:rPr>
            </w:pPr>
          </w:p>
        </w:tc>
        <w:tc>
          <w:tcPr>
            <w:tcW w:w="980" w:type="dxa"/>
            <w:vAlign w:val="bottom"/>
            <w:tcBorders>
              <w:right w:val="single" w:sz="8" w:color="auto"/>
            </w:tcBorders>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100"/>
          </w:cols>
          <w:pgMar w:left="560" w:top="140" w:right="239" w:bottom="0" w:gutter="0" w:footer="0" w:header="0"/>
        </w:sectPr>
      </w:pPr>
    </w:p>
    <w:bookmarkStart w:id="9" w:name="page10"/>
    <w:bookmarkEnd w:id="9"/>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07"/>
        </w:trPr>
        <w:tc>
          <w:tcPr>
            <w:tcW w:w="820" w:type="dxa"/>
            <w:vAlign w:val="bottom"/>
            <w:tcBorders>
              <w:left w:val="single" w:sz="8" w:color="auto"/>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2260" w:type="dxa"/>
            <w:vAlign w:val="bottom"/>
            <w:tcBorders>
              <w:bottom w:val="single" w:sz="8" w:color="auto"/>
              <w:right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98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CID001761</w:t>
            </w:r>
          </w:p>
        </w:tc>
        <w:tc>
          <w:tcPr>
            <w:tcW w:w="2260" w:type="dxa"/>
            <w:vAlign w:val="bottom"/>
            <w:tcBorders>
              <w:right w:val="single" w:sz="8" w:color="auto"/>
            </w:tcBorders>
          </w:tcPr>
          <w:p>
            <w:pPr>
              <w:ind w:left="240"/>
              <w:spacing w:after="0" w:line="127" w:lineRule="exact"/>
              <w:rPr>
                <w:sz w:val="20"/>
                <w:szCs w:val="20"/>
                <w:color w:val="auto"/>
              </w:rPr>
            </w:pPr>
            <w:r>
              <w:rPr>
                <w:rFonts w:ascii="Arial" w:cs="Arial" w:eastAsia="Arial" w:hAnsi="Arial"/>
                <w:sz w:val="14"/>
                <w:szCs w:val="14"/>
                <w:color w:val="auto"/>
              </w:rPr>
              <w:t>Solar Applied Materials</w:t>
            </w:r>
          </w:p>
        </w:tc>
        <w:tc>
          <w:tcPr>
            <w:tcW w:w="2220" w:type="dxa"/>
            <w:vAlign w:val="bottom"/>
            <w:tcBorders>
              <w:right w:val="single" w:sz="8" w:color="auto"/>
            </w:tcBorders>
          </w:tcPr>
          <w:p>
            <w:pPr>
              <w:ind w:left="240"/>
              <w:spacing w:after="0" w:line="127" w:lineRule="exact"/>
              <w:rPr>
                <w:sz w:val="20"/>
                <w:szCs w:val="20"/>
                <w:color w:val="auto"/>
              </w:rPr>
            </w:pPr>
            <w:r>
              <w:rPr>
                <w:rFonts w:ascii="Arial" w:cs="Arial" w:eastAsia="Arial" w:hAnsi="Arial"/>
                <w:sz w:val="14"/>
                <w:szCs w:val="14"/>
                <w:color w:val="auto"/>
              </w:rPr>
              <w:t>TAIWAN, PROVINCE OF</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Technology Corp.</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CID001798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7"/>
              </w:rPr>
              <w:t>Sumitomo Metal Mining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CID001810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Super Dragon Technology Co.,</w:t>
            </w:r>
          </w:p>
        </w:tc>
        <w:tc>
          <w:tcPr>
            <w:tcW w:w="222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TAIWAN, PROVINCE OF</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CID001875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Tanaka Kikinzoku Kogyo K.K.</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CID001909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9"/>
              </w:rPr>
              <w:t>Great Wall Precious Metals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 of CBPM</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CID001916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The Refinery of Shandong Gold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Mining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CID001938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Tokuriki Honten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CID001947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Tongling Nonferrous Metals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Group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CID001955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Torecom</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CID001977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Umicore Brasil Ltda.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CID001980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Umicore S.A. Business Unit</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BELGIUM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Precious Metals Refining</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CID001993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United Precious Metal Refining,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Inc.</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CID002003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Valcambi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SWITZERLAND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CID002030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6"/>
              </w:rPr>
              <w:t>Western Australian Mint (T/a The</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AUSTRALIA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Perth Mint)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CID002100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Yamakin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CID002129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Yokohama Metal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CID002224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Zhongyuan Gold Smelter of</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Zhongjin Gold Corporation</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CID002243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Gold Refinery of Zijin Mining</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Group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CID002282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Morris and Watson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NEW ZEALAND</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CID002290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SAFINA A.S.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CZECHIA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CID002312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7"/>
              </w:rPr>
              <w:t>Guangdong Jinding Gold Limited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CID002314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Umicore Precious Metals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THAILAND</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Thailand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CID002459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Geib Refining Corporation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CID002509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MMTC-PAMP India Pvt.,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CID002510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Republic Metals Corporation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CID002511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KGHM Polska Miedz Spolka</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POLAND</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Akcyjna</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CID002515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5"/>
              </w:rPr>
              <w:t>Fidelity Printers and Refiners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ZIMBABWE</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CID002516</w:t>
            </w:r>
          </w:p>
        </w:tc>
        <w:tc>
          <w:tcPr>
            <w:tcW w:w="22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Singway Technology Co., Ltd.</w:t>
            </w:r>
          </w:p>
        </w:tc>
        <w:tc>
          <w:tcPr>
            <w:tcW w:w="222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TAIWAN, PROVINCE OF</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vMerge w:val="continue"/>
          </w:tcPr>
          <w:p>
            <w:pPr>
              <w:spacing w:after="0"/>
              <w:rPr>
                <w:sz w:val="15"/>
                <w:szCs w:val="15"/>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CID002519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3"/>
              </w:rPr>
              <w:t>Henan Yuguang Gold &amp; Lead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CID002525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8"/>
              </w:rPr>
              <w:t>Shandong Humon Smelting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CID002527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Shenzhen Zhonghenglong Real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Industry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CID002560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Al Etihad Gold Refinery DMCC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CID002561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Emirates Gold DMCC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CID002562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International Precious Metal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UNITED ARAB EMIRATES</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Refiners</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CID002563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Kaloti Precious Metals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CID002567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Sudan Gold Refinery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SUDAN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CID002580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T.C.A S.p.A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CID002582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REMONDIS PMR B.V.</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NETHERLANDS</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CID002584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Fujairah Gold FZC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CID002587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Tony Goetz NV</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BELGIUM</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CID002588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Shirpur Gold Refinery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CID002605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Zinc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CID002606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Marsam Metals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CID002615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TOO Tau-Ken-Altyn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KAZAKHSTAN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CID002708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Abington Reldan Metals, LLC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CID002761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SAAMP</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FRANCE</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CID002762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L'Orfebre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ANDORRA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CID002763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8853 S.p.A.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CID002765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Italpreziosi</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CID002777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SAXONIA Edelmetalle GmbH</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CID002778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WIELAND Edelmetalle GmbH</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CID002779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2"/>
              </w:rPr>
              <w:t>Ogussa Osterreichische Gold- und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AUSTRIA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Silber-Scheideanstalt GmbH</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CID002850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AU Traders and Refiners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SOUTH AFRICA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CID002852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5"/>
              </w:rPr>
              <w:t>GCC Gujrat Gold Centre Pvt.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CID002853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Sai Refinery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CID002854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Universal Precious Metals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ZAMBIA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Refining Zambia</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CID002857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Modeltech Sdn Bhd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MALAYSIA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CID002863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Bangalore Refinery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CID002865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Kyshtym Copper-Electrolytic</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Plant ZAO</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CID002866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Morris and Watson Gold Coast</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AUSTRALIA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CID002867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Degussa Sonne / Mond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Goldhandel GmbH</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CID002872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Pease &amp; Curren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CID002893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JALAN &amp; Company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CID002918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SungEel HiMetal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CID002919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6"/>
              </w:rPr>
              <w:t>Planta Recuperadora de Metales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CHILE</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SpA</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CID002973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Safimet S.p.A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ITALY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CID003153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1"/>
              </w:rPr>
              <w:t>State Research Institute Center for</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LITHUANIA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1"/>
        </w:trPr>
        <w:tc>
          <w:tcPr>
            <w:tcW w:w="820" w:type="dxa"/>
            <w:vAlign w:val="bottom"/>
            <w:tcBorders>
              <w:left w:val="single" w:sz="8" w:color="auto"/>
              <w:right w:val="single" w:sz="8" w:color="auto"/>
            </w:tcBorders>
            <w:vMerge w:val="continue"/>
          </w:tcPr>
          <w:p>
            <w:pPr>
              <w:spacing w:after="0"/>
              <w:rPr>
                <w:sz w:val="15"/>
                <w:szCs w:val="15"/>
                <w:color w:val="auto"/>
              </w:rPr>
            </w:pPr>
          </w:p>
        </w:tc>
        <w:tc>
          <w:tcPr>
            <w:tcW w:w="1280" w:type="dxa"/>
            <w:vAlign w:val="bottom"/>
            <w:tcBorders>
              <w:right w:val="single" w:sz="8" w:color="auto"/>
            </w:tcBorders>
            <w:vMerge w:val="continue"/>
          </w:tcPr>
          <w:p>
            <w:pPr>
              <w:spacing w:after="0"/>
              <w:rPr>
                <w:sz w:val="15"/>
                <w:szCs w:val="15"/>
                <w:color w:val="auto"/>
              </w:rPr>
            </w:pPr>
          </w:p>
        </w:tc>
        <w:tc>
          <w:tcPr>
            <w:tcW w:w="22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Physical Sciences and Technology</w:t>
            </w:r>
          </w:p>
        </w:tc>
        <w:tc>
          <w:tcPr>
            <w:tcW w:w="2220" w:type="dxa"/>
            <w:vAlign w:val="bottom"/>
            <w:tcBorders>
              <w:right w:val="single" w:sz="8" w:color="auto"/>
            </w:tcBorders>
            <w:vMerge w:val="continue"/>
          </w:tcPr>
          <w:p>
            <w:pPr>
              <w:spacing w:after="0"/>
              <w:rPr>
                <w:sz w:val="15"/>
                <w:szCs w:val="15"/>
                <w:color w:val="auto"/>
              </w:rPr>
            </w:pPr>
          </w:p>
        </w:tc>
        <w:tc>
          <w:tcPr>
            <w:tcW w:w="112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980" w:type="dxa"/>
            <w:vAlign w:val="bottom"/>
            <w:tcBorders>
              <w:right w:val="single" w:sz="8" w:color="auto"/>
            </w:tcBorders>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100"/>
          </w:cols>
          <w:pgMar w:left="560" w:top="140" w:right="239" w:bottom="0" w:gutter="0" w:footer="0" w:header="0"/>
        </w:sectPr>
      </w:pPr>
    </w:p>
    <w:bookmarkStart w:id="10" w:name="page11"/>
    <w:bookmarkEnd w:id="10"/>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6605270</wp:posOffset>
            </wp:positionH>
            <wp:positionV relativeFrom="page">
              <wp:posOffset>88900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5987415</wp:posOffset>
            </wp:positionH>
            <wp:positionV relativeFrom="page">
              <wp:posOffset>88900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5234305</wp:posOffset>
            </wp:positionH>
            <wp:positionV relativeFrom="page">
              <wp:posOffset>88900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4514850</wp:posOffset>
            </wp:positionH>
            <wp:positionV relativeFrom="page">
              <wp:posOffset>88900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3110230</wp:posOffset>
            </wp:positionH>
            <wp:positionV relativeFrom="page">
              <wp:posOffset>88900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1671320</wp:posOffset>
            </wp:positionH>
            <wp:positionV relativeFrom="page">
              <wp:posOffset>88900</wp:posOffset>
            </wp:positionV>
            <wp:extent cx="8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360045</wp:posOffset>
            </wp:positionH>
            <wp:positionV relativeFrom="page">
              <wp:posOffset>88900</wp:posOffset>
            </wp:positionV>
            <wp:extent cx="8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859155</wp:posOffset>
            </wp:positionH>
            <wp:positionV relativeFrom="page">
              <wp:posOffset>88900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97"/>
        </w:trPr>
        <w:tc>
          <w:tcPr>
            <w:tcW w:w="82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CID003185</w:t>
            </w:r>
          </w:p>
        </w:tc>
        <w:tc>
          <w:tcPr>
            <w:tcW w:w="226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African Gold Refinery</w:t>
            </w:r>
          </w:p>
        </w:tc>
        <w:tc>
          <w:tcPr>
            <w:tcW w:w="22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UGANDA</w:t>
            </w:r>
          </w:p>
        </w:tc>
        <w:tc>
          <w:tcPr>
            <w:tcW w:w="112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top w:val="single" w:sz="8" w:color="auto"/>
              <w:bottom w:val="single" w:sz="8" w:color="auto"/>
              <w:right w:val="single" w:sz="8" w:color="auto"/>
            </w:tcBorders>
          </w:tcPr>
          <w:p>
            <w:pPr>
              <w:spacing w:after="0"/>
              <w:rPr>
                <w:sz w:val="17"/>
                <w:szCs w:val="17"/>
                <w:color w:val="auto"/>
              </w:rPr>
            </w:pPr>
          </w:p>
        </w:tc>
        <w:tc>
          <w:tcPr>
            <w:tcW w:w="98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CID003186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Gold Coast Refinery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GHANA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CID003189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NH Recytech Company</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CID003195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DS PRETECH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CID003324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QG Refining, LLC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CID003348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Dijllah Gold Refinery FZC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UNITED ARAB EMIRATES</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CID003382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CGR Metalloys Pvt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CID003383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Sovereign Metals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CID003421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C.I Metales Procesados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COLOMBIA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Industriales SAS</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CID003424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Eco-System Recycling Co., Ltd.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North Plant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CID003425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Eco-System Recycling Co., Ltd.</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West Plant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CID003461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Augmont Enterprises Private</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Limited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CID003463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Kundan Care Products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CID003487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Emerald Jewel Industry India</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Limited (Unit 1)</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CID003488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Emerald Jewel Industry India</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Limited (Unit 2)</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CID003489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Emerald Jewel Industry India</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Limited (Unit 3)</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CID003490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Emerald Jewel Industry India</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Limited (Unit 4)</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CID003497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K.A. Rasmussen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NORWAY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CID003500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Alexy Metals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CID003529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Sancus ZFS (L’Orfebre, SA)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COLOMBIA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CID003540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Sellem Industries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MAURITANIA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CID003548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MD Overseas</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INDIA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CID003557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Metallix Refining Inc.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Gold</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CID003575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4"/>
              </w:rPr>
              <w:t>Metal Concentrators SA (Pty)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SOUTH AFRICA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CID000004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A.L.M.T. Corp.</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CID000105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Kennametal Huntsville</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CID000218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Guangdong Xianglu 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CID000258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Chongyi Zhangyuan 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CID000281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CNMC (Guangxi) PGMA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CID000499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Fujian Jinxin Tungsten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CID000568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3"/>
              </w:rPr>
              <w:t>Global Tungsten &amp; Powders Corp.</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CID000766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Hunan Chenzhou Mining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CID000769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Hunan Chunchang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CID000825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 New Metals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JAPAN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CID000875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Ganzhou Huaxing 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Products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CID000966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Kennametal Fallon</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CID001889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Tejing (Vietnam) Tungsten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CID002011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Vietnam Youngsun 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 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Industry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CID002044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6"/>
              </w:rPr>
              <w:t>Wolfram Bergbau und Hutten AG</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AUSTRIA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CID002047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WOLFRAM Company CJSC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CID002082</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Xiamen Tungsten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CID002095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Xinhai Rendan Shaoguan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Tungsten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CID002313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Jiangxi Minmetals Gao'an Non-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ferrous Metals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CID002315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Ganzhou Jiangwu Ferrotungsten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CID002316</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Jiangxi Yaosheng Tungsten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CID002317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Jiangxi Xinsheng 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Industry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CID002318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Jiangxi Tonggu Non-ferrous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Metallurgical &amp; Chemical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CID002319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8"/>
              </w:rPr>
              <w:t>Malipo Haiyu Tungsten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CID002320</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5"/>
              </w:rPr>
              <w:t>Xiamen Tungsten (H.C.)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CID002321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Jiangxi Gan Bei Tungsten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CID002494</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3"/>
              </w:rPr>
              <w:t>Ganzhou Seadragon W &amp; Mo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CID002502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7"/>
              </w:rPr>
              <w:t>Asia Tungsten Products Vietnam</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CID002513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Chenzhou Diamond 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Products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CID002536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w w:val="93"/>
              </w:rPr>
              <w:t>Ganzhou Yatai Tungsten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CID002541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H.C. Starck Tungsten GmbH</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CID002542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H.C. Starck Smelting GmbH &amp;</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GERMANY</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KG</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CID002543</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Masan Tungsten Chemical LLC</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VIETNAM</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(MTC)</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CID002551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Jiangwu H.C. Starck 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Products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CID002579</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Hunan Chuangda Vanadium</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Tungsten Co., Ltd. Wuji</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CID002589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Niagara Refining LLC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CID002641</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 Molybdenum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CID002645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Ganzhou Haichuang Tungsten</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Yes</w:t>
            </w: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vMerge w:val="continue"/>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6249670</wp:posOffset>
            </wp:positionH>
            <wp:positionV relativeFrom="paragraph">
              <wp:posOffset>-7620</wp:posOffset>
            </wp:positionV>
            <wp:extent cx="825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21590"/>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-7620</wp:posOffset>
            </wp:positionV>
            <wp:extent cx="825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21590"/>
                    </a:xfrm>
                    <a:prstGeom prst="rect">
                      <a:avLst/>
                    </a:prstGeom>
                    <a:noFill/>
                  </pic:spPr>
                </pic:pic>
              </a:graphicData>
            </a:graphic>
          </wp:anchor>
        </w:drawing>
        <w:drawing>
          <wp:anchor simplePos="0" relativeHeight="251657728" behindDoc="1" locked="0" layoutInCell="0" allowOverlap="1">
            <wp:simplePos x="0" y="0"/>
            <wp:positionH relativeFrom="column">
              <wp:posOffset>4878705</wp:posOffset>
            </wp:positionH>
            <wp:positionV relativeFrom="paragraph">
              <wp:posOffset>-7620</wp:posOffset>
            </wp:positionV>
            <wp:extent cx="825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21590"/>
                    </a:xfrm>
                    <a:prstGeom prst="rect">
                      <a:avLst/>
                    </a:prstGeom>
                    <a:noFill/>
                  </pic:spPr>
                </pic:pic>
              </a:graphicData>
            </a:graphic>
          </wp:anchor>
        </w:drawing>
        <w:drawing>
          <wp:anchor simplePos="0" relativeHeight="251657728" behindDoc="1" locked="0" layoutInCell="0" allowOverlap="1">
            <wp:simplePos x="0" y="0"/>
            <wp:positionH relativeFrom="column">
              <wp:posOffset>4159250</wp:posOffset>
            </wp:positionH>
            <wp:positionV relativeFrom="paragraph">
              <wp:posOffset>-7620</wp:posOffset>
            </wp:positionV>
            <wp:extent cx="825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21590"/>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-7620</wp:posOffset>
            </wp:positionV>
            <wp:extent cx="825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21590"/>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-7620</wp:posOffset>
            </wp:positionV>
            <wp:extent cx="8255"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215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-7620</wp:posOffset>
            </wp:positionV>
            <wp:extent cx="8255"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215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-7620</wp:posOffset>
            </wp:positionV>
            <wp:extent cx="825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21590"/>
                    </a:xfrm>
                    <a:prstGeom prst="rect">
                      <a:avLst/>
                    </a:prstGeom>
                    <a:noFill/>
                  </pic:spPr>
                </pic:pic>
              </a:graphicData>
            </a:graphic>
          </wp:anchor>
        </w:drawing>
      </w:r>
    </w:p>
    <w:p>
      <w:pPr>
        <w:sectPr>
          <w:pgSz w:w="11900" w:h="16879" w:orient="portrait"/>
          <w:cols w:equalWidth="0" w:num="1">
            <w:col w:w="11100"/>
          </w:cols>
          <w:pgMar w:left="560" w:top="120" w:right="239" w:bottom="0" w:gutter="0" w:footer="0" w:header="0"/>
        </w:sectPr>
      </w:pPr>
    </w:p>
    <w:bookmarkStart w:id="11" w:name="page12"/>
    <w:bookmarkEnd w:id="11"/>
    <w:tbl>
      <w:tblPr>
        <w:tblLayout w:type="fixed"/>
        <w:tblInd w:w="10" w:type="dxa"/>
        <w:tblCellMar>
          <w:top w:w="0" w:type="dxa"/>
          <w:left w:w="0" w:type="dxa"/>
          <w:bottom w:w="0" w:type="dxa"/>
          <w:right w:w="0" w:type="dxa"/>
        </w:tblCellMar>
      </w:tblPr>
      <w:tr>
        <w:trPr>
          <w:trHeight w:val="161"/>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CID002647</w:t>
            </w:r>
          </w:p>
        </w:tc>
        <w:tc>
          <w:tcPr>
            <w:tcW w:w="22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Jiangxi Xianglu Tungsten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CID002649</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Hydrometallurg, JSC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Yes</w:t>
            </w: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CID002724</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Unecha Refractory metals plant</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CID002815</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South-East Nonferrous Metal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Company Limited of Hengyang City</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CID002827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Philippine Chuangxin Industrial</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PHILIPPINES</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Inc.</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CID002830</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Xinfeng Huarui Tungsten &amp;</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w w:val="99"/>
              </w:rPr>
              <w:t>Molybdenum New Material 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CID002833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ACL Metais Eireli</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CID002843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Woltech Korea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CID002845</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Moliren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CID003182</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Hunan Litian Tungsten Industry</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CID003388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KGETS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KOREA, REPUBLIC OF</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CID003401</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Fujian Ganmin RareMetal Co.,</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CID003407</w:t>
            </w:r>
          </w:p>
        </w:tc>
        <w:tc>
          <w:tcPr>
            <w:tcW w:w="226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Lianyou Metals Co., Ltd.</w:t>
            </w:r>
          </w:p>
        </w:tc>
        <w:tc>
          <w:tcPr>
            <w:tcW w:w="222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TAIWAN, PROVINCE OF</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Conformant</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vMerge w:val="continue"/>
          </w:tcPr>
          <w:p>
            <w:pPr>
              <w:spacing w:after="0"/>
              <w:rPr>
                <w:sz w:val="15"/>
                <w:szCs w:val="15"/>
                <w:color w:val="auto"/>
              </w:rPr>
            </w:pPr>
          </w:p>
        </w:tc>
        <w:tc>
          <w:tcPr>
            <w:tcW w:w="2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CID003408</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rPr>
              <w:t>JSC "Kirovgrad Hard Alloys</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Plant"</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CID003416</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NPP Tyazhmetprom LLC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CID003417</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GEM Co., Ltd.</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CHINA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30"/>
        </w:trPr>
        <w:tc>
          <w:tcPr>
            <w:tcW w:w="820" w:type="dxa"/>
            <w:vAlign w:val="bottom"/>
            <w:tcBorders>
              <w:left w:val="single" w:sz="8" w:color="auto"/>
              <w:right w:val="single" w:sz="8" w:color="auto"/>
            </w:tcBorders>
            <w:vMerge w:val="restart"/>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CID003427</w:t>
            </w:r>
          </w:p>
        </w:tc>
        <w:tc>
          <w:tcPr>
            <w:tcW w:w="2260" w:type="dxa"/>
            <w:vAlign w:val="bottom"/>
            <w:tcBorders>
              <w:right w:val="single" w:sz="8" w:color="auto"/>
            </w:tcBorders>
          </w:tcPr>
          <w:p>
            <w:pPr>
              <w:ind w:left="240"/>
              <w:spacing w:after="0" w:line="130" w:lineRule="exact"/>
              <w:rPr>
                <w:sz w:val="20"/>
                <w:szCs w:val="20"/>
                <w:color w:val="auto"/>
              </w:rPr>
            </w:pPr>
            <w:r>
              <w:rPr>
                <w:rFonts w:ascii="Arial" w:cs="Arial" w:eastAsia="Arial" w:hAnsi="Arial"/>
                <w:sz w:val="14"/>
                <w:szCs w:val="14"/>
                <w:color w:val="auto"/>
                <w:w w:val="94"/>
              </w:rPr>
              <w:t>Albasteel Industria e Comercio de</w:t>
            </w:r>
          </w:p>
        </w:tc>
        <w:tc>
          <w:tcPr>
            <w:tcW w:w="22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right w:val="single" w:sz="8" w:color="auto"/>
            </w:tcBorders>
            <w:vMerge w:val="restart"/>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right w:val="single" w:sz="8" w:color="auto"/>
            </w:tcBorders>
            <w:vMerge w:val="restart"/>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right w:val="single" w:sz="8" w:color="auto"/>
            </w:tcBorders>
          </w:tcPr>
          <w:p>
            <w:pPr>
              <w:spacing w:after="0"/>
              <w:rPr>
                <w:sz w:val="11"/>
                <w:szCs w:val="11"/>
                <w:color w:val="auto"/>
              </w:rPr>
            </w:pPr>
          </w:p>
        </w:tc>
        <w:tc>
          <w:tcPr>
            <w:tcW w:w="1240" w:type="dxa"/>
            <w:vAlign w:val="bottom"/>
            <w:vMerge w:val="restart"/>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4"/>
        </w:trPr>
        <w:tc>
          <w:tcPr>
            <w:tcW w:w="82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280" w:type="dxa"/>
            <w:vAlign w:val="bottom"/>
            <w:tcBorders>
              <w:bottom w:val="single" w:sz="8" w:color="auto"/>
              <w:right w:val="single" w:sz="8" w:color="auto"/>
            </w:tcBorders>
            <w:vMerge w:val="continue"/>
          </w:tcPr>
          <w:p>
            <w:pPr>
              <w:spacing w:after="0"/>
              <w:rPr>
                <w:sz w:val="15"/>
                <w:szCs w:val="15"/>
                <w:color w:val="auto"/>
              </w:rPr>
            </w:pP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Ligas Para Fundicao Ltd.</w:t>
            </w:r>
          </w:p>
        </w:tc>
        <w:tc>
          <w:tcPr>
            <w:tcW w:w="2220" w:type="dxa"/>
            <w:vAlign w:val="bottom"/>
            <w:tcBorders>
              <w:bottom w:val="single" w:sz="8" w:color="auto"/>
              <w:right w:val="single" w:sz="8" w:color="auto"/>
            </w:tcBorders>
            <w:vMerge w:val="continue"/>
          </w:tcPr>
          <w:p>
            <w:pPr>
              <w:spacing w:after="0"/>
              <w:rPr>
                <w:sz w:val="15"/>
                <w:szCs w:val="15"/>
                <w:color w:val="auto"/>
              </w:rPr>
            </w:pPr>
          </w:p>
        </w:tc>
        <w:tc>
          <w:tcPr>
            <w:tcW w:w="1120" w:type="dxa"/>
            <w:vAlign w:val="bottom"/>
            <w:tcBorders>
              <w:bottom w:val="single" w:sz="8" w:color="auto"/>
              <w:right w:val="single" w:sz="8" w:color="auto"/>
            </w:tcBorders>
            <w:vMerge w:val="continue"/>
          </w:tcPr>
          <w:p>
            <w:pPr>
              <w:spacing w:after="0"/>
              <w:rPr>
                <w:sz w:val="15"/>
                <w:szCs w:val="15"/>
                <w:color w:val="auto"/>
              </w:rPr>
            </w:pPr>
          </w:p>
        </w:tc>
        <w:tc>
          <w:tcPr>
            <w:tcW w:w="11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CID003448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CP Metals Inc.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U.S. OF AMERICA</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CID003468</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Cronimet Brasil Ltda</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BRAZIL</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r>
        <w:trPr>
          <w:trHeight w:val="180"/>
        </w:trPr>
        <w:tc>
          <w:tcPr>
            <w:tcW w:w="820" w:type="dxa"/>
            <w:vAlign w:val="bottom"/>
            <w:tcBorders>
              <w:left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w w:val="99"/>
              </w:rPr>
              <w:t>Tungsten</w:t>
            </w:r>
          </w:p>
        </w:tc>
        <w:tc>
          <w:tcPr>
            <w:tcW w:w="128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CID003553</w:t>
            </w:r>
          </w:p>
        </w:tc>
        <w:tc>
          <w:tcPr>
            <w:tcW w:w="226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Artek LLC</w:t>
            </w:r>
          </w:p>
        </w:tc>
        <w:tc>
          <w:tcPr>
            <w:tcW w:w="22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RUSSIAN FEDERATION</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4"/>
                <w:szCs w:val="14"/>
                <w:color w:val="auto"/>
              </w:rPr>
              <w:t>No</w:t>
            </w:r>
          </w:p>
        </w:tc>
        <w:tc>
          <w:tcPr>
            <w:tcW w:w="11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Active</w:t>
            </w:r>
          </w:p>
        </w:tc>
        <w:tc>
          <w:tcPr>
            <w:tcW w:w="98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Unknown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00"/>
      </w:cols>
      <w:pgMar w:left="560" w:top="8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upperLetter"/>
      <w:start w:val="24"/>
    </w:lvl>
  </w:abstractNum>
  <w:abstractNum w:abstractNumId="1">
    <w:nsid w:val="66334873"/>
    <w:multiLevelType w:val="hybridMultilevel"/>
    <w:lvl w:ilvl="0">
      <w:lvlJc w:val="left"/>
      <w:lvlText w:val="%1."/>
      <w:numFmt w:val="decimal"/>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2021-05-27T10:12:50Z</dcterms:created>
  <dcterms:modified xsi:type="dcterms:W3CDTF">2021-05-27T10:12:50Z</dcterms:modified>
</cp:coreProperties>
</file>