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6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rPr>
              <w:t>Shares outstanding at November 4, 2011:</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17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A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1,229,383 Shares</w:t>
            </w:r>
          </w:p>
        </w:tc>
        <w:tc>
          <w:tcPr>
            <w:tcW w:w="40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Class B Common Stock</w:t>
            </w:r>
          </w:p>
        </w:tc>
        <w:tc>
          <w:tcPr>
            <w:tcW w:w="2960" w:type="dxa"/>
            <w:vAlign w:val="bottom"/>
          </w:tcPr>
          <w:p>
            <w:pPr>
              <w:ind w:left="200"/>
              <w:spacing w:after="0"/>
              <w:rPr>
                <w:sz w:val="20"/>
                <w:szCs w:val="20"/>
                <w:color w:val="auto"/>
              </w:rPr>
            </w:pPr>
            <w:r>
              <w:rPr>
                <w:rFonts w:ascii="Arial" w:cs="Arial" w:eastAsia="Arial" w:hAnsi="Arial"/>
                <w:sz w:val="18"/>
                <w:szCs w:val="18"/>
                <w:color w:val="auto"/>
              </w:rPr>
              <w:t>6,490,099 Shares</w:t>
            </w:r>
          </w:p>
        </w:tc>
        <w:tc>
          <w:tcPr>
            <w:tcW w:w="400" w:type="dxa"/>
            <w:vAlign w:val="bottom"/>
          </w:tcPr>
          <w:p>
            <w:pPr>
              <w:spacing w:after="0"/>
              <w:rPr>
                <w:sz w:val="19"/>
                <w:szCs w:val="19"/>
                <w:color w:val="auto"/>
              </w:rPr>
            </w:pPr>
          </w:p>
        </w:tc>
      </w:tr>
      <w:tr>
        <w:trPr>
          <w:trHeight w:val="124"/>
        </w:trPr>
        <w:tc>
          <w:tcPr>
            <w:tcW w:w="172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117" w:lineRule="exact"/>
        <w:rPr>
          <w:sz w:val="20"/>
          <w:szCs w:val="20"/>
          <w:color w:val="auto"/>
        </w:rPr>
      </w:pPr>
    </w:p>
    <w:p>
      <w:pPr>
        <w:ind w:left="1000" w:hanging="330"/>
        <w:spacing w:after="0"/>
        <w:tabs>
          <w:tab w:leader="none" w:pos="1000" w:val="left"/>
        </w:tabs>
        <w:numPr>
          <w:ilvl w:val="0"/>
          <w:numId w:val="3"/>
        </w:numPr>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Operations (Unaudited) for the Thirteen and Thirty-Nine Weeks Ended October 2, 2011 and October</w:t>
        </w:r>
      </w:hyperlink>
    </w:p>
    <w:p>
      <w:pPr>
        <w:spacing w:after="0" w:line="38" w:lineRule="exact"/>
        <w:rPr>
          <w:sz w:val="20"/>
          <w:szCs w:val="20"/>
          <w:color w:val="auto"/>
        </w:rPr>
      </w:pPr>
    </w:p>
    <w:p>
      <w:pPr>
        <w:jc w:val="right"/>
        <w:spacing w:after="0"/>
        <w:tabs>
          <w:tab w:leader="none" w:pos="6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3, 2010</w:t>
        </w:r>
      </w:hyperlink>
      <w:r>
        <w:rPr>
          <w:rFonts w:ascii="Arial" w:cs="Arial" w:eastAsia="Arial" w:hAnsi="Arial"/>
          <w:sz w:val="18"/>
          <w:szCs w:val="18"/>
          <w:color w:val="0000EE"/>
        </w:rPr>
        <w:tab/>
      </w:r>
      <w:r>
        <w:rPr>
          <w:rFonts w:ascii="Arial" w:cs="Arial" w:eastAsia="Arial" w:hAnsi="Arial"/>
          <w:sz w:val="14"/>
          <w:szCs w:val="14"/>
          <w:color w:val="0000EE"/>
        </w:rPr>
        <w:t>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340" w:type="dxa"/>
            <w:vAlign w:val="bottom"/>
            <w:gridSpan w:val="14"/>
          </w:tcPr>
          <w:p>
            <w:pPr>
              <w:spacing w:after="0"/>
              <w:rPr>
                <w:rFonts w:ascii="Arial" w:cs="Arial" w:eastAsia="Arial" w:hAnsi="Arial"/>
                <w:sz w:val="18"/>
                <w:szCs w:val="18"/>
                <w:color w:val="auto"/>
                <w:w w:val="90"/>
              </w:rPr>
            </w:pPr>
            <w:r>
              <w:rPr>
                <w:rFonts w:ascii="Arial" w:cs="Arial" w:eastAsia="Arial" w:hAnsi="Arial"/>
                <w:sz w:val="18"/>
                <w:szCs w:val="18"/>
                <w:color w:val="auto"/>
                <w:w w:val="90"/>
              </w:rPr>
              <w:t xml:space="preserve">b.  </w:t>
            </w:r>
            <w:hyperlink w:anchor="page4">
              <w:r>
                <w:rPr>
                  <w:rFonts w:ascii="Arial" w:cs="Arial" w:eastAsia="Arial" w:hAnsi="Arial"/>
                  <w:sz w:val="18"/>
                  <w:szCs w:val="18"/>
                  <w:color w:val="0000EE"/>
                  <w:w w:val="90"/>
                </w:rPr>
                <w:t>Condensed Consolidated Statements of Comprehensive Income (Unaudited) for the Thirteen and Thirty-Nine Weeks Ended October 2, 2011</w:t>
              </w:r>
            </w:hyperlink>
          </w:p>
        </w:tc>
        <w:tc>
          <w:tcPr>
            <w:tcW w:w="3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October 3, 2010</w:t>
              </w:r>
            </w:hyperlink>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October 2, 2011 (Unaudited) and January 2,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d.  </w:t>
            </w:r>
            <w:hyperlink w:anchor="page6">
              <w:r>
                <w:rPr>
                  <w:rFonts w:ascii="Arial" w:cs="Arial" w:eastAsia="Arial" w:hAnsi="Arial"/>
                  <w:sz w:val="18"/>
                  <w:szCs w:val="18"/>
                  <w:color w:val="0000EE"/>
                  <w:w w:val="92"/>
                </w:rPr>
                <w:t>Condensed Consolidated Statements of Cash Flows (Unaudited) for the Thirty-Nine Weeks Ended October 2, 2011 and October 3, 2010</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7">
              <w:r>
                <w:rPr>
                  <w:rFonts w:ascii="Arial" w:cs="Arial" w:eastAsia="Arial" w:hAnsi="Arial"/>
                  <w:sz w:val="18"/>
                  <w:szCs w:val="18"/>
                  <w:color w:val="0000EE"/>
                </w:rPr>
                <w:t>Management’s Discussion and Analysis of Results of Operations and Financial Condition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40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860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25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PART II. OTHER INFORMATION</w:t>
              </w:r>
            </w:hyperlink>
          </w:p>
        </w:tc>
        <w:tc>
          <w:tcPr>
            <w:tcW w:w="848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Unregistered Sales of Equity Securities and Use of Proceeds</w:t>
              </w:r>
            </w:hyperlink>
          </w:p>
        </w:tc>
        <w:tc>
          <w:tcPr>
            <w:tcW w:w="60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Exhibits</w:t>
              </w:r>
            </w:hyperlink>
          </w:p>
        </w:tc>
        <w:tc>
          <w:tcPr>
            <w:tcW w:w="974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00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40" w:type="dxa"/>
            <w:vAlign w:val="bottom"/>
            <w:gridSpan w:val="8"/>
          </w:tcPr>
          <w:p>
            <w:pPr>
              <w:jc w:val="right"/>
              <w:ind w:right="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740" w:type="dxa"/>
            <w:vAlign w:val="bottom"/>
            <w:gridSpan w:val="3"/>
          </w:tcPr>
          <w:p>
            <w:pPr>
              <w:jc w:val="center"/>
              <w:ind w:left="1512"/>
              <w:spacing w:after="0"/>
              <w:rPr>
                <w:sz w:val="20"/>
                <w:szCs w:val="20"/>
                <w:color w:val="auto"/>
              </w:rPr>
            </w:pPr>
            <w:r>
              <w:rPr>
                <w:rFonts w:ascii="Arial" w:cs="Arial" w:eastAsia="Arial" w:hAnsi="Arial"/>
                <w:sz w:val="18"/>
                <w:szCs w:val="18"/>
                <w:b w:val="1"/>
                <w:bCs w:val="1"/>
                <w:color w:val="auto"/>
                <w:w w:val="99"/>
              </w:rPr>
              <w:t>PART I. FINANCIAL INFORMATION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1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7"/>
              </w:rPr>
              <w:t>The Washington Post Company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40" w:type="dxa"/>
            <w:vAlign w:val="bottom"/>
            <w:gridSpan w:val="5"/>
          </w:tcPr>
          <w:p>
            <w:pPr>
              <w:jc w:val="center"/>
              <w:ind w:left="6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4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Thirteen Weeks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Thirty-Nine Weeks Ended</w:t>
            </w:r>
          </w:p>
        </w:tc>
        <w:tc>
          <w:tcPr>
            <w:tcW w:w="0" w:type="dxa"/>
            <w:vAlign w:val="bottom"/>
          </w:tcPr>
          <w:p>
            <w:pPr>
              <w:spacing w:after="0"/>
              <w:rPr>
                <w:sz w:val="1"/>
                <w:szCs w:val="1"/>
                <w:color w:val="auto"/>
              </w:rPr>
            </w:pPr>
          </w:p>
        </w:tc>
      </w:tr>
      <w:tr>
        <w:trPr>
          <w:trHeight w:val="143"/>
        </w:trPr>
        <w:tc>
          <w:tcPr>
            <w:tcW w:w="7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w w:val="86"/>
              </w:rPr>
              <w:t>October 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
              <w:spacing w:after="0" w:line="143" w:lineRule="exact"/>
              <w:rPr>
                <w:sz w:val="20"/>
                <w:szCs w:val="20"/>
                <w:color w:val="auto"/>
              </w:rPr>
            </w:pPr>
            <w:r>
              <w:rPr>
                <w:rFonts w:ascii="Arial" w:cs="Arial" w:eastAsia="Arial" w:hAnsi="Arial"/>
                <w:sz w:val="14"/>
                <w:szCs w:val="14"/>
                <w:b w:val="1"/>
                <w:bCs w:val="1"/>
                <w:color w:val="auto"/>
                <w:w w:val="83"/>
              </w:rPr>
              <w:t>October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w w:val="83"/>
              </w:rPr>
              <w:t>October 2,</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
              <w:spacing w:after="0" w:line="143" w:lineRule="exact"/>
              <w:rPr>
                <w:sz w:val="20"/>
                <w:szCs w:val="20"/>
                <w:color w:val="auto"/>
              </w:rPr>
            </w:pPr>
            <w:r>
              <w:rPr>
                <w:rFonts w:ascii="Arial" w:cs="Arial" w:eastAsia="Arial" w:hAnsi="Arial"/>
                <w:sz w:val="14"/>
                <w:szCs w:val="14"/>
                <w:b w:val="1"/>
                <w:bCs w:val="1"/>
                <w:color w:val="auto"/>
                <w:w w:val="86"/>
              </w:rPr>
              <w:t>October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revenues</w:t>
            </w:r>
          </w:p>
        </w:tc>
        <w:tc>
          <w:tcPr>
            <w:tcW w:w="4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615,884</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737,131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1,867,359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2,170,338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213,377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643,274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1,032,640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1,183,535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3,151,394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3,501,880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479,526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1,491,363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1,248,994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Impairment of goodwill and other intangible assets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11,923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1,046,061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2,963,181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3,090,245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188,213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411,635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(24,588)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(56,273)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115,706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391,766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gridSpan w:val="4"/>
          </w:tcPr>
          <w:p>
            <w:pPr>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85,667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61,206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241,966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(42,935)</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55,426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Net (loss) income attributable to The Washington Post Company</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55,436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Net (loss) income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4"/>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60,922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54,519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85,513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60,299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(42,935)</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Net (loss) income attributable to The Washington Post Company common stockholders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4"/>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60,922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54,519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9"/>
              </w:rPr>
              <w:t>Per share information attributable to The Washington Post Company common stockholders: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Basic (loss) income per common share from continuing 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Basic net (loss) income per common share</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4"/>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Diluted (loss) income per common share from continuing operations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4"/>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7080" w:type="dxa"/>
            <w:vAlign w:val="bottom"/>
            <w:gridSpan w:val="4"/>
            <w:vMerge w:val="restart"/>
          </w:tcPr>
          <w:p>
            <w:pPr>
              <w:spacing w:after="0"/>
              <w:rPr>
                <w:sz w:val="20"/>
                <w:szCs w:val="20"/>
                <w:color w:val="auto"/>
              </w:rPr>
            </w:pPr>
            <w:r>
              <w:rPr>
                <w:rFonts w:ascii="Arial" w:cs="Arial" w:eastAsia="Arial" w:hAnsi="Arial"/>
                <w:sz w:val="18"/>
                <w:szCs w:val="18"/>
                <w:color w:val="auto"/>
              </w:rPr>
              <w:t>Diluted net (loss) income per common share</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4"/>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40" w:type="dxa"/>
            <w:vAlign w:val="bottom"/>
            <w:gridSpan w:val="2"/>
            <w:vMerge w:val="restart"/>
          </w:tcPr>
          <w:p>
            <w:pPr>
              <w:jc w:val="center"/>
              <w:ind w:left="3332"/>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Thirteen Weeks Ended</w:t>
            </w:r>
          </w:p>
        </w:tc>
        <w:tc>
          <w:tcPr>
            <w:tcW w:w="17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1"/>
              </w:rPr>
              <w:t>Thirty-Nine Weeks Ended</w:t>
            </w:r>
          </w:p>
        </w:tc>
        <w:tc>
          <w:tcPr>
            <w:tcW w:w="0" w:type="dxa"/>
            <w:vAlign w:val="bottom"/>
          </w:tcPr>
          <w:p>
            <w:pPr>
              <w:spacing w:after="0"/>
              <w:rPr>
                <w:sz w:val="1"/>
                <w:szCs w:val="1"/>
                <w:color w:val="auto"/>
              </w:rPr>
            </w:pPr>
          </w:p>
        </w:tc>
      </w:tr>
      <w:tr>
        <w:trPr>
          <w:trHeight w:val="143"/>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October 2,</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October 3,</w:t>
            </w:r>
          </w:p>
        </w:tc>
        <w:tc>
          <w:tcPr>
            <w:tcW w:w="3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86"/>
              </w:rPr>
              <w:t>October 2,</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9"/>
              </w:rPr>
              <w:t>October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720" w:type="dxa"/>
            <w:vAlign w:val="bottom"/>
            <w:gridSpan w:val="2"/>
          </w:tcPr>
          <w:p>
            <w:pPr>
              <w:jc w:val="right"/>
              <w:ind w:right="76"/>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640" w:type="dxa"/>
            <w:vAlign w:val="bottom"/>
          </w:tcPr>
          <w:p>
            <w:pPr>
              <w:jc w:val="right"/>
              <w:ind w:right="96"/>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800" w:type="dxa"/>
            <w:vAlign w:val="bottom"/>
            <w:gridSpan w:val="2"/>
          </w:tcPr>
          <w:p>
            <w:pPr>
              <w:jc w:val="right"/>
              <w:ind w:right="137"/>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(5,966)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$ 61,076</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$ 55,426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$199,031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800" w:type="dxa"/>
            <w:vAlign w:val="bottom"/>
            <w:gridSpan w:val="3"/>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(32,969)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Change in unrealized (loss) gain on available-for-sale securities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(47,237)</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5,731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(62,342)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Cash flow hedge, net change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Less reclassification adjustment for write-down on available-for-sale security included in net income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(50,521)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24,790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(27,672)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(35,205)</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22,346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(18,625)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(41,171)</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83,422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tcPr>
          <w:p>
            <w:pPr>
              <w:ind w:left="4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 income attributable to The Washington Post Company</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(41,225)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$ 83,421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$ 36,709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208,082</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jc w:val="right"/>
              <w:ind w:right="204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October 2,</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55"/>
        </w:trPr>
        <w:tc>
          <w:tcPr>
            <w:tcW w:w="91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13"/>
              <w:spacing w:after="0" w:line="148"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1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21,213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320,914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382,418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35,027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73,366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1,181,906</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1,361,898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1,149,054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1,200,726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25,450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1,415,180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530,741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56,404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Prepaid pension cost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544,366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63,022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20,029</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4,986,152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575,416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396,597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18,392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998,018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1,008,277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67,072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198,406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111,714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538,508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450,071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2,363,989</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2,325,744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Common 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249,948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4,500,249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4,520,332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net of taxes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65,578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Unrealized gain on pensions and other postretirement plans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860"/>
              <w:spacing w:after="0"/>
              <w:rPr>
                <w:sz w:val="20"/>
                <w:szCs w:val="20"/>
                <w:color w:val="auto"/>
              </w:rPr>
            </w:pPr>
            <w:r>
              <w:rPr>
                <w:rFonts w:ascii="Arial" w:cs="Arial" w:eastAsia="Arial" w:hAnsi="Arial"/>
                <w:sz w:val="18"/>
                <w:szCs w:val="18"/>
                <w:color w:val="auto"/>
              </w:rPr>
              <w:t>Cash flow hedge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(2,329,565)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(2,157,826)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common stockholders’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2,604,146</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2,814,364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2,604,146</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2,814,364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4,986,152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5,158,367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Thirty-Nine Weeks Ended</w:t>
            </w:r>
          </w:p>
        </w:tc>
        <w:tc>
          <w:tcPr>
            <w:tcW w:w="0" w:type="dxa"/>
            <w:vAlign w:val="bottom"/>
          </w:tcPr>
          <w:p>
            <w:pPr>
              <w:spacing w:after="0"/>
              <w:rPr>
                <w:sz w:val="1"/>
                <w:szCs w:val="1"/>
                <w:color w:val="auto"/>
              </w:rPr>
            </w:pPr>
          </w:p>
        </w:tc>
      </w:tr>
      <w:tr>
        <w:trPr>
          <w:trHeight w:val="143"/>
        </w:trPr>
        <w:tc>
          <w:tcPr>
            <w:tcW w:w="8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40"/>
              <w:spacing w:after="0" w:line="143" w:lineRule="exact"/>
              <w:rPr>
                <w:sz w:val="20"/>
                <w:szCs w:val="20"/>
                <w:color w:val="auto"/>
              </w:rPr>
            </w:pPr>
            <w:r>
              <w:rPr>
                <w:rFonts w:ascii="Arial" w:cs="Arial" w:eastAsia="Arial" w:hAnsi="Arial"/>
                <w:sz w:val="14"/>
                <w:szCs w:val="14"/>
                <w:b w:val="1"/>
                <w:bCs w:val="1"/>
                <w:color w:val="auto"/>
                <w:w w:val="95"/>
              </w:rPr>
              <w:t>October 2,</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2"/>
              </w:rPr>
              <w:t>October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880" w:type="dxa"/>
            <w:vAlign w:val="bottom"/>
            <w:gridSpan w:val="2"/>
          </w:tcPr>
          <w:p>
            <w:pPr>
              <w:jc w:val="right"/>
              <w:ind w:right="156"/>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55,426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$ 199,031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191,935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Goodwill and other intangible asset impairment charges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11,923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pension benefit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Multiemployer pension plan withdrawal charge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Early retirement program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Foreign exchange loss (gain)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3,675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(gain) loss on sales of businesses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Net loss on write-down of marketable equity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53,793</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 including impairment charges, net of distributions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Provision (benefit) for deferred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17,317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on sale or write-down of property, plant and equipment and other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Change in assets and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receivable,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38,835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inventories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(2,268)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payable and accrued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(88,643)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860"/>
              <w:spacing w:after="0"/>
              <w:rPr>
                <w:sz w:val="20"/>
                <w:szCs w:val="20"/>
                <w:color w:val="auto"/>
              </w:rPr>
            </w:pPr>
            <w:r>
              <w:rPr>
                <w:rFonts w:ascii="Arial" w:cs="Arial" w:eastAsia="Arial" w:hAnsi="Arial"/>
                <w:sz w:val="18"/>
                <w:szCs w:val="18"/>
                <w:color w:val="auto"/>
              </w:rPr>
              <w:t>Increase in deferred revenue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1,771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receivable/payable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other assets and other liabilities,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(51,564)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263,564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543,467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(145,622)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sale of business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16,201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marketable equity securities and other investments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(79,223)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(202,862)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(130,370)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(179,454)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(57,126)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Issuance of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52,476</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(185,494)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(314,692)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currency exchange rate change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81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120" w:type="dxa"/>
            <w:vAlign w:val="bottom"/>
            <w:gridSpan w:val="3"/>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(126,581)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100,202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437,740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3"/>
          </w:tcPr>
          <w:p>
            <w:pPr>
              <w:spacing w:after="0"/>
              <w:rPr>
                <w:sz w:val="20"/>
                <w:szCs w:val="20"/>
                <w:color w:val="auto"/>
              </w:rPr>
            </w:pPr>
            <w:r>
              <w:rPr>
                <w:rFonts w:ascii="Arial" w:cs="Arial" w:eastAsia="Arial" w:hAnsi="Arial"/>
                <w:sz w:val="18"/>
                <w:szCs w:val="18"/>
                <w:color w:val="auto"/>
              </w:rPr>
              <w:t>Ending cash and cash equivalents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311,159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$ 577,875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jc w:val="right"/>
              <w:ind w:right="2360"/>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2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37"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Financial Periods </w:t>
      </w:r>
      <w:r>
        <w:rPr>
          <w:rFonts w:ascii="Arial" w:cs="Arial" w:eastAsia="Arial" w:hAnsi="Arial"/>
          <w:sz w:val="16"/>
          <w:szCs w:val="16"/>
          <w:color w:val="auto"/>
        </w:rPr>
        <w:t>– The Company generally reports on a thirteen week fiscal quarter ending on the Sunday nearest the calendar quarter-end. The fiscal quarters</w:t>
      </w:r>
      <w:r>
        <w:rPr>
          <w:rFonts w:ascii="Arial" w:cs="Arial" w:eastAsia="Arial" w:hAnsi="Arial"/>
          <w:sz w:val="16"/>
          <w:szCs w:val="16"/>
          <w:b w:val="1"/>
          <w:bCs w:val="1"/>
          <w:color w:val="auto"/>
        </w:rPr>
        <w:t xml:space="preserve"> </w:t>
      </w:r>
      <w:r>
        <w:rPr>
          <w:rFonts w:ascii="Arial" w:cs="Arial" w:eastAsia="Arial" w:hAnsi="Arial"/>
          <w:sz w:val="16"/>
          <w:szCs w:val="16"/>
          <w:color w:val="auto"/>
        </w:rPr>
        <w:t>for 2011 and 2010 ended on October 2, 2011, July 3, 2011, April 3, 2011, October 3, 2010, July 4, 2010, and April 4, 2010, respectively. With the exception of the newspaper publishing operations and the corporate office, subsidiaries of the Company report on a calendar-quarter basis.</w:t>
      </w:r>
    </w:p>
    <w:p>
      <w:pPr>
        <w:spacing w:after="0" w:line="9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condensed consolidated financial statements have been prepared in accordance with: (i)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thirty-nine weeks ended October 2, 2011 and October 3, 2010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2, 2011.</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Certain amounts in previously issued financial statements have been reclassified to conform to the current year presentation, which includes the reclassification of the results of operations of the magazine publishing segment and certain operations of the education division as discontinued operations for all periods presented.</w:t>
      </w:r>
    </w:p>
    <w:p>
      <w:pPr>
        <w:spacing w:after="0" w:line="5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A business is classified as a discontinued operation when (i) the operations and cash flows of the business can be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condensed consolidated statement of operations, net of income taxes. The assets and related liabilities are aggregated and separately presented in the Company’s condensed consolidated balance sheet.</w:t>
      </w:r>
    </w:p>
    <w:p>
      <w:pPr>
        <w:spacing w:after="0" w:line="13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October 2009, the Financial Accounting Standards Board (“FASB”) issued new guidance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modifies the fair value requirement of multiple element revenue arrangements. The new guidance allows the use of the “best estimate of selling price” in addition to vendor-specific objective evidence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The implementation of this guidance in the first quarter of 2011 did not have a material impact on the condensed consolidated financial statements of the Company.</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2010, the FASB issued additional disclosure requirements for fair value measurements. One of the fair value disclosure amendments requires more detailed disclosures of the changes in Level 3 instruments. This change became effective for interim and annual periods beginning after December 15, 2010, and did not impact the condensed consolidated financial statements of the Company.</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June 2011, the FASB issued an amended standard to increase the prominence of items reported in other comprehensive income. The amendment eliminates the option to present components of other comprehensive income as part of the statement of changes in stockholders’ equity and requires that all changes in stockholders’ equity be presented either in a single continuous statement of comprehensive income or in two separate but consecutive statements. In addition, the amendment requires companies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The amendment does not affect how earnings per share is calculated or presented. This amendment is effective for interim and fiscal years beginning after December 15, 2011 and must be applied retrospectively. The amended standard will impact the presentation of other comprehensive income but will not impact the Company’s financial position or results of operations.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2011, the FASB issued new guidance that amends the current goodwill impairment testing process. The new guidance permits an entity to first assess qualitative factors to determine whether it is more likely than not that the fair value of a reporting unit is less than its carrying amount as a basis for determining whether it is necessary to perform the two-step goodwill impairment test. Previous guidance required an entity to test goodwill for impairment, on at least an annual basis, by comparing the fair value of a reporting unit with its carrying amount, including goodwill. The new guidance is effective for goodwill and interim impairment tests performed for fiscal years beginning after December 15, 2011. Early adoption is permitted if an entity’s financial statements for the most recent period have not yet been issued. The Company plans to early adopt this guidance at the beginning of the fourth quarter of 2011 and the guidance will not have an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August 18, 2011, Kaplan entered into an agreement to sell Kaplan Compliance Solutions. Under the terms of the asset purchase agreement, the buyer will receive Kaplan Compliance Solutions’ net working capital, tangible and intangible assets, and assume certain liabilities. The transaction closed in October 2011. The resulting gain at closing is not expected to be material to the financial position of the Company. The assets and liabilities of Kaplan Compliance Solutions have been classified on the Company’s condensed consolidated balance sheet as assets and liabilities of discontinued operations as of October 2, 2011. The Company did not reclassify its condensed consolidated balance sheet as of January 2, 2011 to reflect the discontinued operations.</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July 2011, Kaplan completed the sale of Kaplan Virtual Education. Under the terms of the asset purchase agreement, the buyer received Kaplan Virtual Education’s intellectual property, education programs and selected other long-lived assets. The Company recorded an after-tax loss on the transaction of $1.2 million, which is included in “Loss from discontinued operations, net of tax” in the Company’s condensed consolidated statement of operations for the third quarter and first nine months of 2011.</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2010, Kaplan completed the sale of Education Connection and in September 2010, the Company completed the sale of Newsweek magazine. The results of operations of Kaplan Compliance Solutions, Kaplan Virtual Education, Education Connection and the magazine publishing division for the third quarter and first nine months of 2011 and 2010, where applicable, are included in the Company’s condensed consolidated statements of operations as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condensed consolidated statements of cash flows to reflect the discontinued operations.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Newsweek employees were participants in The Washington Post Company Retirement Plan, and the Company had historically allocated Newsweek a net pension credit for segment reporting purposes. Since the associated pension assets and liabilities were retained by the Company, the associated credit of $8.8 million and $25.8 million, respectively, for the third quarter and nine months of 2010 has been excluded from the reclassification of Newsweek results to discontinued operations. In the third quarter and first nine months of 2010, Newsweek recorded $0.8 million and $4.7 million, respectively, in accelerated depreciation and property, plant and equipment write-downs.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summarized loss from discontinued operations, net of tax, for the third quarter and first nine months of 2011 and 2010 is presented below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Thirteen Weeks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October 2,</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October 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October 2,</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October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$ 34,688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(5,940)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(53,986)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(42,044)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(167,246)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1"/>
              </w:rPr>
              <w:t>(2,126)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(783)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1"/>
              </w:rPr>
              <w:t>(1,343)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Gain (loss) on sale of discontinued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(10,293)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on sale of discontinued operations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(2,510)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(24,591)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(5,780)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2011 quarterly operating results of the Company for the quarters ended April 3 and July 3, following the reclassification of the operations discussed above as discontinued operations (in thousands, except per share amounts):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First Quarter</w:t>
            </w:r>
          </w:p>
        </w:tc>
        <w:tc>
          <w:tcPr>
            <w:tcW w:w="1300" w:type="dxa"/>
            <w:vAlign w:val="bottom"/>
            <w:gridSpan w:val="4"/>
          </w:tcPr>
          <w:p>
            <w:pPr>
              <w:ind w:left="260"/>
              <w:spacing w:after="0"/>
              <w:rPr>
                <w:sz w:val="20"/>
                <w:szCs w:val="20"/>
                <w:color w:val="auto"/>
              </w:rPr>
            </w:pPr>
            <w:r>
              <w:rPr>
                <w:rFonts w:ascii="Arial" w:cs="Arial" w:eastAsia="Arial" w:hAnsi="Arial"/>
                <w:sz w:val="14"/>
                <w:szCs w:val="14"/>
                <w:b w:val="1"/>
                <w:bCs w:val="1"/>
                <w:color w:val="auto"/>
                <w:w w:val="97"/>
              </w:rPr>
              <w:t>Second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626,631</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624,844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214,523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1,049,614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1,069,140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481,313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994,374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(24,032)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(1,937)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attributable to The Washington Post Company common stockholders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attributable to The Washington Post Company common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the Washington Post Company common stockholders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information attributable to The Washington Post Company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60" w:type="dxa"/>
            <w:vAlign w:val="bottom"/>
            <w:gridSpan w:val="2"/>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00"/>
          </w:cols>
          <w:pgMar w:left="240" w:top="459" w:right="459" w:bottom="1440" w:gutter="0" w:footer="0" w:header="0"/>
        </w:sectPr>
      </w:pPr>
    </w:p>
    <w:p>
      <w:pPr>
        <w:jc w:val="center"/>
        <w:ind w:right="-2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2010 quarterly operating results of the Company for the quarters ended April 4, 2010, July 4, 2010, October 3, 2010,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January 2, 2011, following the reclassification of the operations discussed above as discontinued operations (in thousands, except per share amounts):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694,078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739,129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737,131</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213,454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215,995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1,124,727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1,193,618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1,183,535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471,542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477,248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479,526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478,908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480,412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60,872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Impairment of goodwill and other intangible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1,018,160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1,026,024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1,046,061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106,567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167,594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137,474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151,027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(7,633)</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145,067</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102,115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85,667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61,076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61,152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 common</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45,379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91,904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60,922</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Amounts attributable to The Washington Post Company common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53,735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101,892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85,513</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w w:val="92"/>
              </w:rPr>
              <w:t>Net income attributable to the Washington Post Company common stockholders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91,904</w:t>
            </w:r>
          </w:p>
        </w:tc>
        <w:tc>
          <w:tcPr>
            <w:tcW w:w="18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60,922</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Per share information attributable to The Washington Post Company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common share from discontinued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 (loss) income per common share from discontinued operations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516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operating results of the Company for fiscal year 2010 and 2009, following the reclassification of operations discussed above as discontinued operations (in thousands, except per share amounts):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6"/>
              </w:rPr>
              <w:t>January 2,</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January 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2,862,279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2,576,162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857,290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4,684,041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4,326,040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1,931,576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1,879,214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1,888,954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1,831,716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246,630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4,121,379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4,035,641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562,662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(30,503)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538,117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320,117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(65,007)</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278,114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income attributable to The Washington Post Company common stockholders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277,192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Amounts attributable to The Washington Post Company common stockholders: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319,289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(65,007)</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7"/>
              </w:rPr>
              <w:t>Net income attributable to the Washington Post Company common stockholders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277,192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Per share information attributable to The Washington Post Company common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31.06</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4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October 2, 2011 and January 2, 2011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October 2,</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w:t>
            </w: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4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cost</w:t>
            </w:r>
          </w:p>
        </w:tc>
        <w:tc>
          <w:tcPr>
            <w:tcW w:w="2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$169,271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$223,064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unrealized gains</w:t>
            </w:r>
          </w:p>
        </w:tc>
        <w:tc>
          <w:tcPr>
            <w:tcW w:w="2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109,297</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278,568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340,910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new investments or sales of marketable equity securities in the first nine months of 2011 and 2010.</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the end of the first quarter of 2011, 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and the potential recovery period, and the Company’s ability and intent to hold the investment. In the first quarter of 2011, the Company concluded the loss was other-than-temporary and recorded a $30.7 million write-down on the investment. The investment continued to decline and in the third quarter of 2011, the Company recorded another $23.1 million write-down on the investment. The Company’s investment in Corinthian Colleges, Inc. accounted for $12.0 million of the total fair value of the Company’s investments in marketable equity securities at October 2, 2011.</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third quarter of 2011, the Company recorded a $9.2 million impairment charge on the Company’s interest in Bowater Mersey Paper Company, as a result of the challenging economic environment for newsprint producers.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Dispositions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the first nine months of 2011, the Company acquired four businesses totaling $132.0 million, including assumed debt of $5.5 million and other assumed liabilities. The assets and liabilities of the companies acquired have been recorded at their estimated fair values at the date of acquisition; most of the purchase price for these acquisitions has been allocated to goodwill, other intangible assets, and property, plant and equipment on a preliminary basis.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2011, Kaplan sold Kaplan Compliance Solutions, which was part of Kaplan Higher Education. In the third quarter of 2011, Kaplan sold Kaplan Virtual Education, which was part of Kaplan Ventures. The Company did not make any acquisitions during the third quarter of 2011. In the second quarter of 2011, Kaplan acquired three businesses in its Kaplan International division.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 In the first quarter of 2011, Kaplan acquired one business in its Kaplan Ventures division.</w:t>
      </w:r>
    </w:p>
    <w:p>
      <w:pPr>
        <w:spacing w:after="0" w:line="144"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The Company did not make any acquisitions during the third quarter of 2010. On September 30, 2010, the Company completed the sale of Newsweek. In the second quarter of 2010, the Company made two small acquisitions in its Cable division and in Other businesses and Kaplan completed the sale of Education Connection, which was part of the Kaplan Ventures division. In the first quarter of 2010, Kaplan made one small acquisition in its Kaplan Ventures division.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education division made several changes to its operating and reporting structure in the first quarter of 2011, changing the composition of the reporting units within Kaplan Test Preparation, Kaplan Ventures and Kaplan Higher Education (see Note 13).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As a result of continued challenges in the lead generation industry, in both the third quarters of 2011 and 2010, the Company performed interim reviews of the carrying value of goodwill and other intangible asset at its online lead generation business, which is included within the other businesses segment. The Company failed the step one goodwill impairment tests and performed a step two analysis, resulting in a $11.9 million and $27.5 million goodwill and other intangible assets impairment charge in the third quarters of 2011 and 2010, respectively. The Company estimated the fair value utilizing a discounted cash flow model.</w:t>
      </w:r>
    </w:p>
    <w:p>
      <w:pPr>
        <w:spacing w:after="0" w:line="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Amortization of intangible assets for the thirteen weeks ended October 2, 2011 and October 3, 2010 was $9.3 million and $6.5 million, respectively. Amortization of intangible assets for the thirty-nine weeks ended October 2, 2011 and October 3, 2010 was $23.5 and $20.6 million. Amortization of intangible assets is estimated to be approximately $8 million for the remainder of 2011, $13 million in 2012, $10 million in 2013, $8 million in 2014, $6 million in 2015, $3 million in 2016 and $8 million thereafter.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changes in the carrying amount of goodwill related to continuing operations, by segment, for the thirty-nine weeks ended October 2, 2011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Cable</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5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Broadcasting</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2"/>
              </w:rPr>
              <w:t>Businesses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2, 2011:</w:t>
            </w: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$1,073,089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$85,488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$1,543,077</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(85,419)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(166,720)</w:t>
            </w:r>
          </w:p>
        </w:tc>
      </w:tr>
      <w:tr>
        <w:trPr>
          <w:trHeight w:val="20"/>
        </w:trPr>
        <w:tc>
          <w:tcPr>
            <w:tcW w:w="5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1,057,560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1,376,357</w:t>
            </w: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Impairment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(11,923)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(11,923)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Reclassification to discontinued operations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(14,903)</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(14,903)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(9,671)</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Balance as of October 2, 2011:</w:t>
            </w: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1,123,835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1,593,823</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(65,772)</w:t>
            </w: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(97,342)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(178,643)</w:t>
            </w:r>
          </w:p>
        </w:tc>
      </w:tr>
      <w:tr>
        <w:trPr>
          <w:trHeight w:val="27"/>
        </w:trPr>
        <w:tc>
          <w:tcPr>
            <w:tcW w:w="5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1,108,306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85,488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1,415,180</w:t>
            </w:r>
          </w:p>
        </w:tc>
      </w:tr>
      <w:tr>
        <w:trPr>
          <w:trHeight w:val="20"/>
        </w:trPr>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amount of goodwill at the Company’s education division for the thirty-nine weeks ended October 2, 2011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Higher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3"/>
              </w:rPr>
              <w:t>Test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Kaplan</w:t>
            </w:r>
          </w:p>
        </w:tc>
        <w:tc>
          <w:tcPr>
            <w:tcW w:w="60" w:type="dxa"/>
            <w:vAlign w:val="bottom"/>
          </w:tcPr>
          <w:p>
            <w:pPr>
              <w:spacing w:after="0"/>
              <w:rPr>
                <w:sz w:val="14"/>
                <w:szCs w:val="14"/>
                <w:color w:val="auto"/>
              </w:rPr>
            </w:pPr>
          </w:p>
        </w:tc>
        <w:tc>
          <w:tcPr>
            <w:tcW w:w="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7"/>
              </w:rPr>
              <w:t>Preparation</w:t>
            </w:r>
          </w:p>
        </w:tc>
        <w:tc>
          <w:tcPr>
            <w:tcW w:w="60" w:type="dxa"/>
            <w:vAlign w:val="bottom"/>
          </w:tcPr>
          <w:p>
            <w:pPr>
              <w:spacing w:after="0"/>
              <w:rPr>
                <w:sz w:val="14"/>
                <w:szCs w:val="1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International</w:t>
            </w:r>
          </w:p>
        </w:tc>
        <w:tc>
          <w:tcPr>
            <w:tcW w:w="60" w:type="dxa"/>
            <w:vAlign w:val="bottom"/>
          </w:tcPr>
          <w:p>
            <w:pPr>
              <w:spacing w:after="0"/>
              <w:rPr>
                <w:sz w:val="14"/>
                <w:szCs w:val="14"/>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Ventures</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2, 2011:</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$335,226</w:t>
            </w:r>
          </w:p>
        </w:tc>
        <w:tc>
          <w:tcPr>
            <w:tcW w:w="1220" w:type="dxa"/>
            <w:vAlign w:val="bottom"/>
            <w:gridSpan w:val="5"/>
          </w:tcPr>
          <w:p>
            <w:pPr>
              <w:jc w:val="right"/>
              <w:ind w:right="300"/>
              <w:spacing w:after="0"/>
              <w:rPr>
                <w:sz w:val="20"/>
                <w:szCs w:val="20"/>
                <w:color w:val="auto"/>
              </w:rPr>
            </w:pPr>
            <w:r>
              <w:rPr>
                <w:rFonts w:ascii="Arial" w:cs="Arial" w:eastAsia="Arial" w:hAnsi="Arial"/>
                <w:sz w:val="18"/>
                <w:szCs w:val="18"/>
                <w:color w:val="auto"/>
              </w:rPr>
              <w:t>$ 229,486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444,940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$ 63,437</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$1,073,089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impairment losses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(7,037)</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(8,492)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335,226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222,449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444,940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54,945</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1,057,560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Reallocation, net (Note 13)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91,043</w:t>
            </w:r>
          </w:p>
        </w:tc>
        <w:tc>
          <w:tcPr>
            <w:tcW w:w="12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(70,262)</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(20,781)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Acquisitions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75,126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3,418</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Reclassification to discontinued operations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(14,903)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(14,903)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(7,478)</w:t>
            </w:r>
          </w:p>
        </w:tc>
        <w:tc>
          <w:tcPr>
            <w:tcW w:w="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(2,055)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Balance as of October 3, 2010: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418,687</w:t>
            </w:r>
          </w:p>
        </w:tc>
        <w:tc>
          <w:tcPr>
            <w:tcW w:w="12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152,187</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512,588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40,373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1,123,835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Accumulated impairment losses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(7,037)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260"/>
              <w:spacing w:after="0"/>
              <w:rPr>
                <w:sz w:val="20"/>
                <w:szCs w:val="20"/>
                <w:color w:val="auto"/>
              </w:rPr>
            </w:pPr>
            <w:r>
              <w:rPr>
                <w:rFonts w:ascii="Arial" w:cs="Arial" w:eastAsia="Arial" w:hAnsi="Arial"/>
                <w:sz w:val="18"/>
                <w:szCs w:val="18"/>
                <w:color w:val="auto"/>
              </w:rPr>
              <w:t>(8,492)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$ 411,650</w:t>
            </w:r>
          </w:p>
        </w:tc>
        <w:tc>
          <w:tcPr>
            <w:tcW w:w="12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$ 152,187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512,588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$ 31,881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1,108,306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Other intangible assets consist of the following (in thousands):</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4"/>
              </w:rPr>
              <w:t>As of October 2, 2011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As of January 2, 2011</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78"/>
              </w:rPr>
              <w:t>Gross</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Useful Life</w:t>
            </w:r>
          </w:p>
        </w:tc>
        <w:tc>
          <w:tcPr>
            <w:tcW w:w="8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2"/>
                <w:szCs w:val="12"/>
                <w:color w:val="auto"/>
              </w:rPr>
            </w:pP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2"/>
                <w:szCs w:val="12"/>
                <w:color w:val="auto"/>
              </w:rPr>
            </w:pPr>
          </w:p>
        </w:tc>
        <w:tc>
          <w:tcPr>
            <w:tcW w:w="66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8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2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26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 assets:</w:t>
            </w: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2-5 years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$ 45,475</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41,641</w:t>
            </w:r>
          </w:p>
        </w:tc>
        <w:tc>
          <w:tcPr>
            <w:tcW w:w="920" w:type="dxa"/>
            <w:vAlign w:val="bottom"/>
            <w:gridSpan w:val="5"/>
          </w:tcPr>
          <w:p>
            <w:pPr>
              <w:jc w:val="right"/>
              <w:ind w:right="12"/>
              <w:spacing w:after="0"/>
              <w:rPr>
                <w:sz w:val="20"/>
                <w:szCs w:val="20"/>
                <w:color w:val="auto"/>
              </w:rPr>
            </w:pPr>
            <w:r>
              <w:rPr>
                <w:rFonts w:ascii="Arial" w:cs="Arial" w:eastAsia="Arial" w:hAnsi="Arial"/>
                <w:sz w:val="18"/>
                <w:szCs w:val="18"/>
                <w:color w:val="auto"/>
              </w:rPr>
              <w:t>$ 3,834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$ 43,940</w:t>
            </w:r>
          </w:p>
        </w:tc>
        <w:tc>
          <w:tcPr>
            <w:tcW w:w="40" w:type="dxa"/>
            <w:vAlign w:val="bottom"/>
          </w:tcPr>
          <w:p>
            <w:pPr>
              <w:spacing w:after="0"/>
              <w:rPr>
                <w:sz w:val="18"/>
                <w:szCs w:val="18"/>
                <w:color w:val="auto"/>
              </w:rPr>
            </w:pP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33,570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Student and customer relationships</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2-10 years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74,004</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45,790</w:t>
            </w:r>
          </w:p>
        </w:tc>
        <w:tc>
          <w:tcPr>
            <w:tcW w:w="92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28,214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Databases and technology</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3-5 years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10,514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6,796</w:t>
            </w:r>
          </w:p>
        </w:tc>
        <w:tc>
          <w:tcPr>
            <w:tcW w:w="920" w:type="dxa"/>
            <w:vAlign w:val="bottom"/>
            <w:gridSpan w:val="5"/>
          </w:tcPr>
          <w:p>
            <w:pPr>
              <w:jc w:val="right"/>
              <w:ind w:right="12"/>
              <w:spacing w:after="0"/>
              <w:rPr>
                <w:sz w:val="20"/>
                <w:szCs w:val="20"/>
                <w:color w:val="auto"/>
              </w:rPr>
            </w:pPr>
            <w:r>
              <w:rPr>
                <w:rFonts w:ascii="Arial" w:cs="Arial" w:eastAsia="Arial" w:hAnsi="Arial"/>
                <w:sz w:val="18"/>
                <w:szCs w:val="18"/>
                <w:color w:val="auto"/>
              </w:rPr>
              <w:t>3,718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10,514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2,921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names and trademarks</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2-10 years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34,529</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17,829</w:t>
            </w:r>
          </w:p>
        </w:tc>
        <w:tc>
          <w:tcPr>
            <w:tcW w:w="92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16,700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1-25 years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6,012</w:t>
            </w: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11,502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6,498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174,472</w:t>
            </w: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6"/>
              </w:rPr>
              <w:t>118,068</w:t>
            </w:r>
          </w:p>
        </w:tc>
        <w:tc>
          <w:tcPr>
            <w:tcW w:w="92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56,404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161,519</w:t>
            </w: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100,277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61,242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Franchise agreements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$496,321</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$496,166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Wireless licenses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22,150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22,150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Licensure and accreditation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530,741</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530,816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2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income from continuing operations for the first nine months of 2011 was 47.1%. The higher effective rate in 2011 is primarily due to</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$4.5 million from nondeductible goodwill in connection with an impairment charge and $5.2 million in income tax expense related to valuation allowances, both recorded in the third quarter of 2011.</w:t>
      </w:r>
    </w:p>
    <w:p>
      <w:pPr>
        <w:spacing w:after="0" w:line="13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effective tax rate for income from continuing operations for the first nine months of 2010 was 38.2%. The effective rate in 2010 was adversely impacted by $9.1 million from nondeductible goodwill in connection with an impairment charge recorded in the third quarter of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October 2, 2011</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January 2, 2011</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7.25% unsecured notes due February 1, 2019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AUS $50M borrowing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48,699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453,178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450,071</w:t>
            </w:r>
          </w:p>
        </w:tc>
        <w:tc>
          <w:tcPr>
            <w:tcW w:w="38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other indebtedness at October 2, 2011 is at interest rates from 0% to 6% and matures from 2011 to 2016. The Company’s other indebtedness at January 2, 2011 is at an interest rate of 6%, and matures in 2011.</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2011 and 2010, the Company had average borrowings outstanding of approximately $417.6 million and $399.5 million, respectively, at average annual interest rates of approximately 7.2%. During the third quarter of 2011 and 2010, the Company incurred net interest expense of $7.7 million and $7.0 million, respectively.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nine months of 2011 and 2010, the Company had average borrowings outstanding of approximately $406.9 million and $399.4 million, respectively, at average annual interest rates of approximately 7.2%. During the first nine months of 2011 and 2010, the Company incurred net interest expense of $21.6 million and $21.3 million, respectively.</w:t>
      </w:r>
    </w:p>
    <w:p>
      <w:pPr>
        <w:spacing w:after="0" w:line="14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17, 2011, The Washington Post Company (the “Company”) terminated its U.S. $500,000,000 five year revolving credit agreement, dated as of August 8, 2006, among the Company, the lenders party thereto and Citibank, N.A. (the “2006 Credit Agreement”), in connection with the entrance into a new revolving credit facility. No borrowings were outstanding under the 2006 Credit Agreement at the time of termination. On June 17, 2011, the Company entered into a credit agreement (the “Credit Agreement”) providing for a new U.S. $450 million, AUS $50 million four year revolving credit facility (the “Facility”), with each of the lenders party thereto, JPMorgan Chase Bank, N.A., as Administrative Agent (“JP Morgan”), and J.P. Morgan Australia Limited, as Australian Sub-Agent. The Facility consists of two tranches: (a) U.S. $450 million and (b) AUS $50 million (subject, at the Company’s option, to conversion of the unused Australian dollar commitments into U.S. dollar commitments at a specified exchange rate). The Credit Agreement provides for an option to increase the total U.S. dollar commitments up to an aggregate amount of U.S. $700 million. The Facility replaced the Company’s 2006 Credit Agreement. The Company is required to pay a facility fee on a quarterly basis, based on the Company’s long-term debt ratings, of between 0.08% and 0.20% of the amount of the Facility. Any borrowings are made on an unsecured basis and bear interest at (a) for U.S. dollar borrowings, at the Company’s option, either (i) a fluctuating interest rate equal to the highest of JPMorgan’s prime rate, 0.50 percent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Facility supports the issuance of the Company’s commercial paper, but the Company may also draw on the facility for other general corporate purposes. The Facility will expire on June 17, 2015,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among other things, requires the Company to maintain at least $1.5 billion of consolidated shareholders’ equity.</w:t>
      </w:r>
    </w:p>
    <w:p>
      <w:pPr>
        <w:spacing w:after="0" w:line="12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On September 7, 2011, the Company borrowed AUS $50 million under its revolving credit facility. On the same date, the Company entered into interest rate swap agreements with a total notional value of AUS $50.0 million and a maturity date of March 7, 2015. These interest rate swap agreements will pay the Company variable interest on the AUS $50 million notional amount at the three-month bank bill rate, and the Company will pay the counterparties a fixed rate of 4.5275%.</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These interest rate swap agreements were entered into to convert the variable rate AUS dollar borrowing under the revolving credit facility into a fixed 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borrow funds under its commercial paper program in the first nine months of 2011.</w:t>
      </w:r>
    </w:p>
    <w:p>
      <w:pPr>
        <w:spacing w:after="0" w:line="171"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At October 2, 2011, the fair value of the Company’s 7.25% unsecured notes, based on quoted market prices, totaled $468.0 million, compared with the carrying amount of $397.0 million. At January 2, 2011, the fair value of the Company’s 7.25% unsecured notes, based on quoted market prices, totaled $457.2 million, compared with the carrying amount of $396.7 million. The carrying value of the Company’s other unsecured debt at October 2, 2011 approximates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(Loss) Earnings Per Share</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(loss) earnings per share from continuing operations (basic and diluted) for the third quarter and first nine months of 2011 and 2010 are presented below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Thirteen Weeks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(Loss) income from continuing operations attributable to The Washington Post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(3,698)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85,513</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60,299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Amount attributable to participating securities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(loss) income from continuing operations attributable to The Washington Post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(3,888)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85,030</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59,554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239,672</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420" w:type="dxa"/>
            <w:vAlign w:val="bottom"/>
            <w:gridSpan w:val="2"/>
          </w:tcPr>
          <w:p>
            <w:pPr>
              <w:spacing w:after="0"/>
              <w:rPr>
                <w:sz w:val="20"/>
                <w:szCs w:val="20"/>
                <w:color w:val="auto"/>
              </w:rPr>
            </w:pPr>
            <w:r>
              <w:rPr>
                <w:rFonts w:ascii="Arial" w:cs="Arial" w:eastAsia="Arial" w:hAnsi="Arial"/>
                <w:sz w:val="18"/>
                <w:szCs w:val="18"/>
                <w:color w:val="auto"/>
              </w:rPr>
              <w:t>Plus: Amount attributable to participating securities</w:t>
            </w:r>
          </w:p>
        </w:tc>
        <w:tc>
          <w:tcPr>
            <w:tcW w:w="120" w:type="dxa"/>
            <w:vAlign w:val="bottom"/>
          </w:tcPr>
          <w:p>
            <w:pPr>
              <w:spacing w:after="0"/>
              <w:rPr>
                <w:sz w:val="24"/>
                <w:szCs w:val="2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from continuing operations attributable to The Washington</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 Company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(3,888)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85,513</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60,299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241,140</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w w:val="96"/>
              </w:rPr>
              <w:t>(Loss) income per share from continuing operations attributable to The Washington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4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Post Company common stockholders: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diluted earnings per share amounts for the third quarter of 2011 and the first nine months of 2011 exclude the effects of 137,544 and 101,794 stock options outstanding, respectively, as their inclusion would have been antidilutive. The diluted earnings per share amounts for the third quarter of 2010 and the first nine months of 2010 exclude the effects of 59,069 and 36,125 stock options outstanding, respectively, as their inclusion would have been antidilutive.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and the first nine months of 2011, the Company declared regular dividends totaling $2.35 and $9.40 per share,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r>
        <w:rPr>
          <w:rFonts w:ascii="Arial" w:cs="Arial" w:eastAsia="Arial" w:hAnsi="Arial"/>
          <w:sz w:val="16"/>
          <w:szCs w:val="16"/>
          <w:color w:val="auto"/>
        </w:rPr>
        <w:t>. The total (benefit) cost arising from the Company’s defined benefit pension plans for the third quarter and nine months ended October 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2011 and October 3, 2010,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100" w:type="dxa"/>
            <w:vAlign w:val="bottom"/>
          </w:tcPr>
          <w:p>
            <w:pPr>
              <w:spacing w:after="0"/>
              <w:rPr>
                <w:sz w:val="12"/>
                <w:szCs w:val="12"/>
                <w:color w:val="auto"/>
              </w:rPr>
            </w:pPr>
          </w:p>
        </w:tc>
        <w:tc>
          <w:tcPr>
            <w:tcW w:w="1680" w:type="dxa"/>
            <w:vAlign w:val="bottom"/>
            <w:gridSpan w:val="5"/>
          </w:tcPr>
          <w:p>
            <w:pPr>
              <w:jc w:val="right"/>
              <w:ind w:right="54"/>
              <w:spacing w:after="0" w:line="142" w:lineRule="exact"/>
              <w:rPr>
                <w:sz w:val="20"/>
                <w:szCs w:val="20"/>
                <w:color w:val="auto"/>
              </w:rPr>
            </w:pPr>
            <w:r>
              <w:rPr>
                <w:rFonts w:ascii="Arial" w:cs="Arial" w:eastAsia="Arial" w:hAnsi="Arial"/>
                <w:sz w:val="14"/>
                <w:szCs w:val="14"/>
                <w:b w:val="1"/>
                <w:bCs w:val="1"/>
                <w:color w:val="auto"/>
                <w:w w:val="90"/>
              </w:rPr>
              <w:t>Thirty-Nine Weeks Ended</w:t>
            </w:r>
          </w:p>
        </w:tc>
        <w:tc>
          <w:tcPr>
            <w:tcW w:w="100" w:type="dxa"/>
            <w:vAlign w:val="bottom"/>
          </w:tcPr>
          <w:p>
            <w:pPr>
              <w:spacing w:after="0"/>
              <w:rPr>
                <w:sz w:val="12"/>
                <w:szCs w:val="12"/>
                <w:color w:val="auto"/>
              </w:rPr>
            </w:pPr>
          </w:p>
        </w:tc>
      </w:tr>
      <w:tr>
        <w:trPr>
          <w:trHeight w:val="129"/>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October 2,</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October 3,</w:t>
            </w:r>
          </w:p>
        </w:tc>
        <w:tc>
          <w:tcPr>
            <w:tcW w:w="46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3,</w:t>
            </w:r>
          </w:p>
        </w:tc>
        <w:tc>
          <w:tcPr>
            <w:tcW w:w="100" w:type="dxa"/>
            <w:vAlign w:val="bottom"/>
          </w:tcPr>
          <w:p>
            <w:pPr>
              <w:spacing w:after="0"/>
              <w:rPr>
                <w:sz w:val="11"/>
                <w:szCs w:val="11"/>
                <w:color w:val="auto"/>
              </w:rPr>
            </w:pPr>
          </w:p>
        </w:tc>
      </w:tr>
      <w:tr>
        <w:trPr>
          <w:trHeight w:val="16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14,964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45,033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45,180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(24,095)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(23,847)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(71,648)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(71,558)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9"/>
        </w:trPr>
        <w:tc>
          <w:tcPr>
            <w:tcW w:w="6380" w:type="dxa"/>
            <w:vAlign w:val="bottom"/>
          </w:tcPr>
          <w:p>
            <w:pPr>
              <w:spacing w:after="0"/>
              <w:rPr>
                <w:sz w:val="20"/>
                <w:szCs w:val="20"/>
                <w:color w:val="auto"/>
              </w:rPr>
            </w:pPr>
            <w:r>
              <w:rPr>
                <w:rFonts w:ascii="Arial" w:cs="Arial" w:eastAsia="Arial" w:hAnsi="Arial"/>
                <w:sz w:val="18"/>
                <w:szCs w:val="18"/>
                <w:color w:val="auto"/>
              </w:rPr>
              <w:t>Net periodic benefit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(3,236)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(2,122)</w:t>
            </w: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Early retirement programs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Special termination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prior service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8"/>
                <w:szCs w:val="18"/>
                <w:color w:val="auto"/>
              </w:rPr>
            </w:pPr>
          </w:p>
        </w:tc>
      </w:tr>
      <w:tr>
        <w:trPr>
          <w:trHeight w:val="330"/>
        </w:trPr>
        <w:tc>
          <w:tcPr>
            <w:tcW w:w="6380" w:type="dxa"/>
            <w:vAlign w:val="bottom"/>
          </w:tcPr>
          <w:p>
            <w:pPr>
              <w:spacing w:after="0"/>
              <w:rPr>
                <w:sz w:val="20"/>
                <w:szCs w:val="20"/>
                <w:color w:val="auto"/>
              </w:rPr>
            </w:pPr>
            <w:r>
              <w:rPr>
                <w:rFonts w:ascii="Arial" w:cs="Arial" w:eastAsia="Arial" w:hAnsi="Arial"/>
                <w:sz w:val="18"/>
                <w:szCs w:val="18"/>
                <w:color w:val="auto"/>
              </w:rPr>
              <w:t>Total (benefit) cost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6,741</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the Newsweek sale, the Company recorded $5.3 million in special termination benefits expense and $2.4 million in prior service cost expense; these amounts are included in discontinued operations for the third quarter and nine months ended October 3,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arising from the Company’s Supplemental Executive Retirement Plan (SERP) for the third quarter and nine months ended October 2,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 2010, including a portion included in discontinued operations,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SERP</w:t>
            </w: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116"/>
              <w:spacing w:after="0" w:line="142" w:lineRule="exact"/>
              <w:rPr>
                <w:sz w:val="20"/>
                <w:szCs w:val="20"/>
                <w:color w:val="auto"/>
              </w:rPr>
            </w:pPr>
            <w:r>
              <w:rPr>
                <w:rFonts w:ascii="Arial" w:cs="Arial" w:eastAsia="Arial" w:hAnsi="Arial"/>
                <w:sz w:val="14"/>
                <w:szCs w:val="14"/>
                <w:b w:val="1"/>
                <w:bCs w:val="1"/>
                <w:color w:val="auto"/>
                <w:w w:val="91"/>
              </w:rPr>
              <w:t>Thirteen Weeks Ended</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Thirty-Nine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2,</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2,</w:t>
            </w: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September 30, 2011 and December 31, 2010,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equities</w:t>
            </w:r>
          </w:p>
        </w:tc>
        <w:tc>
          <w:tcPr>
            <w:tcW w:w="2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U.S. fixed income</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color w:val="auto"/>
              </w:rPr>
              <w:t>12%</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2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In June 2011, the Company increased the limit on international stocks to no more than 24% of the assets at the time of the investment. None of the assets is managed internally by the Company.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evaluated its defined benefit pension plan asset portfolio for the existence of significant concentrations (defined as greater than 10% of plan assets) of credit risk as of September 30, 2011. Types of concentrations that were evaluated include, but are not limited to, investment concentrations in a single entity, type of industry, foreign country and individual fund. At September 30, 2011 the Company held common stock in one investment which exceeded 10% of total plan assets. This investment was valued at $176.8 million and $134.8 million at September 30, 2011 and December 31, 2010, respectively, or approximately 11% and 8%, respectively, of total plan assets. Assets also included $143.3 million and $161.6 million of Berkshire Hathaway Class A and Class B common stock at September 30, 2011 and December 31, 2010, respectively. At September 30, 2011 the Company held investments in one foreign country which exceeded 10% of total plan assets. These investments were valued at $193.8 million and $155.0 million at September 30, 2011 and December 31, 2010, respectively, or approximately 12% and 9%, respectively, of total plan assets.</w:t>
      </w:r>
    </w:p>
    <w:p>
      <w:pPr>
        <w:spacing w:after="0" w:line="112"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Other Postretirement Plans</w:t>
      </w:r>
      <w:r>
        <w:rPr>
          <w:rFonts w:ascii="Arial" w:cs="Arial" w:eastAsia="Arial" w:hAnsi="Arial"/>
          <w:sz w:val="16"/>
          <w:szCs w:val="16"/>
          <w:color w:val="auto"/>
        </w:rPr>
        <w:t>. The total benefit arising from the Company’s other postretirement plans for the third quarter and nine months ended October 2,</w:t>
      </w:r>
      <w:r>
        <w:rPr>
          <w:rFonts w:ascii="Arial" w:cs="Arial" w:eastAsia="Arial" w:hAnsi="Arial"/>
          <w:sz w:val="16"/>
          <w:szCs w:val="16"/>
          <w:b w:val="1"/>
          <w:bCs w:val="1"/>
          <w:color w:val="auto"/>
        </w:rPr>
        <w:t xml:space="preserve"> </w:t>
      </w:r>
      <w:r>
        <w:rPr>
          <w:rFonts w:ascii="Arial" w:cs="Arial" w:eastAsia="Arial" w:hAnsi="Arial"/>
          <w:sz w:val="16"/>
          <w:szCs w:val="16"/>
          <w:color w:val="auto"/>
        </w:rPr>
        <w:t>2011 and October 3, 2010, including a portion included in discontinued operations, consists of the following components (in thousands):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Postretirement Plans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5"/>
          </w:tcPr>
          <w:p>
            <w:pPr>
              <w:jc w:val="right"/>
              <w:ind w:right="780"/>
              <w:spacing w:after="0" w:line="142" w:lineRule="exact"/>
              <w:rPr>
                <w:sz w:val="20"/>
                <w:szCs w:val="20"/>
                <w:color w:val="auto"/>
              </w:rPr>
            </w:pPr>
            <w:r>
              <w:rPr>
                <w:rFonts w:ascii="Arial" w:cs="Arial" w:eastAsia="Arial" w:hAnsi="Arial"/>
                <w:sz w:val="14"/>
                <w:szCs w:val="14"/>
                <w:b w:val="1"/>
                <w:bCs w:val="1"/>
                <w:color w:val="auto"/>
                <w:w w:val="93"/>
              </w:rPr>
              <w:t>Thirteen Weeks Ended</w:t>
            </w:r>
          </w:p>
        </w:tc>
        <w:tc>
          <w:tcPr>
            <w:tcW w:w="140" w:type="dxa"/>
            <w:vAlign w:val="bottom"/>
          </w:tcPr>
          <w:p>
            <w:pPr>
              <w:spacing w:after="0"/>
              <w:rPr>
                <w:sz w:val="12"/>
                <w:szCs w:val="12"/>
                <w:color w:val="auto"/>
              </w:rPr>
            </w:pPr>
          </w:p>
        </w:tc>
        <w:tc>
          <w:tcPr>
            <w:tcW w:w="1780" w:type="dxa"/>
            <w:vAlign w:val="bottom"/>
            <w:gridSpan w:val="4"/>
          </w:tcPr>
          <w:p>
            <w:pPr>
              <w:jc w:val="right"/>
              <w:ind w:right="135"/>
              <w:spacing w:after="0" w:line="142" w:lineRule="exact"/>
              <w:rPr>
                <w:sz w:val="20"/>
                <w:szCs w:val="20"/>
                <w:color w:val="auto"/>
              </w:rPr>
            </w:pPr>
            <w:r>
              <w:rPr>
                <w:rFonts w:ascii="Arial" w:cs="Arial" w:eastAsia="Arial" w:hAnsi="Arial"/>
                <w:sz w:val="14"/>
                <w:szCs w:val="14"/>
                <w:b w:val="1"/>
                <w:bCs w:val="1"/>
                <w:color w:val="auto"/>
                <w:w w:val="91"/>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83"/>
              </w:rPr>
              <w:t>October 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560" w:type="dxa"/>
            <w:vAlign w:val="bottom"/>
          </w:tcPr>
          <w:p>
            <w:pPr>
              <w:spacing w:after="0"/>
              <w:rPr>
                <w:sz w:val="11"/>
                <w:szCs w:val="11"/>
                <w:color w:val="auto"/>
              </w:rPr>
            </w:pPr>
          </w:p>
        </w:tc>
        <w:tc>
          <w:tcPr>
            <w:tcW w:w="1220" w:type="dxa"/>
            <w:vAlign w:val="bottom"/>
            <w:tcBorders>
              <w:top w:val="single" w:sz="8" w:color="auto"/>
            </w:tcBorders>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86"/>
              </w:rPr>
              <w:t>October 2,</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October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cost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(1,412)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(1,287)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(4,237)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(1,441)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(1,227)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Curtailment gain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(8,583)</w:t>
            </w:r>
          </w:p>
        </w:tc>
        <w:tc>
          <w:tcPr>
            <w:tcW w:w="14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benefit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(8,539)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(1,227)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recorded a curtailment gain of $8.6 million in the third quarter of 2010 due to the sale of Newsweek; the gain is included in discontinued operations for the third quarter and nine months ended October 3, 2010.</w:t>
      </w:r>
    </w:p>
    <w:p>
      <w:pPr>
        <w:spacing w:after="0" w:line="12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Multiemployer Pension Plans</w:t>
      </w:r>
      <w:r>
        <w:rPr>
          <w:rFonts w:ascii="Arial" w:cs="Arial" w:eastAsia="Arial" w:hAnsi="Arial"/>
          <w:sz w:val="16"/>
          <w:szCs w:val="16"/>
          <w:color w:val="auto"/>
        </w:rPr>
        <w:t>. In July 2010, the Washington Post notified the union and the CWA-ITU Negotiated Pension Plan (the Plan) of its unilateral</w:t>
      </w:r>
      <w:r>
        <w:rPr>
          <w:rFonts w:ascii="Arial" w:cs="Arial" w:eastAsia="Arial" w:hAnsi="Arial"/>
          <w:sz w:val="16"/>
          <w:szCs w:val="16"/>
          <w:b w:val="1"/>
          <w:bCs w:val="1"/>
          <w:color w:val="auto"/>
        </w:rPr>
        <w:t xml:space="preserve"> </w:t>
      </w:r>
      <w:r>
        <w:rPr>
          <w:rFonts w:ascii="Arial" w:cs="Arial" w:eastAsia="Arial" w:hAnsi="Arial"/>
          <w:sz w:val="16"/>
          <w:szCs w:val="16"/>
          <w:color w:val="auto"/>
        </w:rPr>
        <w:t>withdrawal from the Plan effective November 30, 2010. In connection with this action, The Washington Post recorded a $2.7 million and $20.4 million charge for the third quarter and nine months ended October 3, 2010, respectively, based on an estimate of the withdrawal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(expense) income for the thirteen and thirty-nine weeks ended October 2, 2011 and October 3, 2010, is as follows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October 2,</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50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6"/>
              </w:rPr>
              <w:t>October 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5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write-down on a marketable equity security</w:t>
            </w:r>
          </w:p>
        </w:tc>
        <w:tc>
          <w:tcPr>
            <w:tcW w:w="1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(23,097)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(53,793)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Foreign currency (losses) gains, net</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(6,707)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11,923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(3,675)</w:t>
            </w:r>
          </w:p>
        </w:tc>
        <w:tc>
          <w:tcPr>
            <w:tcW w:w="12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79"/>
              </w:rPr>
              <w:t>4,824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cost method investments</w:t>
            </w:r>
          </w:p>
        </w:tc>
        <w:tc>
          <w:tcPr>
            <w:tcW w:w="1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Impairment write-down on a cost method investment</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12,486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(56,273)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100"/>
              <w:spacing w:after="0"/>
              <w:rPr>
                <w:sz w:val="20"/>
                <w:szCs w:val="20"/>
                <w:color w:val="auto"/>
              </w:rPr>
            </w:pPr>
            <w:r>
              <w:rPr>
                <w:rFonts w:ascii="Arial" w:cs="Arial" w:eastAsia="Arial" w:hAnsi="Arial"/>
                <w:sz w:val="18"/>
                <w:szCs w:val="18"/>
                <w:color w:val="auto"/>
                <w:w w:val="79"/>
              </w:rPr>
              <w:t>5,358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60" w:type="dxa"/>
            <w:vAlign w:val="bottom"/>
            <w:vMerge w:val="restart"/>
          </w:tcPr>
          <w:p>
            <w:pPr>
              <w:jc w:val="right"/>
              <w:ind w:right="977"/>
              <w:spacing w:after="0"/>
              <w:rPr>
                <w:sz w:val="20"/>
                <w:szCs w:val="20"/>
                <w:color w:val="auto"/>
              </w:rPr>
            </w:pPr>
            <w:r>
              <w:rPr>
                <w:rFonts w:ascii="Arial" w:cs="Arial" w:eastAsia="Arial" w:hAnsi="Arial"/>
                <w:sz w:val="18"/>
                <w:szCs w:val="18"/>
                <w:color w:val="auto"/>
              </w:rPr>
              <w:t>17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9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Litigation and Legal Matters</w:t>
      </w:r>
      <w:r>
        <w:rPr>
          <w:rFonts w:ascii="Arial" w:cs="Arial" w:eastAsia="Arial" w:hAnsi="Arial"/>
          <w:sz w:val="16"/>
          <w:szCs w:val="16"/>
          <w:color w:val="auto"/>
        </w:rPr>
        <w:t>. The Company is involved in various legal proceedings that arise in the ordinary course of its business. Although the outcome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1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regard to previously disclosed legal proceedings, three federal False Claims Act lawsuits against Kaplan Higher Education (KHE) businesses have been dismissed in their entirety: specifically, the lawsuits filed by Charles Jajdelski (U.S. District Court for the District of Nevada), Ben Wilcox (U.S. District Court for the Southern District of Florida) and Jorge Torres (U.S. District Court for the Southern District of Florida) have been dismissed, with final judgments entered in favor of the Company. To the extent these judgments are appealed, the Company will seek to affirm the rulings of the District Courts.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for the three remaining federal False Claims Act cases (all pending in the U.S. District Court for the Southern District of Florida), the Company’s motions to dismiss were granted in part. Specifically: in the Carlos Diaz matter, all federal False Claims Act allegations have been dismissed, leaving an individual employment claim to be adjudicated; with respect to the remaining claims, the federal False Claims allegations were dismissed in part and narrowed in scope. The Company will proceed to vigorously defend the remaining elements of each case.</w:t>
      </w:r>
    </w:p>
    <w:p>
      <w:pPr>
        <w:spacing w:after="0" w:line="13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DOE Program Reviews</w:t>
      </w:r>
      <w:r>
        <w:rPr>
          <w:rFonts w:ascii="Arial" w:cs="Arial" w:eastAsia="Arial" w:hAnsi="Arial"/>
          <w:sz w:val="18"/>
          <w:szCs w:val="18"/>
          <w:color w:val="auto"/>
        </w:rPr>
        <w:t>. The U.S. Department of Education (DOE) has undertaken Program Reviews at various Kaplan Higher Education (KHE) campus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locations and at Kaplan University. Six Program Reviews were recently finalized with no significant findings. Currently, there are two pending Program Reviews. The results of these open reviews and their impact on Kaplan’s operations are uncertain.</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The UK Border Agency issued revised immigration rules which became operational on April 21, 2011. Students from outside the European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Area (EEA) and Switzerland who were issued a Confirmation of Acceptance for Studies (CAS) after July 4, 2011 will be given permission to work part-time during their studies only if they attend an institution which qualifies as a “Higher Education Institution” (HEI). Many of the Kaplan UK international students currently work part-time. Kaplan UK is not in receipt of public funding for the courses upon which international students study and, therefore, does not qualify as an HEI. Also, certain Kaplan UK schools have gained, applied for or are in the process of applying for Highly Trusted Sponsor status (HTS). Without HTS, these schools cannot issue CASs to potential incoming international students starting in April 2012. These rules have the potential to adversely impact the number of international students studying at Kaplan UK.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96" w:lineRule="exact"/>
        <w:rPr>
          <w:sz w:val="20"/>
          <w:szCs w:val="20"/>
          <w:color w:val="auto"/>
        </w:rPr>
      </w:pPr>
    </w:p>
    <w:p>
      <w:pPr>
        <w:jc w:val="both"/>
        <w:ind w:right="48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200" w:firstLine="8"/>
        <w:spacing w:after="0" w:line="253"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65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At October 2, 2011:</w:t>
            </w: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Assets:</w:t>
            </w:r>
          </w:p>
        </w:tc>
        <w:tc>
          <w:tcPr>
            <w:tcW w:w="5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investments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132,544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278,568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278,568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Interest rate swap</w:t>
            </w:r>
            <w:r>
              <w:rPr>
                <w:rFonts w:ascii="Arial" w:cs="Arial" w:eastAsia="Arial" w:hAnsi="Arial"/>
                <w:sz w:val="11"/>
                <w:szCs w:val="11"/>
                <w:color w:val="auto"/>
              </w:rPr>
              <w:t>(5)</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financial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453,947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291,833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80" w:type="dxa"/>
            <w:vAlign w:val="bottom"/>
            <w:gridSpan w:val="4"/>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spacing w:after="0"/>
              <w:rPr>
                <w:sz w:val="24"/>
                <w:szCs w:val="24"/>
                <w:color w:val="auto"/>
              </w:rPr>
            </w:pPr>
          </w:p>
        </w:tc>
        <w:tc>
          <w:tcPr>
            <w:tcW w:w="65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11"/>
                <w:szCs w:val="11"/>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468,000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AUS $50M borrowing</w:t>
            </w:r>
            <w:r>
              <w:rPr>
                <w:rFonts w:ascii="Arial" w:cs="Arial" w:eastAsia="Arial" w:hAnsi="Arial"/>
                <w:sz w:val="11"/>
                <w:szCs w:val="11"/>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576,808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576,808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At January 2, 2011: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52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investments</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340,910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340,910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Total financial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682,677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352,745</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11"/>
                <w:szCs w:val="11"/>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69,226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7.25% unsecured notes</w:t>
            </w:r>
            <w:r>
              <w:rPr>
                <w:rFonts w:ascii="Arial" w:cs="Arial" w:eastAsia="Arial" w:hAnsi="Arial"/>
                <w:sz w:val="11"/>
                <w:szCs w:val="11"/>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457,200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40" w:type="dxa"/>
            <w:vAlign w:val="bottom"/>
            <w:gridSpan w:val="3"/>
          </w:tcPr>
          <w:p>
            <w:pPr>
              <w:ind w:left="200"/>
              <w:spacing w:after="0"/>
              <w:rPr>
                <w:sz w:val="20"/>
                <w:szCs w:val="20"/>
                <w:color w:val="auto"/>
              </w:rPr>
            </w:pPr>
            <w:r>
              <w:rPr>
                <w:rFonts w:ascii="Arial" w:cs="Arial" w:eastAsia="Arial" w:hAnsi="Arial"/>
                <w:sz w:val="18"/>
                <w:szCs w:val="18"/>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526,426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money market investments at October 2, 2011 are included in cash and cash equivalents.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money market investments at January 2, 2011 are included in cash, cash equivalents and restricted cash.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investments in marketable equity securities are classified as available-for-sale.</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ind w:left="460" w:right="7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Deferred charges and other assets. The fair value utilized a market approach model using the notional amount of the interest rate swap multiplied by the observable inputs of time to maturity and market interest rates.</w:t>
      </w:r>
    </w:p>
    <w:p>
      <w:pPr>
        <w:ind w:left="460" w:right="5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7 for carrying amount of these notes and borrowing.</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132" w:lineRule="exact"/>
        <w:rPr>
          <w:sz w:val="20"/>
          <w:szCs w:val="20"/>
          <w:color w:val="auto"/>
        </w:rPr>
      </w:pPr>
    </w:p>
    <w:p>
      <w:pPr>
        <w:jc w:val="both"/>
        <w:ind w:right="280"/>
        <w:spacing w:after="0" w:line="323" w:lineRule="auto"/>
        <w:rPr>
          <w:sz w:val="20"/>
          <w:szCs w:val="20"/>
          <w:color w:val="auto"/>
        </w:rPr>
      </w:pPr>
      <w:r>
        <w:rPr>
          <w:rFonts w:ascii="Arial" w:cs="Arial" w:eastAsia="Arial" w:hAnsi="Arial"/>
          <w:sz w:val="15"/>
          <w:szCs w:val="15"/>
          <w:color w:val="auto"/>
        </w:rPr>
        <w:t>In the first quarter of 2011, Kaplan made several changes to its operating and reporting structure. Kaplan’s domestic professional training business was moved from Test Preparation to Kaplan Higher Education and Kaplan Continuing Education moved from Kaplan Ventures to Kaplan Higher Education. Also, Kaplan sold Kaplan Compliance Solutions in October 2011, Kaplan Virtual Education in July 2011 and Education Connection in April 2010; therefore, the education division’s operating results exclude these businesses. Segment operating results of the education division have been restated to reflect these changes.</w:t>
      </w:r>
    </w:p>
    <w:p>
      <w:pPr>
        <w:spacing w:after="0" w:line="9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light of recent revenue declines and other business challenges, Kaplan has formulated and implemented restructuring plans at its various businesses that have resulted in significant costs in 2010 and 2011, with the objective of establishing lower cost levels in future periods. Across all Kaplan businesses, severance and restructuring costs totaled $5.6 million and $19.6 million in the third quarter and first nine months of 2011, respectively, compared to $7.8 million in the first nine months of 2010 (from the first half of 2010). Kaplan estimates that approximately $5.0 million in additional costs will be incurred in the fourth quarter of 2011.</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the Company’s electronic media publishing business (primarily washingtonpost.com and Slate). Revenues from newspaper publishing operations are derived from advertising and, to a lesser extent, from circulation.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 the operating results of Avenue100 Media Solutions and other small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 and the pension credit previously reported in the magazine publishing division.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to the sale of Newsweek, the magazine publishing division is no longer included as a separate segment as its results have been reclassified to discontinued operations. Newsweek employees were participants in The Washington Post Company Retirement Plan, and the Company had historically been allocated a net pension credit for segment reporting purposes. Since the associated pension assets and liabilities were retained by the Company, the associated credit has been excluded from the reclassification of Newsweek results to discontinued operations. Pension cost arising from early retirement programs at Newsweek, however, is included in discontinued operations.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2011 quarterly financial information related to each of the Company’s business segments for the quarters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 July 3, and October 2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626,631</w:t>
            </w:r>
          </w:p>
        </w:tc>
        <w:tc>
          <w:tcPr>
            <w:tcW w:w="28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624,844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615,884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191,231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187,892</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162,772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149,257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73,830</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Intersegment elimination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(1,139)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1,049,614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1,069,140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1,032,640</w:t>
            </w:r>
          </w:p>
        </w:tc>
        <w:tc>
          <w:tcPr>
            <w:tcW w:w="0" w:type="dxa"/>
            <w:vAlign w:val="bottom"/>
          </w:tcPr>
          <w:p>
            <w:pPr>
              <w:spacing w:after="0"/>
              <w:rPr>
                <w:sz w:val="1"/>
                <w:szCs w:val="1"/>
                <w:color w:val="auto"/>
              </w:rPr>
            </w:pPr>
          </w:p>
        </w:tc>
      </w:tr>
      <w:tr>
        <w:trPr>
          <w:trHeight w:val="330"/>
        </w:trPr>
        <w:tc>
          <w:tcPr>
            <w:tcW w:w="4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18,047</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40,425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32,571</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24,073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(18,126)</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80" w:type="dxa"/>
            <w:vAlign w:val="bottom"/>
          </w:tcPr>
          <w:p>
            <w:pPr>
              <w:spacing w:after="0"/>
              <w:rPr>
                <w:sz w:val="20"/>
                <w:szCs w:val="20"/>
                <w:color w:val="auto"/>
              </w:rPr>
            </w:pPr>
            <w:r>
              <w:rPr>
                <w:rFonts w:ascii="Arial" w:cs="Arial" w:eastAsia="Arial" w:hAnsi="Arial"/>
                <w:sz w:val="18"/>
                <w:szCs w:val="18"/>
                <w:color w:val="auto"/>
              </w:rPr>
              <w:t>Equity in earnings (losses) of affiliates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(24,032)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74,596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21,314</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31,533</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31,661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62,644</w:t>
            </w:r>
          </w:p>
        </w:tc>
        <w:tc>
          <w:tcPr>
            <w:tcW w:w="0" w:type="dxa"/>
            <w:vAlign w:val="bottom"/>
          </w:tcPr>
          <w:p>
            <w:pPr>
              <w:spacing w:after="0"/>
              <w:rPr>
                <w:sz w:val="1"/>
                <w:szCs w:val="1"/>
                <w:color w:val="auto"/>
              </w:rPr>
            </w:pPr>
          </w:p>
        </w:tc>
      </w:tr>
      <w:tr>
        <w:trPr>
          <w:trHeight w:val="330"/>
        </w:trPr>
        <w:tc>
          <w:tcPr>
            <w:tcW w:w="48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488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330"/>
        </w:trPr>
        <w:tc>
          <w:tcPr>
            <w:tcW w:w="48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23"/>
        </w:trPr>
        <w:tc>
          <w:tcPr>
            <w:tcW w:w="488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330"/>
        </w:trPr>
        <w:tc>
          <w:tcPr>
            <w:tcW w:w="4880" w:type="dxa"/>
            <w:vAlign w:val="bottom"/>
          </w:tcPr>
          <w:p>
            <w:pPr>
              <w:spacing w:after="0"/>
              <w:rPr>
                <w:sz w:val="20"/>
                <w:szCs w:val="20"/>
                <w:color w:val="auto"/>
              </w:rPr>
            </w:pPr>
            <w:r>
              <w:rPr>
                <w:rFonts w:ascii="Arial" w:cs="Arial" w:eastAsia="Arial" w:hAnsi="Arial"/>
                <w:sz w:val="18"/>
                <w:szCs w:val="18"/>
                <w:color w:val="auto"/>
              </w:rPr>
              <w:t>Net pension (expense) credit</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500"/>
          </w:cols>
          <w:pgMar w:left="240" w:top="459" w:right="1159" w:bottom="1440" w:gutter="0" w:footer="0" w:header="0"/>
        </w:sect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500"/>
          </w:cols>
          <w:pgMar w:left="240" w:top="459" w:right="11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2010 quarterly financial information related to each of the Company’s business segments for the quarters ended April 4, 2010, July 4, 2010, October 3, 2010, and January 2, 2011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694,078</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739,129</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737,131</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189,358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190,558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155,771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172,730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163,447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14,134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10,693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13,098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1,124,727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1,193,618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1,183,535</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1,182,161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2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61,412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113,087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42,536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43,790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20,911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29,806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25,283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137,474</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240" w:type="dxa"/>
            <w:vAlign w:val="bottom"/>
            <w:gridSpan w:val="2"/>
          </w:tcPr>
          <w:p>
            <w:pPr>
              <w:spacing w:after="0"/>
              <w:rPr>
                <w:sz w:val="20"/>
                <w:szCs w:val="20"/>
                <w:color w:val="auto"/>
              </w:rPr>
            </w:pPr>
            <w:r>
              <w:rPr>
                <w:rFonts w:ascii="Arial" w:cs="Arial" w:eastAsia="Arial" w:hAnsi="Arial"/>
                <w:sz w:val="18"/>
                <w:szCs w:val="18"/>
                <w:color w:val="auto"/>
              </w:rPr>
              <w:t>Equity in (losses) earnings of affiliates</w:t>
            </w:r>
          </w:p>
        </w:tc>
        <w:tc>
          <w:tcPr>
            <w:tcW w:w="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(8,109)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(7,033)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12,486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145,067</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18,457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18,868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31,626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30,722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31,174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61,307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60,872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63,699</w:t>
            </w:r>
          </w:p>
        </w:tc>
        <w:tc>
          <w:tcPr>
            <w:tcW w:w="0" w:type="dxa"/>
            <w:vAlign w:val="bottom"/>
          </w:tcPr>
          <w:p>
            <w:pPr>
              <w:spacing w:after="0"/>
              <w:rPr>
                <w:sz w:val="1"/>
                <w:szCs w:val="1"/>
                <w:color w:val="auto"/>
              </w:rPr>
            </w:pPr>
          </w:p>
        </w:tc>
      </w:tr>
      <w:tr>
        <w:trPr>
          <w:trHeight w:val="330"/>
        </w:trPr>
        <w:tc>
          <w:tcPr>
            <w:tcW w:w="52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330"/>
        </w:trPr>
        <w:tc>
          <w:tcPr>
            <w:tcW w:w="5240" w:type="dxa"/>
            <w:vAlign w:val="bottom"/>
            <w:gridSpan w:val="2"/>
          </w:tcPr>
          <w:p>
            <w:pPr>
              <w:spacing w:after="0"/>
              <w:rPr>
                <w:sz w:val="20"/>
                <w:szCs w:val="20"/>
                <w:color w:val="auto"/>
              </w:rPr>
            </w:pPr>
            <w:r>
              <w:rPr>
                <w:rFonts w:ascii="Arial" w:cs="Arial" w:eastAsia="Arial" w:hAnsi="Arial"/>
                <w:sz w:val="18"/>
                <w:szCs w:val="18"/>
                <w:color w:val="auto"/>
              </w:rPr>
              <w:t>Impairment of goodwill and other intangible assets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0"/>
        </w:trPr>
        <w:tc>
          <w:tcPr>
            <w:tcW w:w="524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(16,936)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000"/>
          </w:cols>
          <w:pgMar w:left="240" w:top="459" w:right="659" w:bottom="1440" w:gutter="0" w:footer="0" w:header="0"/>
        </w:sectPr>
      </w:pPr>
    </w:p>
    <w:p>
      <w:pPr>
        <w:jc w:val="center"/>
        <w:ind w:right="-4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240" w:top="459" w:right="6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related to each of the Company’s business segments for the nine months ended October 2,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 2010, as well as for the fiscal years 2010 and 2009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 Period</w:t>
            </w:r>
          </w:p>
        </w:tc>
        <w:tc>
          <w:tcPr>
            <w:tcW w:w="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1,867,359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2,170,338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2,862,279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2,576,162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569,403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568,610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759,884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467,026</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491,948</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680,373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230,953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239,252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37,925</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46,395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(6,193)</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(7,054)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3,151,394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3,501,880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4,684,041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4,326,040</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280,498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346,733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114,927</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126,590</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163,945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(29,767)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76,235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76,000</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121,348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(28,179)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(32,177)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(9,509)</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(24,572)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411,635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562,662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290,399</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4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(3,942)</w:t>
            </w:r>
          </w:p>
        </w:tc>
        <w:tc>
          <w:tcPr>
            <w:tcW w:w="8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(21,285)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(27,927)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(56,273)</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5,358</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7,515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391,766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538,117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245,207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94,980</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93,522</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124,834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23,118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9,579</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12,720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182,931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290,609</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25,610</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color w:val="auto"/>
              </w:rPr>
              <w:t>Impairment of goodwill and other long-lived assets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27,477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(36,840)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(42,287)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27,729</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25,230</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34,599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60"/>
          </w:cols>
          <w:pgMar w:left="240" w:top="459" w:right="6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6"/>
              </w:rPr>
              <w:t>October 2,</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9"/>
              </w:rPr>
              <w:t>January 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January 3,</w:t>
            </w:r>
          </w:p>
        </w:tc>
        <w:tc>
          <w:tcPr>
            <w:tcW w:w="100" w:type="dxa"/>
            <w:vAlign w:val="bottom"/>
          </w:tcPr>
          <w:p>
            <w:pPr>
              <w:spacing w:after="0"/>
              <w:rPr>
                <w:sz w:val="11"/>
                <w:szCs w:val="11"/>
                <w:color w:val="auto"/>
              </w:rPr>
            </w:pPr>
          </w:p>
        </w:tc>
      </w:tr>
      <w:tr>
        <w:trPr>
          <w:trHeight w:val="161"/>
        </w:trPr>
        <w:tc>
          <w:tcPr>
            <w:tcW w:w="6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Identifiable 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2,010,417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2,197,277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2,188,328</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1,135,308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1,141,427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1,164,209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162,360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206,305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207,234</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433,705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54,418</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909,372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774,484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729,706</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4,655,243</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4,785,820</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4,777,600</w:t>
            </w:r>
          </w:p>
        </w:tc>
        <w:tc>
          <w:tcPr>
            <w:tcW w:w="100" w:type="dxa"/>
            <w:vAlign w:val="bottom"/>
          </w:tcPr>
          <w:p>
            <w:pPr>
              <w:spacing w:after="0"/>
              <w:rPr>
                <w:sz w:val="19"/>
                <w:szCs w:val="19"/>
                <w:color w:val="auto"/>
              </w:rPr>
            </w:pPr>
          </w:p>
        </w:tc>
      </w:tr>
      <w:tr>
        <w:trPr>
          <w:trHeight w:val="116"/>
        </w:trPr>
        <w:tc>
          <w:tcPr>
            <w:tcW w:w="6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54,722</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62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4,986,152</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5,158,367</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5,186,206</w:t>
            </w:r>
          </w:p>
        </w:tc>
        <w:tc>
          <w:tcPr>
            <w:tcW w:w="100" w:type="dxa"/>
            <w:vAlign w:val="bottom"/>
          </w:tcPr>
          <w:p>
            <w:pPr>
              <w:spacing w:after="0"/>
              <w:rPr>
                <w:sz w:val="24"/>
                <w:szCs w:val="24"/>
                <w:color w:val="auto"/>
              </w:rPr>
            </w:pPr>
          </w:p>
        </w:tc>
      </w:tr>
      <w:tr>
        <w:trPr>
          <w:trHeight w:val="20"/>
        </w:trPr>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2011 quarterly financial information related to the operating segments of the Company’s education division for the quarters ended March 31, June 30, and September 30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Higher education</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386,883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358,312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330,856</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73,365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79,630</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international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148,687</w:t>
            </w: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166,071</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188,963</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18,365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17,418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17,919</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corporate and other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(2,777)</w:t>
            </w:r>
          </w:p>
        </w:tc>
      </w:tr>
      <w:tr>
        <w:trPr>
          <w:trHeight w:val="20"/>
        </w:trPr>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480" w:type="dxa"/>
            <w:vAlign w:val="bottom"/>
          </w:tcPr>
          <w:p>
            <w:pPr>
              <w:spacing w:after="0"/>
              <w:rPr>
                <w:sz w:val="19"/>
                <w:szCs w:val="19"/>
                <w:color w:val="auto"/>
              </w:rPr>
            </w:pP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626,631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624,844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615,884</w:t>
            </w:r>
          </w:p>
        </w:tc>
      </w:tr>
      <w:tr>
        <w:trPr>
          <w:trHeight w:val="116"/>
        </w:trPr>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Higher education</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50,650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45,157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(12,676)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international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10,207</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12,311</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(3,068)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(3,875)</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corporate and other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(16,486)</w:t>
            </w:r>
          </w:p>
        </w:tc>
        <w:tc>
          <w:tcPr>
            <w:tcW w:w="2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(19,114)</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(9,647)</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r>
      <w:tr>
        <w:trPr>
          <w:trHeight w:val="20"/>
        </w:trPr>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480" w:type="dxa"/>
            <w:vAlign w:val="bottom"/>
          </w:tcPr>
          <w:p>
            <w:pPr>
              <w:spacing w:after="0"/>
              <w:rPr>
                <w:sz w:val="19"/>
                <w:szCs w:val="19"/>
                <w:color w:val="auto"/>
              </w:rPr>
            </w:pP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18,736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20,381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18,047</w:t>
            </w:r>
          </w:p>
        </w:tc>
      </w:tr>
      <w:tr>
        <w:trPr>
          <w:trHeight w:val="116"/>
        </w:trPr>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Higher education</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11,241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11,897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11,825</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4,449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3,796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international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4,713</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4,355</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Kaplan corporate and other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7"/>
        </w:trPr>
        <w:tc>
          <w:tcPr>
            <w:tcW w:w="4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21,314</w:t>
            </w:r>
          </w:p>
        </w:tc>
      </w:tr>
      <w:tr>
        <w:trPr>
          <w:trHeight w:val="20"/>
        </w:trPr>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4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4,868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5,490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r>
      <w:tr>
        <w:trPr>
          <w:trHeight w:val="21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1"/>
              </w:rPr>
              <w:t>Kaplan stock-based incentive compensation (credit) expense</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(1,854)</w:t>
            </w:r>
          </w:p>
        </w:tc>
      </w:tr>
      <w:tr>
        <w:trPr>
          <w:trHeight w:val="363"/>
        </w:trPr>
        <w:tc>
          <w:tcPr>
            <w:tcW w:w="448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2010 quarterly financial information related to the operating segments within the Company’s education division for the quarters ended March 31, June 30, September 30, and December 31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474,493</w:t>
            </w:r>
          </w:p>
        </w:tc>
        <w:tc>
          <w:tcPr>
            <w:tcW w:w="3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503,656</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491,570</w:t>
            </w:r>
          </w:p>
        </w:tc>
        <w:tc>
          <w:tcPr>
            <w:tcW w:w="6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80,236</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133,985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151,208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694,078</w:t>
            </w:r>
          </w:p>
        </w:tc>
        <w:tc>
          <w:tcPr>
            <w:tcW w:w="3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739,129</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737,131</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691,941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91,515</w:t>
            </w:r>
          </w:p>
        </w:tc>
        <w:tc>
          <w:tcPr>
            <w:tcW w:w="3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127,706</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117,011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14,904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(5,076)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(18,888)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(21,997)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(19,245)</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61,412</w:t>
            </w:r>
          </w:p>
        </w:tc>
        <w:tc>
          <w:tcPr>
            <w:tcW w:w="3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113,087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105,999</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66,235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10,348</w:t>
            </w:r>
          </w:p>
        </w:tc>
        <w:tc>
          <w:tcPr>
            <w:tcW w:w="3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10,459</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10,647</w:t>
            </w:r>
          </w:p>
        </w:tc>
        <w:tc>
          <w:tcPr>
            <w:tcW w:w="6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18,457</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5,163</w:t>
            </w:r>
          </w:p>
        </w:tc>
        <w:tc>
          <w:tcPr>
            <w:tcW w:w="34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6,243</w:t>
            </w:r>
          </w:p>
        </w:tc>
        <w:tc>
          <w:tcPr>
            <w:tcW w:w="34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4,886</w:t>
            </w:r>
          </w:p>
        </w:tc>
        <w:tc>
          <w:tcPr>
            <w:tcW w:w="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5"/>
              </w:rPr>
              <w:t>Kaplan stock-based incentive compensation expense (credit)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432"/>
              <w:spacing w:after="0"/>
              <w:rPr>
                <w:sz w:val="20"/>
                <w:szCs w:val="20"/>
                <w:color w:val="auto"/>
              </w:rPr>
            </w:pPr>
            <w:r>
              <w:rPr>
                <w:rFonts w:ascii="Arial" w:cs="Arial" w:eastAsia="Arial" w:hAnsi="Arial"/>
                <w:sz w:val="18"/>
                <w:szCs w:val="18"/>
                <w:color w:val="auto"/>
                <w:w w:val="79"/>
              </w:rPr>
              <w:t>25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financial information related to the operating segments of the Company’s education division segments for the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as well as for the fiscal years ended December 31, 2010 and 2009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 Period</w:t>
            </w:r>
          </w:p>
        </w:tc>
        <w:tc>
          <w:tcPr>
            <w:tcW w:w="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1,076,051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1,469,719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1,905,038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236,192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239,289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314,879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503,721</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422,582</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585,924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53,702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41,611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59,296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3,949</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5,537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1,867,359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2,170,338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2,862,279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2,576,162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120,890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336,232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406,880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(29,018)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(13,722)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32,376</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56,152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(14,006)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(45,247)</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(60,130)</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(65,992)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57,164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280,498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346,733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227,281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34,963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31,454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42,412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9,514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9,009</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12,839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Kaplan corporate and other</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3,085</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3,851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80,403</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16,350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16,292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21,406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Kaplan stock-based incentive compensation (credit)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1160" w:firstLine="8"/>
        <w:spacing w:after="0" w:line="456"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 Preparation amounts include revenues of $8.6 million and operating losses of $36.8 million from Score for the fiscal year ended 2009. Identifiable assets for the Company’s education division consist of the following (in thousands):</w:t>
      </w:r>
    </w:p>
    <w:p>
      <w:pPr>
        <w:spacing w:after="0" w:line="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79"/>
              </w:rPr>
              <w:t>As of</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1"/>
                <w:szCs w:val="11"/>
                <w:color w:val="auto"/>
              </w:rPr>
            </w:pPr>
          </w:p>
        </w:tc>
        <w:tc>
          <w:tcPr>
            <w:tcW w:w="12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r>
      <w:tr>
        <w:trPr>
          <w:trHeight w:val="161"/>
        </w:trPr>
        <w:tc>
          <w:tcPr>
            <w:tcW w:w="3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22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Identifiable assets</w:t>
            </w:r>
          </w:p>
        </w:tc>
        <w:tc>
          <w:tcPr>
            <w:tcW w:w="2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Higher education</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705,228</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$1,093,614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$1,069,965</w:t>
            </w: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334,995</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290,367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285,673</w:t>
            </w: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Kaplan international</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845,811</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675,122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671,249</w:t>
            </w: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104,227</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118,461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88,291</w:t>
            </w: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Kaplan corporate and other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20,156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19,713</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73,150</w:t>
            </w:r>
          </w:p>
        </w:tc>
      </w:tr>
      <w:tr>
        <w:trPr>
          <w:trHeight w:val="27"/>
        </w:trPr>
        <w:tc>
          <w:tcPr>
            <w:tcW w:w="3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2,010,417</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2,197,277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2,188,328</w:t>
            </w:r>
          </w:p>
        </w:tc>
      </w:tr>
      <w:tr>
        <w:trPr>
          <w:trHeight w:val="370"/>
        </w:trPr>
        <w:tc>
          <w:tcPr>
            <w:tcW w:w="3540" w:type="dxa"/>
            <w:vAlign w:val="bottom"/>
          </w:tcPr>
          <w:p>
            <w:pPr>
              <w:spacing w:after="0"/>
              <w:rPr>
                <w:sz w:val="24"/>
                <w:szCs w:val="24"/>
                <w:color w:val="auto"/>
              </w:rPr>
            </w:pPr>
          </w:p>
        </w:tc>
        <w:tc>
          <w:tcPr>
            <w:tcW w:w="2740" w:type="dxa"/>
            <w:vAlign w:val="bottom"/>
          </w:tcPr>
          <w:p>
            <w:pPr>
              <w:jc w:val="right"/>
              <w:ind w:right="131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reported a net loss attributable to common shares of $6.2 million ($0.82 loss per share) for the third quarter ended October 2, 2011, compared to net income attributable to common shares of $60.9 million ($6.84 per share) for the third quarter of last year. Net (loss) income includes $2.5 million ($0.32 per share) and $24.6 million ($2.76 per share) in losses from discontinued operations for the third quarter of 2011 and 2010, respectively. (Loss) income from continuing operations attributable to common shares was a loss of $3.7 million ($0.50 loss per share) for the third quarter of 2011, compared to income of $85.5 million ($9.60 per share) for the third quarter of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2011:</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 million in severance and restructuring charges at Kaplan (after-tax impact of $3.5 million, or $0.44 per share);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$11.9 million goodwill impairment charge at the Company’s online lead generation business, included in other businesses (after-tax impact of $11.9 million, or $1.51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$9.2 million impairment charge at one of the Company’s affiliates (after-tax impact of $5.7 million, or $0.72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$23.1 million write-down of a marketable equity security (after-tax impact of $14.9 million, or $1.89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$6.7 million in non-operating unrealized foreign currency losses (after-tax impact of $4.2 million, or $0.54 per share);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 of $5.2 million in income tax expense related to valuation allowances provided (impact of $0.67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2010:</w:t>
      </w:r>
    </w:p>
    <w:p>
      <w:pPr>
        <w:spacing w:after="0" w:line="90" w:lineRule="exact"/>
        <w:rPr>
          <w:sz w:val="20"/>
          <w:szCs w:val="20"/>
          <w:color w:val="auto"/>
        </w:rPr>
      </w:pPr>
    </w:p>
    <w:p>
      <w:pPr>
        <w:ind w:left="900" w:right="3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$2.7 million charge recorded at The Washington Post in connection with the withdrawal from a multiemployer pension plan (after-tax impact of $1.6 million, or $0.18 per share);</w:t>
      </w:r>
    </w:p>
    <w:p>
      <w:pPr>
        <w:spacing w:after="0" w:line="5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$27.5 million goodwill and other intangible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$11.9 million in non-operating unrealized foreign currency gains (after-tax impact of $7.5 million, or $0.84 per share).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third quarter of 2011 was $1,032.6 million, down 13% from $1,183.5 million in the third quarter of 2010. The Company reported operating income of $52.0 million in the third quarter of 2011, compared to operating income of $137.5 million in the third quarter of 2010. Revenues and operating income were down at all of the Company’s divisions.</w:t>
      </w:r>
    </w:p>
    <w:p>
      <w:pPr>
        <w:spacing w:after="0" w:line="14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For the first nine months of 2011, the Company reported net income attributable to common shares of $54.5 million ($6.81 per share), compared to $198.2 million ($21.75 per share) for the same period of 2010. Net income includes $5.8 million ($0.73 per share) and $42.9 million ($4.71 per share) in losses from discontinued operations for the first nine months of 2011 and 2010, respectively. Income from continuing operations attributable to common shares was $60.3 million ($7.54 per share) for the first nine months of 2011, compared to $241.1 million ($26.46 per share) for the first nine months of 2010. As a result of the Company’s share repurchases, there were 12% fewer diluted average shares outstanding in the first nine months of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2011:</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$19.6 million in severance and restructuring charges at Kaplan (after-tax impact of $12.2 million, or $1.52 per share);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$11.9 million goodwill impairment charge at the Company’s online lead generation business, included in other businesses (after-tax impact of $11.9 million, or $1.51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$9.2 million impairment charge at one of the Company’s affiliates (after-tax impact of $5.7 million, or $0.72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$53.8 million write-down of a marketable equity security (after-tax impact of $34.6 million, or $4.34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 million in non-operating unrealized foreign currency losses (after-tax impact of $2.3 million, or $0.29 per share);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 of $5.2 million in income tax expense related to valuation allowances provided (impact of $0.67 per share).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2010:</w:t>
      </w:r>
    </w:p>
    <w:p>
      <w:pPr>
        <w:spacing w:after="0" w:line="90" w:lineRule="exact"/>
        <w:rPr>
          <w:sz w:val="20"/>
          <w:szCs w:val="20"/>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$20.4 million charge recorded at The Washington Post in connection with the withdrawal from a multiemployer pension plan (after-tax impact of $12.7 million, or $1.38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$7.8 million in severance and restructuring charges at Kaplan (after-tax impact of $4.8 million, or $0.52 per share);</w:t>
      </w:r>
    </w:p>
    <w:p>
      <w:pPr>
        <w:spacing w:after="0" w:line="9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$27.5 million goodwill and other intangible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$4.8 million in non-operating unrealized foreign currency gains (after-tax impact of $3.1 million, or $0.36 per share).</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 for the first nine months of 2011 was $3,151.4 million, down 10% from $3,501.9 million in the first nine months of 2010. Revenues were down at the education, newspaper publishing and television broadcasting divisions, while revenues were up slightly at the cable television division. The Company reported operating income of $188.2 million for the first nine months of 2011, compared to $411.6 million for the first nine months of 2010. Operating results declined at the education and cable television divisions and improved slightly at the television broadcasting division. Excluding the multiemployer pension plan charge noted above, operating results also declined at the newspaper publishing division.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Education division revenue totaled $615.9 million for the third quarter of 2011, a 16% decline from revenue of $737.1 million for the third quarter of 2010. Excluding revenue from acquired businesses, education division revenue declined 19% in the third quarter of 2011. Kaplan reported third quarter 2011 operating income of $18.0 million, down from $106.0 million in the third quarter of 2010.</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first nine months of 2011, education division revenue totaled $1,867.4 million, a 14% decline from revenue of $2,170.3 million for the same period of 2010. Excluding revenue from acquired businesses, education division revenue declined 15% for the first nine months of 2011. Kaplan reported operating income of $57.2 million for the first nine months of 2011, down from $280.5 million for the first nine months of 2010.</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light of recent revenue declines and other business challenges, Kaplan has formulated and implemented restructuring plans at its various businesses that have resulted in significant costs in 2010 and 2011, with the objective of establishing lower costs levels in future periods. Across all businesses, severance and restructuring costs totaled $5.6 million and $19.6 million in the third quarter and first nine months of 2011, respectively, compared to $7.8 million in the first nine months of 2010 (from the first half of 2010). Kaplan estimates that approximately $5.0 million in additional costs will be incurred in the fourth quarter of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the first nine months of 2011 compared to 2010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330,856</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$491,570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1,076,051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1,469,719</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80,236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188,963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151,208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503,721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422,582</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14,065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1,375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3,949</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(2,777)</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615,884</w:t>
            </w:r>
          </w:p>
        </w:tc>
        <w:tc>
          <w:tcPr>
            <w:tcW w:w="14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737,131</w:t>
            </w:r>
          </w:p>
        </w:tc>
        <w:tc>
          <w:tcPr>
            <w:tcW w:w="8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1,867,359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2,170,338</w:t>
            </w:r>
          </w:p>
        </w:tc>
        <w:tc>
          <w:tcPr>
            <w:tcW w:w="3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Operating Income (loss)</w:t>
            </w:r>
          </w:p>
        </w:tc>
        <w:tc>
          <w:tcPr>
            <w:tcW w:w="3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$ 117,011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120,890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336,232</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(4,745)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12,311</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14,904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32,376</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(3,875)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(5,076)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98"/>
              </w:rPr>
              <w:t>(5,509)</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(16,756)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(45,148)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2,397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98"/>
              </w:rPr>
              <w:t>(5,992)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(4,886)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(16,292)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(1,080)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18,047</w:t>
            </w:r>
          </w:p>
        </w:tc>
        <w:tc>
          <w:tcPr>
            <w:tcW w:w="14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105,999</w:t>
            </w:r>
          </w:p>
        </w:tc>
        <w:tc>
          <w:tcPr>
            <w:tcW w:w="8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57,164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280,498</w:t>
            </w:r>
          </w:p>
        </w:tc>
        <w:tc>
          <w:tcPr>
            <w:tcW w:w="3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0" w:type="dxa"/>
            <w:vAlign w:val="bottom"/>
            <w:gridSpan w:val="2"/>
          </w:tcPr>
          <w:p>
            <w:pPr>
              <w:jc w:val="right"/>
              <w:ind w:right="353"/>
              <w:spacing w:after="0"/>
              <w:rPr>
                <w:sz w:val="20"/>
                <w:szCs w:val="20"/>
                <w:color w:val="auto"/>
              </w:rPr>
            </w:pPr>
            <w:r>
              <w:rPr>
                <w:rFonts w:ascii="Arial" w:cs="Arial" w:eastAsia="Arial" w:hAnsi="Arial"/>
                <w:sz w:val="18"/>
                <w:szCs w:val="18"/>
                <w:color w:val="auto"/>
                <w:w w:val="99"/>
              </w:rPr>
              <w:t>28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Kaplan sold Kaplan Compliance Solutions in October 2011, Kaplan Virtual Education in July 2011 and Education Connection in April 2010. Consequently, the education division’s operating results exclude these businesses.</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first quarter of 2011, Kaplan made several changes to its operating and reporting structure. Kaplan’s domestic professional training business moved from Test Preparation to Kaplan Higher Education (KHE), and Kaplan Continuing Education moved from Kaplan Ventures to KHE. These businesses were integrated with Kaplan University to become part of the Kaplan University School of Continuing and Professional Education. The comparative division results presented above reflect these changes.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third quarter and first nine months of 2011, higher education revenue declined 33% and 27%, respectively, due to declines in average enrollments. Operating income decreased 79% and 64% for the third quarter and first nine months of 2011, respectively. These declines were due to lower revenue, increased regulatory compliance costs and $1.6 million and $7.1 million in severance costs associated with workforce reductions in the third quarter and first nine months of 2011, respectively, offset by lower advertising costs, other expense reductions associated with lower enrollments, and incentive compensation credits recorded in 2011 related to amounts previously accrued.</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KHE also implemented the Kaplan Commitment program, which provides first-time students with a risk-free trial period. Under the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generally lower demand, have resulted in 30% and 42% declines in new enrollments for the third quarter and first nine months of 2011, respectively. Management estimates that without the Kaplan Commitment, this decline would have been approximately 28% for the first nine months of 2011. Management also estimates that revenue for the first nine months of 2011 would have been approximately $47 million higher if the Kaplan Commitment had not been implemented. KHE does not recognize tuition revenue for students during the risk-free period.</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expects KHE’s operating income to continue to decline for the remainder of 2011 versus 2010 due primarily to lower student enrollment levels. In addition, KHE has incurred severance and restructuring costs totaling $7.1 million for the first nine months of 2011 and additional costs will be incurred in the fourth quarter of 2011 in order to establish lower cost levels in future periods.</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those first-time students enrolled to date under the Kaplan Commitment, the attrition rate during the risk-free period has been approximately 27%, of which about 58% is due to Kaplan’s dismissal of students from the program because of the student’s lack of academic progress during the period and the remainder due to students who have elected not to continue their studies. Given that the Kaplan Commitment program has only been in place for a short period of time, management is unable to estimate with confidence to what degree the program will cause student retention patterns to differ from historical levels. However, based on limited preliminary data, it appears that most of the historical early term attrition has been accelerated into the commitment period, having the desired effect of providing these students with a risk-free trial period and ultimately improving student outcome results for the institution. Management believes the Kaplan Commitment program is unique and reflects Kaplan’s commitment to student success.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Student enrollments at September 30, 2011, excluding the Kaplan University School of Continuing and Professional Education, were down 29%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but increased 1% compared to June 30, 2011,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Student Enrollments As of</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1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618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108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r>
      <w:tr>
        <w:trPr>
          <w:trHeight w:val="88"/>
        </w:trPr>
        <w:tc>
          <w:tcPr>
            <w:tcW w:w="61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75,751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25,225</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36,390</w:t>
            </w:r>
          </w:p>
        </w:tc>
      </w:tr>
      <w:tr>
        <w:trPr>
          <w:trHeight w:val="27"/>
        </w:trPr>
        <w:tc>
          <w:tcPr>
            <w:tcW w:w="6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78,534</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112,141</w:t>
            </w:r>
          </w:p>
        </w:tc>
      </w:tr>
      <w:tr>
        <w:trPr>
          <w:trHeight w:val="20"/>
        </w:trPr>
        <w:tc>
          <w:tcPr>
            <w:tcW w:w="6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Kaplan University enrollments included 6,036, 5,837 and 7,999 campus-based students as of September 30, 2011, June 30, 2011, and September 30, 2010, respectively.</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Kaplan University and Kaplan Higher Education Campuses enrollments at September 30, 2011, and September 30, 2010, by degree and certificate programs,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As of September 30,</w:t>
            </w:r>
          </w:p>
        </w:tc>
      </w:tr>
      <w:tr>
        <w:trPr>
          <w:trHeight w:val="142"/>
        </w:trPr>
        <w:tc>
          <w:tcPr>
            <w:tcW w:w="69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Associate’s</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Master’s</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7"/>
        </w:trPr>
        <w:tc>
          <w:tcPr>
            <w:tcW w:w="6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100.0 %</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Refer to KHE Regulatory Matters below for additional information.</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Test preparation includes Kaplan’s standardized test preparation and tutoring offerings and other businesses. In the first quarter of 2010, the Company discontinued certain offerings of the K12 business; $7.8 million in severance and other closure costs were recorded in the first nine months of 2010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nine months of 2011, implementation of the plan continued and $3.5 million and $12.0 million in restructuring and severance costs were incurred in the third quarter and first nine months of 2011, respectively. This plan is expected to be largely completed by the end of 2011, and the Company estimates that approximately $1.0 million in additional costs will be incurred.</w:t>
      </w:r>
    </w:p>
    <w:p>
      <w:pPr>
        <w:spacing w:after="0" w:line="1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Test preparation revenue declined 1% in the first nine months of 2011. Higher enrollment, particularly in the Pre-College and Health programs, was offset by reduced prices for many programs related to increased competition and a shift in demand to lower priced online test preparation offerings. Test preparation operating results were down in the first nine months of 2011 due to reduced prices at the traditional test preparation programs, higher spending to expand online offerings and innovate various programs, and increased restructuring costs.</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and higher education in Australia. In June 2011, Kaplan acquired Structuralia, a provider of e-learning for the engineering and infrastructure sector in Spain. Kaplan International revenue increased 25% and 19% in the third quarter and first nine months of 2011, respectively. Excluding revenue from acquired businesses, Kaplan International revenue increased 13% in the third quarter and first nine months of 2011 due to favorable exchange rates and enrollment growth in the pathways and English-language programs. Kaplan International operating income declined in the first nine months of 2011 due to up-front spending for admission and occupancy at its Asian and United Kingdom businesses to support expanding operations, as well as overall losses from newly acquired businesses. In addition, Kaplan International operating income decreased due to enrollment declines at its UK professional training schools arising from new pending student visa restrictions.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Kaplan Ventures is made up of several businesses in various stages of development that are managed separately from the other education businesses. Revenue at Kaplan Ventures increased 27% and 29% for the third quarter and first nine months of 2011, respectively. Kaplan Ventures reported an operating loss of $3.9 million and $11.2 million in the third quarter and first nine months of 2011, compared to an operating loss of $5.1 million and $14.0 million in the third quarter and first nine months of 2010, respectively.</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Corporate represents unallocated expenses of Kaplan, Inc.’s corporate office and other minor shared activities. Kaplan corporate costs have declined in the first nine months of 2011 due to lower incentive compensation expense and other cost reductions.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Television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Cable television division revenue declined slightly in the third quarter of 2011 to $187.9 million, from $188.7 million for the third quarter of 2010; for the first nine months of 2011, revenue increased slightly to $569.4 million, from $568.6 million in the same period of 2010. The revenue increase for the first nine months of 2011 is due to continued growth of the division’s Internet and telephone service revenues, offset by an increase in promotional discounts and a decline in basic video subscribers.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Cable television division operating income decreased 9% to $36.8 million, from $40.3 million in the third quarter of 2010; cable division operating income for the first nine months of 2011 decreased 9% to $114.9 million, from $126.6 million for the first nine months of 2010. The division’s operating income declined primarily due to increased programming, technical and sales costs.</w:t>
      </w:r>
    </w:p>
    <w:p>
      <w:pPr>
        <w:spacing w:after="0" w:line="14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At September 30, 2011, Primary Service Units (PSUs) were up 4% from the prior year due to growth in high-speed data and telephony subscribers, offset by a decrease in basic subscribers. PSUs include about 6,200 subscribers who receive free basic cable service, primarily local governments, schools and other organizations as required by various franchise agreements. A summary of PSUs is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3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80" w:type="dxa"/>
            <w:vAlign w:val="bottom"/>
          </w:tcPr>
          <w:p>
            <w:pPr>
              <w:spacing w:after="0"/>
              <w:rPr>
                <w:sz w:val="7"/>
                <w:szCs w:val="7"/>
                <w:color w:val="auto"/>
              </w:rPr>
            </w:pPr>
          </w:p>
        </w:tc>
        <w:tc>
          <w:tcPr>
            <w:tcW w:w="37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Basic video</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627,659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High-speed data</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448,143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Telephony</w:t>
            </w:r>
          </w:p>
        </w:tc>
        <w:tc>
          <w:tcPr>
            <w:tcW w:w="37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176,527</w:t>
            </w:r>
          </w:p>
        </w:tc>
        <w:tc>
          <w:tcPr>
            <w:tcW w:w="4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Total</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1,252,329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1,205,301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780" w:type="dxa"/>
            <w:vAlign w:val="bottom"/>
            <w:vMerge w:val="restart"/>
          </w:tcPr>
          <w:p>
            <w:pPr>
              <w:jc w:val="right"/>
              <w:ind w:right="1979"/>
              <w:spacing w:after="0"/>
              <w:rPr>
                <w:sz w:val="20"/>
                <w:szCs w:val="20"/>
                <w:color w:val="auto"/>
              </w:rPr>
            </w:pPr>
            <w:r>
              <w:rPr>
                <w:rFonts w:ascii="Arial" w:cs="Arial" w:eastAsia="Arial" w:hAnsi="Arial"/>
                <w:sz w:val="18"/>
                <w:szCs w:val="18"/>
                <w:color w:val="auto"/>
              </w:rPr>
              <w:t>30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2011 and 2010,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0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Premise Equipment</w:t>
            </w:r>
          </w:p>
        </w:tc>
        <w:tc>
          <w:tcPr>
            <w:tcW w:w="2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$36,085</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37,848</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Line Extensions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4,220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5,006</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6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Support Capital</w:t>
            </w:r>
          </w:p>
        </w:tc>
        <w:tc>
          <w:tcPr>
            <w:tcW w:w="2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18,625</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60" w:type="dxa"/>
            <w:vAlign w:val="bottom"/>
          </w:tcPr>
          <w:p>
            <w:pPr>
              <w:spacing w:after="0"/>
              <w:rPr>
                <w:sz w:val="19"/>
                <w:szCs w:val="19"/>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94,045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77,920</w:t>
            </w:r>
          </w:p>
        </w:tc>
        <w:tc>
          <w:tcPr>
            <w:tcW w:w="6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Newspaper Publishing</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Newspaper publishing division revenue totaled $149.3 million for the third quarter of 2011, down 9% from revenue of $163.4 million for the third quarter of 2010; division revenue declined 5% to $467.0 million for the first nine months of 2011, from $491.9 million for the first nine months of 2010. Print advertising revenue at The Washington Post in the third quarter of 2011 declined 20% to $57.6 million, from $72.0 million in the third quarter of 2010, and declined 13% to $187.4 million for the first nine months of 2011, from $215.9 million for the first nine months of 2010. The decline is largely due to reductions in classified, zoned and general advertising. Revenue generated by the Company’s newspaper online publishing activities, primarily washingtonpost.com and Slate, decreased 14% to $23.3 million for the third quarter of 2011, versus $27.0 million for the third quarter of 2010; newspaper online revenues declined 7% to $72.3 million for the first nine months of 2011, versus $77.6 million for the first nine months of 2010. Display online advertising revenue declined 17% and 9% for the third quarter and first nine months of 2011, respectively. Online classified advertising revenue decreased 5% for the third quarter of 2011, but was flat for the first nine months of 2011. The revenue declines from print advertising and newspaper online publishing activities were partially offset by increased revenue from new lines of business in the first nine months of 2011.</w:t>
      </w:r>
    </w:p>
    <w:p>
      <w:pPr>
        <w:spacing w:after="0" w:line="12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first nine months of 2011, Post daily and Sunday circulation declined 5.4% and 4.4%, respectively, compared to the same periods of the prior year. For the nine months ended October 2, 2011, average daily circulation at The Washington Post totaled 518,700 and average Sunday circulation totaled 736,800.</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newspaper publishing division reported an operating loss of $9.9 million in the third quarter of 2011, compared to an operating loss of $1.7 million in the third quarter of 2010. For the first nine months of 2011, the newspaper publishing division reported an operating loss of $25.6 million, compared to an operating loss of $29.8 million for the first nine months of 2010. As previously disclosed, The Washington Post recorded a $20.4 million charge in 2010 in connection with its withdrawal from the CWA-ITU Negotiated Pension Plan; $17.7 million of this charge was recorded in the second quarter of 2010, and $2.7 million was recorded in the third quarter of 2010. Excluding this charge and a $3.1 million loss recorded on an office lease in the first quarter of 2010, operating results declined in the first nine months of 2011 due to the revenue reductions discussed above, offset by a small decrease in overall costs. Newsprint expense was down 15% and 6% for the third quarter and first nine months of 2011, respectively, due to a decline in newsprint consumption.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Revenue for the television broadcasting division declined 11% in the third quarter of 2011 to $73.8 million, from $83.2 million in 2010; operating income for the third quarter of 2011 also declined 5% to $24.1 million, from $25.3 million in 2010. For the first nine months of 2011, revenue declined 3% to $231.0 million, from $239.3 million in 2010; operating income for the first nine months of 2011 increased slightly to $76.2 million, from $76.0 million in 2010.</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decline in revenue for the third quarter and first nine months of 2011 is due primarily to the absence of $4.7 million in incremental winter Olympics-related advertising in the first quarter of 2010 and a $9.6 million and $13.9 million decrease in political advertising revenue for the third quarter and first nine months of 2011, respectively. For the third quarter of 2011, operating results declined as a result of lower revenue, offset by expense reductions from various cost control initiatives. For the first nine months of 2011, operating results improved slightly due to expense reductions from various cost control initiatives, offset by lower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includes the operating results of Avenue100 Media Solutions and other small businesses.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first nine months of 2011, revenues declined substantially due to volume declines as a result of changes implemented at Avenue100 Media Solutions to improve lead quality. In the third quarter of 2011, an $11.9 goodwill impairment charge was recorded at Avenue100 Media Solutions, the Company’s digital marketing business that sources leads for academic institutions and recruiting organizations. In the third quarter of 2010, a $27.5 million goodwill and other intangible assets impairment charge was recorded at Avenue100 Media 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equity in losses of affiliates for the third quarter of 2011 was $1.5 million, compared to earnings of $2.1 million for the third quarter of 2010. For the first nine months of 2011, the Company’s equity in earnings of affiliates totaled $5.4 million, compared with losses of $3.9 million for the same period of 2010. The decline in the third quarter of 2011 is due to a $9.2 million impairment charge recorded on the Company’s interest in Bowater Mersey Paper Company, offset by improved results at the Company’s Classified Ventures affiliate and other affiliates. The results for the first nine months of 2011 reflect improved earnings at the Company’s Classified Ventures affiliate and other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recorded other non-operating expense, net, of $29.7 million for the third quarter of 2011, compared to other non-operating income, net, of $12.5 million for the third quarter of 2010. The third quarter 2011 non-operating expense, net, included a $23.1 million write-down of a marketable equity security (Corinthian Colleges, Inc.) and $6.7 million in unrealized foreign currency losses and other items. The third quarter 2010 non-operating income, net, included $11.9 million in unrealized foreign currency gains.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recorded non-operating expense, net, of $56.3 million for the first nine months of 2011, compared to other non-operating income, net, of $5.4 million for the same period of the prior year. The 2011 non-operating expense, net, included a $53.8 million write-down of a marketable equity security (Corinthian Colleges, Inc.), and $3.7 million in unrealized foreign currency losses and other items. The 2010 non-operating expense, net, included $4.8 million in unrealized foreign currency gains.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(expense) income for the thirty-nine weeks ended October 2, 2011 and October 3, 2010, is as follows (in millions):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Impairment write-down on a marketable equity security</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2"/>
              </w:rPr>
              <w:t>$ (53,793)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Foreign currency (losses) gains, net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4,824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cost method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(3,379)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(56,273)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5,358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incurred net interest expense of $7.7 million and $21.6 million for the third quarter and first nine months of 2011, respectively, compared to $7.0 million and $21.3 million for the same periods of 2010. At October 2, 2011, the Company had $453.2 million in borrowings outstanding, at an average interest rate of 7.0%.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income from continuing operations for the first nine months of 2011 was 47.1%. The higher effective rate in 2011 is primarily due to</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$4.5 million from nondeductible goodwill in connection with an impairment charge and $5.2 million in income tax expense related to valuation allowances, both recorded in the third quarter of 2011.</w:t>
      </w:r>
    </w:p>
    <w:p>
      <w:pPr>
        <w:spacing w:after="0" w:line="13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effective tax rate for income from continuing operations for the first nine months of 2010 was 38.2%. The effective rate in 2010 was adversely impacted by $9.1 million from nondeductible goodwill in connection with an impairment charge recorded in the third quarter of 2010.</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30, 2010, the Company completed the sale of Newsweek. In addition, Kaplan sold Kaplan Compliance Solutions in October 2011, Kaplan Virtual Education in July 2011 and Education Connection in April 2010. Consequently, the Company’s income from continuing operations excludes these businesses, which have been reclassified to discontinued operations, net of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calculation of diluted earnings per share for the third quarter and first nine months of 2011 was based on 7,801,639 and 7,978,520 weighted average shares outstanding, respectively, compared to 8,904,453 and 9,112,564, respectively, for the third quarter and first nine months of 2010. In the first nine months of 2011, the Company repurchased 442,325 shares of its Class B common stock at a cost of $179.5 million. On September 8, 2011, the Company’s Board of Directors authorized the Company to acquire up to 750,000 shares of its Class B common stock. The Company did not announce a ceiling price or a time limit for the purchases. The authorization included 43,573 shares that remained under the previous authorization. At October 2, 2011, there were 7,793,806 shares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KHE Regulatory Matters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October 2010, the U.S. Department of Education released rules that address program integrity issues for postsecondary education institutions that participate in Title IV programs. The rules include, among other items, state approval processes, Department of Education program approval processes, revised standards governing the payment of incentive compensation to admissions and financial aid advisors, standards around misrepresentation and the definition of “credit hour.” In March 2011, the Department of Education issued “Dear Colleague Letters” to provide guidance on these regulations, including incentive compensation related to admissions. The Company has taken steps to fully comply with these rules. Among the actions taken, the Company has revised its compensation plans for admissions personnel and completely eliminated enrollment results as a component in the determination of compensation. The Company believes this change in our approach to recruiting adversely impacts our enrollment rates and operating costs, particularly during the transition period.</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2010, the Department of Education released a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included provisions whereby students at a program level must demonstrate certain levels of student loan repayment and/or a program’s graduates must achieve certain debt-to-income ratios for the institution’s program to remain eligible for participation in the Title IV program. In June 2011, the Department of Education issued a final rule that can be found at http://ifap.ed.gov/GainfulEmploymentInfo/index.html. The final rule has a similar framework to the proposed rule that programs must meet to remain eligible to participate in the Title IV program; however, the final rule includes substantial changes to the metrics in the proposed rule including increasing the loan repayment period for some programs and changing the debt-to-income criteria. The final rule also made changes to the treatment of certain types of consolidated loans.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a program fails all three of the gainful employment metrics in a given year, the Department requires the institution to disclose the amount by which the program under-performed the metrics and the institution’s plan for program improvement. Also, the institution must establish a three-day waiting period before students can enroll. Should a program fail to achieve the metrics twice within three years, the institution must disclose to students that they may find their debts unaffordable; that the program is at risk of losing eligibility to receive federal financial aid; and that transfer options exist. Should a program fail three times within a four year period, the U.S. Department of Education would terminate the program’s eligibility for federal student aid, and the institution would not be able to reestablish the program’s eligibility for at least three years, though the program could continue to operate without student aid. The final rule is scheduled to go into effect on July 1, 2012, however, the first final debt measures will not be released until 2013 and a program cannot lose eligibility until 2015.</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Based on currently available information, the Company does not expect that the final regulation will adversely impact most of Kaplan’s current program offerings. However, some of the data needed to compute program eligibility under this regulation, including graduate incomes, are not readily accessible to the institutions, but are compiled by the Department of Education. In addition, the continuing eligibility of our educational programs for Title IV funding may be affected by factors beyond our control, such as changes in the actual or deemed income level of our graduates, changes in student borrowing levels, increases in interest rates, changes in the federal poverty income level relevant for calculating the discretionary income test, changes in the percentage of our former students who are current in repayment of their student loans, and other factors.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Under regulations referred to as the 90/10 rule, a Kaplan Higher Education OPEID unit would lose its eligibility to participate in the Title IV 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Based on currently available information, management does not believe that any of the Kaplan OPEID units will have a 90/10 ratio over 90.0% in 2011. However, for 2012, absent changes and if current trends continue, management estimates that 18 OPEID units of Kaplan Higher Education Campuses (KHEC), representing approximately 20% of KHE revenue, may have a 90/10 ratio over 90.0%. Kaplan Higher Education is taking and considering various measures to reduce the percentage of its receipts attributable to Title IV funds, including emphasizing direct-pay and employer-paid education programs; encouraging students to carefully evaluate the amount of Title IV borrowing; work study programs; program eliminations; cash matching programs; alternative lending programs and other measures. There can be no guarantee, however, that these measures will be adequate to prevent the 90/10 rule calculations from exceeding 90% in the future, which could ultimately materially affect KHE operating results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the first nine months of 2011, the Company acquired four businesses totaling $132.0 million, including assumed debt of $5.5 million and other assumed liabilities. The assets and liabilities of the companies acquired have been recorded at their estimated fair values at the date of acquisition; most of the purchase price for these acquisitions has been allocated to goodwill, other intangible assets, and property, plant and equipment on a preliminary basis.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2011, Kaplan sold Kaplan Compliance Solutions, which was part of Kaplan Higher Education. In the third quarter of 2011, Kaplan sold Kaplan Virtual Education, which was part of Kaplan Ventures. The Company did not make any acquisitions during the third quarter of 2011. In the second quarter of 2011, Kaplan acquired three businesses in its Kaplan International division.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 In the first quarter of 2011, Kaplan acquired one business in its Kaplan Ventures division.</w:t>
      </w:r>
    </w:p>
    <w:p>
      <w:pPr>
        <w:spacing w:after="0" w:line="144"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The Company did not make any acquisitions during the third quarter of 2010. On September 30, 2010, the Company completed the sale of Newsweek. In the second quarter of 2010, the Company made two small acquisitions in its Cable division and in Other businesses and Kaplan completed the sale of Education Connection, which was part of the Kaplan Ventures division. In the first quarter of 2010, Kaplan made one small acquisition in its Kaplan Ventures division.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the first nine months of 2011, the Company’s capital expenditures totaled $145.6 million. The Company estimates that its capital expenditures will be in the range of $190 million to $215 million in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9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the first nine months of 2011, the Company repurchased 442,325 shares of its Class B common stock at a cost of $179.5 million. On September 8, 2011, the Company’s Board of Directors authorized the Company to acquire up to 750,000 shares of its Class B common stock. The Company did not announce a ceiling price or a time limit for the purchases. The authorization included 43,573 shares that remained under the previous authorization.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Company’s borrowings increased by $53.5 million, to $453.2 million at October 2, 2011, as compared to borrowings of $399.7 million at January 2, 2011</w:t>
      </w:r>
      <w:r>
        <w:rPr>
          <w:rFonts w:ascii="Arial" w:cs="Arial" w:eastAsia="Arial" w:hAnsi="Arial"/>
          <w:sz w:val="18"/>
          <w:szCs w:val="18"/>
          <w:i w:val="1"/>
          <w:iCs w:val="1"/>
          <w:color w:val="auto"/>
        </w:rPr>
        <w:t>.</w:t>
      </w:r>
      <w:r>
        <w:rPr>
          <w:rFonts w:ascii="Arial" w:cs="Arial" w:eastAsia="Arial" w:hAnsi="Arial"/>
          <w:sz w:val="18"/>
          <w:szCs w:val="18"/>
          <w:color w:val="auto"/>
        </w:rPr>
        <w:t xml:space="preserve"> At October 2, 2011, the Company has $311.2 million in cash and cash equivalents, compared to $437.7 million at January 2, 2011. The Company had money market investments of $132.5 million and $308.9 million that are classified as cash and cash equivalents in the Company’s condensed consolidated Balance Sheets as of October 2, 2011 and January 2, 2011,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Company’s total debt outstanding of $453.2 million at October 2, 2011 included $397.0 million of 7.25% unsecured notes due February 1, 2019, $48.7 million of AUS $50M borrowing and $7.5 million in other debt.</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June 17, 2011, The Washington Post Company (the “Company”) terminated its U.S. $500,000,000 five year revolving credit agreement, dated as of August 8, 2006, among the Company, the lenders party thereto and Citibank, N.A. (the “2006 Credit Agreement”), in connection with the entrance into a new revolving credit facility. No borrowings were outstanding under the 2006 Credit Agreement at the time of termination. On June 17, 2011, the Company entered into a credit agreement (the “Credit Agreement”) providing for a new U.S. $450 million, AUS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7, 2011, the Company borrowed AUS $50 million under its revolving credit facility. On the same date, the Company entered into interest rate swap agreements with a total notional value of AUS $50.0 million and a maturity date of March 7, 2015. These interest rate swap agreements will pay the Company variable interest on the AUS $50 million notional amount at the three-month bank bill rate, and the Company will pay the counterparties a fixed rate of 4.5275%. These interest rate swap agreements were entered into to convert the variable rate AUS dollar borrowing under the revolving credit facility into a fixed 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borrow funds under its commercial paper program in the first nine months of 2011.</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August 2010, Standard &amp; Poor’s revised the Company’s long-term outlook to negative from stable. On May 19, 2011, Standard and Poor’s placed the Company’s long-term corporate credit and senior unsecured ratings and short-term commercial paper rating on CreditWatch with negative implications. On August 1, 2011, Standard and Poor’s lowered the Company’s long-term rating to “A-” from “A”, lowered the commercial paper rating to “A-2” from “A-1” and kept the ratings outlook at negative. Moody’s lowered the Company’s long-term rating in October 2010 to “A2” from “A1”, confirmed the “Prime-1” commercial paper rating and changed the ratings outlook to negative. On September 27, 2011, Moody’s placed the Company’s long-term debt rating and commercial paper rating on review for possible downgrade. The Company’s current credit ratings are as follows: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Standard</w:t>
            </w:r>
          </w:p>
        </w:tc>
      </w:tr>
      <w:tr>
        <w:trPr>
          <w:trHeight w:val="161"/>
        </w:trPr>
        <w:tc>
          <w:tcPr>
            <w:tcW w:w="6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1"/>
              </w:rPr>
              <w:t>Moody’s</w:t>
            </w:r>
          </w:p>
        </w:tc>
        <w:tc>
          <w:tcPr>
            <w:tcW w:w="5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&amp; Poor’s</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A2</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Short-term</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Prime-1</w:t>
            </w:r>
          </w:p>
        </w:tc>
        <w:tc>
          <w:tcPr>
            <w:tcW w:w="5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2011 and 2010, the Company had average borrowings outstanding of approximately $417.6 million and $399.5 million, respectively, at average annual interest rates of approximately 7.2%. During the third quarter of 2011 and 2010, the Company incurred net interest expense of $7.7 million and $7.0 million, respectively.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nine months of 2011 and 2010, the Company had average borrowings outstanding of approximately $406.9 million and $399.4 million, respectively, at average annual interest rates of approximately 7.2%. During the first nine months of 2011 and 2010, the Company incurred net interest expense of $21.6 million and $21.3 million, respectively.</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October 2, 2011 and January 2, 2011, the Company had working capital of $183.9 million and $353.6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commercial paper. In management’s opinion, the Company will have ample liquidity to meet its various cash needs throughout 2011.</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the third quarter of 2011, the Company executed lease agreements in the United Kingdom with a total commitment of approximately $67 million. The leases will commence in 2012 and 2013 and end in 2027. There were no other significant changes to the Company’s contractual obligations or other commercial commitments from those disclosed in the Company’s Annual Report on Form 10-K for the year ended January 2,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2010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October 2, 2011.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October 2, 2011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October 2, 2011, the Company purchased shares of its Class B Common Stock as set forth in the following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5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5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w:t>
            </w:r>
          </w:p>
        </w:tc>
        <w:tc>
          <w:tcPr>
            <w:tcW w:w="5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40" w:type="dxa"/>
            <w:vAlign w:val="bottom"/>
            <w:vMerge w:val="restart"/>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of Shares</w:t>
            </w:r>
          </w:p>
        </w:tc>
        <w:tc>
          <w:tcPr>
            <w:tcW w:w="28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Paid per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Purchased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Share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Plan*</w:t>
            </w:r>
          </w:p>
        </w:tc>
        <w:tc>
          <w:tcPr>
            <w:tcW w:w="560" w:type="dxa"/>
            <w:vAlign w:val="bottom"/>
          </w:tcPr>
          <w:p>
            <w:pPr>
              <w:spacing w:after="0"/>
              <w:rPr>
                <w:sz w:val="14"/>
                <w:szCs w:val="14"/>
                <w:color w:val="auto"/>
              </w:rPr>
            </w:pPr>
          </w:p>
        </w:tc>
        <w:tc>
          <w:tcPr>
            <w:tcW w:w="76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1"/>
              </w:rPr>
              <w:t>Plan*</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 4 - Aug 7, 2011</w:t>
            </w:r>
          </w:p>
        </w:tc>
        <w:tc>
          <w:tcPr>
            <w:tcW w:w="8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5"/>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127,204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Aug. 8 - Sept. 4, 2011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83,631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358.71</w:t>
            </w:r>
          </w:p>
        </w:tc>
        <w:tc>
          <w:tcPr>
            <w:tcW w:w="820" w:type="dxa"/>
            <w:vAlign w:val="bottom"/>
          </w:tcPr>
          <w:p>
            <w:pPr>
              <w:jc w:val="right"/>
              <w:spacing w:after="0"/>
              <w:rPr>
                <w:sz w:val="20"/>
                <w:szCs w:val="20"/>
                <w:color w:val="auto"/>
              </w:rPr>
            </w:pPr>
            <w:r>
              <w:rPr>
                <w:rFonts w:ascii="Arial" w:cs="Arial" w:eastAsia="Arial" w:hAnsi="Arial"/>
                <w:sz w:val="18"/>
                <w:szCs w:val="18"/>
                <w:color w:val="auto"/>
              </w:rPr>
              <w:t>83,631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43,573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 5 - Oct. 2,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332.59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53,903</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696,097</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544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137,534</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348.47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137,534</w:t>
            </w:r>
          </w:p>
        </w:tc>
        <w:tc>
          <w:tcPr>
            <w:tcW w:w="5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20" w:hanging="212"/>
        <w:spacing w:after="0" w:line="25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8, 2011, the Company’s Board of Directors authorized the Company to purchase, on the open market or otherwise, up to 750,000 shares of its Class B Common Stock. There is no expiration date for that authorization. All purchases made during the quarter ended October 2, 2011 were open market transactions.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58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8"/>
              </w:rPr>
              <w:t>By-Laws of the Company as amended and restated through November 8, 2007 (incorporated by reference to Exhibit 3.1 to the Company’s Current</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Report on Form 8-K dated November 14, 2007).</w:t>
            </w:r>
          </w:p>
        </w:tc>
      </w:tr>
      <w:tr>
        <w:trPr>
          <w:trHeight w:val="318"/>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8-K dated January 30, 2009).</w:t>
            </w:r>
          </w:p>
        </w:tc>
      </w:tr>
      <w:tr>
        <w:trPr>
          <w:trHeight w:val="318"/>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8"/>
              </w:rPr>
              <w:t>Four Year Credit Agreement, dated as of June 17, 2011, among the Company, JPMorgan Chase Bank, N.A., J.P. Morgan Australia Limited, Wells</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5"/>
              </w:rPr>
              <w:t>Fargo Bank, N.A., The Royal Bank of Scotland PLC, HSBC Bank USA, National Association, The Bank of New York Mellon, PNC Bank,</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0"/>
              </w:rPr>
              <w:t>National Association, Bank of America, N.A., Citibank, N.A. and The Northern Trust Company (incorporated by reference to Exhibit 10.1 to the</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Company’s Current Report on Form 8-K dated June 17, 2011).</w:t>
            </w:r>
          </w:p>
        </w:tc>
      </w:tr>
      <w:tr>
        <w:trPr>
          <w:trHeight w:val="324"/>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20" w:type="dxa"/>
            <w:vAlign w:val="bottom"/>
          </w:tcPr>
          <w:p>
            <w:pPr>
              <w:jc w:val="right"/>
              <w:ind w:right="36"/>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520" w:type="dxa"/>
            <w:vAlign w:val="bottom"/>
          </w:tcPr>
          <w:p>
            <w:pPr>
              <w:jc w:val="right"/>
              <w:ind w:right="156"/>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tc>
      </w:tr>
    </w:tbl>
    <w:p>
      <w:pPr>
        <w:spacing w:after="0" w:line="102" w:lineRule="exact"/>
        <w:rPr>
          <w:sz w:val="20"/>
          <w:szCs w:val="20"/>
          <w:color w:val="auto"/>
        </w:rPr>
      </w:pPr>
    </w:p>
    <w:p>
      <w:pPr>
        <w:ind w:left="1080" w:right="180" w:hanging="1072"/>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financial statements from The Washington Post Company Quarterly Report on Form 10-Q for the quarter ended October 2, 2011, filed with the Securities and Exchange Commission on November 9, 2011, formatted in XBRL (eXtensible Business Reporting Language): (i) Condensed Consolidated Statements of Operations, (ii) Condensed Consolidated Statements of Comprehensive Income (Loss), (iii) Condensed Consolidated Balance Sheets, (iv) Condensed Consolidated Statements of Cash Flows, and (v) Notes to Condensed Consolidated Financial Statements.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600" w:val="left"/>
          <w:tab w:leader="none" w:pos="794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Donald E. Graham,</w:t>
      </w:r>
    </w:p>
    <w:p>
      <w:pPr>
        <w:jc w:val="center"/>
        <w:ind w:left="584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584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Hal S. Jones,</w:t>
      </w:r>
    </w:p>
    <w:p>
      <w:pPr>
        <w:jc w:val="center"/>
        <w:ind w:left="584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584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240" w:top="459" w:right="7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2011</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6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October 2, 2011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2019-12-10T04:04:20Z</dcterms:created>
  <dcterms:modified xsi:type="dcterms:W3CDTF">2019-12-10T04:04:20Z</dcterms:modified>
</cp:coreProperties>
</file>