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271780</wp:posOffset>
            </wp:positionV>
            <wp:extent cx="4948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338455</wp:posOffset>
            </wp:positionV>
            <wp:extent cx="4948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August 3, 2016</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tbl>
      <w:tblPr>
        <w:tblLayout w:type="fixed"/>
        <w:tblInd w:w="1020" w:type="dxa"/>
        <w:tblCellMar>
          <w:top w:w="0" w:type="dxa"/>
          <w:left w:w="0" w:type="dxa"/>
          <w:bottom w:w="0" w:type="dxa"/>
          <w:right w:w="0" w:type="dxa"/>
        </w:tblCellMar>
      </w:tblPr>
      <w:tr>
        <w:trPr>
          <w:trHeight w:val="239"/>
        </w:trPr>
        <w:tc>
          <w:tcPr>
            <w:tcW w:w="4200" w:type="dxa"/>
            <w:vAlign w:val="bottom"/>
          </w:tcPr>
          <w:p>
            <w:pPr>
              <w:jc w:val="center"/>
              <w:ind w:right="2141"/>
              <w:spacing w:after="0"/>
              <w:rPr>
                <w:sz w:val="20"/>
                <w:szCs w:val="20"/>
                <w:color w:val="auto"/>
              </w:rPr>
            </w:pPr>
            <w:r>
              <w:rPr>
                <w:rFonts w:ascii="Arial" w:cs="Arial" w:eastAsia="Arial" w:hAnsi="Arial"/>
                <w:sz w:val="18"/>
                <w:szCs w:val="18"/>
                <w:b w:val="1"/>
                <w:bCs w:val="1"/>
                <w:color w:val="auto"/>
                <w:w w:val="98"/>
              </w:rPr>
              <w:t>Delaware</w:t>
            </w:r>
          </w:p>
        </w:tc>
        <w:tc>
          <w:tcPr>
            <w:tcW w:w="2340" w:type="dxa"/>
            <w:vAlign w:val="bottom"/>
          </w:tcPr>
          <w:p>
            <w:pPr>
              <w:jc w:val="center"/>
              <w:ind w:right="1142"/>
              <w:spacing w:after="0"/>
              <w:rPr>
                <w:sz w:val="20"/>
                <w:szCs w:val="20"/>
                <w:color w:val="auto"/>
              </w:rPr>
            </w:pPr>
            <w:r>
              <w:rPr>
                <w:rFonts w:ascii="Arial" w:cs="Arial" w:eastAsia="Arial" w:hAnsi="Arial"/>
                <w:sz w:val="18"/>
                <w:szCs w:val="18"/>
                <w:b w:val="1"/>
                <w:bCs w:val="1"/>
                <w:color w:val="auto"/>
                <w:w w:val="99"/>
              </w:rPr>
              <w:t>1-6714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(State or other jurisdiction of</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26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200" w:type="dxa"/>
            <w:vAlign w:val="bottom"/>
          </w:tcPr>
          <w:p>
            <w:pPr>
              <w:jc w:val="center"/>
              <w:ind w:right="2141"/>
              <w:spacing w:after="0"/>
              <w:rPr>
                <w:sz w:val="20"/>
                <w:szCs w:val="20"/>
                <w:color w:val="auto"/>
              </w:rPr>
            </w:pPr>
            <w:r>
              <w:rPr>
                <w:rFonts w:ascii="Arial" w:cs="Arial" w:eastAsia="Arial" w:hAnsi="Arial"/>
                <w:sz w:val="14"/>
                <w:szCs w:val="14"/>
                <w:b w:val="1"/>
                <w:bCs w:val="1"/>
                <w:color w:val="auto"/>
              </w:rPr>
              <w:t>incorporation)</w:t>
            </w:r>
          </w:p>
        </w:tc>
        <w:tc>
          <w:tcPr>
            <w:tcW w:w="2340" w:type="dxa"/>
            <w:vAlign w:val="bottom"/>
          </w:tcPr>
          <w:p>
            <w:pPr>
              <w:jc w:val="center"/>
              <w:ind w:right="1142"/>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Identification No.)</w:t>
            </w:r>
          </w:p>
        </w:tc>
      </w:tr>
      <w:tr>
        <w:trPr>
          <w:trHeight w:val="552"/>
        </w:trPr>
        <w:tc>
          <w:tcPr>
            <w:tcW w:w="6540" w:type="dxa"/>
            <w:vAlign w:val="bottom"/>
            <w:gridSpan w:val="2"/>
          </w:tcPr>
          <w:p>
            <w:pPr>
              <w:jc w:val="center"/>
              <w:ind w:right="942"/>
              <w:spacing w:after="0"/>
              <w:rPr>
                <w:sz w:val="20"/>
                <w:szCs w:val="20"/>
                <w:color w:val="auto"/>
              </w:rPr>
            </w:pPr>
            <w:r>
              <w:rPr>
                <w:rFonts w:ascii="Arial" w:cs="Arial" w:eastAsia="Arial" w:hAnsi="Arial"/>
                <w:sz w:val="18"/>
                <w:szCs w:val="18"/>
                <w:b w:val="1"/>
                <w:bCs w:val="1"/>
                <w:color w:val="auto"/>
                <w:w w:val="99"/>
              </w:rPr>
              <w:t>1300 North 17th Street, Arlington, Virginia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22209</w:t>
            </w:r>
          </w:p>
        </w:tc>
      </w:tr>
      <w:tr>
        <w:trPr>
          <w:trHeight w:val="218"/>
        </w:trPr>
        <w:tc>
          <w:tcPr>
            <w:tcW w:w="4200" w:type="dxa"/>
            <w:vAlign w:val="bottom"/>
          </w:tcPr>
          <w:p>
            <w:pPr>
              <w:jc w:val="center"/>
              <w:ind w:left="1241"/>
              <w:spacing w:after="0"/>
              <w:rPr>
                <w:sz w:val="20"/>
                <w:szCs w:val="20"/>
                <w:color w:val="auto"/>
              </w:rPr>
            </w:pPr>
            <w:r>
              <w:rPr>
                <w:rFonts w:ascii="Arial" w:cs="Arial" w:eastAsia="Arial" w:hAnsi="Arial"/>
                <w:sz w:val="14"/>
                <w:szCs w:val="14"/>
                <w:b w:val="1"/>
                <w:bCs w:val="1"/>
                <w:color w:val="auto"/>
              </w:rPr>
              <w:t>(Address of principal executive offices)</w:t>
            </w:r>
          </w:p>
        </w:tc>
        <w:tc>
          <w:tcPr>
            <w:tcW w:w="2340" w:type="dxa"/>
            <w:vAlign w:val="bottom"/>
          </w:tcPr>
          <w:p>
            <w:pPr>
              <w:spacing w:after="0"/>
              <w:rPr>
                <w:sz w:val="18"/>
                <w:szCs w:val="18"/>
                <w:color w:val="auto"/>
              </w:rPr>
            </w:pPr>
          </w:p>
        </w:tc>
        <w:tc>
          <w:tcPr>
            <w:tcW w:w="2520" w:type="dxa"/>
            <w:vAlign w:val="bottom"/>
          </w:tcPr>
          <w:p>
            <w:pPr>
              <w:jc w:val="center"/>
              <w:ind w:left="1241"/>
              <w:spacing w:after="0"/>
              <w:rPr>
                <w:sz w:val="20"/>
                <w:szCs w:val="20"/>
                <w:color w:val="auto"/>
              </w:rPr>
            </w:pPr>
            <w:r>
              <w:rPr>
                <w:rFonts w:ascii="Arial" w:cs="Arial" w:eastAsia="Arial" w:hAnsi="Arial"/>
                <w:sz w:val="14"/>
                <w:szCs w:val="14"/>
                <w:b w:val="1"/>
                <w:bCs w:val="1"/>
                <w:color w:val="auto"/>
              </w:rPr>
              <w:t>(Zip Code)</w:t>
            </w:r>
          </w:p>
        </w:tc>
      </w:tr>
    </w:tbl>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1154430</wp:posOffset>
            </wp:positionH>
            <wp:positionV relativeFrom="paragraph">
              <wp:posOffset>197485</wp:posOffset>
            </wp:positionV>
            <wp:extent cx="4948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line="23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306" w:lineRule="exact"/>
        <w:rPr>
          <w:rFonts w:ascii="Arial" w:cs="Arial" w:eastAsia="Arial" w:hAnsi="Arial"/>
          <w:sz w:val="18"/>
          <w:szCs w:val="18"/>
          <w:color w:val="auto"/>
        </w:rPr>
      </w:pPr>
    </w:p>
    <w:p>
      <w:pPr>
        <w:ind w:left="100" w:hanging="92"/>
        <w:spacing w:after="0"/>
        <w:tabs>
          <w:tab w:leader="none" w:pos="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420"/>
          </w:cols>
          <w:pgMar w:left="240" w:top="752" w:right="23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3, 2016, Graham Holdings Company issued a press release announcing the Company’s earnings for the second quarter ended June 30, 2016. A copy of this press release is furnished with this report as an exhibit to this Form 8-K.</w:t>
      </w:r>
    </w:p>
    <w:p>
      <w:pPr>
        <w:spacing w:after="0" w:line="200" w:lineRule="exact"/>
        <w:rPr>
          <w:sz w:val="20"/>
          <w:szCs w:val="20"/>
          <w:color w:val="auto"/>
        </w:rPr>
      </w:pPr>
    </w:p>
    <w:p>
      <w:pPr>
        <w:spacing w:after="0" w:line="27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323850</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994" w:right="6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4"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4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700" w:val="left"/>
        </w:tabs>
        <w:rPr>
          <w:sz w:val="20"/>
          <w:szCs w:val="20"/>
          <w:color w:val="auto"/>
        </w:rPr>
      </w:pPr>
      <w:r>
        <w:rPr>
          <w:rFonts w:ascii="Arial" w:cs="Arial" w:eastAsia="Arial" w:hAnsi="Arial"/>
          <w:sz w:val="18"/>
          <w:szCs w:val="18"/>
          <w:color w:val="auto"/>
        </w:rPr>
        <w:t>Date: August 3, 2016</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14605</wp:posOffset>
            </wp:positionV>
            <wp:extent cx="25984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9"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Hal S. Jones,</w:t>
      </w:r>
    </w:p>
    <w:p>
      <w:pPr>
        <w:jc w:val="center"/>
        <w:ind w:left="7280"/>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1292860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994"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174625</wp:posOffset>
            </wp:positionH>
            <wp:positionV relativeFrom="page">
              <wp:posOffset>380365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Graham Holdings Company Earnings Release dated August 3,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461010</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99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Contact:</w:t>
            </w:r>
          </w:p>
        </w:tc>
        <w:tc>
          <w:tcPr>
            <w:tcW w:w="3660" w:type="dxa"/>
            <w:vAlign w:val="bottom"/>
          </w:tcPr>
          <w:p>
            <w:pPr>
              <w:jc w:val="right"/>
              <w:ind w:right="2230"/>
              <w:spacing w:after="0"/>
              <w:rPr>
                <w:sz w:val="20"/>
                <w:szCs w:val="20"/>
                <w:color w:val="auto"/>
              </w:rPr>
            </w:pPr>
            <w:r>
              <w:rPr>
                <w:rFonts w:ascii="Arial" w:cs="Arial" w:eastAsia="Arial" w:hAnsi="Arial"/>
                <w:sz w:val="18"/>
                <w:szCs w:val="18"/>
                <w:color w:val="auto"/>
              </w:rPr>
              <w:t>Hal S. Jones</w:t>
            </w:r>
          </w:p>
        </w:tc>
        <w:tc>
          <w:tcPr>
            <w:tcW w:w="4000" w:type="dxa"/>
            <w:vAlign w:val="bottom"/>
            <w:gridSpan w:val="2"/>
          </w:tcPr>
          <w:p>
            <w:pPr>
              <w:ind w:left="2120"/>
              <w:spacing w:after="0"/>
              <w:rPr>
                <w:sz w:val="20"/>
                <w:szCs w:val="20"/>
                <w:color w:val="auto"/>
              </w:rPr>
            </w:pPr>
            <w:r>
              <w:rPr>
                <w:rFonts w:ascii="Arial" w:cs="Arial" w:eastAsia="Arial" w:hAnsi="Arial"/>
                <w:sz w:val="18"/>
                <w:szCs w:val="18"/>
                <w:color w:val="auto"/>
                <w:w w:val="99"/>
              </w:rPr>
              <w:t>For Immediate Release</w:t>
            </w:r>
          </w:p>
        </w:tc>
      </w:tr>
      <w:tr>
        <w:trPr>
          <w:trHeight w:val="237"/>
        </w:trPr>
        <w:tc>
          <w:tcPr>
            <w:tcW w:w="960" w:type="dxa"/>
            <w:vAlign w:val="bottom"/>
          </w:tcPr>
          <w:p>
            <w:pPr>
              <w:spacing w:after="0"/>
              <w:rPr>
                <w:sz w:val="20"/>
                <w:szCs w:val="20"/>
                <w:color w:val="auto"/>
              </w:rPr>
            </w:pPr>
          </w:p>
        </w:tc>
        <w:tc>
          <w:tcPr>
            <w:tcW w:w="3660" w:type="dxa"/>
            <w:vAlign w:val="bottom"/>
          </w:tcPr>
          <w:p>
            <w:pPr>
              <w:jc w:val="right"/>
              <w:ind w:right="2050"/>
              <w:spacing w:after="0"/>
              <w:rPr>
                <w:sz w:val="20"/>
                <w:szCs w:val="20"/>
                <w:color w:val="auto"/>
              </w:rPr>
            </w:pPr>
            <w:r>
              <w:rPr>
                <w:rFonts w:ascii="Arial" w:cs="Arial" w:eastAsia="Arial" w:hAnsi="Arial"/>
                <w:sz w:val="18"/>
                <w:szCs w:val="18"/>
                <w:color w:val="auto"/>
              </w:rPr>
              <w:t>(703) 345-6370</w:t>
            </w:r>
          </w:p>
        </w:tc>
        <w:tc>
          <w:tcPr>
            <w:tcW w:w="2120" w:type="dxa"/>
            <w:vAlign w:val="bottom"/>
          </w:tcPr>
          <w:p>
            <w:pPr>
              <w:spacing w:after="0"/>
              <w:rPr>
                <w:sz w:val="20"/>
                <w:szCs w:val="20"/>
                <w:color w:val="auto"/>
              </w:rPr>
            </w:pPr>
          </w:p>
        </w:tc>
        <w:tc>
          <w:tcPr>
            <w:tcW w:w="1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August 3, 2016</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GRAHAM HOLDINGS COMPANY REPORTS</w:t>
      </w:r>
    </w:p>
    <w:p>
      <w:pPr>
        <w:jc w:val="center"/>
        <w:spacing w:after="0"/>
        <w:rPr>
          <w:sz w:val="20"/>
          <w:szCs w:val="20"/>
          <w:color w:val="auto"/>
        </w:rPr>
      </w:pPr>
      <w:r>
        <w:rPr>
          <w:rFonts w:ascii="Arial" w:cs="Arial" w:eastAsia="Arial" w:hAnsi="Arial"/>
          <w:sz w:val="18"/>
          <w:szCs w:val="18"/>
          <w:color w:val="auto"/>
        </w:rPr>
        <w:t>SECOND QUARTER EARNINGS</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ARLINGTON, VA – Graham Holdings Company (NYSE: GHC) today reported income from continuing operations attributable to common shares of $60.8 million ($10.76 per share) for the second quarter of 2016, compared to $ 39.3 million ($6.71 per share) for the second quarter of 2015. Net income attributable to common shares was $57.8 million ($9.87 per share) for the second quarter of 2015, including $18.5 million ($3.16 per share) in income from discontinued operations. (Refer to “Discontinued Operations” discussion below.)</w:t>
      </w:r>
    </w:p>
    <w:p>
      <w:pPr>
        <w:spacing w:after="0" w:line="135" w:lineRule="exact"/>
        <w:rPr>
          <w:sz w:val="20"/>
          <w:szCs w:val="20"/>
          <w:color w:val="auto"/>
        </w:rPr>
      </w:pPr>
    </w:p>
    <w:p>
      <w:pPr>
        <w:jc w:val="both"/>
        <w:ind w:right="220"/>
        <w:spacing w:after="0" w:line="227" w:lineRule="auto"/>
        <w:rPr>
          <w:sz w:val="20"/>
          <w:szCs w:val="20"/>
          <w:color w:val="auto"/>
        </w:rPr>
      </w:pPr>
      <w:r>
        <w:rPr>
          <w:rFonts w:ascii="Arial" w:cs="Arial" w:eastAsia="Arial" w:hAnsi="Arial"/>
          <w:sz w:val="18"/>
          <w:szCs w:val="18"/>
          <w:color w:val="auto"/>
        </w:rPr>
        <w:t>The results for the second quarter of 2016 and 2015 were affected by a number of items as described in the following paragraphs. Excluding these items, income from continuing operations attributable to common shares was $45.0 million ($7.97 per share) for the second quarter of 2016, compared to $47.1 million ($8.04 per share) for the second quarter of 2015. (Refer to the Non-GAAP Financial Information schedule at the end of this release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2016:</w:t>
      </w:r>
    </w:p>
    <w:p>
      <w:pPr>
        <w:spacing w:after="0" w:line="144" w:lineRule="exact"/>
        <w:rPr>
          <w:sz w:val="20"/>
          <w:szCs w:val="20"/>
          <w:color w:val="auto"/>
        </w:rPr>
      </w:pPr>
    </w:p>
    <w:p>
      <w:pPr>
        <w:ind w:left="180" w:right="46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$38.6 million non-operating gain from the sales of land and marketable equity securities (after-tax impact of $23.9 million, or $4.23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$3.2 million non-operating gain arising from the formation of a joint venture (after-tax impact of $1.7 million, or $0.29 per share);</w:t>
      </w:r>
    </w:p>
    <w:p>
      <w:pPr>
        <w:spacing w:after="0" w:line="144" w:lineRule="exact"/>
        <w:rPr>
          <w:rFonts w:ascii="Arial" w:cs="Arial" w:eastAsia="Arial" w:hAnsi="Arial"/>
          <w:sz w:val="18"/>
          <w:szCs w:val="18"/>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$24.1 million in non-operating unrealized foreign currency losses (after-tax impact of $15.4 million, or $2.73 per share); and</w:t>
      </w:r>
    </w:p>
    <w:p>
      <w:pPr>
        <w:spacing w:after="0" w:line="144" w:lineRule="exact"/>
        <w:rPr>
          <w:rFonts w:ascii="Arial" w:cs="Arial" w:eastAsia="Arial" w:hAnsi="Arial"/>
          <w:sz w:val="18"/>
          <w:szCs w:val="18"/>
          <w:color w:val="auto"/>
        </w:rPr>
      </w:pPr>
    </w:p>
    <w:p>
      <w:pPr>
        <w:ind w:left="180" w:right="140" w:hanging="172"/>
        <w:spacing w:after="0" w:line="235"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Kaplan Higher Education (KHE) goodwill impairment recorded in the third quarter of 2015 ($1.00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from continuing operations for the second quarter of 2015:</w:t>
      </w:r>
    </w:p>
    <w:p>
      <w:pPr>
        <w:spacing w:after="0" w:line="144" w:lineRule="exact"/>
        <w:rPr>
          <w:sz w:val="20"/>
          <w:szCs w:val="20"/>
          <w:color w:val="auto"/>
        </w:rPr>
      </w:pPr>
    </w:p>
    <w:p>
      <w:pPr>
        <w:ind w:left="180" w:right="28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$16.6 million in restructuring charges and accelerated depreciation at the education division (after-tax impact of $10.7 million, or $1.82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360" w:hanging="172"/>
        <w:spacing w:after="0" w:line="235"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 million in non-operating gains arising from the sales of three businesses and an investment (after tax impact of $5.0 million, or $0.85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$3.6 million in non-operating unrealized foreign currency gains (after-tax impact of $2.3 million, or $0.39 per share).</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for the second quarter of 2016 was $ 628.9 million, down 8% from $680.9 million in the second quarter of 2015. Revenues declined at the education division, offset by an increase at the television broadcasting division and in other businesses. The Company reported operating income of $74.1 million for the second quarter of 2016, compared to $56.2 million for the second quarter of 2015. Operating results improved at the education and television broadcasting divisions, offset by a decline in other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2016, the company reported income from continuing operations attributable to common shares of $98.5 million</w:t>
      </w:r>
    </w:p>
    <w:p>
      <w:pPr>
        <w:ind w:right="20"/>
        <w:spacing w:after="0" w:line="229" w:lineRule="auto"/>
        <w:rPr>
          <w:sz w:val="20"/>
          <w:szCs w:val="20"/>
          <w:color w:val="auto"/>
        </w:rPr>
      </w:pPr>
      <w:r>
        <w:rPr>
          <w:rFonts w:ascii="Arial" w:cs="Arial" w:eastAsia="Arial" w:hAnsi="Arial"/>
          <w:sz w:val="18"/>
          <w:szCs w:val="18"/>
          <w:color w:val="auto"/>
        </w:rPr>
        <w:t>($17.33 per share), compared to $36.6 million ($6.22 per share) for the first six months of 2015. Net income attributable to common shares was $78.4 million ($13.40 per share) for the first six months of 2015, including $41.8 million ($7.18 per share) in income from discontinued operations. (Refer to “Discontinued Operations” discussion below.)</w:t>
      </w:r>
    </w:p>
    <w:p>
      <w:pPr>
        <w:spacing w:after="0" w:line="137" w:lineRule="exact"/>
        <w:rPr>
          <w:sz w:val="20"/>
          <w:szCs w:val="20"/>
          <w:color w:val="auto"/>
        </w:rPr>
      </w:pPr>
    </w:p>
    <w:p>
      <w:pPr>
        <w:jc w:val="both"/>
        <w:ind w:right="200"/>
        <w:spacing w:after="0" w:line="229" w:lineRule="auto"/>
        <w:rPr>
          <w:sz w:val="20"/>
          <w:szCs w:val="20"/>
          <w:color w:val="auto"/>
        </w:rPr>
      </w:pPr>
      <w:r>
        <w:rPr>
          <w:rFonts w:ascii="Arial" w:cs="Arial" w:eastAsia="Arial" w:hAnsi="Arial"/>
          <w:sz w:val="18"/>
          <w:szCs w:val="18"/>
          <w:color w:val="auto"/>
        </w:rPr>
        <w:t>The results for the first six months of 2016 and 2015 were affected by a number of items as described in the following paragraphs. Excluding these items, income from continuing operations attributable to common shares was $73.2 million ($12.87 per share) for the first six months of 2016, compared to $52.2 million ($8.97 per share) for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first six months of 2015. (Refer to the Non-GAAP Financial Information schedule at the end of this release for additional details.)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2016:</w:t>
      </w:r>
    </w:p>
    <w:p>
      <w:pPr>
        <w:spacing w:after="0" w:line="144" w:lineRule="exact"/>
        <w:rPr>
          <w:sz w:val="20"/>
          <w:szCs w:val="20"/>
          <w:color w:val="auto"/>
        </w:rPr>
      </w:pPr>
    </w:p>
    <w:p>
      <w:pPr>
        <w:ind w:left="180" w:right="42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$40.3 million non-operating gain from the sales of land and marketable equity securities (after-tax impact of $25.0 million, or $4.42 per share);</w:t>
      </w:r>
    </w:p>
    <w:p>
      <w:pPr>
        <w:spacing w:after="0" w:line="134" w:lineRule="exact"/>
        <w:rPr>
          <w:rFonts w:ascii="Arial" w:cs="Arial" w:eastAsia="Arial" w:hAnsi="Arial"/>
          <w:sz w:val="18"/>
          <w:szCs w:val="18"/>
          <w:color w:val="auto"/>
        </w:rPr>
      </w:pPr>
    </w:p>
    <w:p>
      <w:pPr>
        <w:ind w:left="180" w:right="2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$22.2 million non-operating gain arising from the sale of a business and the formation of a joint venture (after-tax impact of $13.6 million, or $2.37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$29.5 million in non-operating unrealized foreign currency losses (after-tax impact of $18.9 million, or $3.33 per share); and</w:t>
      </w:r>
    </w:p>
    <w:p>
      <w:pPr>
        <w:spacing w:after="0" w:line="144" w:lineRule="exact"/>
        <w:rPr>
          <w:rFonts w:ascii="Arial" w:cs="Arial" w:eastAsia="Arial" w:hAnsi="Arial"/>
          <w:sz w:val="18"/>
          <w:szCs w:val="18"/>
          <w:color w:val="auto"/>
        </w:rPr>
      </w:pPr>
    </w:p>
    <w:p>
      <w:pPr>
        <w:ind w:left="180" w:right="280" w:hanging="172"/>
        <w:spacing w:after="0" w:line="235"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favorable $5.6 million out of period deferred tax adjustment related to the KHE goodwill impairment recorded in the third quarter of 2015 ($1.00 per share).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2015:</w:t>
      </w:r>
    </w:p>
    <w:p>
      <w:pPr>
        <w:spacing w:after="0" w:line="144" w:lineRule="exact"/>
        <w:rPr>
          <w:sz w:val="20"/>
          <w:szCs w:val="20"/>
          <w:color w:val="auto"/>
        </w:rPr>
      </w:pPr>
    </w:p>
    <w:p>
      <w:pPr>
        <w:ind w:left="180" w:right="24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$27.3 million in restructuring charges and accelerated depreciation at the education division (after-tax impact of $17.5 million, or $2.99 per share);</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$6.9 million long-lived asset impairment charge at the education division (after-tax impact of $4.4 million, or $0.75 per share);</w:t>
      </w:r>
    </w:p>
    <w:p>
      <w:pPr>
        <w:spacing w:after="0" w:line="144" w:lineRule="exact"/>
        <w:rPr>
          <w:rFonts w:ascii="Arial" w:cs="Arial" w:eastAsia="Arial" w:hAnsi="Arial"/>
          <w:sz w:val="18"/>
          <w:szCs w:val="18"/>
          <w:color w:val="auto"/>
        </w:rPr>
      </w:pPr>
    </w:p>
    <w:p>
      <w:pPr>
        <w:ind w:left="180" w:right="340" w:hanging="172"/>
        <w:spacing w:after="0" w:line="235"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$13.7 million in non-operating gains arising from the sales of three businesses and an investment, and on the formation of a joint venture (after tax impact of $8.4 million, or $1.35 per share); and</w:t>
      </w:r>
    </w:p>
    <w:p>
      <w:pPr>
        <w:spacing w:after="0" w:line="134"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 million in non-operating unrealized foreign currency losses (after-tax impact of $2.1 million, or $0.36 per share).</w:t>
      </w:r>
    </w:p>
    <w:p>
      <w:pPr>
        <w:spacing w:after="0" w:line="144"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Revenue for the first six months of 2016 was $ 1,230.7 million, down 7% from $1,328.3 million in the first six months of 2015. Revenues declined at the education division, offset by an increase at the television broadcasting division and in other businesses. The Company reported operating income of $126.0 million for the first six months of 2016, compared to $65.1 million for the first six months of 2015. Operating results improved at the education and television broadcasting divisions, offset by a decline in other businesses.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Education division revenue totaled $419.2 million for the second quarter of 2016, down 20% from revenue of $ 523.6 million for the same period of 2015. Kaplan reported operating income of $32.9 million for the second quarter of 2016, compared to $15.8 million for the second quarter of 2015. Operating results for the second quarter of 2015 included restructuring costs of $16.6 million and a $6.9 million long-lived asset impairment charge.</w:t>
      </w:r>
    </w:p>
    <w:p>
      <w:pPr>
        <w:spacing w:after="0" w:line="135"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For the first six months of 2016, education division revenue totaled $820.3 million, down 20% from revenue of $1,024.2 million for the same period of 2015. Kaplan reported operating income of $47.4 million for the first six months of 2016, compared to an operating loss of $7.0 million for the first six months of 2015. Operating results for the first six months of 2015 included restructuring costs of $27.3 million and a $6.9 million long-lived asset impairment charge.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 summary of Kaplan’s operating results for the second quarter of 2016 compared to 2015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4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2015</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14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50"/>
        </w:trPr>
        <w:tc>
          <w:tcPr>
            <w:tcW w:w="3480" w:type="dxa"/>
            <w:vAlign w:val="bottom"/>
          </w:tcPr>
          <w:p>
            <w:pPr>
              <w:ind w:left="4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157,980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240,717</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(34)</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323,529</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478,285</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79,349</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80,381</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145,811</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149,607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182,325</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200,703</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351,612</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392,784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18</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1,959</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143</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3,818</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83"/>
        </w:trPr>
        <w:tc>
          <w:tcPr>
            <w:tcW w:w="3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(459)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(806)</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3480" w:type="dxa"/>
            <w:vAlign w:val="bottom"/>
          </w:tcPr>
          <w:p>
            <w:pPr>
              <w:spacing w:after="0"/>
              <w:rPr>
                <w:sz w:val="22"/>
                <w:szCs w:val="22"/>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419,213</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523,625</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820,289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1,024,227</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8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Higher education</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17,237</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24,764</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(30)</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38,543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25,357</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7,036</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7,079</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4,726</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2,745</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16,479</w:t>
            </w:r>
          </w:p>
        </w:tc>
        <w:tc>
          <w:tcPr>
            <w:tcW w:w="440" w:type="dxa"/>
            <w:vAlign w:val="bottom"/>
          </w:tcPr>
          <w:p>
            <w:pPr>
              <w:spacing w:after="0"/>
              <w:rPr>
                <w:sz w:val="23"/>
                <w:szCs w:val="23"/>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17,573</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21,376</w:t>
            </w:r>
          </w:p>
        </w:tc>
        <w:tc>
          <w:tcPr>
            <w:tcW w:w="34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25,290</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(6,107)</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(25,251)</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(13,831)</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(50,601)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3"/>
                <w:szCs w:val="23"/>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b w:val="1"/>
                <w:bCs w:val="1"/>
                <w:color w:val="auto"/>
              </w:rPr>
              <w:t>(1,704)</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(1,467)</w:t>
            </w:r>
          </w:p>
        </w:tc>
        <w:tc>
          <w:tcPr>
            <w:tcW w:w="1500" w:type="dxa"/>
            <w:vAlign w:val="bottom"/>
          </w:tcPr>
          <w:p>
            <w:pPr>
              <w:jc w:val="right"/>
              <w:ind w:right="420"/>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23"/>
                <w:szCs w:val="23"/>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(2,974)</w:t>
            </w:r>
          </w:p>
        </w:tc>
        <w:tc>
          <w:tcPr>
            <w:tcW w:w="1400" w:type="dxa"/>
            <w:vAlign w:val="bottom"/>
          </w:tcPr>
          <w:p>
            <w:pPr>
              <w:jc w:val="right"/>
              <w:ind w:right="3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70"/>
        </w:trPr>
        <w:tc>
          <w:tcPr>
            <w:tcW w:w="3480" w:type="dxa"/>
            <w:vAlign w:val="bottom"/>
          </w:tcPr>
          <w:p>
            <w:pPr>
              <w:ind w:left="18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(6,876)</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(6,876)</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348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(49)</w:t>
            </w:r>
          </w:p>
        </w:tc>
        <w:tc>
          <w:tcPr>
            <w:tcW w:w="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(49)</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58</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3480" w:type="dxa"/>
            <w:vAlign w:val="bottom"/>
          </w:tcPr>
          <w:p>
            <w:pPr>
              <w:spacing w:after="0"/>
              <w:rPr>
                <w:sz w:val="23"/>
                <w:szCs w:val="23"/>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32,892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15,848</w:t>
            </w:r>
          </w:p>
        </w:tc>
        <w:tc>
          <w:tcPr>
            <w:tcW w:w="1500" w:type="dxa"/>
            <w:vAlign w:val="bottom"/>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47,380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c>
          <w:tcPr>
            <w:tcW w:w="14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Kaplan Higher Education (KHE) includes Kaplan’s domestic postsecondary education businesses, made up of fixed-facility colleges and online postsecondary and career programs. KHE also includes the domestic professional and other continuing education businesses.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Since 2012, KHE has closed campuses, consolidated facilities and reduced its workforce. On September 3, 2015, Kaplan completed the sale of substantially all of the remaining assets of its KHE Campuses business. In connection with these and other plans, KHE incurred $2.5 million and $ 5.4 million in restructuring costs in the second quarter and first six months of 2015, respectively. For the second quarter of 2015, these costs included severance ($1.0 million), lease obligation losses ($0.9 million) and accelerated depreciation ($0.6 million). For the six months of 2015, these costs included severance ($2.2 million), lease obligation losses ($1.8 million), accelerated depreciation ($1.3 million) and other items ($0.1 million).</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In the second quarter of 2015, Kaplan recorded a $6.9 million long-lived asset impairment charge in connection with the KHE Campuses business. KHE results, excluding the impairment charge, include revenue and operating losses (including restructuring charges) related to all KHE Campuses, those sold or closed, including Mount Washington College and Bauder College,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7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1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3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2015</w:t>
            </w:r>
          </w:p>
        </w:tc>
      </w:tr>
      <w:tr>
        <w:trPr>
          <w:trHeight w:val="250"/>
        </w:trPr>
        <w:tc>
          <w:tcPr>
            <w:tcW w:w="6300" w:type="dxa"/>
            <w:vAlign w:val="bottom"/>
          </w:tcPr>
          <w:p>
            <w:pPr>
              <w:ind w:left="40"/>
              <w:spacing w:after="0"/>
              <w:rPr>
                <w:sz w:val="20"/>
                <w:szCs w:val="20"/>
                <w:color w:val="auto"/>
              </w:rPr>
            </w:pPr>
            <w:r>
              <w:rPr>
                <w:rFonts w:ascii="Arial" w:cs="Arial" w:eastAsia="Arial" w:hAnsi="Arial"/>
                <w:sz w:val="16"/>
                <w:szCs w:val="16"/>
                <w:color w:val="auto"/>
              </w:rPr>
              <w:t>Revenue</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b w:val="1"/>
                <w:bCs w:val="1"/>
                <w:color w:val="auto"/>
              </w:rPr>
              <w:t>266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66,152</w:t>
            </w:r>
          </w:p>
        </w:tc>
        <w:tc>
          <w:tcPr>
            <w:tcW w:w="10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84"/>
              <w:spacing w:after="0"/>
              <w:rPr>
                <w:sz w:val="20"/>
                <w:szCs w:val="20"/>
                <w:color w:val="auto"/>
              </w:rPr>
            </w:pPr>
            <w:r>
              <w:rPr>
                <w:rFonts w:ascii="Arial" w:cs="Arial" w:eastAsia="Arial" w:hAnsi="Arial"/>
                <w:sz w:val="16"/>
                <w:szCs w:val="16"/>
                <w:b w:val="1"/>
                <w:bCs w:val="1"/>
                <w:color w:val="auto"/>
              </w:rPr>
              <w:t>1,064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131,459</w:t>
            </w:r>
          </w:p>
        </w:tc>
      </w:tr>
      <w:tr>
        <w:trPr>
          <w:trHeight w:val="270"/>
        </w:trPr>
        <w:tc>
          <w:tcPr>
            <w:tcW w:w="630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820" w:type="dxa"/>
            <w:vAlign w:val="bottom"/>
          </w:tcPr>
          <w:p>
            <w:pPr>
              <w:jc w:val="right"/>
              <w:ind w:right="623"/>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22"/>
              <w:spacing w:after="0"/>
              <w:rPr>
                <w:sz w:val="20"/>
                <w:szCs w:val="20"/>
                <w:color w:val="auto"/>
              </w:rPr>
            </w:pPr>
            <w:r>
              <w:rPr>
                <w:rFonts w:ascii="Arial" w:cs="Arial" w:eastAsia="Arial" w:hAnsi="Arial"/>
                <w:sz w:val="16"/>
                <w:szCs w:val="16"/>
                <w:b w:val="1"/>
                <w:bCs w:val="1"/>
                <w:color w:val="auto"/>
              </w:rPr>
              <w:t>(907)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(6,776)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b w:val="1"/>
                <w:bCs w:val="1"/>
                <w:color w:val="auto"/>
              </w:rPr>
              <w:t>(2,099)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(19,063)</w:t>
            </w:r>
          </w:p>
        </w:tc>
      </w:tr>
    </w:tbl>
    <w:p>
      <w:pPr>
        <w:spacing w:after="0" w:line="167"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second quarter and first six months of 2016, KHE revenue declined 34% and 32%, respectively, due to campus sales and closings, and declines in average enrollments at Kaplan University. KHE operating results declined in the second quarter of 2016 due primarily to lower enrollment at Kaplan University, offset by reduced losses at the KHE Campuses business. KHE operating results improved in the first six months of 2016 due to reduced losses at the KHE Campuses business and lower marketing expenditures at Kaplan University.</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New higher education student enrollments at Kaplan University declined 25% in the second quarter of 2016 and 31% for the first six months of 2016 due to lower demand across Kaplan University programs. Total students at Kaplan University were 33,367 at June 30, 2016, down 19% from June 30, 2015.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Kaplan University enrollments at June 30, 2016 and 2015, by degree and certificate programs,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60" w:type="dxa"/>
            <w:vAlign w:val="bottom"/>
          </w:tcPr>
          <w:p>
            <w:pPr>
              <w:spacing w:after="0"/>
              <w:rPr>
                <w:sz w:val="17"/>
                <w:szCs w:val="17"/>
                <w:color w:val="auto"/>
              </w:rPr>
            </w:pPr>
          </w:p>
        </w:tc>
        <w:tc>
          <w:tcPr>
            <w:tcW w:w="2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As of June 30</w:t>
            </w:r>
          </w:p>
        </w:tc>
      </w:tr>
      <w:tr>
        <w:trPr>
          <w:trHeight w:val="264"/>
        </w:trPr>
        <w:tc>
          <w:tcPr>
            <w:tcW w:w="9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2016</w:t>
            </w:r>
          </w:p>
        </w:tc>
        <w:tc>
          <w:tcPr>
            <w:tcW w:w="8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2015</w:t>
            </w:r>
          </w:p>
        </w:tc>
      </w:tr>
      <w:tr>
        <w:trPr>
          <w:trHeight w:val="250"/>
        </w:trPr>
        <w:tc>
          <w:tcPr>
            <w:tcW w:w="9360" w:type="dxa"/>
            <w:vAlign w:val="bottom"/>
          </w:tcPr>
          <w:p>
            <w:pPr>
              <w:ind w:left="40"/>
              <w:spacing w:after="0"/>
              <w:rPr>
                <w:sz w:val="20"/>
                <w:szCs w:val="20"/>
                <w:color w:val="auto"/>
              </w:rPr>
            </w:pPr>
            <w:r>
              <w:rPr>
                <w:rFonts w:ascii="Arial" w:cs="Arial" w:eastAsia="Arial" w:hAnsi="Arial"/>
                <w:sz w:val="16"/>
                <w:szCs w:val="16"/>
                <w:color w:val="auto"/>
              </w:rPr>
              <w:t>Certificate</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6.6%</w:t>
            </w: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Associate’s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20.4%</w:t>
            </w: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70"/>
        </w:trPr>
        <w:tc>
          <w:tcPr>
            <w:tcW w:w="9360" w:type="dxa"/>
            <w:vAlign w:val="bottom"/>
          </w:tcPr>
          <w:p>
            <w:pPr>
              <w:ind w:left="40"/>
              <w:spacing w:after="0"/>
              <w:rPr>
                <w:sz w:val="20"/>
                <w:szCs w:val="20"/>
                <w:color w:val="auto"/>
              </w:rPr>
            </w:pPr>
            <w:r>
              <w:rPr>
                <w:rFonts w:ascii="Arial" w:cs="Arial" w:eastAsia="Arial" w:hAnsi="Arial"/>
                <w:sz w:val="16"/>
                <w:szCs w:val="16"/>
                <w:color w:val="auto"/>
              </w:rPr>
              <w:t>Bachelor’s</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50.4%</w:t>
            </w:r>
          </w:p>
        </w:tc>
        <w:tc>
          <w:tcPr>
            <w:tcW w:w="880" w:type="dxa"/>
            <w:vAlign w:val="bottom"/>
          </w:tcPr>
          <w:p>
            <w:pPr>
              <w:jc w:val="right"/>
              <w:spacing w:after="0"/>
              <w:rPr>
                <w:sz w:val="20"/>
                <w:szCs w:val="20"/>
                <w:color w:val="auto"/>
              </w:rPr>
            </w:pPr>
            <w:r>
              <w:rPr>
                <w:rFonts w:ascii="Arial" w:cs="Arial" w:eastAsia="Arial" w:hAnsi="Arial"/>
                <w:sz w:val="16"/>
                <w:szCs w:val="16"/>
                <w:color w:val="auto"/>
              </w:rPr>
              <w:t>46.8%</w:t>
            </w:r>
          </w:p>
        </w:tc>
      </w:tr>
      <w:tr>
        <w:trPr>
          <w:trHeight w:val="283"/>
        </w:trPr>
        <w:tc>
          <w:tcPr>
            <w:tcW w:w="9360" w:type="dxa"/>
            <w:vAlign w:val="bottom"/>
          </w:tcPr>
          <w:p>
            <w:pPr>
              <w:ind w:left="40"/>
              <w:spacing w:after="0"/>
              <w:rPr>
                <w:sz w:val="20"/>
                <w:szCs w:val="20"/>
                <w:color w:val="auto"/>
              </w:rPr>
            </w:pPr>
            <w:r>
              <w:rPr>
                <w:rFonts w:ascii="Arial" w:cs="Arial" w:eastAsia="Arial" w:hAnsi="Arial"/>
                <w:sz w:val="16"/>
                <w:szCs w:val="16"/>
                <w:color w:val="auto"/>
              </w:rPr>
              <w:t>Master’s</w:t>
            </w: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w:t>
            </w:r>
          </w:p>
        </w:tc>
      </w:tr>
      <w:tr>
        <w:trPr>
          <w:trHeight w:val="264"/>
        </w:trPr>
        <w:tc>
          <w:tcPr>
            <w:tcW w:w="9360" w:type="dxa"/>
            <w:vAlign w:val="bottom"/>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9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Test Preparation (KTP) includes Kaplan’s standardized test preparation programs. KTP revenue declined 1% and 3% for the second quarter and first six months of 2016, respectively. Enrollments, excluding the new economy skills training offerings, were down 10% for the first six months of 2016 due primarily to declines in pre-college programs; however, unit prices were generally higher. In comparison to 2015, KTP operating results were down 1% in the second quarter of 2016, but improved for the first six months of 2016. KTP's results reflect a reduction in operating expenses, despite increased investment in new economy skills training programs.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January and February 2016, Kaplan acquired Mander Portman Woodward, a leading provider of high-quality, bespoke education to UK and international students in London, Cambridge and Birmingham; and Osborne Books, an education publisher of learning resources for accounting qualifications in the UK.</w:t>
      </w:r>
    </w:p>
    <w:p>
      <w:pPr>
        <w:spacing w:after="0" w:line="135" w:lineRule="exact"/>
        <w:rPr>
          <w:sz w:val="20"/>
          <w:szCs w:val="20"/>
          <w:color w:val="auto"/>
        </w:rPr>
      </w:pPr>
    </w:p>
    <w:p>
      <w:pPr>
        <w:ind w:right="280"/>
        <w:spacing w:after="0" w:line="225" w:lineRule="auto"/>
        <w:rPr>
          <w:sz w:val="20"/>
          <w:szCs w:val="20"/>
          <w:color w:val="auto"/>
        </w:rPr>
      </w:pPr>
      <w:r>
        <w:rPr>
          <w:rFonts w:ascii="Arial" w:cs="Arial" w:eastAsia="Arial" w:hAnsi="Arial"/>
          <w:sz w:val="18"/>
          <w:szCs w:val="18"/>
          <w:color w:val="auto"/>
        </w:rPr>
        <w:t>Kaplan International revenue declined 9% and 10% for the second quarter and first six months of 2016, of which 3% was due to currency fluctuations. The remaining decrease is due to enrollment declines in English-language and UK Pathways programs, partially offset by enrollment growth in Singapore and Australia higher education programs. Revenue growth from the 2016 acquisitions was largely offset by revenue declines due to prior year dispositions. Operating income declined in the second quarter and first six months of 2016, due largely to the declines in English-language and Pathways results, partially offset by operating income from newly acquired businesses.</w:t>
      </w:r>
    </w:p>
    <w:p>
      <w:pPr>
        <w:spacing w:after="0" w:line="137"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In the second quarter of 2015, Kaplan corporate recorded $13.6 million in restructuring charges, including accelerated depreciation ($9.7 million) and lease obligation losses ($3.8 million), related to office space managed by Kaplan corporate. In the first six months of 2015, Kaplan corporate recorded $21.2 million in restructuring charges, including accelerated depreciation ($16.2 million) and lease obligation losses ($4.9 million) related to office space managed by Kaplan corporate. In 2016, Kaplan corporate expenses also declined due to the benefits from restructuring activities. Also, 2015 spending for the replacement of its human resources system was not repeated in 2016.</w:t>
      </w:r>
    </w:p>
    <w:p>
      <w:pPr>
        <w:spacing w:after="0" w:line="137" w:lineRule="exact"/>
        <w:rPr>
          <w:sz w:val="20"/>
          <w:szCs w:val="20"/>
          <w:color w:val="auto"/>
        </w:rPr>
      </w:pPr>
    </w:p>
    <w:p>
      <w:pPr>
        <w:jc w:val="both"/>
        <w:ind w:right="160"/>
        <w:spacing w:after="0" w:line="229" w:lineRule="auto"/>
        <w:rPr>
          <w:sz w:val="20"/>
          <w:szCs w:val="20"/>
          <w:color w:val="auto"/>
        </w:rPr>
      </w:pPr>
      <w:r>
        <w:rPr>
          <w:rFonts w:ascii="Arial" w:cs="Arial" w:eastAsia="Arial" w:hAnsi="Arial"/>
          <w:sz w:val="18"/>
          <w:szCs w:val="18"/>
          <w:color w:val="auto"/>
        </w:rPr>
        <w:t>In the first quarter of 2016, Kaplan sold Colloquy, which was a part of Kaplan corporate and other, for a gain of $18.9 million that is included in other non-operating income. In the second quarter of 2015, Kaplan sold two small businesses; one was part of KHE and the other was part of Kaplan International. The gains on these dispositions are included in other non-operating income in the second quarter of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66"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Revenue at the television broadcasting division increased 6% to $96.5 million in the second quarter of 2016, from $90.8 million in the same period of 2015; operating income for the second quarter of 2016 increased 5% to $44.2 million, from $42.0 million in the same period of 2015. The revenue increase is due primarily to $5.3 million more in retransmission revenues. The increase in operating income is due to the revenue increase, offset by higher spending on digital initiatives and increased network fees.</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at the television broadcasting division increased 8% to $188.5 million in the first six months of 2016, from $174.3 million in the same period of 2015; operating income for the first six months of 2016 increased 6% to $85.4 million, from $80.6 million in the same period of 2015. The revenue increase is due primarily to $10.1 million more in retransmission revenues and a $2.7 million increase in political advertising revenue. The increase in operating income is due to the revenue increase, offset by higher spending on digital initiatives and increased network fees.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In May 2016, the Company announced that it had reached an agreement with Nexstar Broadcasting Group, Inc. and Media General, Inc. to acquire WCWJ, a CW affiliate television station in Jacksonville, FL and WSLS, an NBC affiliate television station in Roanoke, VA for $60 million in cash and the assumption of certain pension obligations. The Company will continue to operate both stations under their current network affiliations. The acquisition is subject to approval by the FCC, other regulatory approvals, and the satisfaction of closing conditions.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360"/>
        <w:spacing w:after="0" w:line="227" w:lineRule="auto"/>
        <w:rPr>
          <w:sz w:val="20"/>
          <w:szCs w:val="20"/>
          <w:color w:val="auto"/>
        </w:rPr>
      </w:pPr>
      <w:r>
        <w:rPr>
          <w:rFonts w:ascii="Arial" w:cs="Arial" w:eastAsia="Arial" w:hAnsi="Arial"/>
          <w:sz w:val="18"/>
          <w:szCs w:val="18"/>
          <w:color w:val="auto"/>
        </w:rPr>
        <w:t>Other businesses is comprised of three manufacturing businesses, including Dekko, a manufacturer of electrical workspace solutions, architectural lighting, and electrical components and assemblies acquired in November 2015; and providers of home health and hospice services. Other businesses also include SocialCode, a provider of marketing solutions on social-media platforms; Slate and Foreign Policy, which publish online and print magazines and websites; and certain other new ventures.</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increase in revenues for the second quarter and first six months of 2016 is mostly due to the Dekko acquisition. In the second quarter and first six months of 2016, positive operating results from the manufacturing and healthcare businesses were offset by intangibles amortization and losses from publishing, SocialCode and new ventures.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Supplementary information regarding manufacturing results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760" w:type="dxa"/>
            <w:vAlign w:val="bottom"/>
          </w:tcPr>
          <w:p>
            <w:pPr>
              <w:jc w:val="right"/>
              <w:ind w:right="202"/>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720" w:type="dxa"/>
            <w:vAlign w:val="bottom"/>
          </w:tcPr>
          <w:p>
            <w:pPr>
              <w:jc w:val="right"/>
              <w:ind w:right="28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74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June 30, 2016</w:t>
            </w:r>
          </w:p>
        </w:tc>
        <w:tc>
          <w:tcPr>
            <w:tcW w:w="3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June 30, 2016</w:t>
            </w:r>
          </w:p>
        </w:tc>
      </w:tr>
      <w:tr>
        <w:trPr>
          <w:trHeight w:val="250"/>
        </w:trPr>
        <w:tc>
          <w:tcPr>
            <w:tcW w:w="74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58,026</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ind w:right="42"/>
              <w:spacing w:after="0"/>
              <w:rPr>
                <w:sz w:val="20"/>
                <w:szCs w:val="20"/>
                <w:color w:val="auto"/>
              </w:rPr>
            </w:pPr>
            <w:r>
              <w:rPr>
                <w:rFonts w:ascii="Arial" w:cs="Arial" w:eastAsia="Arial" w:hAnsi="Arial"/>
                <w:sz w:val="16"/>
                <w:szCs w:val="16"/>
                <w:b w:val="1"/>
                <w:bCs w:val="1"/>
                <w:color w:val="auto"/>
              </w:rPr>
              <w:t>114,701</w:t>
            </w:r>
          </w:p>
        </w:tc>
      </w:tr>
      <w:tr>
        <w:trPr>
          <w:trHeight w:val="270"/>
        </w:trPr>
        <w:tc>
          <w:tcPr>
            <w:tcW w:w="74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23"/>
                <w:szCs w:val="23"/>
                <w:color w:val="auto"/>
              </w:rPr>
            </w:pP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50,455</w:t>
            </w:r>
          </w:p>
        </w:tc>
        <w:tc>
          <w:tcPr>
            <w:tcW w:w="320" w:type="dxa"/>
            <w:vAlign w:val="bottom"/>
          </w:tcPr>
          <w:p>
            <w:pPr>
              <w:spacing w:after="0"/>
              <w:rPr>
                <w:sz w:val="23"/>
                <w:szCs w:val="23"/>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b w:val="1"/>
                <w:bCs w:val="1"/>
                <w:color w:val="auto"/>
              </w:rPr>
              <w:t>101,303</w:t>
            </w:r>
          </w:p>
        </w:tc>
      </w:tr>
      <w:tr>
        <w:trPr>
          <w:trHeight w:val="270"/>
        </w:trPr>
        <w:tc>
          <w:tcPr>
            <w:tcW w:w="7420" w:type="dxa"/>
            <w:vAlign w:val="bottom"/>
          </w:tcPr>
          <w:p>
            <w:pPr>
              <w:ind w:left="4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23"/>
                <w:szCs w:val="23"/>
                <w:color w:val="auto"/>
              </w:rPr>
            </w:pPr>
          </w:p>
        </w:tc>
        <w:tc>
          <w:tcPr>
            <w:tcW w:w="1760" w:type="dxa"/>
            <w:vAlign w:val="bottom"/>
          </w:tcPr>
          <w:p>
            <w:pPr>
              <w:jc w:val="right"/>
              <w:ind w:right="42"/>
              <w:spacing w:after="0"/>
              <w:rPr>
                <w:sz w:val="20"/>
                <w:szCs w:val="20"/>
                <w:color w:val="auto"/>
              </w:rPr>
            </w:pPr>
            <w:r>
              <w:rPr>
                <w:rFonts w:ascii="Arial" w:cs="Arial" w:eastAsia="Arial" w:hAnsi="Arial"/>
                <w:sz w:val="16"/>
                <w:szCs w:val="16"/>
                <w:b w:val="1"/>
                <w:bCs w:val="1"/>
                <w:color w:val="auto"/>
              </w:rPr>
              <w:t>1,906</w:t>
            </w:r>
          </w:p>
        </w:tc>
        <w:tc>
          <w:tcPr>
            <w:tcW w:w="320" w:type="dxa"/>
            <w:vAlign w:val="bottom"/>
          </w:tcPr>
          <w:p>
            <w:pPr>
              <w:spacing w:after="0"/>
              <w:rPr>
                <w:sz w:val="23"/>
                <w:szCs w:val="23"/>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b w:val="1"/>
                <w:bCs w:val="1"/>
                <w:color w:val="auto"/>
              </w:rPr>
              <w:t>3,779</w:t>
            </w:r>
          </w:p>
        </w:tc>
      </w:tr>
      <w:tr>
        <w:trPr>
          <w:trHeight w:val="283"/>
        </w:trPr>
        <w:tc>
          <w:tcPr>
            <w:tcW w:w="74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2,816</w:t>
            </w: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5,633</w:t>
            </w:r>
          </w:p>
        </w:tc>
      </w:tr>
      <w:tr>
        <w:trPr>
          <w:trHeight w:val="267"/>
        </w:trPr>
        <w:tc>
          <w:tcPr>
            <w:tcW w:w="742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2,849</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3,986</w:t>
            </w: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80"/>
        <w:spacing w:after="0" w:line="229" w:lineRule="auto"/>
        <w:rPr>
          <w:sz w:val="20"/>
          <w:szCs w:val="20"/>
          <w:color w:val="auto"/>
        </w:rPr>
      </w:pPr>
      <w:r>
        <w:rPr>
          <w:rFonts w:ascii="Arial" w:cs="Arial" w:eastAsia="Arial" w:hAnsi="Arial"/>
          <w:sz w:val="18"/>
          <w:szCs w:val="18"/>
          <w:color w:val="auto"/>
        </w:rPr>
        <w:t>In June 2016, the Company acquired the outstanding 20% redeemable noncontrolling interest in Residential Healthcare (Residential). Also in June 2016, Celtic Healthcare (Celtic) and Residential combined their business operations and the Company now owns 90% of the combined entity. The Company incurred approximately $2.0 million in expenses in conjunction with these transactions in the second quarter of 2016.</w:t>
      </w:r>
    </w:p>
    <w:p>
      <w:pPr>
        <w:spacing w:after="0" w:line="137" w:lineRule="exact"/>
        <w:rPr>
          <w:sz w:val="20"/>
          <w:szCs w:val="20"/>
          <w:color w:val="auto"/>
        </w:rPr>
      </w:pPr>
    </w:p>
    <w:p>
      <w:pPr>
        <w:ind w:right="440"/>
        <w:spacing w:after="0" w:line="227" w:lineRule="auto"/>
        <w:rPr>
          <w:sz w:val="20"/>
          <w:szCs w:val="20"/>
          <w:color w:val="auto"/>
        </w:rPr>
      </w:pPr>
      <w:r>
        <w:rPr>
          <w:rFonts w:ascii="Arial" w:cs="Arial" w:eastAsia="Arial" w:hAnsi="Arial"/>
          <w:sz w:val="18"/>
          <w:szCs w:val="18"/>
          <w:color w:val="auto"/>
        </w:rPr>
        <w:t>In June 2016, Residential and a Michigan hospital formed a joint venture to provide home health services to West Michigan patients. Residential manages the operations of the joint venture and holds a 40% interest. The pro rata operating results of the joint venture are included in the Company's equity in earnings of affiliates. In connection with this transaction, the Company recorded a pre-tax gain of $3.2 million in the second quarter of 2016 that is included in other non-operating income.</w:t>
      </w:r>
    </w:p>
    <w:p>
      <w:pPr>
        <w:spacing w:after="0" w:line="135" w:lineRule="exact"/>
        <w:rPr>
          <w:sz w:val="20"/>
          <w:szCs w:val="20"/>
          <w:color w:val="auto"/>
        </w:rPr>
      </w:pPr>
    </w:p>
    <w:p>
      <w:pPr>
        <w:ind w:right="140"/>
        <w:spacing w:after="0" w:line="227" w:lineRule="auto"/>
        <w:rPr>
          <w:sz w:val="20"/>
          <w:szCs w:val="20"/>
          <w:color w:val="auto"/>
        </w:rPr>
      </w:pPr>
      <w:r>
        <w:rPr>
          <w:rFonts w:ascii="Arial" w:cs="Arial" w:eastAsia="Arial" w:hAnsi="Arial"/>
          <w:sz w:val="18"/>
          <w:szCs w:val="18"/>
          <w:color w:val="auto"/>
        </w:rPr>
        <w:t>In January 2015, Celtic Healthcare and Allegheny Health Network formed a joint venture to combine each other’s home health and hospice assets in the western Pennsylvania region. Celtic manages the operations of the joint venture for a fee and holds a 40% interest. The pro rata operating results of the joint venture are included in the Company’s equity in earnings of affiliates. In connection with this transaction, the Company recorded a noncash pre-tax gain of $6.0 million in the first quarter of 2015 that is included in other non-operating income.</w:t>
      </w:r>
    </w:p>
    <w:p>
      <w:pPr>
        <w:spacing w:after="0" w:line="135"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In the second quarter of 2015, the Company sold The Root, an online magazine; the related gain on disposition is included in other non-operating income.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Corporate office includes the expenses of the Company’s corporate office, the pension credit for the Company’s traditional defined benefit plan and certain continuing obligations related to prior business dispositions. The total pension credit for the Company’s traditional defined benefit plan was $32.1 million and $34.1 million in the first six months of 2016 and 2015, respectively.</w:t>
      </w:r>
    </w:p>
    <w:p>
      <w:pPr>
        <w:spacing w:after="0" w:line="137" w:lineRule="exact"/>
        <w:rPr>
          <w:sz w:val="20"/>
          <w:szCs w:val="20"/>
          <w:color w:val="auto"/>
        </w:rPr>
      </w:pPr>
    </w:p>
    <w:p>
      <w:pPr>
        <w:ind w:right="580"/>
        <w:spacing w:after="0" w:line="407" w:lineRule="auto"/>
        <w:rPr>
          <w:sz w:val="20"/>
          <w:szCs w:val="20"/>
          <w:color w:val="auto"/>
        </w:rPr>
      </w:pPr>
      <w:r>
        <w:rPr>
          <w:rFonts w:ascii="Arial" w:cs="Arial" w:eastAsia="Arial" w:hAnsi="Arial"/>
          <w:sz w:val="18"/>
          <w:szCs w:val="18"/>
          <w:color w:val="auto"/>
        </w:rPr>
        <w:t xml:space="preserve">Without the pension credit, corporate office expenses declined in the first six months of 2016 due primarily to lower compensation costs. </w:t>
      </w:r>
      <w:r>
        <w:rPr>
          <w:rFonts w:ascii="Arial" w:cs="Arial" w:eastAsia="Arial" w:hAnsi="Arial"/>
          <w:sz w:val="18"/>
          <w:szCs w:val="18"/>
          <w:b w:val="1"/>
          <w:bCs w:val="1"/>
          <w:u w:val="single" w:color="auto"/>
          <w:color w:val="auto"/>
        </w:rPr>
        <w:t>Equity in Earnings (Losses) of Affiliates</w:t>
      </w:r>
    </w:p>
    <w:p>
      <w:pPr>
        <w:ind w:right="180"/>
        <w:spacing w:after="0" w:line="227" w:lineRule="auto"/>
        <w:rPr>
          <w:sz w:val="20"/>
          <w:szCs w:val="20"/>
          <w:color w:val="auto"/>
        </w:rPr>
      </w:pPr>
      <w:r>
        <w:rPr>
          <w:rFonts w:ascii="Arial" w:cs="Arial" w:eastAsia="Arial" w:hAnsi="Arial"/>
          <w:sz w:val="18"/>
          <w:szCs w:val="18"/>
          <w:color w:val="auto"/>
        </w:rPr>
        <w:t>At June 30, 2016, the Company held interests in a number of home health and hospice joint ventures, and interests in several other affiliates. The Company recorded equity in losses of affiliates of $0.9 million for the second quarter of 2016, compared to losses of $0.4 million for the second quarter of 2015. The Company recorded equity in earnings of affiliates of $0.1 million for the first six months of 2016, compared to losses of $0.8 million for the first six months of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66"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The Company recorded total other non-operating income, net, of $19.0 million for the second quarter of 2016, compared to $11.7 million for the second quarter of 2015. The 2016 amounts included a $34.1 million gain on the sale of land; a $ 4.5 million gain on the sale of marketable equity securities; a $3.2 million gain on the Residential joint venture transaction and other items, offset by $24.1 million in unrealized foreign currency losses. The 2015</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62" w:right="259" w:bottom="1440" w:gutter="0" w:footer="0" w:header="0"/>
        </w:sectPr>
      </w:pPr>
    </w:p>
    <w:bookmarkStart w:id="9" w:name="page10"/>
    <w:bookmarkEnd w:id="9"/>
    <w:p>
      <w:pPr>
        <w:ind w:right="220"/>
        <w:spacing w:after="0" w:line="235" w:lineRule="auto"/>
        <w:rPr>
          <w:sz w:val="20"/>
          <w:szCs w:val="20"/>
          <w:color w:val="auto"/>
        </w:rPr>
      </w:pPr>
      <w:r>
        <w:rPr>
          <w:rFonts w:ascii="Arial" w:cs="Arial" w:eastAsia="Arial" w:hAnsi="Arial"/>
          <w:sz w:val="18"/>
          <w:szCs w:val="18"/>
          <w:color w:val="auto"/>
        </w:rPr>
        <w:t>amounts included $7.7 million in gains from the sales of businesses and an investment, $3.6 million in unrealized foreign currency gains and other items.</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 recorded total other non-operating income, net, of $34.1 million for the first six months of 2016, compared to $10.6 million for the first six months of 2015. The 2016 amounts included a $34.1 million gain on the sale of land; an $18.9 million gain on the sale of a business; a $6.3 million gain on the sale of marketable equity securities; a $3.2 million gain on the Residential joint venture transaction and other items, offset by $29.5 million in unrealized foreign currency losses. The 2015 amounts included a $6.0 million gain on the Celtic joint venture transaction, $7.7 million in gains from the sales of businesses and an investment, and other items, offset by $3.2 million in unrealized foreign currency losses.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The Company incurred net interest expense of $7.3 million and $14.6 million for the second quarter and first six months of 2016, respectively, compared to $8.0 million and $16.0 million for the second quarter and first six months of 2015. At June 30, 2016, the Company had $ 400.0 million in borrowings outstanding at an average interest rate of 7.2% and cash, marketable equity securities and other investments of $999.8 million.</w:t>
      </w:r>
    </w:p>
    <w:p>
      <w:pPr>
        <w:spacing w:after="0" w:line="135"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In July 2016, a Kaplan UK company entered into a 4-year loan agreement for a £75 million borrowing. The overall effective interest rate is 2.01%, taking into account an interest rate swap agreement the Company entered into on the same date as the borrowing.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Company's effective tax rate for the first six months of 2016 was 31.7%, compared with 34.8% for the first six months of 2015. In the second quarter of 2016, the Company benefited from a favorable $5.6 million out of period deferred tax adjustment related to the KHE goodwill impairment recorded in the third quarter of 2015. Excluding this adjustment, the Company's effective tax rate for the first six months of 2016 was 35.6%.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4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2015, the Company completed the spin-off of Cable ONE as an independent, publicly traded company and the sale of a school in China that was previously part of Kaplan International.</w:t>
      </w:r>
    </w:p>
    <w:p>
      <w:pPr>
        <w:spacing w:after="0" w:line="21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As a result of these transactions, income from continuing operations excludes the operating results and related loss, if any, on dispositions of these businesses, which have been reclassified to discontinued operations, net of tax, in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calculation of diluted earnings per share for the second quarter and first six months of 2016 was based on 5,574,336 and 5,612,959 weighted average shares outstanding, respectively, compared to 5,804,511 and 5,797,756 for the second quarter and first six months of 2015. At June 30, 2016, there were 5,617,444 shares outstanding. On May 14, 2015, the Board of Directors authorized the Company to acquire up to 500,000 shares of its Class B common stock; the Company has remaining authorization for 267,528 shares as of June 30,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This press release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584" w:right="27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88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3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628,933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680,890</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532,470</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587,533</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16,045</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25,609</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0"/>
        </w:trPr>
        <w:tc>
          <w:tcPr>
            <w:tcW w:w="83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6,278</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4,647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6,876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74,140</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56,225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Equity in losses of affiliates, net</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(891)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721</w:t>
            </w:r>
          </w:p>
        </w:tc>
        <w:tc>
          <w:tcPr>
            <w:tcW w:w="340" w:type="dxa"/>
            <w:vAlign w:val="bottom"/>
          </w:tcPr>
          <w:p>
            <w:pPr>
              <w:spacing w:after="0"/>
              <w:rPr>
                <w:sz w:val="23"/>
                <w:szCs w:val="23"/>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323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(7,971)</w:t>
            </w:r>
          </w:p>
        </w:tc>
        <w:tc>
          <w:tcPr>
            <w:tcW w:w="3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(8,348)</w:t>
            </w:r>
          </w:p>
        </w:tc>
        <w:tc>
          <w:tcPr>
            <w:tcW w:w="880" w:type="dxa"/>
            <w:vAlign w:val="bottom"/>
          </w:tcPr>
          <w:p>
            <w:pPr>
              <w:jc w:val="right"/>
              <w:ind w:right="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19,000</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11,678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84,999</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59,525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23,800</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19,600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61,199</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39,925</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18,502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61,199</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58,427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(433)</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57,993</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83"/>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57,782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39,280</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18,502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60,766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57,782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6.74</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3.18</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9.92</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34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Pr>
          <w:p>
            <w:pPr>
              <w:spacing w:after="0"/>
              <w:rPr>
                <w:sz w:val="20"/>
                <w:szCs w:val="20"/>
                <w:color w:val="auto"/>
              </w:rPr>
            </w:pP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5,544</w:t>
            </w:r>
          </w:p>
        </w:tc>
        <w:tc>
          <w:tcPr>
            <w:tcW w:w="3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5,720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0"/>
              <w:spacing w:after="0"/>
              <w:rPr>
                <w:sz w:val="20"/>
                <w:szCs w:val="20"/>
                <w:color w:val="auto"/>
              </w:rPr>
            </w:pPr>
            <w:r>
              <w:rPr>
                <w:rFonts w:ascii="Arial" w:cs="Arial" w:eastAsia="Arial" w:hAnsi="Arial"/>
                <w:sz w:val="16"/>
                <w:szCs w:val="16"/>
                <w:b w:val="1"/>
                <w:bCs w:val="1"/>
                <w:color w:val="auto"/>
              </w:rPr>
              <w:t>10.76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6.71</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83"/>
        </w:trPr>
        <w:tc>
          <w:tcPr>
            <w:tcW w:w="834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3.16</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34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10.76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9.87</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5,574</w:t>
            </w:r>
          </w:p>
        </w:tc>
        <w:tc>
          <w:tcPr>
            <w:tcW w:w="3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5,805</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760" w:right="259" w:bottom="1440" w:gutter="0" w:footer="0" w:header="0"/>
        </w:sectPr>
      </w:pPr>
    </w:p>
    <w:bookmarkStart w:id="11" w:name="page12"/>
    <w:bookmarkEnd w:id="11"/>
    <w:p>
      <w:pPr>
        <w:jc w:val="center"/>
        <w:ind w:right="90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900" w:type="dxa"/>
            <w:vAlign w:val="bottom"/>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50"/>
        </w:trPr>
        <w:tc>
          <w:tcPr>
            <w:tcW w:w="8120" w:type="dxa"/>
            <w:vAlign w:val="bottom"/>
          </w:tcPr>
          <w:p>
            <w:pPr>
              <w:ind w:left="40"/>
              <w:spacing w:after="0"/>
              <w:rPr>
                <w:sz w:val="20"/>
                <w:szCs w:val="20"/>
                <w:color w:val="auto"/>
              </w:rPr>
            </w:pPr>
            <w:r>
              <w:rPr>
                <w:rFonts w:ascii="Arial" w:cs="Arial" w:eastAsia="Arial" w:hAnsi="Arial"/>
                <w:sz w:val="16"/>
                <w:szCs w:val="16"/>
                <w:color w:val="auto"/>
              </w:rPr>
              <w:t>Operating revenues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1,230,673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1,328,315</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1,059,315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1,199,161</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Depreciation of property, plant and equipment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32,806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47,806</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12,540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9,385</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6,876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126,012</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65,087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Equity in earnings (losses) of affiliates, net</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113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1,312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3"/>
                <w:szCs w:val="23"/>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(15,919)</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(16,849)</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Other income, net</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34,096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10,573</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145,614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58,936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46,200</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20,500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from continuing operations</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99,414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38,436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41,791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99,414</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80,227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(868)</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w:t>
            </w:r>
          </w:p>
        </w:tc>
        <w:tc>
          <w:tcPr>
            <w:tcW w:w="22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98,546</w:t>
            </w:r>
          </w:p>
        </w:tc>
        <w:tc>
          <w:tcPr>
            <w:tcW w:w="34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79,019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83"/>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Redeemable preferred stock dividends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98,546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78,388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Income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98,546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36,597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Income from discontinued operations, net of tax</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41,791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812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98,546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78,388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80"/>
              <w:spacing w:after="0"/>
              <w:rPr>
                <w:sz w:val="20"/>
                <w:szCs w:val="20"/>
                <w:color w:val="auto"/>
              </w:rPr>
            </w:pPr>
            <w:r>
              <w:rPr>
                <w:rFonts w:ascii="Arial" w:cs="Arial" w:eastAsia="Arial" w:hAnsi="Arial"/>
                <w:sz w:val="16"/>
                <w:szCs w:val="16"/>
                <w:color w:val="auto"/>
              </w:rPr>
              <w:t>Basic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17.42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6.26</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Basic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7.21</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20" w:type="dxa"/>
            <w:vAlign w:val="bottom"/>
          </w:tcPr>
          <w:p>
            <w:pPr>
              <w:ind w:left="280"/>
              <w:spacing w:after="0"/>
              <w:rPr>
                <w:sz w:val="20"/>
                <w:szCs w:val="20"/>
                <w:color w:val="auto"/>
              </w:rPr>
            </w:pPr>
            <w:r>
              <w:rPr>
                <w:rFonts w:ascii="Arial" w:cs="Arial" w:eastAsia="Arial" w:hAnsi="Arial"/>
                <w:sz w:val="16"/>
                <w:szCs w:val="16"/>
                <w:color w:val="auto"/>
              </w:rPr>
              <w:t>Basic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17.42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13.47</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280"/>
              <w:spacing w:after="0"/>
              <w:rPr>
                <w:sz w:val="20"/>
                <w:szCs w:val="20"/>
                <w:color w:val="auto"/>
              </w:rPr>
            </w:pPr>
            <w:r>
              <w:rPr>
                <w:rFonts w:ascii="Arial" w:cs="Arial" w:eastAsia="Arial" w:hAnsi="Arial"/>
                <w:sz w:val="16"/>
                <w:szCs w:val="16"/>
                <w:color w:val="auto"/>
              </w:rPr>
              <w:t>Basic average number of common shares outstanding</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5,584</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5,712</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8120" w:type="dxa"/>
            <w:vAlign w:val="bottom"/>
          </w:tcPr>
          <w:p>
            <w:pPr>
              <w:ind w:left="280"/>
              <w:spacing w:after="0"/>
              <w:rPr>
                <w:sz w:val="20"/>
                <w:szCs w:val="20"/>
                <w:color w:val="auto"/>
              </w:rPr>
            </w:pPr>
            <w:r>
              <w:rPr>
                <w:rFonts w:ascii="Arial" w:cs="Arial" w:eastAsia="Arial" w:hAnsi="Arial"/>
                <w:sz w:val="16"/>
                <w:szCs w:val="16"/>
                <w:color w:val="auto"/>
              </w:rPr>
              <w:t>Diluted income per common share from continuing operations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17.33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6.22</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3"/>
        </w:trPr>
        <w:tc>
          <w:tcPr>
            <w:tcW w:w="8120" w:type="dxa"/>
            <w:vAlign w:val="bottom"/>
          </w:tcPr>
          <w:p>
            <w:pPr>
              <w:ind w:left="280"/>
              <w:spacing w:after="0"/>
              <w:rPr>
                <w:sz w:val="20"/>
                <w:szCs w:val="20"/>
                <w:color w:val="auto"/>
              </w:rPr>
            </w:pPr>
            <w:r>
              <w:rPr>
                <w:rFonts w:ascii="Arial" w:cs="Arial" w:eastAsia="Arial" w:hAnsi="Arial"/>
                <w:sz w:val="16"/>
                <w:szCs w:val="16"/>
                <w:color w:val="auto"/>
              </w:rPr>
              <w:t>Diluted income per common share from discontinued operations</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7"/>
        </w:trPr>
        <w:tc>
          <w:tcPr>
            <w:tcW w:w="8120" w:type="dxa"/>
            <w:vAlign w:val="bottom"/>
          </w:tcPr>
          <w:p>
            <w:pPr>
              <w:ind w:left="280"/>
              <w:spacing w:after="0"/>
              <w:rPr>
                <w:sz w:val="20"/>
                <w:szCs w:val="20"/>
                <w:color w:val="auto"/>
              </w:rPr>
            </w:pPr>
            <w:r>
              <w:rPr>
                <w:rFonts w:ascii="Arial" w:cs="Arial" w:eastAsia="Arial" w:hAnsi="Arial"/>
                <w:sz w:val="16"/>
                <w:szCs w:val="16"/>
                <w:color w:val="auto"/>
              </w:rPr>
              <w:t>Diluted net income per common share</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17.33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13.40</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20" w:type="dxa"/>
            <w:vAlign w:val="bottom"/>
          </w:tcPr>
          <w:p>
            <w:pPr>
              <w:ind w:left="280"/>
              <w:spacing w:after="0"/>
              <w:rPr>
                <w:sz w:val="20"/>
                <w:szCs w:val="20"/>
                <w:color w:val="auto"/>
              </w:rPr>
            </w:pPr>
            <w:r>
              <w:rPr>
                <w:rFonts w:ascii="Arial" w:cs="Arial" w:eastAsia="Arial" w:hAnsi="Arial"/>
                <w:sz w:val="16"/>
                <w:szCs w:val="16"/>
                <w:color w:val="auto"/>
              </w:rPr>
              <w:t>Diluted average number of common shares outstanding</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5,613</w:t>
            </w: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5,798</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760"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BUSINESS SEGMENT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419,213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523,625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820,289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1,024,227</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96,520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90,753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188,538</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174,317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113,269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66,512</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221,985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129,771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71</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628,933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680,890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1,230,673</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1,328,315</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386,321</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507,777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772,909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1,031,228</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52,305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48,739</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103,103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93,741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118,331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68,673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72</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232,777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137,094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(2,095)</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(3,989)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1,165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554,793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624,665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1,104,661</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1,263,228</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32,892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15,848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47,380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44,215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42,014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85,435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80,576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(5,062)</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(10,792)</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(7,323)</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2,095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3,989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74,140</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56,225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32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126,012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65,087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94</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10,242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21,980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(53)</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21,345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40,508</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2,450</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2,125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4,827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4,234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3,073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1,254</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6,100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280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534</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16,045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25,609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32,806</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47,806</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184"/>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5"/>
        </w:trPr>
        <w:tc>
          <w:tcPr>
            <w:tcW w:w="4920" w:type="dxa"/>
            <w:vAlign w:val="bottom"/>
          </w:tcPr>
          <w:p>
            <w:pPr>
              <w:ind w:left="2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1,704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8,343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(80)</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9,850</w:t>
            </w:r>
          </w:p>
        </w:tc>
        <w:tc>
          <w:tcPr>
            <w:tcW w:w="9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4,511</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3,117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45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9,029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6,285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44</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6,278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11,523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(46)</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12,540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16,261</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 (Credit)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3,018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6,127</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7,894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Television broadcasting</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418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391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857</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180"/>
              <w:spacing w:after="0"/>
              <w:rPr>
                <w:sz w:val="20"/>
                <w:szCs w:val="20"/>
                <w:color w:val="auto"/>
              </w:rPr>
            </w:pPr>
            <w:r>
              <w:rPr>
                <w:rFonts w:ascii="Arial" w:cs="Arial" w:eastAsia="Arial" w:hAnsi="Arial"/>
                <w:sz w:val="16"/>
                <w:szCs w:val="16"/>
                <w:color w:val="auto"/>
              </w:rPr>
              <w:t>Other businesses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306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23"/>
                <w:szCs w:val="23"/>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560</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48</w:t>
            </w:r>
          </w:p>
        </w:tc>
      </w:tr>
      <w:tr>
        <w:trPr>
          <w:trHeight w:val="283"/>
        </w:trPr>
        <w:tc>
          <w:tcPr>
            <w:tcW w:w="4920" w:type="dxa"/>
            <w:vAlign w:val="bottom"/>
          </w:tcPr>
          <w:p>
            <w:pPr>
              <w:ind w:left="180"/>
              <w:spacing w:after="0"/>
              <w:rPr>
                <w:sz w:val="20"/>
                <w:szCs w:val="20"/>
                <w:color w:val="auto"/>
              </w:rPr>
            </w:pPr>
            <w:r>
              <w:rPr>
                <w:rFonts w:ascii="Arial" w:cs="Arial" w:eastAsia="Arial" w:hAnsi="Arial"/>
                <w:sz w:val="16"/>
                <w:szCs w:val="16"/>
                <w:color w:val="auto"/>
              </w:rPr>
              <w:t>Corporate office</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(16,008)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(31,869)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(12,266)</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(24,325)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(24,822)</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60"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6"/>
                <w:szCs w:val="16"/>
                <w:color w:val="auto"/>
              </w:rPr>
            </w:pPr>
          </w:p>
        </w:tc>
      </w:tr>
      <w:tr>
        <w:trPr>
          <w:trHeight w:val="276"/>
        </w:trPr>
        <w:tc>
          <w:tcPr>
            <w:tcW w:w="4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24"/>
                <w:szCs w:val="24"/>
                <w:color w:val="auto"/>
              </w:rPr>
            </w:pPr>
          </w:p>
        </w:tc>
        <w:tc>
          <w:tcPr>
            <w:tcW w:w="900" w:type="dxa"/>
            <w:vAlign w:val="bottom"/>
          </w:tcPr>
          <w:p>
            <w:pPr>
              <w:jc w:val="right"/>
              <w:ind w:right="240"/>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2015</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r>
      <w:tr>
        <w:trPr>
          <w:trHeight w:val="25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157,980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240,717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323,529</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478,285</w:t>
            </w:r>
          </w:p>
        </w:tc>
        <w:tc>
          <w:tcPr>
            <w:tcW w:w="90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79,349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80,381</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145,811</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149,607</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182,325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200,703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351,612</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392,784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1,959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143</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3,818</w:t>
            </w:r>
          </w:p>
        </w:tc>
        <w:tc>
          <w:tcPr>
            <w:tcW w:w="9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(806)</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419,213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523,625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820,289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1,024,227</w:t>
            </w: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140,743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215,953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284,986</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452,928</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72,313</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73,302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141,085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146,862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165,846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183,130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330,236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367,494</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6,125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27,210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13,974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54,419</w:t>
            </w: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1,704</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1,467</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2,974</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6,876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(410)</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(757)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386,321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507,777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772,909</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1,031,228</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17,237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24,764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38,543</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25,357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7,036</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7,079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4,726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2,745</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16,479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17,573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21,376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25,290</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(6,107)</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(25,251)</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76</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(13,831)</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(50,601)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73</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23"/>
                <w:szCs w:val="23"/>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b w:val="1"/>
                <w:bCs w:val="1"/>
                <w:color w:val="auto"/>
              </w:rPr>
              <w:t>(1,704)</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(3,385)</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(2,974)</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(6,876)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(6,876)</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32,892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15,848</w:t>
            </w:r>
          </w:p>
        </w:tc>
        <w:tc>
          <w:tcPr>
            <w:tcW w:w="10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47,380</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(7,001)</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3,993</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4,794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(17)</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8,168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9,622</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1,615</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2,263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(29)</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3,396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5,153</w:t>
            </w:r>
          </w:p>
        </w:tc>
        <w:tc>
          <w:tcPr>
            <w:tcW w:w="9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4,319</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5,073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9,379</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9,727</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315</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9,850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(97)</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402</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16,006</w:t>
            </w: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10,242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21,980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21,345</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40,508</w:t>
            </w: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1"/>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Higher education</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1,905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2,532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3,810</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5,064</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Test preparation</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768</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775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1,536</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1,550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920" w:type="dxa"/>
            <w:vAlign w:val="bottom"/>
          </w:tcPr>
          <w:p>
            <w:pPr>
              <w:ind w:left="28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spacing w:after="0"/>
              <w:rPr>
                <w:sz w:val="23"/>
                <w:szCs w:val="23"/>
                <w:color w:val="auto"/>
              </w:rPr>
            </w:pPr>
          </w:p>
        </w:tc>
        <w:tc>
          <w:tcPr>
            <w:tcW w:w="880" w:type="dxa"/>
            <w:vAlign w:val="bottom"/>
          </w:tcPr>
          <w:p>
            <w:pPr>
              <w:jc w:val="right"/>
              <w:ind w:right="100"/>
              <w:spacing w:after="0"/>
              <w:rPr>
                <w:sz w:val="20"/>
                <w:szCs w:val="20"/>
                <w:color w:val="auto"/>
              </w:rPr>
            </w:pPr>
            <w:r>
              <w:rPr>
                <w:rFonts w:ascii="Arial" w:cs="Arial" w:eastAsia="Arial" w:hAnsi="Arial"/>
                <w:sz w:val="16"/>
                <w:szCs w:val="16"/>
                <w:b w:val="1"/>
                <w:bCs w:val="1"/>
                <w:color w:val="auto"/>
              </w:rPr>
              <w:t>67</w:t>
            </w:r>
          </w:p>
        </w:tc>
        <w:tc>
          <w:tcPr>
            <w:tcW w:w="3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(37)</w:t>
            </w:r>
          </w:p>
        </w:tc>
        <w:tc>
          <w:tcPr>
            <w:tcW w:w="26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134</w:t>
            </w:r>
          </w:p>
        </w:tc>
        <w:tc>
          <w:tcPr>
            <w:tcW w:w="34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83"/>
        </w:trPr>
        <w:tc>
          <w:tcPr>
            <w:tcW w:w="4920" w:type="dxa"/>
            <w:vAlign w:val="bottom"/>
          </w:tcPr>
          <w:p>
            <w:pPr>
              <w:ind w:left="28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278</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534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647</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64"/>
        </w:trPr>
        <w:tc>
          <w:tcPr>
            <w:tcW w:w="49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3,018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6,127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7,894</w:t>
            </w: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6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In addition to the results reported in accordance with accounting principles generally accepted in the United States (GAAP) included in this press release, the Company has provided information regarding income from continuing operations, excluding certain items described below, reconciled to the most directly comparable GAAP measures. Management believes that these non-GAAP measures, when read in conjunction with the Company’s GAAP financials, provide useful information to investors by offering:</w:t>
      </w:r>
    </w:p>
    <w:p>
      <w:pPr>
        <w:spacing w:after="0" w:line="13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44" w:lineRule="exact"/>
        <w:rPr>
          <w:sz w:val="20"/>
          <w:szCs w:val="20"/>
          <w:color w:val="auto"/>
        </w:rPr>
      </w:pPr>
    </w:p>
    <w:p>
      <w:pPr>
        <w:ind w:right="140"/>
        <w:spacing w:after="0" w:line="229" w:lineRule="auto"/>
        <w:rPr>
          <w:sz w:val="20"/>
          <w:szCs w:val="20"/>
          <w:color w:val="auto"/>
        </w:rPr>
      </w:pPr>
      <w:r>
        <w:rPr>
          <w:rFonts w:ascii="Arial" w:cs="Arial" w:eastAsia="Arial" w:hAnsi="Arial"/>
          <w:sz w:val="18"/>
          <w:szCs w:val="18"/>
          <w:color w:val="auto"/>
        </w:rPr>
        <w:t>Income from continuing operations, excluding certain items, should not be considered substitutes or alternatives to computations calculated in accordance with and required by GAAP. These non-GAAP financial measures should be read only in conjunction with financial information presented on a GAAP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non-GAAP financial measures to the most directly comparable GAAP measures: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92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7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24"/>
                <w:szCs w:val="24"/>
                <w:color w:val="auto"/>
              </w:rPr>
            </w:pPr>
          </w:p>
        </w:tc>
      </w:tr>
      <w:tr>
        <w:trPr>
          <w:trHeight w:val="264"/>
        </w:trPr>
        <w:tc>
          <w:tcPr>
            <w:tcW w:w="70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 share amounts)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2015</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2015</w:t>
            </w:r>
          </w:p>
        </w:tc>
      </w:tr>
      <w:tr>
        <w:trPr>
          <w:trHeight w:val="250"/>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Amounts attributable to Graham Holdings Company Common Stockholders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60,766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39,280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98,546</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36,597</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10,656</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17,497</w:t>
            </w:r>
          </w:p>
        </w:tc>
      </w:tr>
      <w:tr>
        <w:trPr>
          <w:trHeight w:val="276"/>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4,400</w:t>
            </w:r>
          </w:p>
        </w:tc>
        <w:tc>
          <w:tcPr>
            <w:tcW w:w="30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4,400</w:t>
            </w:r>
          </w:p>
        </w:tc>
      </w:tr>
      <w:tr>
        <w:trPr>
          <w:trHeight w:val="264"/>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22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(23,916)</w:t>
            </w:r>
          </w:p>
        </w:tc>
        <w:tc>
          <w:tcPr>
            <w:tcW w:w="360" w:type="dxa"/>
            <w:vAlign w:val="bottom"/>
          </w:tcPr>
          <w:p>
            <w:pPr>
              <w:spacing w:after="0"/>
              <w:rPr>
                <w:sz w:val="22"/>
                <w:szCs w:val="22"/>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(25,004)</w:t>
            </w:r>
          </w:p>
        </w:tc>
        <w:tc>
          <w:tcPr>
            <w:tcW w:w="36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businesses and an investment, and the formation of joint ventures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(1,655)</w:t>
            </w:r>
          </w:p>
        </w:tc>
        <w:tc>
          <w:tcPr>
            <w:tcW w:w="36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(4,957)</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(13,581)</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(8,367)</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15,414</w:t>
            </w:r>
          </w:p>
        </w:tc>
        <w:tc>
          <w:tcPr>
            <w:tcW w:w="36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(2,309)</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18,897</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2,060</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(5,631)</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(5,631)</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Income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44,978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47,070</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73,227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52,187</w:t>
            </w:r>
          </w:p>
        </w:tc>
      </w:tr>
      <w:tr>
        <w:trPr>
          <w:trHeight w:val="494"/>
        </w:trPr>
        <w:tc>
          <w:tcPr>
            <w:tcW w:w="7000" w:type="dxa"/>
            <w:vAlign w:val="bottom"/>
          </w:tcPr>
          <w:p>
            <w:pPr>
              <w:ind w:left="4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83"/>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as reported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10.76</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17.33</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6.22</w:t>
            </w:r>
          </w:p>
        </w:tc>
      </w:tr>
      <w:tr>
        <w:trPr>
          <w:trHeight w:val="251"/>
        </w:trPr>
        <w:tc>
          <w:tcPr>
            <w:tcW w:w="700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1.82</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2.99</w:t>
            </w:r>
          </w:p>
        </w:tc>
      </w:tr>
      <w:tr>
        <w:trPr>
          <w:trHeight w:val="276"/>
        </w:trPr>
        <w:tc>
          <w:tcPr>
            <w:tcW w:w="7000" w:type="dxa"/>
            <w:vAlign w:val="bottom"/>
          </w:tcPr>
          <w:p>
            <w:pPr>
              <w:ind w:left="280"/>
              <w:spacing w:after="0"/>
              <w:rPr>
                <w:sz w:val="20"/>
                <w:szCs w:val="20"/>
                <w:color w:val="auto"/>
              </w:rPr>
            </w:pPr>
            <w:r>
              <w:rPr>
                <w:rFonts w:ascii="Arial" w:cs="Arial" w:eastAsia="Arial" w:hAnsi="Arial"/>
                <w:sz w:val="16"/>
                <w:szCs w:val="16"/>
                <w:color w:val="auto"/>
              </w:rPr>
              <w:t>Impairment of long-lived assets</w:t>
            </w:r>
          </w:p>
        </w:tc>
        <w:tc>
          <w:tcPr>
            <w:tcW w:w="220" w:type="dxa"/>
            <w:vAlign w:val="bottom"/>
          </w:tcPr>
          <w:p>
            <w:pPr>
              <w:spacing w:after="0"/>
              <w:rPr>
                <w:sz w:val="24"/>
                <w:szCs w:val="24"/>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4"/>
                <w:szCs w:val="24"/>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0.75</w:t>
            </w:r>
          </w:p>
        </w:tc>
        <w:tc>
          <w:tcPr>
            <w:tcW w:w="300" w:type="dxa"/>
            <w:vAlign w:val="bottom"/>
          </w:tcPr>
          <w:p>
            <w:pPr>
              <w:spacing w:after="0"/>
              <w:rPr>
                <w:sz w:val="24"/>
                <w:szCs w:val="24"/>
                <w:color w:val="auto"/>
              </w:rPr>
            </w:pPr>
          </w:p>
        </w:tc>
        <w:tc>
          <w:tcPr>
            <w:tcW w:w="82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0.75</w:t>
            </w:r>
          </w:p>
        </w:tc>
      </w:tr>
      <w:tr>
        <w:trPr>
          <w:trHeight w:val="264"/>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land and marketable equity securities</w:t>
            </w:r>
          </w:p>
        </w:tc>
        <w:tc>
          <w:tcPr>
            <w:tcW w:w="220" w:type="dxa"/>
            <w:vAlign w:val="bottom"/>
          </w:tcPr>
          <w:p>
            <w:pPr>
              <w:spacing w:after="0"/>
              <w:rPr>
                <w:sz w:val="22"/>
                <w:szCs w:val="22"/>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(4.23)</w:t>
            </w:r>
          </w:p>
        </w:tc>
        <w:tc>
          <w:tcPr>
            <w:tcW w:w="360" w:type="dxa"/>
            <w:vAlign w:val="bottom"/>
          </w:tcPr>
          <w:p>
            <w:pPr>
              <w:spacing w:after="0"/>
              <w:rPr>
                <w:sz w:val="22"/>
                <w:szCs w:val="22"/>
                <w:color w:val="auto"/>
              </w:rPr>
            </w:pP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(4.42)</w:t>
            </w:r>
          </w:p>
        </w:tc>
        <w:tc>
          <w:tcPr>
            <w:tcW w:w="36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Gain from the sales of businesses and an investment, and the formation of joint ventures</w:t>
            </w:r>
          </w:p>
        </w:tc>
        <w:tc>
          <w:tcPr>
            <w:tcW w:w="220" w:type="dxa"/>
            <w:vAlign w:val="bottom"/>
          </w:tcPr>
          <w:p>
            <w:pPr>
              <w:spacing w:after="0"/>
              <w:rPr>
                <w:sz w:val="23"/>
                <w:szCs w:val="23"/>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b w:val="1"/>
                <w:bCs w:val="1"/>
                <w:color w:val="auto"/>
              </w:rPr>
              <w:t>(0.29)</w:t>
            </w:r>
          </w:p>
        </w:tc>
        <w:tc>
          <w:tcPr>
            <w:tcW w:w="36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(0.85)</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(2.37)</w:t>
            </w:r>
          </w:p>
        </w:tc>
        <w:tc>
          <w:tcPr>
            <w:tcW w:w="3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70"/>
        </w:trPr>
        <w:tc>
          <w:tcPr>
            <w:tcW w:w="7000" w:type="dxa"/>
            <w:vAlign w:val="bottom"/>
          </w:tcPr>
          <w:p>
            <w:pPr>
              <w:ind w:left="280"/>
              <w:spacing w:after="0"/>
              <w:rPr>
                <w:sz w:val="20"/>
                <w:szCs w:val="20"/>
                <w:color w:val="auto"/>
              </w:rPr>
            </w:pPr>
            <w:r>
              <w:rPr>
                <w:rFonts w:ascii="Arial" w:cs="Arial" w:eastAsia="Arial" w:hAnsi="Arial"/>
                <w:sz w:val="16"/>
                <w:szCs w:val="16"/>
                <w:color w:val="auto"/>
              </w:rPr>
              <w:t>Foreign currency loss (gain)</w:t>
            </w:r>
          </w:p>
        </w:tc>
        <w:tc>
          <w:tcPr>
            <w:tcW w:w="220" w:type="dxa"/>
            <w:vAlign w:val="bottom"/>
          </w:tcPr>
          <w:p>
            <w:pPr>
              <w:spacing w:after="0"/>
              <w:rPr>
                <w:sz w:val="23"/>
                <w:szCs w:val="23"/>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b w:val="1"/>
                <w:bCs w:val="1"/>
                <w:color w:val="auto"/>
              </w:rPr>
              <w:t>2.73</w:t>
            </w:r>
          </w:p>
        </w:tc>
        <w:tc>
          <w:tcPr>
            <w:tcW w:w="360" w:type="dxa"/>
            <w:vAlign w:val="bottom"/>
          </w:tcPr>
          <w:p>
            <w:pPr>
              <w:spacing w:after="0"/>
              <w:rPr>
                <w:sz w:val="23"/>
                <w:szCs w:val="23"/>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(0.39)</w:t>
            </w:r>
          </w:p>
        </w:tc>
        <w:tc>
          <w:tcPr>
            <w:tcW w:w="300" w:type="dxa"/>
            <w:vAlign w:val="bottom"/>
          </w:tcPr>
          <w:p>
            <w:pPr>
              <w:spacing w:after="0"/>
              <w:rPr>
                <w:sz w:val="23"/>
                <w:szCs w:val="23"/>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3.33</w:t>
            </w:r>
          </w:p>
        </w:tc>
        <w:tc>
          <w:tcPr>
            <w:tcW w:w="36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0.36</w:t>
            </w:r>
          </w:p>
        </w:tc>
      </w:tr>
      <w:tr>
        <w:trPr>
          <w:trHeight w:val="283"/>
        </w:trPr>
        <w:tc>
          <w:tcPr>
            <w:tcW w:w="7000" w:type="dxa"/>
            <w:vAlign w:val="bottom"/>
          </w:tcPr>
          <w:p>
            <w:pPr>
              <w:ind w:left="280"/>
              <w:spacing w:after="0"/>
              <w:rPr>
                <w:sz w:val="20"/>
                <w:szCs w:val="20"/>
                <w:color w:val="auto"/>
              </w:rPr>
            </w:pPr>
            <w:r>
              <w:rPr>
                <w:rFonts w:ascii="Arial" w:cs="Arial" w:eastAsia="Arial" w:hAnsi="Arial"/>
                <w:sz w:val="16"/>
                <w:szCs w:val="16"/>
                <w:color w:val="auto"/>
              </w:rPr>
              <w:t>Favorable out of period deferred tax adjustment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(1.00)</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7000" w:type="dxa"/>
            <w:vAlign w:val="bottom"/>
          </w:tcPr>
          <w:p>
            <w:pPr>
              <w:ind w:left="40"/>
              <w:spacing w:after="0"/>
              <w:rPr>
                <w:sz w:val="20"/>
                <w:szCs w:val="20"/>
                <w:color w:val="auto"/>
              </w:rPr>
            </w:pPr>
            <w:r>
              <w:rPr>
                <w:rFonts w:ascii="Arial" w:cs="Arial" w:eastAsia="Arial" w:hAnsi="Arial"/>
                <w:sz w:val="16"/>
                <w:szCs w:val="16"/>
                <w:color w:val="auto"/>
              </w:rPr>
              <w:t>Diluted income per common share from continuing operations, adjusted (non-GAAP)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7.97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8.04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12.87</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8.97</w:t>
            </w:r>
          </w:p>
        </w:tc>
      </w:tr>
    </w:tbl>
    <w:p>
      <w:pPr>
        <w:spacing w:after="0" w:line="2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2019-12-05T11:36:48Z</dcterms:created>
  <dcterms:modified xsi:type="dcterms:W3CDTF">2019-12-05T11:36:48Z</dcterms:modified>
</cp:coreProperties>
</file>