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80" w:space="720"/>
            <w:col w:w="2920" w:space="720"/>
            <w:col w:w="2520"/>
          </w:cols>
          <w:pgMar w:left="240" w:top="1125" w:right="299" w:bottom="1440" w:gutter="0" w:footer="0" w:header="0"/>
          <w:type w:val="continuous"/>
        </w:sectPr>
      </w:pPr>
    </w:p>
    <w:p>
      <w:pPr>
        <w:spacing w:after="0" w:line="34" w:lineRule="exact"/>
        <w:rPr>
          <w:sz w:val="24"/>
          <w:szCs w:val="24"/>
          <w:color w:val="auto"/>
        </w:rPr>
      </w:pPr>
    </w:p>
    <w:p>
      <w:pPr>
        <w:jc w:val="center"/>
        <w:ind w:left="120"/>
        <w:spacing w:after="0"/>
        <w:rPr>
          <w:sz w:val="20"/>
          <w:szCs w:val="20"/>
          <w:color w:val="auto"/>
        </w:rPr>
      </w:pPr>
      <w:r>
        <w:rPr>
          <w:rFonts w:ascii="Arial" w:cs="Arial" w:eastAsia="Arial" w:hAnsi="Arial"/>
          <w:sz w:val="16"/>
          <w:szCs w:val="16"/>
          <w:b w:val="1"/>
          <w:bCs w:val="1"/>
          <w:color w:val="auto"/>
        </w:rPr>
        <w:t>1300 North 17th Street, Suite 1700 Arlington, Virginia</w:t>
      </w:r>
    </w:p>
    <w:p>
      <w:pPr>
        <w:spacing w:after="0" w:line="50"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82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820"/>
        <w:spacing w:after="0"/>
        <w:rPr>
          <w:sz w:val="20"/>
          <w:szCs w:val="20"/>
          <w:color w:val="auto"/>
        </w:rPr>
      </w:pPr>
      <w:r>
        <w:rPr>
          <w:rFonts w:ascii="Arial" w:cs="Arial" w:eastAsia="Arial" w:hAnsi="Arial"/>
          <w:sz w:val="16"/>
          <w:szCs w:val="16"/>
          <w:b w:val="1"/>
          <w:bCs w:val="1"/>
          <w:color w:val="auto"/>
        </w:rPr>
        <w:t>(Zip Code)</w:t>
      </w:r>
    </w:p>
    <w:p>
      <w:pPr>
        <w:spacing w:after="0" w:line="222" w:lineRule="exact"/>
        <w:rPr>
          <w:sz w:val="24"/>
          <w:szCs w:val="24"/>
          <w:color w:val="auto"/>
        </w:rPr>
      </w:pPr>
    </w:p>
    <w:p>
      <w:pPr>
        <w:sectPr>
          <w:pgSz w:w="11900" w:h="16838" w:orient="portrait"/>
          <w:cols w:equalWidth="0" w:num="2">
            <w:col w:w="7000" w:space="720"/>
            <w:col w:w="3640"/>
          </w:cols>
          <w:pgMar w:left="240" w:top="1125" w:right="29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345-6300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360"/>
          </w:cols>
          <w:pgMar w:left="240" w:top="1125" w:right="29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11D1E"/>
        </w:rPr>
        <w:t xml:space="preserve">Emerging growth company </w:t>
      </w:r>
      <w:r>
        <w:rPr>
          <w:rFonts w:ascii="MS PGothic" w:cs="MS PGothic" w:eastAsia="MS PGothic" w:hAnsi="MS PGothic"/>
          <w:sz w:val="18"/>
          <w:szCs w:val="18"/>
          <w:color w:val="211D1E"/>
        </w:rPr>
        <w:t>☐</w:t>
      </w:r>
    </w:p>
    <w:p>
      <w:pPr>
        <w:spacing w:after="0" w:line="28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Issuance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May 30, 2018, Graham Holdings Company (the “Company”), a Delaware corporation, completed the issuance and sale of $400 million aggregate principal amount of 5.750% senior unsecured notes due 2026 (the “Notes”). The Notes are guaranteed, jointly and severally, on a senior unsecured basis, by certain of the Company’s existing and future domestic subsidiaries.</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will use the net proceeds from the offering, together with cash on hand, to redeem all $400 million aggregate principal amount of the Company’s existing 7.250% notes due 2019 (the “2019 Notes”).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30, 2018, the Company issued a notice of redemption to redeem on or around June 29, 2018 (the “Redemption Date”) the 2019 Notes. The 2019 Notes will be redeemed at the make-whole redemption price set forth in the indenture governing the 2019 Notes plus accrued and unpaid interest on the 2019 Notes to the Redemption Date.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Notes were sold pursuant to a purchase agreement, dated May 24, 2018 (the “Purchase Agreement”), among the Company, the guarantors named therein and J.P. Morgan Securities LLC, as representative of the several initial purchasers named therein. The Notes are governed by the terms of an indenture, dated as of May 30, 2018 (the “Indenture”), among the Company, the guarantors named therein and The Bank of New York Mellon Trust Company, N.A., as trustee.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bear interest at a rate of 5.750% per annum. The Company will pay interest on the Notes semi-annually in arrears on June 1 and December</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 of each year, beginning on December 1, 2018. The Notes will mature on June 1, 2026. The Company may redeem the Notes in whole or in part at any time at the respective redemption prices described in the Indenture. The Notes will be unsecured and will rank equally with all of the Company’s other senior unsecured and unsubordinated indebtedness from time to time outstanding.</w:t>
      </w:r>
    </w:p>
    <w:p>
      <w:pPr>
        <w:spacing w:after="0" w:line="19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foregoing descriptions of the Indenture, the Notes and the Purchase Agreement do not purport to be complete, and are qualified in their entirety by reference to the Indenture, Specimen of the Notes and Purchase Agreement, which are filed hereto as Exhibits 4.1, 4.2 and 10.1, respectively, which are incorporated herein by reference.</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Notes and the related guarantees have not been registered under the Securities Act of 1933, as amended, or any state securities laws, and, unless so registered, may not be offered or sold in the United States absent registration or an applicable exemption from registration requirements.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30, 2018, the Company and certain of the Company’s domestic subsidiaries named therein as guarantors entered into an amended and restated credit agreement providing for a U.S. $300 million five year revolving credit facility (the “Revolving Credit Facility”) with each of the lenders party thereto, certain of the Company’s foreign subsidiaries from time to time party thereto as foreign borrowers, Wells Fargo Bank, National Association, as Administrative Agent (“Wells Fargo”), JPMorgan Chase Bank, N.A., as Syndication Agent, and HSBC Bank USA, National Association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National Association, as Administrative Agent and JPMorgan Chase Bank, N.A., as Syndication Agent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 w:name="page3"/>
    <w:bookmarkEnd w:id="2"/>
    <w:p>
      <w:pPr>
        <w:ind w:right="20"/>
        <w:spacing w:after="0" w:line="285" w:lineRule="auto"/>
        <w:rPr>
          <w:sz w:val="20"/>
          <w:szCs w:val="20"/>
          <w:color w:val="auto"/>
        </w:rPr>
      </w:pPr>
      <w:r>
        <w:rPr>
          <w:rFonts w:ascii="Arial" w:cs="Arial" w:eastAsia="Arial" w:hAnsi="Arial"/>
          <w:sz w:val="16"/>
          <w:szCs w:val="16"/>
          <w:color w:val="auto"/>
        </w:rPr>
        <w:t>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(the “Multicurrency Tranche”)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 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may draw on the Revolving Credit Facility for general corporate purposes and foreign subsidiaries of the Company from time to time party to the Amended and Restated Credit Agreement may draw on the Multicurrency Tranche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lenders under the Amended and Restated Credit Agreement and their affiliates have various relationships with the Company and its subsidiaries involving the provision of financial services, including cash management, investment banking and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regarding the Notes, the Indenture, the Amended and Restated Credit Agreement and the Revolving Credit Facility provided in Item 1.01 above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30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154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 No.</w:t>
            </w:r>
          </w:p>
        </w:tc>
        <w:tc>
          <w:tcPr>
            <w:tcW w:w="986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22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32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 xml:space="preserve">Indenture, dated as of May 30, 2018, relating to the issuance by Graham Holdings Company of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400,000,000 aggregate principal</w:t>
              </w:r>
            </w:hyperlink>
          </w:p>
        </w:tc>
        <w:tc>
          <w:tcPr>
            <w:tcW w:w="540" w:type="dxa"/>
            <w:vAlign w:val="bottom"/>
            <w:tcBorders>
              <w:top w:val="single" w:sz="8" w:color="auto"/>
            </w:tcBorders>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amount of 5.750% Senior Notes due 2026.</w:t>
              </w:r>
            </w:hyperlink>
          </w:p>
        </w:tc>
        <w:tc>
          <w:tcPr>
            <w:tcW w:w="678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Specimen of 5.750% Senior Notes due 2026 (included as Exhibit A to the Indenture filed as Exhibit 4.1).</w:t>
              </w:r>
            </w:hyperlink>
          </w:p>
        </w:tc>
        <w:tc>
          <w:tcPr>
            <w:tcW w:w="2300" w:type="dxa"/>
            <w:vAlign w:val="bottom"/>
            <w:gridSpan w:val="3"/>
          </w:tcPr>
          <w:p>
            <w:pPr>
              <w:spacing w:after="0"/>
              <w:rPr>
                <w:sz w:val="24"/>
                <w:szCs w:val="24"/>
                <w:color w:val="auto"/>
              </w:rPr>
            </w:pPr>
          </w:p>
        </w:tc>
      </w:tr>
      <w:tr>
        <w:trPr>
          <w:trHeight w:val="412"/>
        </w:trPr>
        <w:tc>
          <w:tcPr>
            <w:tcW w:w="1200" w:type="dxa"/>
            <w:vAlign w:val="bottom"/>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6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Purchase Agreement, dated May 24, 2018, among Graham Holdings Company, the guarantors listed in Schedule 2 thereto and J.P.</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Morgan Securities, LLC, as representative of the initial purchasers listed in Schedule 1 thereto.</w:t>
              </w:r>
            </w:hyperlink>
          </w:p>
        </w:tc>
        <w:tc>
          <w:tcPr>
            <w:tcW w:w="480" w:type="dxa"/>
            <w:vAlign w:val="bottom"/>
          </w:tcPr>
          <w:p>
            <w:pPr>
              <w:spacing w:after="0"/>
              <w:rPr>
                <w:sz w:val="17"/>
                <w:szCs w:val="17"/>
                <w:color w:val="auto"/>
              </w:rPr>
            </w:pPr>
          </w:p>
        </w:tc>
      </w:tr>
      <w:tr>
        <w:trPr>
          <w:trHeight w:val="851"/>
        </w:trPr>
        <w:tc>
          <w:tcPr>
            <w:tcW w:w="20" w:type="dxa"/>
            <w:vAlign w:val="bottom"/>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88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3080" w:type="dxa"/>
            <w:vAlign w:val="bottom"/>
            <w:tcBorders>
              <w:top w:val="single" w:sz="8" w:color="0000EE"/>
              <w:bottom w:val="single" w:sz="8" w:color="BFBFBF"/>
            </w:tcBorders>
          </w:tcPr>
          <w:p>
            <w:pPr>
              <w:spacing w:after="0"/>
              <w:rPr>
                <w:sz w:val="24"/>
                <w:szCs w:val="24"/>
                <w:color w:val="auto"/>
              </w:rPr>
            </w:pPr>
          </w:p>
        </w:tc>
        <w:tc>
          <w:tcPr>
            <w:tcW w:w="3760" w:type="dxa"/>
            <w:vAlign w:val="bottom"/>
            <w:tcBorders>
              <w:top w:val="single" w:sz="8" w:color="0000EE"/>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176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and the documents incorporated by reference herein may contain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Graham Holdings Company</w:t>
            </w:r>
          </w:p>
        </w:tc>
      </w:tr>
      <w:tr>
        <w:trPr>
          <w:trHeight w:val="216"/>
        </w:trPr>
        <w:tc>
          <w:tcPr>
            <w:tcW w:w="570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Date: May 30, 2018</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Wallace R. Cooney</w:t>
            </w:r>
          </w:p>
        </w:tc>
      </w:tr>
      <w:tr>
        <w:trPr>
          <w:trHeight w:val="202"/>
        </w:trPr>
        <w:tc>
          <w:tcPr>
            <w:tcW w:w="5700" w:type="dxa"/>
            <w:vAlign w:val="bottom"/>
          </w:tcPr>
          <w:p>
            <w:pPr>
              <w:spacing w:after="0"/>
              <w:rPr>
                <w:sz w:val="17"/>
                <w:szCs w:val="17"/>
                <w:color w:val="auto"/>
              </w:rPr>
            </w:pPr>
          </w:p>
        </w:tc>
        <w:tc>
          <w:tcPr>
            <w:tcW w:w="446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2"/>
              </w:rPr>
              <w:t>(Signature)</w:t>
            </w:r>
          </w:p>
        </w:tc>
      </w:tr>
      <w:tr>
        <w:trPr>
          <w:trHeight w:val="216"/>
        </w:trPr>
        <w:tc>
          <w:tcPr>
            <w:tcW w:w="5700" w:type="dxa"/>
            <w:vAlign w:val="bottom"/>
          </w:tcPr>
          <w:p>
            <w:pPr>
              <w:spacing w:after="0"/>
              <w:rPr>
                <w:sz w:val="18"/>
                <w:szCs w:val="18"/>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89"/>
              </w:rPr>
              <w:t>Wallace R. Cooney</w:t>
            </w:r>
          </w:p>
        </w:tc>
      </w:tr>
      <w:tr>
        <w:trPr>
          <w:trHeight w:val="216"/>
        </w:trPr>
        <w:tc>
          <w:tcPr>
            <w:tcW w:w="5700" w:type="dxa"/>
            <w:vAlign w:val="bottom"/>
          </w:tcPr>
          <w:p>
            <w:pPr>
              <w:spacing w:after="0"/>
              <w:rPr>
                <w:sz w:val="18"/>
                <w:szCs w:val="18"/>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700" w:type="dxa"/>
            <w:vAlign w:val="bottom"/>
          </w:tcPr>
          <w:p>
            <w:pPr>
              <w:spacing w:after="0"/>
              <w:rPr>
                <w:sz w:val="20"/>
                <w:szCs w:val="20"/>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80"/>
          </w:cols>
          <w:pgMar w:left="240" w:top="607"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234315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354330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NOTES INDENTURE</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30, 2018</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GRAHAM HOLDINGS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SUBSIDIARY GUARANTORS LISTED ON THE SIGNATURE PAGES HERETO</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5.750%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1163955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1258570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1781810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60" w:type="dxa"/>
            <w:vAlign w:val="bottom"/>
          </w:tcPr>
          <w:p>
            <w:pPr>
              <w:ind w:left="3620"/>
              <w:spacing w:after="0"/>
              <w:rPr>
                <w:sz w:val="20"/>
                <w:szCs w:val="20"/>
                <w:color w:val="auto"/>
              </w:rPr>
            </w:pPr>
            <w:r>
              <w:rPr>
                <w:rFonts w:ascii="Arial" w:cs="Arial" w:eastAsia="Arial" w:hAnsi="Arial"/>
                <w:sz w:val="18"/>
                <w:szCs w:val="18"/>
                <w:color w:val="auto"/>
              </w:rPr>
              <w:t>TABLE OF CONTENTS</w:t>
            </w: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8840" w:type="dxa"/>
            <w:vAlign w:val="bottom"/>
            <w:gridSpan w:val="3"/>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2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Definitions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1.01</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Other Definitions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Rules of Construction</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1.03</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Acts of Holders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THE NOTES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Form and Dating; Terms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Execution and Authentication</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2.02</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Registrar and Paying Agent</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Paying Agent to Hold Money in Trust</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2.04</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Holder Lists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Transfer and Exchange</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2.06</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Replacement Notes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Outstanding Notes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2.08</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Treasury Notes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2.09</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Temporary Notes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2.10</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Cancellation</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Defaulted Interest</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2.12</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CUSIP and ISIN Numbers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REDEMPTION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Notices to Trustee</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3.01</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Selection of Notes to Be Redeemed or Purchased</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3.02</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Notice of Redemption</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3.03</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Effect of Notice of Redemption</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3.04</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Deposit of Redemption or Purchase Price</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3.05</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Notes Redeemed or Purchased in Part</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3.06</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Optional Redemption</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3.07</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Mandatory Redemption</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3.08</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Payment of Notes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4.01</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Maintenance of Office or Agency</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4.02</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Taxes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4.03</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Stay, Extension and Usury Laws</w:t>
            </w:r>
          </w:p>
        </w:tc>
        <w:tc>
          <w:tcPr>
            <w:tcW w:w="2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4.04</w:t>
            </w:r>
          </w:p>
        </w:tc>
        <w:tc>
          <w:tcPr>
            <w:tcW w:w="7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Reports</w:t>
            </w:r>
          </w:p>
        </w:tc>
        <w:tc>
          <w:tcPr>
            <w:tcW w:w="2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4.05</w:t>
            </w:r>
          </w:p>
        </w:tc>
        <w:tc>
          <w:tcPr>
            <w:tcW w:w="7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Limitation on Liens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766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rPr>
                <w:sz w:val="20"/>
                <w:szCs w:val="20"/>
                <w:color w:val="auto"/>
              </w:rPr>
            </w:pPr>
            <w:r>
              <w:rPr>
                <w:rFonts w:ascii="Arial" w:cs="Arial" w:eastAsia="Arial" w:hAnsi="Arial"/>
                <w:sz w:val="18"/>
                <w:szCs w:val="18"/>
                <w:color w:val="auto"/>
              </w:rPr>
              <w:t>Future Subsidiary Guarantors</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4.07</w:t>
            </w:r>
          </w:p>
        </w:tc>
        <w:tc>
          <w:tcPr>
            <w:tcW w:w="76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Offer to Repurchase Upon Change of Control Repurchase Event</w:t>
            </w:r>
          </w:p>
        </w:tc>
        <w:tc>
          <w:tcPr>
            <w:tcW w:w="2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30"/>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76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02"/>
        </w:trPr>
        <w:tc>
          <w:tcPr>
            <w:tcW w:w="11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tcPr>
          <w:p>
            <w:pPr>
              <w:ind w:left="640"/>
              <w:spacing w:after="0" w:line="201" w:lineRule="exact"/>
              <w:rPr>
                <w:sz w:val="20"/>
                <w:szCs w:val="20"/>
                <w:color w:val="auto"/>
              </w:rPr>
            </w:pPr>
            <w:r>
              <w:rPr>
                <w:rFonts w:ascii="Arial" w:cs="Arial" w:eastAsia="Arial" w:hAnsi="Arial"/>
                <w:sz w:val="18"/>
                <w:szCs w:val="18"/>
                <w:color w:val="auto"/>
              </w:rPr>
              <w:t>Limitation on Sale/Leaseback Transactions.</w:t>
            </w:r>
          </w:p>
        </w:tc>
        <w:tc>
          <w:tcPr>
            <w:tcW w:w="2580" w:type="dxa"/>
            <w:vAlign w:val="bottom"/>
          </w:tcPr>
          <w:p>
            <w:pPr>
              <w:jc w:val="right"/>
              <w:spacing w:after="0" w:line="201" w:lineRule="exact"/>
              <w:rPr>
                <w:sz w:val="20"/>
                <w:szCs w:val="20"/>
                <w:color w:val="auto"/>
              </w:rPr>
            </w:pPr>
            <w:r>
              <w:rPr>
                <w:rFonts w:ascii="Arial" w:cs="Arial" w:eastAsia="Arial" w:hAnsi="Arial"/>
                <w:sz w:val="18"/>
                <w:szCs w:val="18"/>
                <w:color w:val="auto"/>
              </w:rPr>
              <w:t>26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4.09</w:t>
            </w:r>
          </w:p>
        </w:tc>
        <w:tc>
          <w:tcPr>
            <w:tcW w:w="76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02"/>
        </w:trPr>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Compliance Certificate</w:t>
            </w:r>
          </w:p>
        </w:tc>
        <w:tc>
          <w:tcPr>
            <w:tcW w:w="2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w:t>
            </w:r>
          </w:p>
        </w:tc>
      </w:tr>
      <w:tr>
        <w:trPr>
          <w:trHeight w:val="230"/>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76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gridSpan w:val="3"/>
          </w:tcPr>
          <w:p>
            <w:pPr>
              <w:spacing w:after="0"/>
              <w:rPr>
                <w:sz w:val="20"/>
                <w:szCs w:val="20"/>
                <w:color w:val="auto"/>
              </w:rPr>
            </w:pPr>
            <w:r>
              <w:rPr>
                <w:rFonts w:ascii="Arial" w:cs="Arial" w:eastAsia="Arial" w:hAnsi="Arial"/>
                <w:sz w:val="18"/>
                <w:szCs w:val="18"/>
                <w:color w:val="auto"/>
              </w:rPr>
              <w:t>ARTICLE 5 MERGER AND CONSOLIDATION</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Merger, Consolidation or Sale of All or Substantially All Assets</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5.01</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ARTICLE 6 DEFAULTS AND REMEDIES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Events of Default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6.01</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Acceleration</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6.02</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Other Remedies</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6.03</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Waiver of Past Defaults</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Control by Majority</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6.05</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Limitation on Suits</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6.06</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Rights of Holders to Receive Payment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6.07</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Collection Suit by Trustee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6.08</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Restoration of Rights and Remedies</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6.09</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Rights and Remedies Cumulative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6.10</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Delay or Omission Not Waiver</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6.11</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Trustee May File Proofs of Claim</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6.12</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Priorities</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6.13</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Undertaking for Costs</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6.14</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5"/>
              </w:rPr>
              <w:t>ARTICLE 7 TRUSTEE</w:t>
            </w:r>
          </w:p>
        </w:tc>
        <w:tc>
          <w:tcPr>
            <w:tcW w:w="8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Duties of Trustee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7.01</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Rights of Trustee</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7.02</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Individual Rights of Trustee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7.03</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Trustee’s Disclaimer</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7.04</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Notice of Defaults</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7.05</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Compensation and Indemnity</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7.06</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Replacement of Trustee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7.07</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Successor Trustee by Merger, etc.</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7.08</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Eligibility; Disqualification</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7.09</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8 LEGAL DEFEASANCE AND COVENANT DEFEASANCE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Option to Effect Legal Defeasance or Covenant Defeasance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8.01</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Legal Defeasance and Discharge</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8.02</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Covenant Defeasance</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8.03</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Conditions to Legal or Covenant Defeasance</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8.04</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Deposited Money and U.S. Government Obligations to Be Held in Trust; Other Miscellaneous</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8.05</w:t>
            </w:r>
          </w:p>
        </w:tc>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Provisions</w:t>
            </w: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tcPr>
          <w:p>
            <w:pPr>
              <w:ind w:left="40"/>
              <w:spacing w:after="0" w:line="201" w:lineRule="exact"/>
              <w:rPr>
                <w:sz w:val="20"/>
                <w:szCs w:val="20"/>
                <w:color w:val="auto"/>
              </w:rPr>
            </w:pPr>
            <w:r>
              <w:rPr>
                <w:rFonts w:ascii="Arial" w:cs="Arial" w:eastAsia="Arial" w:hAnsi="Arial"/>
                <w:sz w:val="18"/>
                <w:szCs w:val="18"/>
                <w:color w:val="auto"/>
              </w:rPr>
              <w:t>Repayment to the Company</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8.06</w:t>
            </w:r>
          </w:p>
        </w:tc>
        <w:tc>
          <w:tcPr>
            <w:tcW w:w="8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Reinstatement</w:t>
            </w:r>
          </w:p>
        </w:tc>
        <w:tc>
          <w:tcPr>
            <w:tcW w:w="1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8.07</w:t>
            </w:r>
          </w:p>
        </w:tc>
        <w:tc>
          <w:tcPr>
            <w:tcW w:w="8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81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1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9 AMENDMENT, SUPPLEMENT AND WAIVER</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67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Without Consent of Holders</w:t>
            </w:r>
          </w:p>
        </w:tc>
        <w:tc>
          <w:tcPr>
            <w:tcW w:w="3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9.01</w:t>
            </w:r>
          </w:p>
        </w:tc>
        <w:tc>
          <w:tcPr>
            <w:tcW w:w="67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6720" w:type="dxa"/>
            <w:vAlign w:val="bottom"/>
          </w:tcPr>
          <w:p>
            <w:pPr>
              <w:ind w:left="640"/>
              <w:spacing w:after="0" w:line="201" w:lineRule="exact"/>
              <w:rPr>
                <w:sz w:val="20"/>
                <w:szCs w:val="20"/>
                <w:color w:val="auto"/>
              </w:rPr>
            </w:pPr>
            <w:r>
              <w:rPr>
                <w:rFonts w:ascii="Arial" w:cs="Arial" w:eastAsia="Arial" w:hAnsi="Arial"/>
                <w:sz w:val="18"/>
                <w:szCs w:val="18"/>
                <w:color w:val="auto"/>
              </w:rPr>
              <w:t>With Consent of Holders</w:t>
            </w:r>
          </w:p>
        </w:tc>
        <w:tc>
          <w:tcPr>
            <w:tcW w:w="3540" w:type="dxa"/>
            <w:vAlign w:val="bottom"/>
          </w:tcPr>
          <w:p>
            <w:pPr>
              <w:jc w:val="right"/>
              <w:spacing w:after="0" w:line="201"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9.02</w:t>
            </w:r>
          </w:p>
        </w:tc>
        <w:tc>
          <w:tcPr>
            <w:tcW w:w="6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67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Revocation and Effect of Consents</w:t>
            </w:r>
          </w:p>
        </w:tc>
        <w:tc>
          <w:tcPr>
            <w:tcW w:w="3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9.03</w:t>
            </w:r>
          </w:p>
        </w:tc>
        <w:tc>
          <w:tcPr>
            <w:tcW w:w="67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6720" w:type="dxa"/>
            <w:vAlign w:val="bottom"/>
          </w:tcPr>
          <w:p>
            <w:pPr>
              <w:ind w:left="640"/>
              <w:spacing w:after="0" w:line="201" w:lineRule="exact"/>
              <w:rPr>
                <w:sz w:val="20"/>
                <w:szCs w:val="20"/>
                <w:color w:val="auto"/>
              </w:rPr>
            </w:pPr>
            <w:r>
              <w:rPr>
                <w:rFonts w:ascii="Arial" w:cs="Arial" w:eastAsia="Arial" w:hAnsi="Arial"/>
                <w:sz w:val="18"/>
                <w:szCs w:val="18"/>
                <w:color w:val="auto"/>
              </w:rPr>
              <w:t>Notation on or Exchange of Notes</w:t>
            </w:r>
          </w:p>
        </w:tc>
        <w:tc>
          <w:tcPr>
            <w:tcW w:w="354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9.04</w:t>
            </w:r>
          </w:p>
        </w:tc>
        <w:tc>
          <w:tcPr>
            <w:tcW w:w="6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67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Trustee to Sign Amendments, etc.</w:t>
            </w:r>
          </w:p>
        </w:tc>
        <w:tc>
          <w:tcPr>
            <w:tcW w:w="3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9.05</w:t>
            </w:r>
          </w:p>
        </w:tc>
        <w:tc>
          <w:tcPr>
            <w:tcW w:w="67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rPr>
                <w:sz w:val="20"/>
                <w:szCs w:val="20"/>
                <w:color w:val="auto"/>
              </w:rPr>
            </w:pPr>
            <w:r>
              <w:rPr>
                <w:rFonts w:ascii="Arial" w:cs="Arial" w:eastAsia="Arial" w:hAnsi="Arial"/>
                <w:sz w:val="18"/>
                <w:szCs w:val="18"/>
                <w:color w:val="auto"/>
              </w:rPr>
              <w:t>Payment for Consent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9.06</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Notice of Amendments, etc.</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9.07</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10 GUARANTEES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Guarantee</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10.01</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Limitation on Subsidiary Guarantor Liability</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10.02</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Execution and Delivery</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10.03</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Subrogation</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10.04</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Benefits Acknowledged</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10.05</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Release of Subsidiary Guarantees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10.06</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Satisfaction and Discharge</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11.01</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Application of Trust Money</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11.02</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12 MISCELLANEOUS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Notices</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12.01</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Certificate and Opinion as to Conditions Precedent</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12.02</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Statements Required in Certificate or Opinion</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12.03</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Rules by Trustee and Agents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12.04</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No Personal Liability of Directors, Officers, Employees, Members, Partners and Stockholders</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12.05</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Governing Law</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12.06</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Waiver of Jury Trial</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12.07</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Force Majeure</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12.08</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No Adverse Interpretation of Other Agreements</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12.09</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Successors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12.10</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Severability</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12.11</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Counterpart Originals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12.12</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Table of Contents, Headings, etc.</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12.13</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Facsimile and PDF Delivery of Signature Pages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12.14</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U.S.A. PATRIOT Act</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12.15</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tcPr>
          <w:p>
            <w:pPr>
              <w:ind w:left="600"/>
              <w:spacing w:after="0" w:line="201" w:lineRule="exact"/>
              <w:rPr>
                <w:sz w:val="20"/>
                <w:szCs w:val="20"/>
                <w:color w:val="auto"/>
              </w:rPr>
            </w:pPr>
            <w:r>
              <w:rPr>
                <w:rFonts w:ascii="Arial" w:cs="Arial" w:eastAsia="Arial" w:hAnsi="Arial"/>
                <w:sz w:val="18"/>
                <w:szCs w:val="18"/>
                <w:color w:val="auto"/>
              </w:rPr>
              <w:t>Payments Due on Non-Business Days</w:t>
            </w:r>
          </w:p>
        </w:tc>
        <w:tc>
          <w:tcPr>
            <w:tcW w:w="154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12.16</w:t>
            </w:r>
          </w:p>
        </w:tc>
        <w:tc>
          <w:tcPr>
            <w:tcW w:w="8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FATCA</w:t>
            </w: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12.17</w:t>
            </w:r>
          </w:p>
        </w:tc>
        <w:tc>
          <w:tcPr>
            <w:tcW w:w="87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Appendix A</w:t>
            </w:r>
          </w:p>
        </w:tc>
        <w:tc>
          <w:tcPr>
            <w:tcW w:w="10060" w:type="dxa"/>
            <w:vAlign w:val="bottom"/>
          </w:tcPr>
          <w:p>
            <w:pPr>
              <w:ind w:left="460"/>
              <w:spacing w:after="0"/>
              <w:rPr>
                <w:sz w:val="20"/>
                <w:szCs w:val="20"/>
                <w:color w:val="auto"/>
              </w:rPr>
            </w:pPr>
            <w:r>
              <w:rPr>
                <w:rFonts w:ascii="Arial" w:cs="Arial" w:eastAsia="Arial" w:hAnsi="Arial"/>
                <w:sz w:val="18"/>
                <w:szCs w:val="18"/>
                <w:color w:val="auto"/>
              </w:rPr>
              <w:t>Provisions Relating to Initial Notes and Additional Notes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10060" w:type="dxa"/>
            <w:vAlign w:val="bottom"/>
          </w:tcPr>
          <w:p>
            <w:pPr>
              <w:ind w:left="460"/>
              <w:spacing w:after="0"/>
              <w:rPr>
                <w:sz w:val="20"/>
                <w:szCs w:val="20"/>
                <w:color w:val="auto"/>
              </w:rPr>
            </w:pPr>
            <w:r>
              <w:rPr>
                <w:rFonts w:ascii="Arial" w:cs="Arial" w:eastAsia="Arial" w:hAnsi="Arial"/>
                <w:sz w:val="18"/>
                <w:szCs w:val="18"/>
                <w:color w:val="auto"/>
              </w:rPr>
              <w:t>Form of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B</w:t>
            </w:r>
          </w:p>
        </w:tc>
        <w:tc>
          <w:tcPr>
            <w:tcW w:w="10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Form of Supplemental Indenture to Be Delivered by Subsequent Subsidiary Guarantors</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60" w:type="dxa"/>
            <w:vAlign w:val="bottom"/>
          </w:tcPr>
          <w:p>
            <w:pPr>
              <w:ind w:left="4260"/>
              <w:spacing w:after="0"/>
              <w:rPr>
                <w:sz w:val="20"/>
                <w:szCs w:val="20"/>
                <w:color w:val="auto"/>
              </w:rPr>
            </w:pPr>
            <w:r>
              <w:rPr>
                <w:rFonts w:ascii="Arial" w:cs="Arial" w:eastAsia="Arial" w:hAnsi="Arial"/>
                <w:sz w:val="14"/>
                <w:szCs w:val="14"/>
                <w:color w:val="auto"/>
              </w:rPr>
              <w:t>-iv-</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40" w:type="dxa"/>
            <w:vAlign w:val="bottom"/>
            <w:tcBorders>
              <w:bottom w:val="single" w:sz="8" w:color="BFBFBF"/>
            </w:tcBorders>
          </w:tcPr>
          <w:p>
            <w:pPr>
              <w:spacing w:after="0"/>
              <w:rPr>
                <w:sz w:val="4"/>
                <w:szCs w:val="4"/>
                <w:color w:val="auto"/>
              </w:rPr>
            </w:pPr>
          </w:p>
        </w:tc>
        <w:tc>
          <w:tcPr>
            <w:tcW w:w="100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2" w:name="page13"/>
    <w:bookmarkEnd w:id="12"/>
    <w:p>
      <w:pPr>
        <w:ind w:right="320" w:firstLine="1297"/>
        <w:spacing w:after="0" w:line="277" w:lineRule="auto"/>
        <w:rPr>
          <w:sz w:val="20"/>
          <w:szCs w:val="20"/>
          <w:color w:val="auto"/>
        </w:rPr>
      </w:pPr>
      <w:r>
        <w:rPr>
          <w:rFonts w:ascii="Arial" w:cs="Arial" w:eastAsia="Arial" w:hAnsi="Arial"/>
          <w:sz w:val="18"/>
          <w:szCs w:val="18"/>
          <w:color w:val="auto"/>
        </w:rPr>
        <w:t>INDENTURE, dated as of May 30, 2018, among Graham Holdings Company,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Subsidiary Guarantors listed on the signature pages hereto and The Bank of New York Mellon Trust Company, N.A., as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52"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WHEREAS, the Company has duly authorized the creation and issue of $400,000,000 aggregate principal amount of 5.750% Senior Notes due 2026 (the “</w:t>
      </w:r>
      <w:r>
        <w:rPr>
          <w:rFonts w:ascii="Arial" w:cs="Arial" w:eastAsia="Arial" w:hAnsi="Arial"/>
          <w:sz w:val="18"/>
          <w:szCs w:val="18"/>
          <w:i w:val="1"/>
          <w:iCs w:val="1"/>
          <w:color w:val="auto"/>
        </w:rPr>
        <w:t>Initial Notes</w:t>
      </w:r>
      <w:r>
        <w:rPr>
          <w:rFonts w:ascii="Arial" w:cs="Arial" w:eastAsia="Arial" w:hAnsi="Arial"/>
          <w:sz w:val="18"/>
          <w:szCs w:val="18"/>
          <w:color w:val="auto"/>
        </w:rPr>
        <w:t>”); 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Subsidiary Guarantors have duly authorized the execution and delivery of this Indenture;</w:t>
      </w:r>
    </w:p>
    <w:p>
      <w:pPr>
        <w:spacing w:after="0" w:line="252"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NOW, THEREFORE, the Company, the Subsidiary Guarantors and the Trustee agree as follows for the benefit of each other and for the equal and ratable benefit of the Holders of the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Notes</w:t>
      </w:r>
      <w:r>
        <w:rPr>
          <w:rFonts w:ascii="Arial" w:cs="Arial" w:eastAsia="Arial" w:hAnsi="Arial"/>
          <w:sz w:val="16"/>
          <w:szCs w:val="16"/>
          <w:color w:val="auto"/>
        </w:rPr>
        <w:t>” means additional Notes (other than the Initial Notes) issued from time to time under this Indenture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2.01.</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common control with such specified Person. For the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(including, with correlative meanings, the terms “</w:t>
      </w:r>
      <w:r>
        <w:rPr>
          <w:rFonts w:ascii="Arial" w:cs="Arial" w:eastAsia="Arial" w:hAnsi="Arial"/>
          <w:sz w:val="17"/>
          <w:szCs w:val="17"/>
          <w:i w:val="1"/>
          <w:iCs w:val="1"/>
          <w:color w:val="auto"/>
        </w:rPr>
        <w:t>controlling</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when used with respect to any Person means possession, directly or indirectly, of the power to direct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policies of such Person, directly or indirectly, whether through the ownership of voting securities, by contract or otherwise; and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or Paying Agent.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 Note on any date of redemption, the greater of:</w:t>
      </w:r>
    </w:p>
    <w:p>
      <w:pPr>
        <w:spacing w:after="0" w:line="252" w:lineRule="exact"/>
        <w:rPr>
          <w:sz w:val="20"/>
          <w:szCs w:val="20"/>
          <w:color w:val="auto"/>
        </w:rPr>
      </w:pPr>
    </w:p>
    <w:p>
      <w:pPr>
        <w:ind w:left="1800" w:hanging="495"/>
        <w:spacing w:after="0"/>
        <w:tabs>
          <w:tab w:leader="none" w:pos="1800" w:val="left"/>
        </w:tabs>
        <w:numPr>
          <w:ilvl w:val="0"/>
          <w:numId w:val="2"/>
        </w:numPr>
        <w:rPr>
          <w:rFonts w:ascii="Arial" w:cs="Arial" w:eastAsia="Arial" w:hAnsi="Arial"/>
          <w:sz w:val="18"/>
          <w:szCs w:val="18"/>
          <w:color w:val="010000"/>
        </w:rPr>
      </w:pPr>
      <w:r>
        <w:rPr>
          <w:rFonts w:ascii="Arial" w:cs="Arial" w:eastAsia="Arial" w:hAnsi="Arial"/>
          <w:sz w:val="18"/>
          <w:szCs w:val="18"/>
          <w:color w:val="auto"/>
        </w:rPr>
        <w:t>1.0% of the principal amount of such Note; and</w:t>
      </w:r>
    </w:p>
    <w:p>
      <w:pPr>
        <w:spacing w:after="0" w:line="252" w:lineRule="exact"/>
        <w:rPr>
          <w:rFonts w:ascii="Arial" w:cs="Arial" w:eastAsia="Arial" w:hAnsi="Arial"/>
          <w:sz w:val="18"/>
          <w:szCs w:val="18"/>
          <w:color w:val="010000"/>
        </w:rPr>
      </w:pPr>
    </w:p>
    <w:p>
      <w:pPr>
        <w:ind w:left="660" w:right="260" w:firstLine="645"/>
        <w:spacing w:after="0" w:line="259" w:lineRule="auto"/>
        <w:tabs>
          <w:tab w:leader="none" w:pos="1795" w:val="left"/>
        </w:tabs>
        <w:numPr>
          <w:ilvl w:val="0"/>
          <w:numId w:val="2"/>
        </w:numPr>
        <w:rPr>
          <w:rFonts w:ascii="Arial" w:cs="Arial" w:eastAsia="Arial" w:hAnsi="Arial"/>
          <w:sz w:val="18"/>
          <w:szCs w:val="18"/>
          <w:color w:val="010000"/>
        </w:rPr>
      </w:pPr>
      <w:r>
        <w:rPr>
          <w:rFonts w:ascii="Arial" w:cs="Arial" w:eastAsia="Arial" w:hAnsi="Arial"/>
          <w:sz w:val="18"/>
          <w:szCs w:val="18"/>
          <w:color w:val="auto"/>
        </w:rPr>
        <w:t>the excess, if any, of (a) the present value at such redemption date of (i) the redemption price of such Note at June 1, 2021 (such redemption price being set forth in Section 3.07(d)) plus (ii) all required interest payments due on such Note through June 1, 2021 (excluding accrued but unpaid interest to the redemption date), computed using a discount rate equal to the Treasury Rate as of such redemption date plus 50 basis points; over (b) the principal amount of such Note.</w:t>
      </w:r>
    </w:p>
    <w:p>
      <w:pPr>
        <w:spacing w:after="0" w:line="21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with respect to any Sale/Leaseback Transaction, the present value (discounted at the interest rate implicit in the lease involved in such Sale/Leaseback Transaction) of the total obligations of the lessee for rental payments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upon the first date such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right="180"/>
        <w:spacing w:after="0" w:line="342" w:lineRule="auto"/>
        <w:rPr>
          <w:sz w:val="20"/>
          <w:szCs w:val="20"/>
          <w:color w:val="auto"/>
        </w:rPr>
      </w:pPr>
      <w:r>
        <w:rPr>
          <w:rFonts w:ascii="Arial" w:cs="Arial" w:eastAsia="Arial" w:hAnsi="Arial"/>
          <w:sz w:val="16"/>
          <w:szCs w:val="16"/>
          <w:color w:val="auto"/>
        </w:rPr>
        <w:t>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as amended, or any similar federal, state or foreign law for the relief of debtors.</w:t>
      </w:r>
    </w:p>
    <w:p>
      <w:pPr>
        <w:spacing w:after="0" w:line="252" w:lineRule="exact"/>
        <w:rPr>
          <w:sz w:val="20"/>
          <w:szCs w:val="20"/>
          <w:color w:val="auto"/>
        </w:rPr>
      </w:pPr>
    </w:p>
    <w:p>
      <w:pPr>
        <w:ind w:right="380" w:firstLine="1297"/>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has the meaning assigned to such term in Rule 13d</w:t>
      </w:r>
      <w:r>
        <w:rPr>
          <w:rFonts w:ascii="MS PGothic" w:cs="MS PGothic" w:eastAsia="MS PGothic" w:hAnsi="MS PGothic"/>
          <w:sz w:val="18"/>
          <w:szCs w:val="18"/>
          <w:color w:val="auto"/>
        </w:rPr>
        <w:t>‑</w:t>
      </w:r>
      <w:r>
        <w:rPr>
          <w:rFonts w:ascii="Arial" w:cs="Arial" w:eastAsia="Arial" w:hAnsi="Arial"/>
          <w:sz w:val="18"/>
          <w:szCs w:val="18"/>
          <w:color w:val="auto"/>
        </w:rPr>
        <w:t>3 and Rule 13d</w:t>
      </w:r>
      <w:r>
        <w:rPr>
          <w:rFonts w:ascii="MS PGothic" w:cs="MS PGothic" w:eastAsia="MS PGothic" w:hAnsi="MS PGothic"/>
          <w:sz w:val="18"/>
          <w:szCs w:val="18"/>
          <w:color w:val="auto"/>
        </w:rPr>
        <w:t>‑</w:t>
      </w:r>
      <w:r>
        <w:rPr>
          <w:rFonts w:ascii="Arial" w:cs="Arial" w:eastAsia="Arial" w:hAnsi="Arial"/>
          <w:sz w:val="18"/>
          <w:szCs w:val="18"/>
          <w:color w:val="auto"/>
        </w:rPr>
        <w:t>5 under the Exchange Act, and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w:t>
      </w:r>
      <w:r>
        <w:rPr>
          <w:rFonts w:ascii="Arial" w:cs="Arial" w:eastAsia="Arial" w:hAnsi="Arial"/>
          <w:sz w:val="18"/>
          <w:szCs w:val="18"/>
          <w:color w:val="auto"/>
        </w:rPr>
        <w:t>” has a corresponding meaning.</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52" w:lineRule="exact"/>
        <w:rPr>
          <w:sz w:val="20"/>
          <w:szCs w:val="20"/>
          <w:color w:val="auto"/>
        </w:rPr>
      </w:pPr>
    </w:p>
    <w:p>
      <w:pPr>
        <w:ind w:left="1800" w:hanging="495"/>
        <w:spacing w:after="0"/>
        <w:tabs>
          <w:tab w:leader="none" w:pos="1800" w:val="left"/>
        </w:tabs>
        <w:numPr>
          <w:ilvl w:val="0"/>
          <w:numId w:val="3"/>
        </w:numPr>
        <w:rPr>
          <w:rFonts w:ascii="Arial" w:cs="Arial" w:eastAsia="Arial" w:hAnsi="Arial"/>
          <w:sz w:val="16"/>
          <w:szCs w:val="16"/>
          <w:color w:val="010000"/>
        </w:rPr>
      </w:pPr>
      <w:r>
        <w:rPr>
          <w:rFonts w:ascii="Arial" w:cs="Arial" w:eastAsia="Arial" w:hAnsi="Arial"/>
          <w:sz w:val="16"/>
          <w:szCs w:val="16"/>
          <w:color w:val="auto"/>
        </w:rPr>
        <w:t>with respect to a corporation, the Board of Directors of the corporation or any duly authorized committee of the Board of Directors;</w:t>
      </w:r>
    </w:p>
    <w:p>
      <w:pPr>
        <w:spacing w:after="0" w:line="275" w:lineRule="exact"/>
        <w:rPr>
          <w:rFonts w:ascii="Arial" w:cs="Arial" w:eastAsia="Arial" w:hAnsi="Arial"/>
          <w:sz w:val="16"/>
          <w:szCs w:val="16"/>
          <w:color w:val="010000"/>
        </w:rPr>
      </w:pPr>
    </w:p>
    <w:p>
      <w:pPr>
        <w:ind w:left="1800" w:hanging="495"/>
        <w:spacing w:after="0"/>
        <w:tabs>
          <w:tab w:leader="none" w:pos="1800" w:val="left"/>
        </w:tabs>
        <w:numPr>
          <w:ilvl w:val="0"/>
          <w:numId w:val="3"/>
        </w:numPr>
        <w:rPr>
          <w:rFonts w:ascii="Arial" w:cs="Arial" w:eastAsia="Arial" w:hAnsi="Arial"/>
          <w:sz w:val="18"/>
          <w:szCs w:val="18"/>
          <w:color w:val="010000"/>
        </w:rPr>
      </w:pPr>
      <w:r>
        <w:rPr>
          <w:rFonts w:ascii="Arial" w:cs="Arial" w:eastAsia="Arial" w:hAnsi="Arial"/>
          <w:sz w:val="18"/>
          <w:szCs w:val="18"/>
          <w:color w:val="auto"/>
        </w:rPr>
        <w:t>with respect to a partnership, the Board of Directors of the general partner of the partnership; and</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3"/>
        </w:numPr>
        <w:rPr>
          <w:rFonts w:ascii="Arial" w:cs="Arial" w:eastAsia="Arial" w:hAnsi="Arial"/>
          <w:sz w:val="18"/>
          <w:szCs w:val="18"/>
          <w:color w:val="010000"/>
        </w:rPr>
      </w:pPr>
      <w:r>
        <w:rPr>
          <w:rFonts w:ascii="Arial" w:cs="Arial" w:eastAsia="Arial" w:hAnsi="Arial"/>
          <w:sz w:val="18"/>
          <w:szCs w:val="18"/>
          <w:color w:val="auto"/>
        </w:rPr>
        <w:t>with respect to any other Person, the board or committee of such Person serving a similar function.</w:t>
      </w:r>
    </w:p>
    <w:p>
      <w:pPr>
        <w:spacing w:after="0" w:line="252"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Saturday, Sunday or other day on which banking institutions in New York, New York are authorized or required by law to close.</w:t>
      </w:r>
    </w:p>
    <w:p>
      <w:pPr>
        <w:spacing w:after="0" w:line="197"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w:t>
      </w:r>
      <w:r>
        <w:rPr>
          <w:rFonts w:ascii="Arial" w:cs="Arial" w:eastAsia="Arial" w:hAnsi="Arial"/>
          <w:sz w:val="17"/>
          <w:szCs w:val="17"/>
          <w:color w:val="auto"/>
        </w:rPr>
        <w:t xml:space="preserve">” means an obligation that is required to be classified and accounted for as a capital lease for financial reporting purposes in accordance with GAAP, and the amount of Indebtedness represented by such obligation shall be the capitalized amount of such obligation determined in accordance with GAAP; and the stated maturity thereof shall be the date of the last payment of rent or any other amount due under such lease prior to the first date upon which such lease may be terminated by the lessee without payment of a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obligations of the Company or its Subsidiaries either existing on the Issue Date or created prior to any recharacterization described below (i) that were not included on the consolidated balance sheet of the Company as capital lease obligations and (ii) that are subsequently recharacterized as capital lease obligations due to a change in accounting treatment, shall, for all purposes under this Indenture, not be treated as Capital Lease Obligations. For purposes of Section 4.06, a Capital Lease Obligation will be deemed to be secured by a Lien on the property being leased.</w:t>
      </w:r>
    </w:p>
    <w:p>
      <w:pPr>
        <w:spacing w:after="0" w:line="206"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CFC</w:t>
      </w:r>
      <w:r>
        <w:rPr>
          <w:rFonts w:ascii="Arial" w:cs="Arial" w:eastAsia="Arial" w:hAnsi="Arial"/>
          <w:sz w:val="16"/>
          <w:szCs w:val="16"/>
          <w:color w:val="auto"/>
        </w:rPr>
        <w:t>” means (a) a Person that is a “controlled foreign corporation” for purposes of the Code and (b) each Subsidiary of any such Person.</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one of the following:</w:t>
      </w:r>
    </w:p>
    <w:p>
      <w:pPr>
        <w:spacing w:after="0" w:line="252" w:lineRule="exact"/>
        <w:rPr>
          <w:sz w:val="20"/>
          <w:szCs w:val="20"/>
          <w:color w:val="auto"/>
        </w:rPr>
      </w:pPr>
    </w:p>
    <w:p>
      <w:pPr>
        <w:ind w:left="660" w:firstLine="645"/>
        <w:spacing w:after="0" w:line="286" w:lineRule="auto"/>
        <w:tabs>
          <w:tab w:leader="none" w:pos="1795" w:val="left"/>
        </w:tabs>
        <w:numPr>
          <w:ilvl w:val="0"/>
          <w:numId w:val="4"/>
        </w:numPr>
        <w:rPr>
          <w:rFonts w:ascii="Arial" w:cs="Arial" w:eastAsia="Arial" w:hAnsi="Arial"/>
          <w:sz w:val="17"/>
          <w:szCs w:val="17"/>
          <w:color w:val="010000"/>
        </w:rPr>
      </w:pPr>
      <w:r>
        <w:rPr>
          <w:rFonts w:ascii="Arial" w:cs="Arial" w:eastAsia="Arial" w:hAnsi="Arial"/>
          <w:sz w:val="17"/>
          <w:szCs w:val="17"/>
          <w:color w:val="auto"/>
        </w:rPr>
        <w:t>the direct or indirect sale, lease, transfer, conveyance or other disposition (other than by way of merger or consolidation), in one or a series of related transactions, of all or substantially all of the assets of the Company and its Subsidiaries, taken as a whole, to any Person (including any “person” (as that term is used in Section 13(d)(3) of the Exchange Act)), other than one or more Permitted Holders;</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4" w:name="page15"/>
    <w:bookmarkEnd w:id="14"/>
    <w:p>
      <w:pPr>
        <w:ind w:left="660" w:right="40" w:firstLine="645"/>
        <w:spacing w:after="0" w:line="276" w:lineRule="auto"/>
        <w:tabs>
          <w:tab w:leader="none" w:pos="1795" w:val="left"/>
        </w:tabs>
        <w:numPr>
          <w:ilvl w:val="0"/>
          <w:numId w:val="5"/>
        </w:numPr>
        <w:rPr>
          <w:rFonts w:ascii="Arial" w:cs="Arial" w:eastAsia="Arial" w:hAnsi="Arial"/>
          <w:sz w:val="17"/>
          <w:szCs w:val="17"/>
          <w:color w:val="010000"/>
        </w:rPr>
      </w:pPr>
      <w:r>
        <w:rPr>
          <w:rFonts w:ascii="Arial" w:cs="Arial" w:eastAsia="Arial" w:hAnsi="Arial"/>
          <w:sz w:val="17"/>
          <w:szCs w:val="17"/>
          <w:color w:val="auto"/>
        </w:rPr>
        <w:t>the Company becomes aware (by way of a report or any other filing pursuant to Section 13(d) of the Exchange Act, proxy, vote, written notice or otherwise) of the consummation of any transaction (including, without limitation, any merger or consolidation) the result of which is that any Person (including any “person” (as that term is used in Section 13(d)(3) of the Exchange Act)), other than one or more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99" w:lineRule="exact"/>
        <w:rPr>
          <w:rFonts w:ascii="Arial" w:cs="Arial" w:eastAsia="Arial" w:hAnsi="Arial"/>
          <w:sz w:val="17"/>
          <w:szCs w:val="17"/>
          <w:color w:val="010000"/>
        </w:rPr>
      </w:pPr>
    </w:p>
    <w:p>
      <w:pPr>
        <w:ind w:left="1800" w:hanging="495"/>
        <w:spacing w:after="0"/>
        <w:tabs>
          <w:tab w:leader="none" w:pos="180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adoption of a plan relating to the liquidation or dissolution of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 Event.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52"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20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in the first paragraph of this Indenture or any successor obligor to its obligations under this Indenture and the Notes pursuant to Article 5.</w:t>
      </w:r>
    </w:p>
    <w:p>
      <w:pPr>
        <w:spacing w:after="0" w:line="197"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as at any date, the aggregate amount of assets of the Company and its Subsidiaries (determined on a consolidated basis without duplication in accordance with GAAP after deducting therefrom (1) (to the extent otherwise included therein) all goodwill, trade names, trademarks, service marks, patents, unamortized debt discount and expense and all other intangible assets and (2) all current liabilities, all as set forth on the most recent quarterly or annual (as the case may be) consolidated balance sheet or the notes thereto for which internal financial statements are available of such Person and its Subsidiaries in accordance with GAAP.</w:t>
      </w:r>
    </w:p>
    <w:p>
      <w:pPr>
        <w:spacing w:after="0" w:line="200"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as of any date of determination, the consolidated stockholders’ or owners’ equity of the Company and its Subsidiaries, determined on a consolidated basis in accordance with GAAP. In addition, for purposes of calculating Consolidated Net Worth, investments, acquisitions, dispositions and mergers or consolidations that have been made by the Company or any of its Subsidiaries, or any Person or any of its Subsidiaries acquired by the Company or any of its Subsidiaries, which occur subsequent to the most recent balance sheet date will be given pro forma effect (as determined in good faith by a responsible financial or accounting officer of the Company) as if they had occurred on such balance sheet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w:t>
      </w:r>
      <w:r>
        <w:rPr>
          <w:rFonts w:ascii="Arial" w:cs="Arial" w:eastAsia="Arial" w:hAnsi="Arial"/>
          <w:sz w:val="16"/>
          <w:szCs w:val="16"/>
          <w:color w:val="auto"/>
        </w:rPr>
        <w:t>” means, with respect to any Default or Event of Default, that such Default or Event of Default has not been cured or waived.</w:t>
      </w:r>
    </w:p>
    <w:p>
      <w:pPr>
        <w:spacing w:after="0" w:line="27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shall be at the address of the Trustee specified in Section 12.01 or such other address as to which the Trustee may give notice to the Holders and the Company.</w:t>
      </w:r>
    </w:p>
    <w:p>
      <w:pPr>
        <w:spacing w:after="0" w:line="19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Amended and Restated Credit Agreement, dated as of May 30, 2018, by and among the Company, certain of its domestic subsidiaries as guarantors, the several lenders from time to time party thereto, certain of the Company’s foreign subsidiaries from time to time party thereto as foreign borrowers, Wells Fargo Bank, National Association, as administrative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right="40"/>
        <w:spacing w:after="0" w:line="259" w:lineRule="auto"/>
        <w:rPr>
          <w:sz w:val="20"/>
          <w:szCs w:val="20"/>
          <w:color w:val="auto"/>
        </w:rPr>
      </w:pPr>
      <w:r>
        <w:rPr>
          <w:rFonts w:ascii="Arial" w:cs="Arial" w:eastAsia="Arial" w:hAnsi="Arial"/>
          <w:sz w:val="18"/>
          <w:szCs w:val="18"/>
          <w:color w:val="auto"/>
        </w:rPr>
        <w:t>agent, JPMorgan Chase Bank, N.A., as syndication agent, and HSBC Bank USA, National Association and Bank of America, N.A. as documentation agents, including any related notes, Guarantees, collateral documents, instruments and agreements executed in connection therewith, and, in each case, as amended, restated, modified, renewed, refunded, replaced in any manner (whether upon or after termination or otherwise) or refinanced (including by means of sales of debt securities to institutional investors) in whole or in part from time to time.</w:t>
      </w:r>
    </w:p>
    <w:p>
      <w:pPr>
        <w:spacing w:after="0" w:line="214" w:lineRule="exact"/>
        <w:rPr>
          <w:sz w:val="20"/>
          <w:szCs w:val="20"/>
          <w:color w:val="auto"/>
        </w:rPr>
      </w:pPr>
    </w:p>
    <w:p>
      <w:pPr>
        <w:ind w:right="2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the Credit Agreement), commercial paper facilities, securities purchase agreements, indentures or similar agreements, in each case, with banks or other institutional lenders or investors providing for revolving loans, term loans, receivables financing (including through the sale of receivables to lenders or to special purpose entities formed to borrow from lenders against such receivables), letters of credit or the issuance of debt securities, including any related notes, Guarantees, collateral documents, instruments and agreements executed in connection therewith, and, in each case, as amended, modified, supplemented, restated, extended, renewed, refinanced, replaced or substituted from time to time.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52"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Initial Note or Additional Note (bearing the Restricted Notes Legend if the transfer of such Note is restricted by applicable law) that does not include the Global Notes Legend.</w:t>
      </w:r>
    </w:p>
    <w:p>
      <w:pPr>
        <w:spacing w:after="0" w:line="19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20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incorporated or organized under the laws of the United States of America or any State thereof or the District of Columbia other than a Foreign Subsidiary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primary offering of Capital Stock of the Company to Persons who are not the Company or Subsidiaries of the Company other than (1) public offerings with respect to any Capital Stock registered on Form S-8 and (2) issuances upon exercise of options by employees of the Company or any of its Subsidiaries.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52" w:lineRule="exact"/>
        <w:rPr>
          <w:sz w:val="20"/>
          <w:szCs w:val="20"/>
          <w:color w:val="auto"/>
        </w:rPr>
      </w:pPr>
    </w:p>
    <w:p>
      <w:pPr>
        <w:ind w:right="2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the value that would be paid by a willing buyer to an unaffiliated willing seller in a transaction not involving distress or necessity of either party, determined in good faith by the Board of Directors of the Company (unless otherwise provided herein).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FASB</w:t>
      </w:r>
      <w:r>
        <w:rPr>
          <w:rFonts w:ascii="Arial" w:cs="Arial" w:eastAsia="Arial" w:hAnsi="Arial"/>
          <w:sz w:val="18"/>
          <w:szCs w:val="18"/>
          <w:color w:val="auto"/>
        </w:rPr>
        <w:t>” means Financial Accounting Standards Board.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direct or indirect Subsidiary of the Company that is not a Domestic Subsidiary.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6" w:name="page17"/>
    <w:bookmarkEnd w:id="16"/>
    <w:p>
      <w:pPr>
        <w:ind w:right="9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 Holding Company</w:t>
      </w:r>
      <w:r>
        <w:rPr>
          <w:rFonts w:ascii="Arial" w:cs="Arial" w:eastAsia="Arial" w:hAnsi="Arial"/>
          <w:sz w:val="18"/>
          <w:szCs w:val="18"/>
          <w:color w:val="auto"/>
        </w:rPr>
        <w:t>” means any Subsidiary substantially all of whose assets consist of Capital Stock and/or Indebtedness of one or more CFCs.</w:t>
      </w:r>
    </w:p>
    <w:p>
      <w:pPr>
        <w:spacing w:after="0" w:line="19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in the United States of America as in effect from time to time, including those set forth in: (1) the opinions and pronouncements of the Accounting Principles Board of the American Institute of Certified Public Accountants; (2) statements and pronouncements of the FASB; (3) such other statements by such other entity as approved by a significant segment of the accounting profession; and (4) the rules and regulations of the SEC governing the inclusion of financial statements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22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(1) any obligation, contingent or otherwise, of any Person directly or indirectly guaranteeing any Indebtedness of any other Person and (2) any obligation, direct or indirect, contingent or otherwise, of such Person:</w:t>
      </w:r>
    </w:p>
    <w:p>
      <w:pPr>
        <w:spacing w:after="0" w:line="197" w:lineRule="exact"/>
        <w:rPr>
          <w:sz w:val="20"/>
          <w:szCs w:val="20"/>
          <w:color w:val="auto"/>
        </w:rPr>
      </w:pPr>
    </w:p>
    <w:p>
      <w:pPr>
        <w:jc w:val="both"/>
        <w:ind w:left="660" w:right="260" w:firstLine="645"/>
        <w:spacing w:after="0" w:line="264" w:lineRule="auto"/>
        <w:tabs>
          <w:tab w:leader="none" w:pos="1785"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208" w:lineRule="exact"/>
        <w:rPr>
          <w:rFonts w:ascii="Arial" w:cs="Arial" w:eastAsia="Arial" w:hAnsi="Arial"/>
          <w:sz w:val="18"/>
          <w:szCs w:val="18"/>
          <w:color w:val="010000"/>
        </w:rPr>
      </w:pPr>
    </w:p>
    <w:p>
      <w:pPr>
        <w:ind w:left="660" w:right="80" w:firstLine="645"/>
        <w:spacing w:after="0" w:line="264" w:lineRule="auto"/>
        <w:tabs>
          <w:tab w:leader="none" w:pos="1795" w:val="left"/>
        </w:tabs>
        <w:numPr>
          <w:ilvl w:val="0"/>
          <w:numId w:val="6"/>
        </w:numPr>
        <w:rPr>
          <w:rFonts w:ascii="Arial" w:cs="Arial" w:eastAsia="Arial" w:hAnsi="Arial"/>
          <w:sz w:val="18"/>
          <w:szCs w:val="18"/>
          <w:color w:val="010000"/>
        </w:rPr>
      </w:pPr>
      <w:r>
        <w:rPr>
          <w:rFonts w:ascii="Arial" w:cs="Arial" w:eastAsia="Arial" w:hAnsi="Arial"/>
          <w:sz w:val="18"/>
          <w:szCs w:val="18"/>
          <w:color w:val="auto"/>
        </w:rPr>
        <w:t xml:space="preserve">entered into for purposes of assuring in any other manner the obligee of such Indebtedness of the payment thereof or to protect such obligee against loss in respect thereof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“Guarantee” will not include endorsements for collection or deposit in the ordinary course of business.</w:t>
      </w:r>
    </w:p>
    <w:p>
      <w:pPr>
        <w:spacing w:after="0" w:line="208"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obligations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against fluctuations in currency exchange rates or commodity prices.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 on the Registrar’s books.</w:t>
      </w:r>
    </w:p>
    <w:p>
      <w:pPr>
        <w:spacing w:after="0" w:line="252"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Incur</w:t>
      </w:r>
      <w:r>
        <w:rPr>
          <w:rFonts w:ascii="Arial" w:cs="Arial" w:eastAsia="Arial" w:hAnsi="Arial"/>
          <w:sz w:val="16"/>
          <w:szCs w:val="16"/>
          <w:color w:val="auto"/>
        </w:rPr>
        <w:t xml:space="preserve">” means issue, create, assume, Guarantee, incur or otherwise become liable 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Indebtedness or Capital Stock of a Person existing at the time such Person becomes a Subsidiary (whether by merger, consolidation, acquisition or otherwise) will be deemed to be Incurred by such Subsidiary at the time it becomes a Subsidiary; and the terms “Incurred” and “Incurrence” have meanings correlative to the foregoing.</w:t>
      </w:r>
    </w:p>
    <w:p>
      <w:pPr>
        <w:spacing w:after="0" w:line="17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interest (other than accrued interest or interest paid in kind that has accreted to the principal amount), accrued expenses and trade payables), whether or not contingent, in respect of borrowed money and evidenced by bonds, notes, debentures or similar instruments or letters of credit (or, without duplication, reimbursement agreements in respect thereof).</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52" w:lineRule="exact"/>
        <w:rPr>
          <w:sz w:val="20"/>
          <w:szCs w:val="20"/>
          <w:color w:val="auto"/>
        </w:rPr>
      </w:pPr>
    </w:p>
    <w:p>
      <w:pPr>
        <w:ind w:left="1800" w:hanging="495"/>
        <w:spacing w:after="0"/>
        <w:tabs>
          <w:tab w:leader="none" w:pos="180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accreted value of the Indebtedness, in the case of any Indebtedness issued with original issue discount;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7" w:name="page18"/>
    <w:bookmarkEnd w:id="17"/>
    <w:p>
      <w:pPr>
        <w:ind w:left="1800" w:hanging="495"/>
        <w:spacing w:after="0"/>
        <w:tabs>
          <w:tab w:leader="none" w:pos="18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principal amount of the Indebtedness, in the case of any other Indebtedness; and</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in respect of Indebtedness of another Person secured by a Lien on the assets of the specified Person, the lesser of:</w:t>
      </w:r>
    </w:p>
    <w:p>
      <w:pPr>
        <w:spacing w:after="0" w:line="252" w:lineRule="exact"/>
        <w:rPr>
          <w:rFonts w:ascii="Arial" w:cs="Arial" w:eastAsia="Arial" w:hAnsi="Arial"/>
          <w:sz w:val="18"/>
          <w:szCs w:val="18"/>
          <w:color w:val="010000"/>
        </w:rPr>
      </w:pPr>
    </w:p>
    <w:p>
      <w:pPr>
        <w:ind w:left="2420" w:hanging="467"/>
        <w:spacing w:after="0"/>
        <w:tabs>
          <w:tab w:leader="none" w:pos="2420"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Fair Market Value of such assets at the date of determination; and</w:t>
      </w:r>
    </w:p>
    <w:p>
      <w:pPr>
        <w:spacing w:after="0" w:line="252" w:lineRule="exact"/>
        <w:rPr>
          <w:rFonts w:ascii="Arial" w:cs="Arial" w:eastAsia="Arial" w:hAnsi="Arial"/>
          <w:sz w:val="18"/>
          <w:szCs w:val="18"/>
          <w:color w:val="010000"/>
        </w:rPr>
      </w:pPr>
    </w:p>
    <w:p>
      <w:pPr>
        <w:ind w:left="2440" w:hanging="487"/>
        <w:spacing w:after="0"/>
        <w:tabs>
          <w:tab w:leader="none" w:pos="2440"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has the meaning set forth in the recitals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June 1 and December 1 of each year to stated maturity of the 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May 30, 2018.</w:t>
      </w:r>
    </w:p>
    <w:p>
      <w:pPr>
        <w:spacing w:after="0" w:line="252"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any mortgage or deed of trust, charge, pledge, lien (statutory or otherwise), privilege, security interest, assignment, easement, hypothecation, claim, preference, priority or other encumbrance upon or with respect to any priority of any kind (including any conditional sale, capital lease or other title retention agreement, any leases in the nature thereof) real or personal, moveable or immovable, now owned or hereafter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an operating lease be deemed to constitute a Lien.</w:t>
      </w:r>
    </w:p>
    <w:p>
      <w:pPr>
        <w:spacing w:after="0" w:line="21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Notes and the Subsidiary Guarantees) of any one or more of the Company and the Subsidiary Guarantors in an aggregate principal amount exceeding $100.0 million.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Services Inc. and its successors.</w:t>
      </w:r>
    </w:p>
    <w:p>
      <w:pPr>
        <w:spacing w:after="0" w:line="252"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the Initial Notes and more particularly means any note authenticated and delivered under this Indenture. For all purposes of this Indenture, the term “</w:t>
      </w:r>
      <w:r>
        <w:rPr>
          <w:rFonts w:ascii="Arial" w:cs="Arial" w:eastAsia="Arial" w:hAnsi="Arial"/>
          <w:sz w:val="18"/>
          <w:szCs w:val="18"/>
          <w:i w:val="1"/>
          <w:iCs w:val="1"/>
          <w:color w:val="auto"/>
        </w:rPr>
        <w:t>Notes</w:t>
      </w:r>
      <w:r>
        <w:rPr>
          <w:rFonts w:ascii="Arial" w:cs="Arial" w:eastAsia="Arial" w:hAnsi="Arial"/>
          <w:sz w:val="18"/>
          <w:szCs w:val="18"/>
          <w:color w:val="auto"/>
        </w:rPr>
        <w:t>” shall also include any Additional Notes that may be issued and notes to be issued or authenticated upon transfer, replacement or exchange of notes.</w:t>
      </w:r>
    </w:p>
    <w:p>
      <w:pPr>
        <w:spacing w:after="0" w:line="208"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other monetary obligations,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May 24, 2018 related to the offer and sale of the Notes.</w:t>
      </w:r>
    </w:p>
    <w:p>
      <w:pPr>
        <w:spacing w:after="0" w:line="252"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Chairman of the Board of Directors of the Company, the Chief Executive Officer, the President, the Chief Financial Officer, any Executive Vice President, Senior Vice President or Vice President, the Treasurer or the Secretary of the Company or, in the event that the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8" w:name="page19"/>
    <w:bookmarkEnd w:id="18"/>
    <w:p>
      <w:pPr>
        <w:ind w:right="520"/>
        <w:spacing w:after="0" w:line="308" w:lineRule="auto"/>
        <w:rPr>
          <w:sz w:val="20"/>
          <w:szCs w:val="20"/>
          <w:color w:val="auto"/>
        </w:rPr>
      </w:pPr>
      <w:r>
        <w:rPr>
          <w:rFonts w:ascii="Arial" w:cs="Arial" w:eastAsia="Arial" w:hAnsi="Arial"/>
          <w:sz w:val="17"/>
          <w:szCs w:val="17"/>
          <w:color w:val="auto"/>
        </w:rPr>
        <w:t>Company is a partnership or a limited liability company that has no such officers, a person duly authorized under applicable law by the general partner, managers, members or a similar body to act on behalf of the Company. Officer of any Subsidiary Guarantor has a correlative meaning.</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Officer’s Certificate</w:t>
      </w:r>
      <w:r>
        <w:rPr>
          <w:rFonts w:ascii="Arial" w:cs="Arial" w:eastAsia="Arial" w:hAnsi="Arial"/>
          <w:sz w:val="17"/>
          <w:szCs w:val="17"/>
          <w:color w:val="auto"/>
        </w:rPr>
        <w:t>” means a certificate signed on behalf of the Company by an Officer of the Company and delivered to the Trustee.</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Opinion of Counsel</w:t>
      </w:r>
      <w:r>
        <w:rPr>
          <w:rFonts w:ascii="Arial" w:cs="Arial" w:eastAsia="Arial" w:hAnsi="Arial"/>
          <w:sz w:val="16"/>
          <w:szCs w:val="16"/>
          <w:color w:val="auto"/>
        </w:rPr>
        <w:t>” means an opinion in writing signed by legal counsel, who may be internal counsel to the Company or who may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counsel.</w:t>
      </w:r>
    </w:p>
    <w:p>
      <w:pPr>
        <w:spacing w:after="0" w:line="23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(1) the Company and its Subsidiaries and (2)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252" w:lineRule="exact"/>
        <w:rPr>
          <w:sz w:val="20"/>
          <w:szCs w:val="20"/>
          <w:color w:val="auto"/>
        </w:rPr>
      </w:pPr>
    </w:p>
    <w:p>
      <w:pPr>
        <w:ind w:left="660" w:right="40" w:firstLine="645"/>
        <w:spacing w:after="0" w:line="271" w:lineRule="auto"/>
        <w:tabs>
          <w:tab w:leader="none" w:pos="1795" w:val="left"/>
        </w:tabs>
        <w:numPr>
          <w:ilvl w:val="0"/>
          <w:numId w:val="9"/>
        </w:numPr>
        <w:rPr>
          <w:rFonts w:ascii="Arial" w:cs="Arial" w:eastAsia="Arial" w:hAnsi="Arial"/>
          <w:sz w:val="17"/>
          <w:szCs w:val="17"/>
          <w:color w:val="010000"/>
        </w:rPr>
      </w:pPr>
      <w:r>
        <w:rPr>
          <w:rFonts w:ascii="Arial" w:cs="Arial" w:eastAsia="Arial" w:hAnsi="Arial"/>
          <w:sz w:val="17"/>
          <w:szCs w:val="17"/>
          <w:color w:val="auto"/>
        </w:rPr>
        <w:t xml:space="preserve">Liens securing Indebtedness (including Capital Lease Obligations) incurred to finance the acquisition, construction, purchase, replacement or lease of, or repairs, improvements or additions to, property, plant or equipment (whether through the direct purchase of assets or the Capital Stock of any Person owning such assets) of such Person (plus additions, improvements, accessions and replacements and customary deposits in connection therewith and proceeds, products and distributions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 may not extend to any other property owned by such Person or any of its Subsidiaries at the time the Lien is incurred (other than assets and property affixed or appurtenant thereto or pursuant to customary after-acquired property clauses), and the Indebtedness (other than any interest thereon) secured by the Lien may not be incurred more than 12 months after the later of such acquisition, completion of construction, purchase, replacement or lease of, repairs, improvement or additions to, such property, plant or equipment subject to the Lien;</w:t>
      </w:r>
    </w:p>
    <w:p>
      <w:pPr>
        <w:spacing w:after="0" w:line="205" w:lineRule="exact"/>
        <w:rPr>
          <w:rFonts w:ascii="Arial" w:cs="Arial" w:eastAsia="Arial" w:hAnsi="Arial"/>
          <w:sz w:val="17"/>
          <w:szCs w:val="17"/>
          <w:color w:val="010000"/>
        </w:rPr>
      </w:pPr>
    </w:p>
    <w:p>
      <w:pPr>
        <w:ind w:left="1800" w:hanging="495"/>
        <w:spacing w:after="0"/>
        <w:tabs>
          <w:tab w:leader="none" w:pos="18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Liens existing on the Issue Date not otherwise constituting Permitted Liens;</w:t>
      </w:r>
    </w:p>
    <w:p>
      <w:pPr>
        <w:spacing w:after="0" w:line="252" w:lineRule="exact"/>
        <w:rPr>
          <w:rFonts w:ascii="Arial" w:cs="Arial" w:eastAsia="Arial" w:hAnsi="Arial"/>
          <w:sz w:val="18"/>
          <w:szCs w:val="18"/>
          <w:color w:val="010000"/>
        </w:rPr>
      </w:pPr>
    </w:p>
    <w:p>
      <w:pPr>
        <w:ind w:left="660" w:firstLine="645"/>
        <w:spacing w:after="0" w:line="291" w:lineRule="auto"/>
        <w:tabs>
          <w:tab w:leader="none" w:pos="1795" w:val="left"/>
        </w:tabs>
        <w:numPr>
          <w:ilvl w:val="0"/>
          <w:numId w:val="9"/>
        </w:numPr>
        <w:rPr>
          <w:rFonts w:ascii="Arial" w:cs="Arial" w:eastAsia="Arial" w:hAnsi="Arial"/>
          <w:sz w:val="16"/>
          <w:szCs w:val="16"/>
          <w:color w:val="010000"/>
        </w:rPr>
      </w:pPr>
      <w:r>
        <w:rPr>
          <w:rFonts w:ascii="Arial" w:cs="Arial" w:eastAsia="Arial" w:hAnsi="Arial"/>
          <w:sz w:val="16"/>
          <w:szCs w:val="16"/>
          <w:color w:val="auto"/>
        </w:rPr>
        <w:t xml:space="preserve">Liens on assets, property or shares of Capital Stock (plus additions, improvements, accessions and replacements and customary deposits in connection therewith and proceeds, products and distributions therefrom) of another Person at the time such other Person becomes a Subsidiary of such Person or is merged into or consolidated with the Company or any Subsidiary of the Company (other than a Lien incurred in connection with, or to provide all or any portion of the funds or credit support utilized to consummate, the transaction or series of transactions pursuant to which such Person becomes such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Liens were not created or incurred in contemplation of such Person becoming a Subsidiary of the Company in such merger or consolidation and do not extend to any other property owned by such Person or any of its Subsidiaries (other than assets and property affixed or appurtenant thereto or pursuant to customary after-acquired property clauses);</w:t>
      </w:r>
    </w:p>
    <w:p>
      <w:pPr>
        <w:spacing w:after="0" w:line="194" w:lineRule="exact"/>
        <w:rPr>
          <w:rFonts w:ascii="Arial" w:cs="Arial" w:eastAsia="Arial" w:hAnsi="Arial"/>
          <w:sz w:val="16"/>
          <w:szCs w:val="16"/>
          <w:color w:val="010000"/>
        </w:rPr>
      </w:pPr>
    </w:p>
    <w:p>
      <w:pPr>
        <w:ind w:left="660" w:right="120" w:firstLine="645"/>
        <w:spacing w:after="0" w:line="255" w:lineRule="auto"/>
        <w:tabs>
          <w:tab w:leader="none" w:pos="1795" w:val="left"/>
        </w:tabs>
        <w:numPr>
          <w:ilvl w:val="0"/>
          <w:numId w:val="9"/>
        </w:numPr>
        <w:rPr>
          <w:rFonts w:ascii="Arial" w:cs="Arial" w:eastAsia="Arial" w:hAnsi="Arial"/>
          <w:sz w:val="18"/>
          <w:szCs w:val="18"/>
          <w:color w:val="010000"/>
        </w:rPr>
      </w:pPr>
      <w:r>
        <w:rPr>
          <w:rFonts w:ascii="Arial" w:cs="Arial" w:eastAsia="Arial" w:hAnsi="Arial"/>
          <w:sz w:val="18"/>
          <w:szCs w:val="18"/>
          <w:color w:val="auto"/>
        </w:rPr>
        <w:t xml:space="preserve">Liens on assets or property (plus additions, improvements, accessions and replacements and customary deposits in connection therewith and proceeds, products and distributions therefrom) at the time such Person or any of its Subsidiaries acquires the assets or property, including any acquisition by means of a merger or consolidation with or into such Person or a Subsidiary of such Person (other than a Lien incurred in connection with, or to provide all or any portion of the funds or credit support utilized to consummate, the transaction or series of transactions pursuant to which such Person or any of its Subsidiaries acquired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Liens may not extend to any other property owned by such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ind w:left="660" w:right="440"/>
        <w:spacing w:after="0" w:line="277" w:lineRule="auto"/>
        <w:rPr>
          <w:sz w:val="20"/>
          <w:szCs w:val="20"/>
          <w:color w:val="auto"/>
        </w:rPr>
      </w:pPr>
      <w:r>
        <w:rPr>
          <w:rFonts w:ascii="Arial" w:cs="Arial" w:eastAsia="Arial" w:hAnsi="Arial"/>
          <w:sz w:val="18"/>
          <w:szCs w:val="18"/>
          <w:color w:val="auto"/>
        </w:rPr>
        <w:t>Person or any of its Subsidiaries (other than assets and property affixed or appurtenant thereto or pursuant to customary after-acquired property clauses);</w:t>
      </w:r>
    </w:p>
    <w:p>
      <w:pPr>
        <w:spacing w:after="0" w:line="197" w:lineRule="exact"/>
        <w:rPr>
          <w:sz w:val="20"/>
          <w:szCs w:val="20"/>
          <w:color w:val="auto"/>
        </w:rPr>
      </w:pPr>
    </w:p>
    <w:p>
      <w:pPr>
        <w:ind w:left="1800" w:hanging="495"/>
        <w:spacing w:after="0"/>
        <w:tabs>
          <w:tab w:leader="none" w:pos="1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Liens securing Indebtedness or other obligations of a Subsidiary of such Person owing to such Person;</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Liens securing Hedging Obligations;</w:t>
      </w:r>
    </w:p>
    <w:p>
      <w:pPr>
        <w:spacing w:after="0" w:line="252" w:lineRule="exact"/>
        <w:rPr>
          <w:rFonts w:ascii="Arial" w:cs="Arial" w:eastAsia="Arial" w:hAnsi="Arial"/>
          <w:sz w:val="18"/>
          <w:szCs w:val="18"/>
          <w:color w:val="010000"/>
        </w:rPr>
      </w:pPr>
    </w:p>
    <w:p>
      <w:pPr>
        <w:ind w:left="660" w:right="40" w:firstLine="645"/>
        <w:spacing w:after="0" w:line="277" w:lineRule="auto"/>
        <w:tabs>
          <w:tab w:leader="none" w:pos="179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 xml:space="preserve">Liens to secure any refinancing (or successive refinancings) as a whole, or in part, of any Indebtedness secured by any Lien pursuant to Section 4.06(b) or in the foregoing clause (1), (2), (3) or (4);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7" w:lineRule="exact"/>
        <w:rPr>
          <w:rFonts w:ascii="Arial" w:cs="Arial" w:eastAsia="Arial" w:hAnsi="Arial"/>
          <w:sz w:val="18"/>
          <w:szCs w:val="18"/>
          <w:color w:val="010000"/>
        </w:rPr>
      </w:pPr>
    </w:p>
    <w:p>
      <w:pPr>
        <w:jc w:val="both"/>
        <w:ind w:left="1300" w:right="220" w:firstLine="653"/>
        <w:spacing w:after="0" w:line="286" w:lineRule="auto"/>
        <w:tabs>
          <w:tab w:leader="none" w:pos="2425"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such new Lien shall be limited to all or part of the same property and assets that secured or, under the written agreements pursuant to which the original Lien arose, could secure the original Lien (plus additions, improvements, accessions and replacements and customary deposits in connection therewith and proceeds, products and distributions therefrom); and</w:t>
      </w:r>
    </w:p>
    <w:p>
      <w:pPr>
        <w:spacing w:after="0" w:line="192" w:lineRule="exact"/>
        <w:rPr>
          <w:rFonts w:ascii="Arial" w:cs="Arial" w:eastAsia="Arial" w:hAnsi="Arial"/>
          <w:sz w:val="17"/>
          <w:szCs w:val="17"/>
          <w:color w:val="010000"/>
        </w:rPr>
      </w:pPr>
    </w:p>
    <w:p>
      <w:pPr>
        <w:ind w:left="1300" w:right="80" w:firstLine="653"/>
        <w:spacing w:after="0" w:line="257" w:lineRule="auto"/>
        <w:tabs>
          <w:tab w:leader="none" w:pos="2435"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the Indebtedness secured by such Lien at such time is not increased to any amount greater than the sum of (x) the outstanding principal amount or, if greater, committed amount of the Indebtedness that was secured pursuant to Section 4.06(b) or pursuant to the foregoing clause (1), (2), (3) or (4) at the time the original Lien became a Permitted Lien, plus accrued interest thereon, and (y) an amount necessary to pay any fees, commissions, discounts and expenses, including premiums, related to such refinancing, refunding, extension, renewal or replacement;</w:t>
      </w:r>
    </w:p>
    <w:p>
      <w:pPr>
        <w:spacing w:after="0" w:line="215" w:lineRule="exact"/>
        <w:rPr>
          <w:rFonts w:ascii="Arial" w:cs="Arial" w:eastAsia="Arial" w:hAnsi="Arial"/>
          <w:sz w:val="18"/>
          <w:szCs w:val="18"/>
          <w:color w:val="010000"/>
        </w:rPr>
      </w:pPr>
    </w:p>
    <w:p>
      <w:pPr>
        <w:ind w:left="1800" w:hanging="495"/>
        <w:spacing w:after="0"/>
        <w:tabs>
          <w:tab w:leader="none" w:pos="1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Liens incurred to secure cash management services in the ordinary course of business;</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Liens securing the Notes (including any Additional Notes); and</w:t>
      </w:r>
    </w:p>
    <w:p>
      <w:pPr>
        <w:spacing w:after="0" w:line="252" w:lineRule="exact"/>
        <w:rPr>
          <w:rFonts w:ascii="Arial" w:cs="Arial" w:eastAsia="Arial" w:hAnsi="Arial"/>
          <w:sz w:val="18"/>
          <w:szCs w:val="18"/>
          <w:color w:val="010000"/>
        </w:rPr>
      </w:pPr>
    </w:p>
    <w:p>
      <w:pPr>
        <w:ind w:left="1820" w:hanging="515"/>
        <w:spacing w:after="0"/>
        <w:tabs>
          <w:tab w:leader="none" w:pos="182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Liens securing Indebtedness under Credit Facilities in an aggregate outstanding principal amount not to exceed $400.0 million.</w:t>
      </w:r>
    </w:p>
    <w:p>
      <w:pPr>
        <w:spacing w:after="0" w:line="264"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9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Section 3(a) (62) of the Exchange Act, selected by us as a replacement agency for Moody’s or S&amp;P, or both, as the case may be.</w:t>
      </w:r>
    </w:p>
    <w:p>
      <w:pPr>
        <w:spacing w:after="0" w:line="208"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is lowered by either of the Rating Agencies during a period that begins on the earlier of (1) the date of the public notice of an arrangement that could result in a Change of Control and (2) the occurrence of a Change of Control and ends 60 days following the consummation of a Change of Control (which period shall be extended so long as the rating of the Notes is under publicly announced consideration for possible downgrade by any of the Rating Agencies).</w:t>
      </w:r>
    </w:p>
    <w:p>
      <w:pPr>
        <w:spacing w:after="0" w:line="187"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for the interest payable on any applicable Interest Payment Date means the May 15 or November 15 (whether or not a Business Day) preceding such Interest Payment Date.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when used with respect to the Trustee, any officer within the corporate trust department of the Trustee having direct responsibility for the administration of this Indenture, or any other officer to whom any corporate trust matter is referred because of such officer’s knowledge of and familiarity with the particular subject.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S&amp;R Global Ratings and its successors.</w:t>
      </w:r>
    </w:p>
    <w:p>
      <w:pPr>
        <w:spacing w:after="0" w:line="252"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 arrangement relating to real or tangible personal property owned by the Company or a Subsidiary on the Issue Date or thereafter acquired by the Company or a Subsidiary whereby the Company or a Subsidiary sells or otherwise transfers such property to a Person and the Company or a Subsidiary thereafter rents or leases it for substantially the same purpose or purposes as the property sold or transferred from such Person.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of the Company within the meaning of Rule 1-02 under Regulation S-X promulgated by the SEC and, for purposes of determining whether an Event of Default has occurred, any group of Subsidiaries that combined would be such a Significant Subsidiary.</w:t>
      </w:r>
    </w:p>
    <w:p>
      <w:pPr>
        <w:spacing w:after="0" w:line="208" w:lineRule="exact"/>
        <w:rPr>
          <w:sz w:val="20"/>
          <w:szCs w:val="20"/>
          <w:color w:val="auto"/>
        </w:rPr>
      </w:pPr>
    </w:p>
    <w:p>
      <w:pPr>
        <w:ind w:right="30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spacing w:after="0" w:line="174"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association, partnership or other business entity of which more than 50% of the total voting power of shares of Voting Stock is at the time owned or controlled, directly or indirectly, by: (1) such Person; (2) such Person and one or more Subsidiaries of such Person; or (3) one or more Subsidiaries of such Person. Unless otherwise specified herein, each reference to a Subsidiary will refer to a Subsidiary of the Company.</w:t>
      </w:r>
    </w:p>
    <w:p>
      <w:pPr>
        <w:spacing w:after="0" w:line="214"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Guarantee</w:t>
      </w:r>
      <w:r>
        <w:rPr>
          <w:rFonts w:ascii="Arial" w:cs="Arial" w:eastAsia="Arial" w:hAnsi="Arial"/>
          <w:sz w:val="16"/>
          <w:szCs w:val="16"/>
          <w:color w:val="auto"/>
        </w:rPr>
        <w:t>” means, individually, any Guarantee of payment of the Notes and the Company’s other Obligations under this Indenture by a Subsidiary Guarantor pursuant to the terms of this Indenture and any supplemental indenture thereto, and, collectively, all such Guarantees.</w:t>
      </w:r>
    </w:p>
    <w:p>
      <w:pPr>
        <w:spacing w:after="0" w:line="15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each Subsidiary of the Company that executes this Indenture on the Issue Date as a guarantor and each other Subsidiary of the Company that thereafter guarantees the Notes pursuant to the terms of this Indenture.</w:t>
      </w:r>
    </w:p>
    <w:p>
      <w:pPr>
        <w:spacing w:after="0" w:line="19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date of redemption of the Notes, the yield to maturity at the time of computation of U.S.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or similar market data)) most nearly equal to the period from the redemption date to June 1,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June 1, 2021 is not equal to the constant maturity of a U.S. Treasury security for which a weekly average yield is given, the Treasury Rate shall be obtained by linear interpolation (calculated to the nearest one-twelfth of a year) from the weekly average yields of U.S. Treasury securities for which such yields are given, except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color w:val="auto"/>
        </w:rPr>
        <w:t>that if the period from the redemption date to June 1, 2021 is less than one year, the weekly average yield on actually traded U.S. Treasury securities adjusted to a constant maturity of one year will be used.</w:t>
      </w:r>
    </w:p>
    <w:p>
      <w:pPr>
        <w:spacing w:after="0" w:line="197"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Bank of New York Mellon Trust Company, N.A., as trustee, until a successor replaces it in accordance with the applicable provisions of this Indenture and thereafter means the successor serving hereunder.</w:t>
      </w:r>
    </w:p>
    <w:p>
      <w:pPr>
        <w:spacing w:after="0" w:line="197"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208"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all classes of Capital Stock of such Person then outstanding and normally entitled (without regard to the occurrence of any contingency) to vote in the election of directors, managers or trustees thereof.</w:t>
      </w:r>
    </w:p>
    <w:p>
      <w:pPr>
        <w:spacing w:after="0" w:line="19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w:t>
      </w:r>
      <w:r>
        <w:rPr>
          <w:rFonts w:ascii="Arial" w:cs="Arial" w:eastAsia="Arial" w:hAnsi="Arial"/>
          <w:sz w:val="18"/>
          <w:szCs w:val="18"/>
          <w:color w:val="auto"/>
        </w:rPr>
        <w:t>” means, with respect to any Subsidiary, a Subsidiary all of the outstanding Capital Stock of which (other than any director’s qualifying shares) is owned by the Company or one or more wholly-owned Subsidiaries (or a combination thereof).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3"/>
          </w:tcPr>
          <w:p>
            <w:pPr>
              <w:spacing w:after="0"/>
              <w:rPr>
                <w:sz w:val="20"/>
                <w:szCs w:val="20"/>
                <w:color w:val="auto"/>
              </w:rPr>
            </w:pPr>
            <w:r>
              <w:rPr>
                <w:rFonts w:ascii="Arial" w:cs="Arial" w:eastAsia="Arial" w:hAnsi="Arial"/>
                <w:sz w:val="18"/>
                <w:szCs w:val="18"/>
                <w:color w:val="auto"/>
              </w:rPr>
              <w:t>Section 1.02</w:t>
            </w:r>
          </w:p>
        </w:tc>
        <w:tc>
          <w:tcPr>
            <w:tcW w:w="2820" w:type="dxa"/>
            <w:vAlign w:val="bottom"/>
            <w:gridSpan w:val="2"/>
          </w:tcPr>
          <w:p>
            <w:pPr>
              <w:spacing w:after="0"/>
              <w:rPr>
                <w:sz w:val="20"/>
                <w:szCs w:val="20"/>
                <w:color w:val="auto"/>
              </w:rPr>
            </w:pPr>
            <w:r>
              <w:rPr>
                <w:rFonts w:ascii="Arial" w:cs="Arial" w:eastAsia="Arial" w:hAnsi="Arial"/>
                <w:sz w:val="18"/>
                <w:szCs w:val="18"/>
                <w:color w:val="auto"/>
              </w:rPr>
              <w:t>Other Definitions.</w:t>
            </w: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80" w:type="dxa"/>
            <w:vAlign w:val="bottom"/>
            <w:gridSpan w:val="3"/>
          </w:tcPr>
          <w:p>
            <w:pPr>
              <w:spacing w:after="0"/>
              <w:rPr>
                <w:sz w:val="20"/>
                <w:szCs w:val="20"/>
                <w:color w:val="auto"/>
              </w:rPr>
            </w:pPr>
            <w:r>
              <w:rPr>
                <w:rFonts w:ascii="Arial" w:cs="Arial" w:eastAsia="Arial" w:hAnsi="Arial"/>
                <w:sz w:val="18"/>
                <w:szCs w:val="18"/>
                <w:color w:val="auto"/>
              </w:rPr>
              <w:t>Term</w:t>
            </w:r>
          </w:p>
        </w:tc>
        <w:tc>
          <w:tcPr>
            <w:tcW w:w="126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3"/>
              </w:rPr>
              <w:t>Defined in Section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w:t>
            </w: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1.2(c)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w:t>
            </w: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2.02(c)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5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4.08(a)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4.08(b)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6620" w:type="dxa"/>
            <w:vAlign w:val="bottom"/>
            <w:gridSpan w:val="2"/>
          </w:tcPr>
          <w:p>
            <w:pPr>
              <w:jc w:val="center"/>
              <w:ind w:left="5171"/>
              <w:spacing w:after="0"/>
              <w:rPr>
                <w:sz w:val="20"/>
                <w:szCs w:val="20"/>
                <w:color w:val="auto"/>
              </w:rPr>
            </w:pPr>
            <w:r>
              <w:rPr>
                <w:rFonts w:ascii="Arial" w:cs="Arial" w:eastAsia="Arial" w:hAnsi="Arial"/>
                <w:sz w:val="18"/>
                <w:szCs w:val="18"/>
                <w:color w:val="auto"/>
                <w:w w:val="91"/>
              </w:rPr>
              <w:t>8.03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 Legend</w:t>
            </w:r>
            <w:r>
              <w:rPr>
                <w:rFonts w:ascii="Arial" w:cs="Arial" w:eastAsia="Arial" w:hAnsi="Arial"/>
                <w:sz w:val="18"/>
                <w:szCs w:val="18"/>
                <w:color w:val="auto"/>
              </w:rPr>
              <w:t>”</w:t>
            </w: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1.3(e)(i)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Compliance Period</w:t>
            </w:r>
            <w:r>
              <w:rPr>
                <w:rFonts w:ascii="Arial" w:cs="Arial" w:eastAsia="Arial" w:hAnsi="Arial"/>
                <w:sz w:val="18"/>
                <w:szCs w:val="18"/>
                <w:color w:val="auto"/>
              </w:rPr>
              <w:t>”</w:t>
            </w: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ERISA Legend</w:t>
            </w:r>
            <w:r>
              <w:rPr>
                <w:rFonts w:ascii="Arial" w:cs="Arial" w:eastAsia="Arial" w:hAnsi="Arial"/>
                <w:sz w:val="18"/>
                <w:szCs w:val="18"/>
                <w:color w:val="auto"/>
                <w:w w:val="94"/>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1.3(e)(i)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6620" w:type="dxa"/>
            <w:vAlign w:val="bottom"/>
            <w:gridSpan w:val="2"/>
            <w:shd w:val="clear" w:color="auto" w:fill="CCEEFF"/>
          </w:tcPr>
          <w:p>
            <w:pPr>
              <w:jc w:val="center"/>
              <w:ind w:left="5171"/>
              <w:spacing w:after="0"/>
              <w:rPr>
                <w:sz w:val="20"/>
                <w:szCs w:val="20"/>
                <w:color w:val="auto"/>
              </w:rPr>
            </w:pPr>
            <w:r>
              <w:rPr>
                <w:rFonts w:ascii="Arial" w:cs="Arial" w:eastAsia="Arial" w:hAnsi="Arial"/>
                <w:sz w:val="18"/>
                <w:szCs w:val="18"/>
                <w:color w:val="auto"/>
                <w:w w:val="91"/>
              </w:rPr>
              <w:t>6.01</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w:t>
            </w: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1.04(j)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1.2(b)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 Legend</w:t>
            </w:r>
            <w:r>
              <w:rPr>
                <w:rFonts w:ascii="Arial" w:cs="Arial" w:eastAsia="Arial" w:hAnsi="Arial"/>
                <w:sz w:val="18"/>
                <w:szCs w:val="18"/>
                <w:color w:val="auto"/>
              </w:rPr>
              <w:t>”</w:t>
            </w: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1.3(e)(i)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5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10.01(a)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8.02(a)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Register</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2.03(a)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2.03(a)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2.03(a)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w:t>
            </w: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1.2(b)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Notes</w:t>
            </w:r>
            <w:r>
              <w:rPr>
                <w:rFonts w:ascii="Arial" w:cs="Arial" w:eastAsia="Arial" w:hAnsi="Arial"/>
                <w:sz w:val="18"/>
                <w:szCs w:val="18"/>
                <w:color w:val="auto"/>
              </w:rPr>
              <w:t>”</w:t>
            </w: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1.2(a)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Global Note</w:t>
            </w:r>
            <w:r>
              <w:rPr>
                <w:rFonts w:ascii="Arial" w:cs="Arial" w:eastAsia="Arial" w:hAnsi="Arial"/>
                <w:sz w:val="18"/>
                <w:szCs w:val="18"/>
                <w:color w:val="auto"/>
              </w:rPr>
              <w:t>”</w:t>
            </w:r>
          </w:p>
        </w:tc>
        <w:tc>
          <w:tcPr>
            <w:tcW w:w="7320" w:type="dxa"/>
            <w:vAlign w:val="bottom"/>
            <w:gridSpan w:val="3"/>
          </w:tcPr>
          <w:p>
            <w:pPr>
              <w:jc w:val="center"/>
              <w:ind w:left="4471"/>
              <w:spacing w:after="0"/>
              <w:rPr>
                <w:sz w:val="20"/>
                <w:szCs w:val="20"/>
                <w:color w:val="auto"/>
              </w:rPr>
            </w:pPr>
            <w:r>
              <w:rPr>
                <w:rFonts w:ascii="Arial" w:cs="Arial" w:eastAsia="Arial" w:hAnsi="Arial"/>
                <w:sz w:val="18"/>
                <w:szCs w:val="18"/>
                <w:color w:val="auto"/>
                <w:w w:val="95"/>
              </w:rPr>
              <w:t>1.2(b)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Notes</w:t>
            </w:r>
            <w:r>
              <w:rPr>
                <w:rFonts w:ascii="Arial" w:cs="Arial" w:eastAsia="Arial" w:hAnsi="Arial"/>
                <w:sz w:val="18"/>
                <w:szCs w:val="18"/>
                <w:color w:val="auto"/>
              </w:rPr>
              <w:t>”</w:t>
            </w:r>
          </w:p>
        </w:tc>
        <w:tc>
          <w:tcPr>
            <w:tcW w:w="7320" w:type="dxa"/>
            <w:vAlign w:val="bottom"/>
            <w:gridSpan w:val="3"/>
            <w:shd w:val="clear" w:color="auto" w:fill="CCEEFF"/>
          </w:tcPr>
          <w:p>
            <w:pPr>
              <w:jc w:val="center"/>
              <w:ind w:left="4471"/>
              <w:spacing w:after="0"/>
              <w:rPr>
                <w:sz w:val="20"/>
                <w:szCs w:val="20"/>
                <w:color w:val="auto"/>
              </w:rPr>
            </w:pPr>
            <w:r>
              <w:rPr>
                <w:rFonts w:ascii="Arial" w:cs="Arial" w:eastAsia="Arial" w:hAnsi="Arial"/>
                <w:sz w:val="18"/>
                <w:szCs w:val="18"/>
                <w:color w:val="auto"/>
                <w:w w:val="95"/>
              </w:rPr>
              <w:t>1.2(a) of Appendix A</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60" w:type="dxa"/>
            <w:vAlign w:val="bottom"/>
          </w:tcPr>
          <w:p>
            <w:pPr>
              <w:jc w:val="right"/>
              <w:ind w:right="3431"/>
              <w:spacing w:after="0"/>
              <w:rPr>
                <w:sz w:val="20"/>
                <w:szCs w:val="20"/>
                <w:color w:val="auto"/>
              </w:rPr>
            </w:pPr>
            <w:r>
              <w:rPr>
                <w:rFonts w:ascii="Arial" w:cs="Arial" w:eastAsia="Arial" w:hAnsi="Arial"/>
                <w:sz w:val="14"/>
                <w:szCs w:val="14"/>
                <w:color w:val="auto"/>
              </w:rPr>
              <w:t>-10-</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260" w:type="dxa"/>
            <w:vAlign w:val="bottom"/>
            <w:tcBorders>
              <w:bottom w:val="single" w:sz="8" w:color="BFBFBF"/>
            </w:tcBorders>
          </w:tcPr>
          <w:p>
            <w:pPr>
              <w:spacing w:after="0"/>
              <w:rPr>
                <w:sz w:val="4"/>
                <w:szCs w:val="4"/>
                <w:color w:val="auto"/>
              </w:rPr>
            </w:pPr>
          </w:p>
        </w:tc>
        <w:tc>
          <w:tcPr>
            <w:tcW w:w="1560" w:type="dxa"/>
            <w:vAlign w:val="bottom"/>
            <w:tcBorders>
              <w:bottom w:val="single" w:sz="8" w:color="BFBFBF"/>
            </w:tcBorders>
          </w:tcPr>
          <w:p>
            <w:pPr>
              <w:spacing w:after="0"/>
              <w:rPr>
                <w:sz w:val="4"/>
                <w:szCs w:val="4"/>
                <w:color w:val="auto"/>
              </w:rPr>
            </w:pPr>
          </w:p>
        </w:tc>
        <w:tc>
          <w:tcPr>
            <w:tcW w:w="5260" w:type="dxa"/>
            <w:vAlign w:val="bottom"/>
            <w:tcBorders>
              <w:bottom w:val="single" w:sz="8" w:color="BFBFBF"/>
            </w:tcBorders>
          </w:tcPr>
          <w:p>
            <w:pPr>
              <w:spacing w:after="0"/>
              <w:rPr>
                <w:sz w:val="4"/>
                <w:szCs w:val="4"/>
                <w:color w:val="auto"/>
              </w:rPr>
            </w:pPr>
          </w:p>
        </w:tc>
        <w:tc>
          <w:tcPr>
            <w:tcW w:w="1360" w:type="dxa"/>
            <w:vAlign w:val="bottom"/>
            <w:tcBorders>
              <w:bottom w:val="single" w:sz="8" w:color="BFBFBF"/>
            </w:tcBorders>
          </w:tcPr>
          <w:p>
            <w:pPr>
              <w:spacing w:after="0"/>
              <w:rPr>
                <w:sz w:val="4"/>
                <w:szCs w:val="4"/>
                <w:color w:val="auto"/>
              </w:rPr>
            </w:pPr>
          </w:p>
        </w:tc>
        <w:tc>
          <w:tcPr>
            <w:tcW w:w="7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Term</w:t>
            </w:r>
          </w:p>
        </w:tc>
        <w:tc>
          <w:tcPr>
            <w:tcW w:w="15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760" w:type="dxa"/>
            <w:vAlign w:val="bottom"/>
            <w:gridSpan w:val="3"/>
          </w:tcPr>
          <w:p>
            <w:pPr>
              <w:jc w:val="center"/>
              <w:ind w:left="1910"/>
              <w:spacing w:after="0"/>
              <w:rPr>
                <w:sz w:val="20"/>
                <w:szCs w:val="20"/>
                <w:color w:val="auto"/>
              </w:rPr>
            </w:pPr>
            <w:r>
              <w:rPr>
                <w:rFonts w:ascii="Arial" w:cs="Arial" w:eastAsia="Arial" w:hAnsi="Arial"/>
                <w:sz w:val="18"/>
                <w:szCs w:val="18"/>
                <w:color w:val="auto"/>
                <w:w w:val="93"/>
              </w:rPr>
              <w:t>Defined in Section</w:t>
            </w:r>
          </w:p>
        </w:tc>
      </w:tr>
      <w:tr>
        <w:trPr>
          <w:trHeight w:val="20"/>
        </w:trPr>
        <w:tc>
          <w:tcPr>
            <w:tcW w:w="38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3"/>
        </w:trPr>
        <w:tc>
          <w:tcPr>
            <w:tcW w:w="66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Company</w:t>
            </w: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5.01(a)(1)</w:t>
            </w:r>
          </w:p>
        </w:tc>
      </w:tr>
      <w:tr>
        <w:trPr>
          <w:trHeight w:val="216"/>
        </w:trPr>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w:t>
            </w:r>
          </w:p>
        </w:tc>
        <w:tc>
          <w:tcPr>
            <w:tcW w:w="4760" w:type="dxa"/>
            <w:vAlign w:val="bottom"/>
            <w:gridSpan w:val="3"/>
            <w:shd w:val="clear" w:color="auto" w:fill="CCEEFF"/>
          </w:tcPr>
          <w:p>
            <w:pPr>
              <w:jc w:val="center"/>
              <w:ind w:left="1910"/>
              <w:spacing w:after="0"/>
              <w:rPr>
                <w:sz w:val="20"/>
                <w:szCs w:val="20"/>
                <w:color w:val="auto"/>
              </w:rPr>
            </w:pPr>
            <w:r>
              <w:rPr>
                <w:rFonts w:ascii="Arial" w:cs="Arial" w:eastAsia="Arial" w:hAnsi="Arial"/>
                <w:sz w:val="18"/>
                <w:szCs w:val="18"/>
                <w:color w:val="auto"/>
                <w:w w:val="95"/>
              </w:rPr>
              <w:t>1.1(a) of Appendix A</w:t>
            </w:r>
          </w:p>
        </w:tc>
      </w:tr>
      <w:tr>
        <w:trPr>
          <w:trHeight w:val="419"/>
        </w:trPr>
        <w:tc>
          <w:tcPr>
            <w:tcW w:w="126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5400" w:type="dxa"/>
            <w:vAlign w:val="bottom"/>
            <w:gridSpan w:val="2"/>
          </w:tcPr>
          <w:p>
            <w:pPr>
              <w:spacing w:after="0"/>
              <w:rPr>
                <w:sz w:val="20"/>
                <w:szCs w:val="20"/>
                <w:color w:val="auto"/>
              </w:rPr>
            </w:pPr>
            <w:r>
              <w:rPr>
                <w:rFonts w:ascii="Arial" w:cs="Arial" w:eastAsia="Arial" w:hAnsi="Arial"/>
                <w:sz w:val="18"/>
                <w:szCs w:val="18"/>
                <w:color w:val="auto"/>
              </w:rPr>
              <w:t>Rules of Construction.</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Unless the context otherwise requires:</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29" w:lineRule="exact"/>
        <w:rPr>
          <w:sz w:val="20"/>
          <w:szCs w:val="20"/>
          <w:color w:val="auto"/>
        </w:rPr>
      </w:pPr>
    </w:p>
    <w:p>
      <w:pPr>
        <w:ind w:left="1780" w:hanging="475"/>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52" w:lineRule="exact"/>
        <w:rPr>
          <w:rFonts w:ascii="Arial" w:cs="Arial" w:eastAsia="Arial" w:hAnsi="Arial"/>
          <w:sz w:val="18"/>
          <w:szCs w:val="18"/>
          <w:color w:val="auto"/>
        </w:rPr>
      </w:pPr>
    </w:p>
    <w:p>
      <w:pPr>
        <w:ind w:right="80" w:firstLine="1305"/>
        <w:spacing w:after="0" w:line="277" w:lineRule="auto"/>
        <w:tabs>
          <w:tab w:leader="none" w:pos="17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97" w:lineRule="exact"/>
        <w:rPr>
          <w:rFonts w:ascii="Arial" w:cs="Arial" w:eastAsia="Arial" w:hAnsi="Arial"/>
          <w:sz w:val="18"/>
          <w:szCs w:val="18"/>
          <w:color w:val="auto"/>
        </w:rPr>
      </w:pPr>
    </w:p>
    <w:p>
      <w:pPr>
        <w:ind w:right="460" w:firstLine="1305"/>
        <w:spacing w:after="0" w:line="277" w:lineRule="auto"/>
        <w:tabs>
          <w:tab w:leader="none" w:pos="1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97"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52" w:lineRule="exact"/>
        <w:rPr>
          <w:rFonts w:ascii="Arial" w:cs="Arial" w:eastAsia="Arial" w:hAnsi="Arial"/>
          <w:sz w:val="18"/>
          <w:szCs w:val="18"/>
          <w:color w:val="auto"/>
        </w:rPr>
      </w:pPr>
    </w:p>
    <w:p>
      <w:pPr>
        <w:ind w:right="40" w:firstLine="1305"/>
        <w:spacing w:after="0" w:line="277" w:lineRule="auto"/>
        <w:tabs>
          <w:tab w:leader="none" w:pos="17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197" w:lineRule="exact"/>
        <w:rPr>
          <w:rFonts w:ascii="Arial" w:cs="Arial" w:eastAsia="Arial" w:hAnsi="Arial"/>
          <w:sz w:val="18"/>
          <w:szCs w:val="18"/>
          <w:color w:val="auto"/>
        </w:rPr>
      </w:pPr>
    </w:p>
    <w:p>
      <w:pPr>
        <w:jc w:val="both"/>
        <w:ind w:right="400" w:firstLine="1305"/>
        <w:spacing w:after="0" w:line="264" w:lineRule="auto"/>
        <w:tabs>
          <w:tab w:leader="none" w:pos="17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208" w:lineRule="exact"/>
        <w:rPr>
          <w:rFonts w:ascii="Arial" w:cs="Arial" w:eastAsia="Arial" w:hAnsi="Arial"/>
          <w:sz w:val="18"/>
          <w:szCs w:val="18"/>
          <w:color w:val="auto"/>
        </w:rPr>
      </w:pPr>
    </w:p>
    <w:p>
      <w:pPr>
        <w:ind w:right="680" w:firstLine="1305"/>
        <w:spacing w:after="0" w:line="277" w:lineRule="auto"/>
        <w:tabs>
          <w:tab w:leader="none" w:pos="18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252" w:lineRule="exact"/>
        <w:rPr>
          <w:sz w:val="20"/>
          <w:szCs w:val="20"/>
          <w:color w:val="auto"/>
        </w:rPr>
      </w:pPr>
    </w:p>
    <w:p>
      <w:pPr>
        <w:ind w:right="20" w:firstLine="1305"/>
        <w:spacing w:after="0" w:line="276" w:lineRule="auto"/>
        <w:tabs>
          <w:tab w:leader="none" w:pos="17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and the Subsidiary Guarantors. Proof of execution of any such instrument or of a writing appointing any such agent, or the holding by any Person of a Note, shall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be sufficient for any purpose of this Indenture and (subject to Section 7.01) conclusive in favor of the Trustee, the Company and the Subsidiary Guarantors, if made in the manner provided in this Section 1.04.</w:t>
      </w:r>
    </w:p>
    <w:p>
      <w:pPr>
        <w:spacing w:after="0" w:line="197" w:lineRule="exact"/>
        <w:rPr>
          <w:sz w:val="20"/>
          <w:szCs w:val="20"/>
          <w:color w:val="auto"/>
        </w:rPr>
      </w:pPr>
    </w:p>
    <w:p>
      <w:pPr>
        <w:ind w:firstLine="1305"/>
        <w:spacing w:after="0" w:line="255" w:lineRule="auto"/>
        <w:tabs>
          <w:tab w:leader="none" w:pos="17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220" w:lineRule="exact"/>
        <w:rPr>
          <w:rFonts w:ascii="Arial" w:cs="Arial" w:eastAsia="Arial" w:hAnsi="Arial"/>
          <w:sz w:val="18"/>
          <w:szCs w:val="18"/>
          <w:color w:val="auto"/>
        </w:rPr>
      </w:pPr>
    </w:p>
    <w:p>
      <w:pPr>
        <w:ind w:left="1780" w:hanging="475"/>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52" w:lineRule="exact"/>
        <w:rPr>
          <w:rFonts w:ascii="Arial" w:cs="Arial" w:eastAsia="Arial" w:hAnsi="Arial"/>
          <w:sz w:val="18"/>
          <w:szCs w:val="18"/>
          <w:color w:val="auto"/>
        </w:rPr>
      </w:pPr>
    </w:p>
    <w:p>
      <w:pPr>
        <w:ind w:right="40" w:firstLine="1305"/>
        <w:spacing w:after="0" w:line="259" w:lineRule="auto"/>
        <w:tabs>
          <w:tab w:leader="none" w:pos="17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Company or the Subsidiary Guarantors in reliance thereon, whether or not notation of such action is made upon such Note.</w:t>
      </w:r>
    </w:p>
    <w:p>
      <w:pPr>
        <w:spacing w:after="0" w:line="213" w:lineRule="exact"/>
        <w:rPr>
          <w:rFonts w:ascii="Arial" w:cs="Arial" w:eastAsia="Arial" w:hAnsi="Arial"/>
          <w:sz w:val="18"/>
          <w:szCs w:val="18"/>
          <w:color w:val="auto"/>
        </w:rPr>
      </w:pPr>
    </w:p>
    <w:p>
      <w:pPr>
        <w:ind w:right="20" w:firstLine="1305"/>
        <w:spacing w:after="0" w:line="268" w:lineRule="auto"/>
        <w:tabs>
          <w:tab w:leader="none" w:pos="17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Company may set a record date for purposes of determining the identity of Holders entitled to make, give or take any request, demand, authorization, direction, notice, consent, waiver or other action provided in this Indenture to be made, or to vote on or consent to any action authorized or permitted to be taken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not set a record date for, and the provisions of this Section 1.04(e) shall not apply with respect to, the giving or making of any notice, declaration, request or direction referred to in Section 1.04(f). Unless otherwise specified, if not set by the Company prior to the first solicitation of a Holder made by any Person in respect of any such action, or in the case of any such vote, prior to such vote, any such record date shall be the later of 30 days prior to the first solicitation of such consent or vote or the date of the most recent list of Holders furnished to the Trustee prior to such solicitation or vote. If any record date is set pursuant to this Section 1.04(e), the Holders on such record date, and only such Holders, shall be entitled to make, give or take such request, demand, authorization, direction, notice, consent, waiver or other action (including revocation of any action), whether or not such Holders remain Holders after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Section 1.04(e), the Company, at its own expense, shall cause notice of such record date, the proposed action by Holders and the applicable Expiration Date to be given to the Trustee in writing and to each Holder in the manner set forth in Section 12.01.</w:t>
      </w:r>
    </w:p>
    <w:p>
      <w:pPr>
        <w:spacing w:after="0" w:line="214" w:lineRule="exact"/>
        <w:rPr>
          <w:rFonts w:ascii="Arial" w:cs="Arial" w:eastAsia="Arial" w:hAnsi="Arial"/>
          <w:sz w:val="17"/>
          <w:szCs w:val="17"/>
          <w:color w:val="auto"/>
        </w:rPr>
      </w:pPr>
    </w:p>
    <w:p>
      <w:pPr>
        <w:ind w:right="20" w:firstLine="1305"/>
        <w:spacing w:after="0" w:line="272" w:lineRule="auto"/>
        <w:tabs>
          <w:tab w:leader="none" w:pos="17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Trustee may set any day as a record date for the purpose of determining the Holders entitled to join in the giving or making of (1) any notice of Default under Section 6.01, (2) any declaration of acceleration referred to in Section 6.02, (3) any direction referred to in Section 6.05 or (4) any request to pursue a remedy as permitted in Section 6.06. If any record date is set pursuant to this Section 1.04(f), the Holders on such record date, and no other Holders, shall be entitled to join in such notice, declaration, request or direction, whether or not such Holders remain Holders after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action shall be effective hereunder unless made, given or taken on or prior to the applicable Expiration Date by Holders of the requisite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Notes or each affected Holder, as applicable, on such record date. Promptly after any record date is set pursuant to this Section 1.04(f), the Trustee, at the Company’s expense, shall cause notice of such record date, the proposed action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by Holders and the applicable Expiration Date to be given to the Company and to each Holder in the manner set forth in Section 12.01.</w:t>
      </w:r>
    </w:p>
    <w:p>
      <w:pPr>
        <w:spacing w:after="0" w:line="252" w:lineRule="exact"/>
        <w:rPr>
          <w:sz w:val="20"/>
          <w:szCs w:val="20"/>
          <w:color w:val="auto"/>
        </w:rPr>
      </w:pPr>
    </w:p>
    <w:p>
      <w:pPr>
        <w:ind w:firstLine="1305"/>
        <w:spacing w:after="0" w:line="302" w:lineRule="auto"/>
        <w:tabs>
          <w:tab w:leader="none" w:pos="17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1.04(g) shall have the same effect as if given or taken by separate Holders of each such different part.</w:t>
      </w:r>
    </w:p>
    <w:p>
      <w:pPr>
        <w:spacing w:after="0" w:line="181" w:lineRule="exact"/>
        <w:rPr>
          <w:rFonts w:ascii="Arial" w:cs="Arial" w:eastAsia="Arial" w:hAnsi="Arial"/>
          <w:sz w:val="16"/>
          <w:szCs w:val="16"/>
          <w:color w:val="auto"/>
        </w:rPr>
      </w:pPr>
    </w:p>
    <w:p>
      <w:pPr>
        <w:ind w:firstLine="1305"/>
        <w:spacing w:after="0" w:line="279" w:lineRule="auto"/>
        <w:tabs>
          <w:tab w:leader="none" w:pos="1784"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198" w:lineRule="exact"/>
        <w:rPr>
          <w:rFonts w:ascii="Arial" w:cs="Arial" w:eastAsia="Arial" w:hAnsi="Arial"/>
          <w:sz w:val="17"/>
          <w:szCs w:val="17"/>
          <w:color w:val="auto"/>
        </w:rPr>
      </w:pPr>
    </w:p>
    <w:p>
      <w:pPr>
        <w:ind w:right="40" w:firstLine="1305"/>
        <w:spacing w:after="0" w:line="291" w:lineRule="auto"/>
        <w:tabs>
          <w:tab w:leader="none" w:pos="17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w:t>
      </w:r>
    </w:p>
    <w:p>
      <w:pPr>
        <w:spacing w:after="0" w:line="194" w:lineRule="exact"/>
        <w:rPr>
          <w:rFonts w:ascii="Arial" w:cs="Arial" w:eastAsia="Arial" w:hAnsi="Arial"/>
          <w:sz w:val="16"/>
          <w:szCs w:val="16"/>
          <w:color w:val="auto"/>
        </w:rPr>
      </w:pPr>
    </w:p>
    <w:p>
      <w:pPr>
        <w:ind w:right="20" w:firstLine="1305"/>
        <w:spacing w:after="0" w:line="273" w:lineRule="auto"/>
        <w:tabs>
          <w:tab w:leader="none" w:pos="17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any record date set pursuant to this Section 1.04, the party hereto that sets such record date may designate any day as the “</w:t>
      </w:r>
      <w:r>
        <w:rPr>
          <w:rFonts w:ascii="Arial" w:cs="Arial" w:eastAsia="Arial" w:hAnsi="Arial"/>
          <w:sz w:val="17"/>
          <w:szCs w:val="17"/>
          <w:i w:val="1"/>
          <w:iCs w:val="1"/>
          <w:color w:val="auto"/>
        </w:rPr>
        <w:t>Expiration Date</w:t>
      </w:r>
      <w:r>
        <w:rPr>
          <w:rFonts w:ascii="Arial" w:cs="Arial" w:eastAsia="Arial" w:hAnsi="Arial"/>
          <w:sz w:val="17"/>
          <w:szCs w:val="17"/>
          <w:color w:val="auto"/>
        </w:rPr>
        <w:t xml:space="preserve">” and from time to time may change the Expiration Date to any earlier or later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Notes in the manner set forth in Section 12.01, on or prior to both the existing and the new Expiration Date. If an Expiration Date is not designated with respect to any record date set pursuant to this Section 1.04, the party hereto which set such record date shall be deemed to have initially designated the 60th day after such record date as the Expiration Date with respect thereto, subject to its right to change the Expiration Date as provided in this clause (j).</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52" w:lineRule="exact"/>
        <w:rPr>
          <w:sz w:val="20"/>
          <w:szCs w:val="20"/>
          <w:color w:val="auto"/>
        </w:rPr>
      </w:pPr>
    </w:p>
    <w:p>
      <w:pPr>
        <w:ind w:right="40" w:firstLine="1305"/>
        <w:spacing w:after="0" w:line="302" w:lineRule="auto"/>
        <w:tabs>
          <w:tab w:leader="none" w:pos="17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Provisions relating to the Initial Notes, Additional Notes and any other Notes issued under this Indenture are set forth in Appendix A,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or any Subsidiary Guarantor is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denominations of $2,000 and integral multiples of $1,000 in excess thereof.</w:t>
      </w:r>
    </w:p>
    <w:p>
      <w:pPr>
        <w:spacing w:after="0" w:line="197" w:lineRule="exact"/>
        <w:rPr>
          <w:sz w:val="20"/>
          <w:szCs w:val="20"/>
          <w:color w:val="auto"/>
        </w:rPr>
      </w:pPr>
    </w:p>
    <w:p>
      <w:pPr>
        <w:ind w:left="1800" w:hanging="495"/>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5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1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Notes shall be subject to repurchase by the Company pursuant to a Change of Control Offer as provided in Section 4.08, and otherwise as not prohibited by this Indenture. The Notes shall not be redeemable, other than as provided in Article 3.</w:t>
      </w:r>
    </w:p>
    <w:p>
      <w:pPr>
        <w:spacing w:after="0" w:line="197"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Additional Notes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Notes may be created and issued from time to time by the Company without notice to or consent of the Holders and shall be consolidated with and form a single class with the Initial Notes and shall have the same terms as to status, redemption or otherwise (other than issue date, issue price and, if applicable, the first Interest Payment Date and the first date from which interest will accrue) as the Initial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Initial Notes for U.S. federal income tax purposes, such Additional Notes will have a separate CUSIP number and ISIN from the Initial Notes. Any Additional Notes shall be issued with the benefit of an indenture supplemental to this Indenture.</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52" w:lineRule="exact"/>
        <w:rPr>
          <w:sz w:val="20"/>
          <w:szCs w:val="20"/>
          <w:color w:val="auto"/>
        </w:rPr>
      </w:pPr>
    </w:p>
    <w:p>
      <w:pPr>
        <w:ind w:right="620" w:firstLine="1305"/>
        <w:spacing w:after="0" w:line="308" w:lineRule="auto"/>
        <w:tabs>
          <w:tab w:leader="none" w:pos="17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3" w:lineRule="exact"/>
        <w:rPr>
          <w:rFonts w:ascii="Arial" w:cs="Arial" w:eastAsia="Arial" w:hAnsi="Arial"/>
          <w:sz w:val="17"/>
          <w:szCs w:val="17"/>
          <w:color w:val="auto"/>
        </w:rPr>
      </w:pPr>
    </w:p>
    <w:p>
      <w:pPr>
        <w:ind w:right="300" w:firstLine="1305"/>
        <w:spacing w:after="0" w:line="264" w:lineRule="auto"/>
        <w:tabs>
          <w:tab w:leader="none" w:pos="17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attached hereto by the manual signature of an authorized signatory of the Trustee. The signature shall be conclusive evidence that the Note has been duly authenticated and delivered under this Indenture.</w:t>
      </w:r>
    </w:p>
    <w:p>
      <w:pPr>
        <w:spacing w:after="0" w:line="208" w:lineRule="exact"/>
        <w:rPr>
          <w:rFonts w:ascii="Arial" w:cs="Arial" w:eastAsia="Arial" w:hAnsi="Arial"/>
          <w:sz w:val="18"/>
          <w:szCs w:val="18"/>
          <w:color w:val="auto"/>
        </w:rPr>
      </w:pPr>
    </w:p>
    <w:p>
      <w:pPr>
        <w:ind w:right="100" w:firstLine="1305"/>
        <w:spacing w:after="0" w:line="259" w:lineRule="auto"/>
        <w:tabs>
          <w:tab w:leader="none" w:pos="17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the Issue Date, the Trustee shall, upon receipt of a written order of the Company signed by an Officer (an “</w:t>
      </w:r>
      <w:r>
        <w:rPr>
          <w:rFonts w:ascii="Arial" w:cs="Arial" w:eastAsia="Arial" w:hAnsi="Arial"/>
          <w:sz w:val="18"/>
          <w:szCs w:val="18"/>
          <w:i w:val="1"/>
          <w:iCs w:val="1"/>
          <w:color w:val="auto"/>
        </w:rPr>
        <w:t>Authentication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Order</w:t>
      </w:r>
      <w:r>
        <w:rPr>
          <w:rFonts w:ascii="Arial" w:cs="Arial" w:eastAsia="Arial" w:hAnsi="Arial"/>
          <w:sz w:val="18"/>
          <w:szCs w:val="18"/>
          <w:color w:val="auto"/>
        </w:rPr>
        <w:t>”), authenticate and deliver the Initial Notes. In addition, at any time and from time to time, the Trustee shall, upon receipt of an Authentication Order,</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authenticate and deliver any Additional Notes in an aggregate principal amount specified in such Authentication Order for such Additional Notes issued hereunder.</w:t>
      </w:r>
    </w:p>
    <w:p>
      <w:pPr>
        <w:spacing w:after="0" w:line="213" w:lineRule="exact"/>
        <w:rPr>
          <w:rFonts w:ascii="Arial" w:cs="Arial" w:eastAsia="Arial" w:hAnsi="Arial"/>
          <w:sz w:val="18"/>
          <w:szCs w:val="18"/>
          <w:color w:val="auto"/>
        </w:rPr>
      </w:pPr>
    </w:p>
    <w:p>
      <w:pPr>
        <w:ind w:right="140" w:firstLine="1305"/>
        <w:spacing w:after="0" w:line="286" w:lineRule="auto"/>
        <w:tabs>
          <w:tab w:leader="none" w:pos="178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92" w:lineRule="exact"/>
        <w:rPr>
          <w:rFonts w:ascii="Arial" w:cs="Arial" w:eastAsia="Arial" w:hAnsi="Arial"/>
          <w:sz w:val="17"/>
          <w:szCs w:val="17"/>
          <w:color w:val="auto"/>
        </w:rPr>
      </w:pPr>
    </w:p>
    <w:p>
      <w:pPr>
        <w:ind w:right="360" w:firstLine="1305"/>
        <w:spacing w:after="0" w:line="277" w:lineRule="auto"/>
        <w:tabs>
          <w:tab w:leader="none" w:pos="17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shall authenticate and make available for delivery upon a written order of the Company signed by one Officer of the Company (1) Initial Notes for original issue on the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Issue Date in an aggregate principal amount of $400,000,000 and (2) subject to the terms of this Indenture, Additional Notes and (3) any Unrestricted Global Notes issued in exchange for any of the foregoing in accordance with this Indenture. Such order shall specify the amount of the Notes to be authenticated, the date on which the original issue of Notes is to be authenticated and whether the Notes are to be Initial Notes, Additional Notes or other Unrestricted Global Notes.</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52" w:lineRule="exact"/>
        <w:rPr>
          <w:sz w:val="20"/>
          <w:szCs w:val="20"/>
          <w:color w:val="auto"/>
        </w:rPr>
      </w:pPr>
    </w:p>
    <w:p>
      <w:pPr>
        <w:ind w:left="1780" w:hanging="475"/>
        <w:spacing w:after="0"/>
        <w:tabs>
          <w:tab w:leader="none" w:pos="1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 and at least one office or agency where Notes may be presented for payment (“</w:t>
      </w:r>
      <w:r>
        <w:rPr>
          <w:rFonts w:ascii="Arial" w:cs="Arial" w:eastAsia="Arial" w:hAnsi="Arial"/>
          <w:sz w:val="18"/>
          <w:szCs w:val="18"/>
          <w:i w:val="1"/>
          <w:iCs w:val="1"/>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i w:val="1"/>
          <w:iCs w:val="1"/>
          <w:color w:val="auto"/>
        </w:rPr>
        <w:t>Note Register</w:t>
      </w:r>
      <w:r>
        <w:rPr>
          <w:rFonts w:ascii="Arial" w:cs="Arial" w:eastAsia="Arial" w:hAnsi="Arial"/>
          <w:sz w:val="18"/>
          <w:szCs w:val="18"/>
          <w:color w:val="auto"/>
        </w:rPr>
        <w:t>”) and of their transfer and exchange. The Company may appoint one or more co-registrars and one or more additional paying agents.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The Company may change any Paying Agent or Registrar without prior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221" w:lineRule="exact"/>
        <w:rPr>
          <w:sz w:val="20"/>
          <w:szCs w:val="20"/>
          <w:color w:val="auto"/>
        </w:rPr>
      </w:pPr>
    </w:p>
    <w:p>
      <w:pPr>
        <w:ind w:firstLine="1305"/>
        <w:spacing w:after="0" w:line="308" w:lineRule="auto"/>
        <w:tabs>
          <w:tab w:leader="none" w:pos="17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initially appoints The Depository Trust Company to act as Depositary with respect to the Global Notes. The Company initially appoints the Trustee to act as Paying Agent and Registrar for the Notes and to act as Custodian with respect to the Global Notes.</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such Paying Agent shall hold in trust for the benefit of Holders or the Trustee all money held by such Paying Agent for the payment of principal, premium, if any, and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a Paying Agent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2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52"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 w:name="page28"/>
    <w:bookmarkEnd w:id="27"/>
    <w:p>
      <w:pPr>
        <w:spacing w:after="0"/>
        <w:tabs>
          <w:tab w:leader="none" w:pos="1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52" w:lineRule="exact"/>
        <w:rPr>
          <w:sz w:val="20"/>
          <w:szCs w:val="20"/>
          <w:color w:val="auto"/>
        </w:rPr>
      </w:pPr>
    </w:p>
    <w:p>
      <w:pPr>
        <w:ind w:right="240" w:firstLine="1305"/>
        <w:spacing w:after="0" w:line="277" w:lineRule="auto"/>
        <w:tabs>
          <w:tab w:leader="none" w:pos="17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97" w:lineRule="exact"/>
        <w:rPr>
          <w:rFonts w:ascii="Arial" w:cs="Arial" w:eastAsia="Arial" w:hAnsi="Arial"/>
          <w:sz w:val="18"/>
          <w:szCs w:val="18"/>
          <w:color w:val="auto"/>
        </w:rPr>
      </w:pPr>
    </w:p>
    <w:p>
      <w:pPr>
        <w:ind w:right="200" w:firstLine="1305"/>
        <w:spacing w:after="0" w:line="277" w:lineRule="auto"/>
        <w:tabs>
          <w:tab w:leader="none" w:pos="17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97" w:lineRule="exact"/>
        <w:rPr>
          <w:rFonts w:ascii="Arial" w:cs="Arial" w:eastAsia="Arial" w:hAnsi="Arial"/>
          <w:sz w:val="18"/>
          <w:szCs w:val="18"/>
          <w:color w:val="auto"/>
        </w:rPr>
      </w:pPr>
    </w:p>
    <w:p>
      <w:pPr>
        <w:jc w:val="both"/>
        <w:ind w:firstLine="1305"/>
        <w:spacing w:after="0" w:line="286" w:lineRule="auto"/>
        <w:tabs>
          <w:tab w:leader="none" w:pos="17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service charge shall be imposed in connection with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Sections 2.10, 3.06, 3.07 and 9.04).</w:t>
      </w:r>
    </w:p>
    <w:p>
      <w:pPr>
        <w:spacing w:after="0" w:line="192" w:lineRule="exact"/>
        <w:rPr>
          <w:rFonts w:ascii="Arial" w:cs="Arial" w:eastAsia="Arial" w:hAnsi="Arial"/>
          <w:sz w:val="17"/>
          <w:szCs w:val="17"/>
          <w:color w:val="auto"/>
        </w:rPr>
      </w:pPr>
    </w:p>
    <w:p>
      <w:pPr>
        <w:ind w:right="20" w:firstLine="1305"/>
        <w:spacing w:after="0" w:line="264" w:lineRule="auto"/>
        <w:tabs>
          <w:tab w:leader="none" w:pos="17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208" w:lineRule="exact"/>
        <w:rPr>
          <w:rFonts w:ascii="Arial" w:cs="Arial" w:eastAsia="Arial" w:hAnsi="Arial"/>
          <w:sz w:val="18"/>
          <w:szCs w:val="18"/>
          <w:color w:val="auto"/>
        </w:rPr>
      </w:pPr>
    </w:p>
    <w:p>
      <w:pPr>
        <w:ind w:right="60" w:firstLine="1305"/>
        <w:spacing w:after="0" w:line="297" w:lineRule="auto"/>
        <w:tabs>
          <w:tab w:leader="none" w:pos="17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Neither the Company nor the Registrar shall be required (1) to issue, to register the transfer of or to exchange any Note during a period beginning at the opening of business 15 days before the day of any selection of Notes for redemption under Section 3.02 and ending at the close of business on the day of selection, (2) to register the transfer of or to exchange any Note so selected for redemption, or tendered for repurchase (and not withdrawn) in connection with a Change of Control Offer, in whole or in part, except the unredeemed or unpurchased portion of any Note being redeemed or repurchased in part or (3) to register the transfer of or to exchange any Note between a Record Date and the next succeeding Interest Payment Date.</w:t>
      </w:r>
    </w:p>
    <w:p>
      <w:pPr>
        <w:spacing w:after="0" w:line="185" w:lineRule="exact"/>
        <w:rPr>
          <w:rFonts w:ascii="Arial" w:cs="Arial" w:eastAsia="Arial" w:hAnsi="Arial"/>
          <w:sz w:val="16"/>
          <w:szCs w:val="16"/>
          <w:color w:val="auto"/>
        </w:rPr>
      </w:pPr>
    </w:p>
    <w:p>
      <w:pPr>
        <w:jc w:val="both"/>
        <w:ind w:right="140" w:firstLine="1305"/>
        <w:spacing w:after="0" w:line="259" w:lineRule="auto"/>
        <w:tabs>
          <w:tab w:leader="none" w:pos="17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premium, if any, and (subject to the Record Date provisions of the Notes) interest on such Notes and for all other purposes, and none of the Trustee, any Agent or the Company shall be affected by notice to the contrary.</w:t>
      </w:r>
    </w:p>
    <w:p>
      <w:pPr>
        <w:spacing w:after="0" w:line="213" w:lineRule="exact"/>
        <w:rPr>
          <w:rFonts w:ascii="Arial" w:cs="Arial" w:eastAsia="Arial" w:hAnsi="Arial"/>
          <w:sz w:val="18"/>
          <w:szCs w:val="18"/>
          <w:color w:val="auto"/>
        </w:rPr>
      </w:pPr>
    </w:p>
    <w:p>
      <w:pPr>
        <w:ind w:right="140" w:firstLine="1305"/>
        <w:spacing w:after="0" w:line="264" w:lineRule="auto"/>
        <w:tabs>
          <w:tab w:leader="none" w:pos="17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208" w:lineRule="exact"/>
        <w:rPr>
          <w:rFonts w:ascii="Arial" w:cs="Arial" w:eastAsia="Arial" w:hAnsi="Arial"/>
          <w:sz w:val="18"/>
          <w:szCs w:val="18"/>
          <w:color w:val="auto"/>
        </w:rPr>
      </w:pPr>
    </w:p>
    <w:p>
      <w:pPr>
        <w:jc w:val="both"/>
        <w:ind w:right="80" w:firstLine="1305"/>
        <w:spacing w:after="0" w:line="259" w:lineRule="auto"/>
        <w:tabs>
          <w:tab w:leader="none" w:pos="17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Appendix A.</w:t>
      </w:r>
    </w:p>
    <w:p>
      <w:pPr>
        <w:spacing w:after="0" w:line="213" w:lineRule="exact"/>
        <w:rPr>
          <w:rFonts w:ascii="Arial" w:cs="Arial" w:eastAsia="Arial" w:hAnsi="Arial"/>
          <w:sz w:val="18"/>
          <w:szCs w:val="18"/>
          <w:color w:val="auto"/>
        </w:rPr>
      </w:pPr>
    </w:p>
    <w:p>
      <w:pPr>
        <w:ind w:firstLine="1305"/>
        <w:spacing w:after="0" w:line="277" w:lineRule="auto"/>
        <w:tabs>
          <w:tab w:leader="none" w:pos="17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mail or by facsimile or electronic transmission.</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8" w:name="page29"/>
    <w:bookmarkEnd w:id="28"/>
    <w:p>
      <w:pPr>
        <w:spacing w:after="0"/>
        <w:tabs>
          <w:tab w:leader="none" w:pos="12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pacing w:after="0" w:line="252"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otherwise met. If required by the Trustee or the Company,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 Notwithstanding the foregoing provisions of this</w:t>
      </w:r>
    </w:p>
    <w:p>
      <w:pPr>
        <w:spacing w:after="0" w:line="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Section 2.07, in case any mutilated, lost, destroyed or wrongfully taken Note has become or is about to become due and payable, the Company in its discretion may, instead of issuing a new Note, pay such Note.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257" w:lineRule="auto"/>
        <w:tabs>
          <w:tab w:leader="none" w:pos="17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Notes held by the Company or a Subsidiary of the Company will not be deemed to be outstanding for purposes of Section 3.07(b).</w:t>
      </w:r>
    </w:p>
    <w:p>
      <w:pPr>
        <w:spacing w:after="0" w:line="215" w:lineRule="exact"/>
        <w:rPr>
          <w:rFonts w:ascii="Arial" w:cs="Arial" w:eastAsia="Arial" w:hAnsi="Arial"/>
          <w:sz w:val="18"/>
          <w:szCs w:val="18"/>
          <w:color w:val="auto"/>
        </w:rPr>
      </w:pPr>
    </w:p>
    <w:p>
      <w:pPr>
        <w:ind w:right="120" w:firstLine="1305"/>
        <w:spacing w:after="0" w:line="342" w:lineRule="auto"/>
        <w:tabs>
          <w:tab w:leader="none" w:pos="17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 Note is replaced pursuant to Section 2.07, it ceases to be outstanding unless the Trustee receives proof satisfactory to it that the replaced Note is held by a protected purchaser, as such term is defined in Section 8-303 of the Uniform Commercial Code in effect in the State of New York.</w:t>
      </w:r>
    </w:p>
    <w:p>
      <w:pPr>
        <w:spacing w:after="0" w:line="150" w:lineRule="exact"/>
        <w:rPr>
          <w:rFonts w:ascii="Arial" w:cs="Arial" w:eastAsia="Arial" w:hAnsi="Arial"/>
          <w:sz w:val="16"/>
          <w:szCs w:val="16"/>
          <w:color w:val="auto"/>
        </w:rPr>
      </w:pPr>
    </w:p>
    <w:p>
      <w:pPr>
        <w:ind w:right="420" w:firstLine="1305"/>
        <w:spacing w:after="0" w:line="277" w:lineRule="auto"/>
        <w:tabs>
          <w:tab w:leader="none" w:pos="17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it ceases to be outstanding and interest on it ceases to accrue from and after the date of such payment.</w:t>
      </w:r>
    </w:p>
    <w:p>
      <w:pPr>
        <w:spacing w:after="0" w:line="197" w:lineRule="exact"/>
        <w:rPr>
          <w:rFonts w:ascii="Arial" w:cs="Arial" w:eastAsia="Arial" w:hAnsi="Arial"/>
          <w:sz w:val="18"/>
          <w:szCs w:val="18"/>
          <w:color w:val="auto"/>
        </w:rPr>
      </w:pPr>
    </w:p>
    <w:p>
      <w:pPr>
        <w:jc w:val="both"/>
        <w:ind w:right="140" w:firstLine="1305"/>
        <w:spacing w:after="0" w:line="286" w:lineRule="auto"/>
        <w:tabs>
          <w:tab w:leader="none" w:pos="17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 Paying Agent (other than the Company, a Subsidiary or an Affiliate of any thereof) holds, on the maturity date, any redemption date or any date of purchase pursuant to a Change of Control Offer, money sufficient to pay Notes payable or to be redeemed or purchased on that date, then on and after that date such Notes shall be deemed to be no longer outstanding and shall cease to accrue interest.</w:t>
      </w:r>
    </w:p>
    <w:p>
      <w:pPr>
        <w:spacing w:after="0" w:line="19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52"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In determining whether the Holders of the requisite principal amount of Notes have concurred in any direction, waiver or consent, Notes beneficially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tabs>
          <w:tab w:leader="none" w:pos="12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2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52" w:lineRule="exact"/>
        <w:rPr>
          <w:sz w:val="20"/>
          <w:szCs w:val="20"/>
          <w:color w:val="auto"/>
        </w:rPr>
      </w:pPr>
    </w:p>
    <w:p>
      <w:pPr>
        <w:ind w:right="180" w:firstLine="1297"/>
        <w:spacing w:after="0" w:line="273"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destroy cancelled Notes in accordance with its customary procedures (subject to the record retention requirement of the Exchange Act). Certification of the destruction of all cancelled Notes shall, upon the written request of the Company, be delivered to the Company. The Company may not issue new Notes to replace Notes that it has paid or that have been delivered to the Trustee for cancellation.</w:t>
      </w:r>
    </w:p>
    <w:p>
      <w:pPr>
        <w:spacing w:after="0" w:line="2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69" w:lineRule="auto"/>
        <w:tabs>
          <w:tab w:leader="none" w:pos="17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Company of such special record date. At least 15 days before the special record date, the Company (or, upon the written request of the Company, the Trustee in the name and at the expense of the Company) shall mail or deliver by electronic transmission in accordance with the applicable procedures of the Depositary, or cause to be mailed or delivered by electronic transmission in accordance with the applicable procedures of the Depositary to each Holder a notice that states the special record date, the related payment date and the amount of such interest to be paid.</w:t>
      </w:r>
    </w:p>
    <w:p>
      <w:pPr>
        <w:spacing w:after="0" w:line="206" w:lineRule="exact"/>
        <w:rPr>
          <w:rFonts w:ascii="Arial" w:cs="Arial" w:eastAsia="Arial" w:hAnsi="Arial"/>
          <w:sz w:val="17"/>
          <w:szCs w:val="17"/>
          <w:color w:val="auto"/>
        </w:rPr>
      </w:pPr>
    </w:p>
    <w:p>
      <w:pPr>
        <w:ind w:right="340" w:firstLine="1305"/>
        <w:spacing w:after="0" w:line="264" w:lineRule="auto"/>
        <w:tabs>
          <w:tab w:leader="none" w:pos="17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0" w:name="page31"/>
    <w:bookmarkEnd w:id="30"/>
    <w:p>
      <w:pPr>
        <w:spacing w:after="0"/>
        <w:tabs>
          <w:tab w:leader="none" w:pos="12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and ISIN Numbers</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or ISIN numbers (if then generally in use) and, if so, the Trustee shall use CUSIP or ISIN numbers in notices of redemption or exchange or in a Change of Control Offer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a Change of Control Offer and that reliance may be placed only on the other identification numbers printed on the Notes, and any such redemption or exchange or Change of Control Offer shall not be affected by any defect in or omission of such numbers. The Company shall as promptly as practicable notify the Trustee in writing of any change in the CUSIP or ISIN numbers.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52"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If the Company elects to redeem Notes pursuant to Section 3.07, it shall furnish to the Trustee, at least two Business Days before notice of redemption is required to be mailed or caused to be mailed to Holders pursuant to Section 3.03 (unless a shorter notice shall be agreed to by the Trustee) but not more than 60 days before a redemption date, an Officer’s Certificate setting forth (1) the paragraph or subparagraph of such Note or Section of this Indenture pursuant to which the redemption shall occur, (2) the redemption date, (3) the principal amount of the Notes to be redeemed and (4) the redemption price, if then ascertainable.</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52" w:lineRule="exact"/>
        <w:rPr>
          <w:sz w:val="20"/>
          <w:szCs w:val="20"/>
          <w:color w:val="auto"/>
        </w:rPr>
      </w:pPr>
    </w:p>
    <w:p>
      <w:pPr>
        <w:ind w:firstLine="1305"/>
        <w:spacing w:after="0" w:line="257" w:lineRule="auto"/>
        <w:tabs>
          <w:tab w:leader="none" w:pos="17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less than all of the Notes are to be redeemed pursuant to Section 3.07 or purchased in a Change of Control Offer at any time, the Trustee shall select the Notes to be redeemed or purchased by lot in the case of Definitive Notes, or in accordance with the applicable procedures of the Depositary in the case of Global Notes. In the event of partial redemption or purchase by lot, the particular Notes to be redeemed or purchased shall be selected, unless otherwise provided herein, not less than 10 nor more than 60 days prior to the redemption date by the Trustee from the then outstanding Notes not previously called for redemption or purchase.</w:t>
      </w:r>
    </w:p>
    <w:p>
      <w:pPr>
        <w:spacing w:after="0" w:line="215" w:lineRule="exact"/>
        <w:rPr>
          <w:rFonts w:ascii="Arial" w:cs="Arial" w:eastAsia="Arial" w:hAnsi="Arial"/>
          <w:sz w:val="18"/>
          <w:szCs w:val="18"/>
          <w:color w:val="auto"/>
        </w:rPr>
      </w:pPr>
    </w:p>
    <w:p>
      <w:pPr>
        <w:ind w:firstLine="1305"/>
        <w:spacing w:after="0" w:line="257" w:lineRule="auto"/>
        <w:tabs>
          <w:tab w:leader="none" w:pos="1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amounts of $1,000 or integral multiples of $1,000;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Notes of $2,000 in principal amount or less shall be redeemed in part. Except as provided in the preceding sentence, provisions of this Indenture that apply to Notes called for redemption or purchase also apply to portions of Notes called for redemption or purchase.</w:t>
      </w:r>
    </w:p>
    <w:p>
      <w:pPr>
        <w:spacing w:after="0" w:line="215" w:lineRule="exact"/>
        <w:rPr>
          <w:rFonts w:ascii="Arial" w:cs="Arial" w:eastAsia="Arial" w:hAnsi="Arial"/>
          <w:sz w:val="18"/>
          <w:szCs w:val="18"/>
          <w:color w:val="auto"/>
        </w:rPr>
      </w:pPr>
    </w:p>
    <w:p>
      <w:pPr>
        <w:ind w:right="100" w:firstLine="1305"/>
        <w:spacing w:after="0" w:line="259" w:lineRule="auto"/>
        <w:tabs>
          <w:tab w:leader="none" w:pos="17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the redemption date or purchase date, upon surrender of a Note to be redeemed or purchased in part only, a new Note or Notes in principal amount equal to the unredeemed or unpurchased portion of the original Note, representing the same Indebtedness to the extent not redeemed or not purchased, shall be issued in the name of the Holder of the Notes upon cancellation of the original Note (or appropriate book entries shall be made to reflect such partial redemption).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spacing w:after="0"/>
        <w:tabs>
          <w:tab w:leader="none" w:pos="12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276" w:lineRule="auto"/>
        <w:tabs>
          <w:tab w:leader="none" w:pos="17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shall mail or deliver by electronic transmission in accordance with the applicable procedures of the Depositary, or cause to be mailed (or delivered by electronic transmission in accordance with the applicable procedures of the Depositary) notices of redemption of Notes not less than 10 days but not more than 60 days before the redemption date to each Holder whose Notes are to be redeemed pursuant to this Article at such Holder’s registered address or otherwise in accordance with the applicable procedures of the Depositary, except that redemption notices may be mailed more than 60 days prior to a redemption date if the notice is issued in connection with Article 8 or Article 11.</w:t>
      </w:r>
    </w:p>
    <w:p>
      <w:pPr>
        <w:spacing w:after="0" w:line="199" w:lineRule="exact"/>
        <w:rPr>
          <w:rFonts w:ascii="Arial" w:cs="Arial" w:eastAsia="Arial" w:hAnsi="Arial"/>
          <w:sz w:val="17"/>
          <w:szCs w:val="17"/>
          <w:color w:val="auto"/>
        </w:rPr>
      </w:pPr>
    </w:p>
    <w:p>
      <w:pPr>
        <w:ind w:left="1800" w:hanging="495"/>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notice shall identify the Notes to be redeemed (including CUSIP and ISIN number, if applicable) and shall state:</w:t>
      </w:r>
    </w:p>
    <w:p>
      <w:pPr>
        <w:spacing w:after="0" w:line="252" w:lineRule="exact"/>
        <w:rPr>
          <w:sz w:val="20"/>
          <w:szCs w:val="20"/>
          <w:color w:val="auto"/>
        </w:rPr>
      </w:pPr>
    </w:p>
    <w:p>
      <w:pPr>
        <w:ind w:left="1800" w:hanging="495"/>
        <w:spacing w:after="0"/>
        <w:tabs>
          <w:tab w:leader="none" w:pos="1800"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010000"/>
        </w:rPr>
      </w:pPr>
    </w:p>
    <w:p>
      <w:pPr>
        <w:ind w:left="660" w:right="160" w:firstLine="645"/>
        <w:spacing w:after="0" w:line="308" w:lineRule="auto"/>
        <w:tabs>
          <w:tab w:leader="none" w:pos="1795"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 xml:space="preserve">the redemption price, including the portion thereof representing any accrued and unpaid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connection with a redemption under Section 3.07(a), the notice need not set forth the redemption price but only the manner of calculation thereof;</w:t>
      </w:r>
    </w:p>
    <w:p>
      <w:pPr>
        <w:spacing w:after="0" w:line="173" w:lineRule="exact"/>
        <w:rPr>
          <w:rFonts w:ascii="Arial" w:cs="Arial" w:eastAsia="Arial" w:hAnsi="Arial"/>
          <w:sz w:val="17"/>
          <w:szCs w:val="17"/>
          <w:color w:val="010000"/>
        </w:rPr>
      </w:pPr>
    </w:p>
    <w:p>
      <w:pPr>
        <w:ind w:left="1800" w:hanging="495"/>
        <w:spacing w:after="0"/>
        <w:tabs>
          <w:tab w:leader="none" w:pos="1800"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if any Note is to be redeemed in part only, the portion of the principal amount of that Note that is to be redeemed;</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the name and address of the Paying Agent;</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that Notes called for redemption must be surrendered to the Paying Agent to collect the redemption price;</w:t>
      </w:r>
    </w:p>
    <w:p>
      <w:pPr>
        <w:spacing w:after="0" w:line="252" w:lineRule="exact"/>
        <w:rPr>
          <w:rFonts w:ascii="Arial" w:cs="Arial" w:eastAsia="Arial" w:hAnsi="Arial"/>
          <w:sz w:val="18"/>
          <w:szCs w:val="18"/>
          <w:color w:val="010000"/>
        </w:rPr>
      </w:pPr>
    </w:p>
    <w:p>
      <w:pPr>
        <w:ind w:left="660" w:right="40" w:firstLine="645"/>
        <w:spacing w:after="0" w:line="308" w:lineRule="auto"/>
        <w:tabs>
          <w:tab w:leader="none" w:pos="1795"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73" w:lineRule="exact"/>
        <w:rPr>
          <w:rFonts w:ascii="Arial" w:cs="Arial" w:eastAsia="Arial" w:hAnsi="Arial"/>
          <w:sz w:val="17"/>
          <w:szCs w:val="17"/>
          <w:color w:val="010000"/>
        </w:rPr>
      </w:pPr>
    </w:p>
    <w:p>
      <w:pPr>
        <w:ind w:left="1800" w:hanging="495"/>
        <w:spacing w:after="0"/>
        <w:tabs>
          <w:tab w:leader="none" w:pos="1800" w:val="left"/>
        </w:tabs>
        <w:numPr>
          <w:ilvl w:val="0"/>
          <w:numId w:val="25"/>
        </w:numPr>
        <w:rPr>
          <w:rFonts w:ascii="Arial" w:cs="Arial" w:eastAsia="Arial" w:hAnsi="Arial"/>
          <w:sz w:val="16"/>
          <w:szCs w:val="16"/>
          <w:color w:val="010000"/>
        </w:rPr>
      </w:pPr>
      <w:r>
        <w:rPr>
          <w:rFonts w:ascii="Arial" w:cs="Arial" w:eastAsia="Arial" w:hAnsi="Arial"/>
          <w:sz w:val="16"/>
          <w:szCs w:val="16"/>
          <w:color w:val="auto"/>
        </w:rPr>
        <w:t>the paragraph or subparagraph of the Notes or Section of this Indenture pursuant to which the Notes called for redemption are being</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redeemed; and</w:t>
      </w:r>
    </w:p>
    <w:p>
      <w:pPr>
        <w:spacing w:after="0" w:line="237" w:lineRule="exact"/>
        <w:rPr>
          <w:rFonts w:ascii="Arial" w:cs="Arial" w:eastAsia="Arial" w:hAnsi="Arial"/>
          <w:sz w:val="16"/>
          <w:szCs w:val="16"/>
          <w:color w:val="010000"/>
        </w:rPr>
      </w:pPr>
    </w:p>
    <w:p>
      <w:pPr>
        <w:ind w:left="1800" w:hanging="495"/>
        <w:spacing w:after="0"/>
        <w:tabs>
          <w:tab w:leader="none" w:pos="1800" w:val="left"/>
        </w:tabs>
        <w:numPr>
          <w:ilvl w:val="0"/>
          <w:numId w:val="25"/>
        </w:numPr>
        <w:rPr>
          <w:rFonts w:ascii="Arial" w:cs="Arial" w:eastAsia="Arial" w:hAnsi="Arial"/>
          <w:sz w:val="16"/>
          <w:szCs w:val="16"/>
          <w:color w:val="010000"/>
        </w:rPr>
      </w:pPr>
      <w:r>
        <w:rPr>
          <w:rFonts w:ascii="Arial" w:cs="Arial" w:eastAsia="Arial" w:hAnsi="Arial"/>
          <w:sz w:val="16"/>
          <w:szCs w:val="16"/>
          <w:color w:val="auto"/>
        </w:rPr>
        <w:t>that no representation is made as to the correctness or accuracy of the CUSIP or ISIN number, if any, listed in such notice or printed</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on the Notes.</w:t>
      </w:r>
    </w:p>
    <w:p>
      <w:pPr>
        <w:spacing w:after="0" w:line="238" w:lineRule="exact"/>
        <w:rPr>
          <w:sz w:val="20"/>
          <w:szCs w:val="20"/>
          <w:color w:val="auto"/>
        </w:rPr>
      </w:pPr>
    </w:p>
    <w:p>
      <w:pPr>
        <w:ind w:firstLine="1305"/>
        <w:spacing w:after="0" w:line="279" w:lineRule="auto"/>
        <w:tabs>
          <w:tab w:leader="none" w:pos="17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At the Company’s request, the Trustee shall give the notice of redemption in the Company’s name and at the Company’s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shall have delivered to the Trustee, at least two Business Days before notice of redemption is required to be sent or caused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Holders pursuant to this Section 3.03 (unless a shorter notice shall be agreed to by the Trustee), an Officer’s Certificate requesting that the Trustee give such notice and setting forth the information to be stated in such notice as provided in Section 3.03(b).</w:t>
      </w:r>
    </w:p>
    <w:p>
      <w:pPr>
        <w:spacing w:after="0" w:line="198" w:lineRule="exact"/>
        <w:rPr>
          <w:rFonts w:ascii="Arial" w:cs="Arial" w:eastAsia="Arial" w:hAnsi="Arial"/>
          <w:sz w:val="17"/>
          <w:szCs w:val="17"/>
          <w:color w:val="auto"/>
        </w:rPr>
      </w:pPr>
    </w:p>
    <w:p>
      <w:pPr>
        <w:ind w:right="40" w:firstLine="1305"/>
        <w:spacing w:after="0" w:line="257" w:lineRule="auto"/>
        <w:tabs>
          <w:tab w:leader="none" w:pos="17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notice of redemption may be given prior to the completion of any event or transaction related to such redemption, including any offering or other corporate transaction, and any such redemption or notice may be subject to one or more conditions precedent, including the completion of the related offering or corporate transaction. In addition, if such redemption or notice is subject to satisfaction of one or more conditions precedent, such notice will state that the redemption date may be delayed until such time as any or all of such conditions have been satisfied, or such redemption may not occur and such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notice may be rescinded in the event that any or all such conditions have not been satisfied by the redemption date, or by the redemption date so delayed.</w:t>
      </w:r>
    </w:p>
    <w:p>
      <w:pPr>
        <w:spacing w:after="0" w:line="275" w:lineRule="exact"/>
        <w:rPr>
          <w:sz w:val="20"/>
          <w:szCs w:val="20"/>
          <w:color w:val="auto"/>
        </w:rPr>
      </w:pPr>
    </w:p>
    <w:p>
      <w:pPr>
        <w:ind w:right="300" w:firstLine="1305"/>
        <w:spacing w:after="0" w:line="277" w:lineRule="auto"/>
        <w:tabs>
          <w:tab w:leader="none" w:pos="17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such notice of redemption is rescinded pursuant to Section 3.03(d), the Company shall provide written notice thereof to the Trustee and each Holder.</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Unless the Company has given a notice of redemption pursuant to Section 3.03(d), Notes called for redemption become irrevocably due and payable on the redemption date at the redemption price. The notice, if mailed or delivered by electronic transmission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71" w:lineRule="auto"/>
        <w:tabs>
          <w:tab w:leader="none" w:pos="1773"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later than 11:00 a.m. (New York City time) on the redemption or purchase date (or such later time as such date to which the Trustee may reasonably agree), the Company shall deposit with the Trustee or with the Paying Agent money sufficient to pay the redemption or purchase price of and accrued and unpaid interest on all Notes to be redeemed or purchased on that date. If a Note is redeemed or purchased on or after a Record Date but on or prior to the related Interest Payment Date, then any accrued and unpaid interest to the redemption or purchase date in respect of such Note shall be paid to the Holder of record on such Record Date. The Paying Agent shall promptly mail to each Holder whose Notes are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205" w:lineRule="exact"/>
        <w:rPr>
          <w:rFonts w:ascii="Arial" w:cs="Arial" w:eastAsia="Arial" w:hAnsi="Arial"/>
          <w:sz w:val="17"/>
          <w:szCs w:val="17"/>
          <w:color w:val="auto"/>
        </w:rPr>
      </w:pPr>
    </w:p>
    <w:p>
      <w:pPr>
        <w:ind w:right="100" w:firstLine="1305"/>
        <w:spacing w:after="0" w:line="276" w:lineRule="auto"/>
        <w:tabs>
          <w:tab w:leader="none" w:pos="1784"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Company complies with the provisions of Section 3.05(a), on and after the redemption or purchase date, interest shall cease to accrue on the Notes or the portions of Notes called for redemption or purchase. If any Note called for redemption or purchase shall not be so paid upon surrender for redemption or purchase because of the failure of the Company to comply with 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2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5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3" w:name="page34"/>
    <w:bookmarkEnd w:id="33"/>
    <w:p>
      <w:pPr>
        <w:spacing w:after="0"/>
        <w:tabs>
          <w:tab w:leader="none" w:pos="12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59" w:lineRule="auto"/>
        <w:tabs>
          <w:tab w:leader="none" w:pos="17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prior to June 1, 2021, the Company may redeem the Notes, in whole or in part, upon notice pursuant to Section 3.03 at a redemption price equal to 100% of the principal amount of the Notes, plus the Applicable Premium, plus accrued and unpaid interest thereon, if any, to but not including the redemption date. Promptly after the determination thereof, the Company shall give the Trustee notice of the redemption price provided for in this Section 3.07(a), and the Trustee shall not be responsible for such calculation.</w:t>
      </w:r>
    </w:p>
    <w:p>
      <w:pPr>
        <w:spacing w:after="0" w:line="213" w:lineRule="exact"/>
        <w:rPr>
          <w:rFonts w:ascii="Arial" w:cs="Arial" w:eastAsia="Arial" w:hAnsi="Arial"/>
          <w:sz w:val="18"/>
          <w:szCs w:val="18"/>
          <w:color w:val="auto"/>
        </w:rPr>
      </w:pPr>
    </w:p>
    <w:p>
      <w:pPr>
        <w:ind w:right="60" w:firstLine="1305"/>
        <w:spacing w:after="0" w:line="255" w:lineRule="auto"/>
        <w:tabs>
          <w:tab w:leader="none" w:pos="1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Prior to June 1, 2021, the Company may on any one or more occasions redeem up to 40% of the aggregate principal amount of the Notes (calculated after giving effect to any issuance of Additional Notes) with the net cash proceeds of an Equity Offering, upon notice pursuant to Section 3.03, at a redemption price equal to 105.750% of the principal amount thereof, plus accrued and unpaid interest thereon, if any, to but not including the applicable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at least 60% of the aggregate principal amount of the Notes originally issued under the Indenture (excluding Notes held by the Company and its Subsidiaries) remains outstanding immediately after the occurrence of such redemption; and (2) such redemption occurs within 180 days after the date of closing of such Equity Offering.</w:t>
      </w:r>
    </w:p>
    <w:p>
      <w:pPr>
        <w:spacing w:after="0" w:line="220" w:lineRule="exact"/>
        <w:rPr>
          <w:rFonts w:ascii="Arial" w:cs="Arial" w:eastAsia="Arial" w:hAnsi="Arial"/>
          <w:sz w:val="18"/>
          <w:szCs w:val="18"/>
          <w:color w:val="auto"/>
        </w:rPr>
      </w:pPr>
    </w:p>
    <w:p>
      <w:pPr>
        <w:ind w:left="1780" w:hanging="475"/>
        <w:spacing w:after="0"/>
        <w:tabs>
          <w:tab w:leader="none" w:pos="1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pursuant to clause (a), (b) or (f) of this Section 3.07, the Notes shall not be redeemable at the Company’s option prior to June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1, 2021.</w:t>
      </w:r>
    </w:p>
    <w:p>
      <w:pPr>
        <w:spacing w:after="0" w:line="237" w:lineRule="exact"/>
        <w:rPr>
          <w:rFonts w:ascii="Arial" w:cs="Arial" w:eastAsia="Arial" w:hAnsi="Arial"/>
          <w:sz w:val="16"/>
          <w:szCs w:val="16"/>
          <w:color w:val="auto"/>
        </w:rPr>
      </w:pPr>
    </w:p>
    <w:p>
      <w:pPr>
        <w:ind w:right="240" w:firstLine="1305"/>
        <w:spacing w:after="0" w:line="302" w:lineRule="auto"/>
        <w:tabs>
          <w:tab w:leader="none" w:pos="17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or after June 1, 2021, the Company may on any one or more occasions redeem the Notes, in whole or in part, upon notice pursuant to Section 3.03 at the redemption prices (expressed as percentages of principal amount of the Notes to be redeemed) set forth below, plus accrued and unpaid interest thereon, if any, to but not including the applicable redemption date, if redeemed during the twelve-month period beginning on June 1 of each of the years indicated below, subject to the rights of Holders on the relevant Record Date to receive interest on the relevant Interest Payment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Year</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Percentage</w:t>
            </w:r>
          </w:p>
        </w:tc>
      </w:tr>
      <w:tr>
        <w:trPr>
          <w:trHeight w:val="202"/>
        </w:trPr>
        <w:tc>
          <w:tcPr>
            <w:tcW w:w="20" w:type="dxa"/>
            <w:vAlign w:val="bottom"/>
          </w:tcPr>
          <w:p>
            <w:pPr>
              <w:spacing w:after="0"/>
              <w:rPr>
                <w:sz w:val="17"/>
                <w:szCs w:val="17"/>
                <w:color w:val="auto"/>
              </w:rPr>
            </w:pPr>
          </w:p>
        </w:tc>
        <w:tc>
          <w:tcPr>
            <w:tcW w:w="9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104.313%</w:t>
            </w:r>
          </w:p>
        </w:tc>
        <w:tc>
          <w:tcPr>
            <w:tcW w:w="20" w:type="dxa"/>
            <w:vAlign w:val="bottom"/>
          </w:tcPr>
          <w:p>
            <w:pPr>
              <w:spacing w:after="0"/>
              <w:rPr>
                <w:sz w:val="17"/>
                <w:szCs w:val="17"/>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102.875%</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101.438%</w:t>
            </w:r>
          </w:p>
        </w:tc>
      </w:tr>
      <w:tr>
        <w:trPr>
          <w:trHeight w:val="230"/>
        </w:trPr>
        <w:tc>
          <w:tcPr>
            <w:tcW w:w="9860" w:type="dxa"/>
            <w:vAlign w:val="bottom"/>
            <w:gridSpan w:val="3"/>
          </w:tcPr>
          <w:p>
            <w:pPr>
              <w:spacing w:after="0"/>
              <w:rPr>
                <w:sz w:val="20"/>
                <w:szCs w:val="20"/>
                <w:color w:val="auto"/>
              </w:rPr>
            </w:pPr>
            <w:r>
              <w:rPr>
                <w:rFonts w:ascii="Arial" w:cs="Arial" w:eastAsia="Arial" w:hAnsi="Arial"/>
                <w:sz w:val="18"/>
                <w:szCs w:val="18"/>
                <w:color w:val="auto"/>
              </w:rPr>
              <w:t>2024 and thereafter</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97" w:lineRule="exact"/>
        <w:rPr>
          <w:sz w:val="20"/>
          <w:szCs w:val="20"/>
          <w:color w:val="auto"/>
        </w:rPr>
      </w:pPr>
    </w:p>
    <w:p>
      <w:pPr>
        <w:ind w:left="1780" w:hanging="475"/>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52" w:lineRule="exact"/>
        <w:rPr>
          <w:rFonts w:ascii="Arial" w:cs="Arial" w:eastAsia="Arial" w:hAnsi="Arial"/>
          <w:sz w:val="18"/>
          <w:szCs w:val="18"/>
          <w:color w:val="auto"/>
        </w:rPr>
      </w:pPr>
    </w:p>
    <w:p>
      <w:pPr>
        <w:ind w:right="60" w:firstLine="1305"/>
        <w:spacing w:after="0" w:line="293" w:lineRule="auto"/>
        <w:tabs>
          <w:tab w:leader="none" w:pos="17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clauses (a) through (e) of this Section 3.07, in connection with any tender offer for all of the outstanding Notes at a price of at least 100% of the principal amount of the Notes tendered, plus accrued and unpaid interest thereon to, but excluding, the applicable tender settlement date, if Holders of not less than 90% in aggregate principal amount of the outstanding Notes tender and do not withdraw such Notes in such tender offer and the Company, or any third party making such a tender offer in lieu of the Company, purchases all of the Notes validly tendered and not withdrawn by such Holders, the Company or such third party will have the right, upon not less than 10 nor more than 60 days’ prior notice, given not more than 30 days following the applicable tender settlement date, to redeem all the Notes that remain outstanding following such purchase at a price equal to the price offered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right="460"/>
        <w:spacing w:after="0" w:line="277" w:lineRule="auto"/>
        <w:rPr>
          <w:sz w:val="20"/>
          <w:szCs w:val="20"/>
          <w:color w:val="auto"/>
        </w:rPr>
      </w:pPr>
      <w:r>
        <w:rPr>
          <w:rFonts w:ascii="Arial" w:cs="Arial" w:eastAsia="Arial" w:hAnsi="Arial"/>
          <w:sz w:val="18"/>
          <w:szCs w:val="18"/>
          <w:color w:val="auto"/>
        </w:rPr>
        <w:t>to each other Holder in such tender offer plus, to the extent not included in the tender offer payment, accrued and unpaid interest, if any, thereon, to, but excluding, the redemption date.</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Mandatory Redemption</w:t>
      </w:r>
      <w:r>
        <w:rPr>
          <w:rFonts w:ascii="Arial" w:cs="Arial" w:eastAsia="Arial" w:hAnsi="Arial"/>
          <w:sz w:val="16"/>
          <w:szCs w:val="16"/>
          <w:color w:val="auto"/>
        </w:rPr>
        <w:t>.</w:t>
      </w: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Company will not be required to make mandatory redemption or sinking fund payments with respect to the Notes.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9" w:lineRule="auto"/>
        <w:tabs>
          <w:tab w:leader="none" w:pos="17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pay, or cause to be paid, the principal, premium, if any, and interest on the Notes on the dates and in the manner provided in the Notes. Principal, premium, if any, and interest shall be considered paid on the date due if the Paying Agent, if other than the Company or a Subsidiary, holds as of 11:00 a.m. (New York City) time, on the due date money deposited by the Company in immediately available funds and designated for and sufficient to pay the principal, premium, if any, and interest then due.</w:t>
      </w:r>
    </w:p>
    <w:p>
      <w:pPr>
        <w:spacing w:after="0" w:line="213" w:lineRule="exact"/>
        <w:rPr>
          <w:rFonts w:ascii="Arial" w:cs="Arial" w:eastAsia="Arial" w:hAnsi="Arial"/>
          <w:sz w:val="18"/>
          <w:szCs w:val="18"/>
          <w:color w:val="auto"/>
        </w:rPr>
      </w:pPr>
    </w:p>
    <w:p>
      <w:pPr>
        <w:jc w:val="both"/>
        <w:ind w:right="60" w:firstLine="1305"/>
        <w:spacing w:after="0" w:line="259" w:lineRule="auto"/>
        <w:tabs>
          <w:tab w:leader="none" w:pos="17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Bankruptcy Law) on overdue principal and premium, if any,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and the Subsidiary Guarantors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22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hereby designates the Corporate Trust Office of the Trustee as one such office or agency of the Company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2.03.</w:t>
      </w:r>
    </w:p>
    <w:p>
      <w:pPr>
        <w:spacing w:after="0" w:line="2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5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The Company shall pay, and shall cause each of its Subsidiaries to pay, prior to delinquency, all taxes, assessments and governmental levies except (a) such as are being contested in good faith and by appropriate negotiations or proceedings or (b) where the failure to effect such payment would not have a material adverse effect (1) upon the financial condition, business or results of operations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of the Company and its Subsidiaries and (2) on the ability of the Company and its Subsidiaries to perform their respective obligations under the Notes or this Indenture.</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The Company and each Subsidiary Guarantor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Subsidiary Guarantor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Reports</w:t>
      </w:r>
      <w:r>
        <w:rPr>
          <w:rFonts w:ascii="Arial" w:cs="Arial" w:eastAsia="Arial" w:hAnsi="Arial"/>
          <w:sz w:val="15"/>
          <w:szCs w:val="15"/>
          <w:color w:val="auto"/>
        </w:rPr>
        <w:t>.</w:t>
      </w:r>
    </w:p>
    <w:p>
      <w:pPr>
        <w:spacing w:after="0" w:line="252" w:lineRule="exact"/>
        <w:rPr>
          <w:sz w:val="20"/>
          <w:szCs w:val="20"/>
          <w:color w:val="auto"/>
        </w:rPr>
      </w:pPr>
    </w:p>
    <w:p>
      <w:pPr>
        <w:ind w:right="20" w:firstLine="1305"/>
        <w:spacing w:after="0" w:line="255" w:lineRule="auto"/>
        <w:tabs>
          <w:tab w:leader="none" w:pos="17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Whether or not the Company is subject to the reporting requirements of Sections 13 or 15(d) of the Exchange Act, so long as the Notes are outstanding, the Company shall file with the SEC and make available to the Trustee and Holders within 15 days after the Company would be required to file with the SEC such annual reports and such information, documents and other reports as are specified in Sections 13 and 15(d)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so obligated to file such reports with the SEC if the SEC does not permit such filing, in which event the Company will make available such information to the Trustee and Holders within 15 days after the time the Company would be required to file such information with the SEC subject to Sections 13 or 15(d) of the Exchange Act.</w:t>
      </w:r>
    </w:p>
    <w:p>
      <w:pPr>
        <w:spacing w:after="0" w:line="220" w:lineRule="exact"/>
        <w:rPr>
          <w:rFonts w:ascii="Arial" w:cs="Arial" w:eastAsia="Arial" w:hAnsi="Arial"/>
          <w:sz w:val="18"/>
          <w:szCs w:val="18"/>
          <w:color w:val="auto"/>
        </w:rPr>
      </w:pPr>
    </w:p>
    <w:p>
      <w:pPr>
        <w:ind w:right="300" w:firstLine="1305"/>
        <w:spacing w:after="0" w:line="312" w:lineRule="auto"/>
        <w:tabs>
          <w:tab w:leader="none" w:pos="17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52" w:lineRule="exact"/>
        <w:rPr>
          <w:sz w:val="20"/>
          <w:szCs w:val="20"/>
          <w:color w:val="auto"/>
        </w:rPr>
      </w:pPr>
    </w:p>
    <w:p>
      <w:pPr>
        <w:ind w:right="20" w:firstLine="1305"/>
        <w:spacing w:after="0" w:line="257" w:lineRule="auto"/>
        <w:tabs>
          <w:tab w:leader="none" w:pos="17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not, and will not permit any Subsidiary to, directly or indirectly, incur or permit to exist any Lien (an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Lien</w:t>
      </w:r>
      <w:r>
        <w:rPr>
          <w:rFonts w:ascii="Arial" w:cs="Arial" w:eastAsia="Arial" w:hAnsi="Arial"/>
          <w:sz w:val="18"/>
          <w:szCs w:val="18"/>
          <w:color w:val="auto"/>
        </w:rPr>
        <w:t>”) of any nature whatsoever on any of its properties or assets (whether owned at the Issue Date or thereafter acquired) securing any Indebtedness,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Permitted Liens, without effectively providing that the Notes (together with, at the option of the Company, any other Indebtedness of the Company or any of its Subsidiaries ranking equally in right of payment with the Notes) shall be secured equally and ratably with (or prior to) the obligations so secured for so long as such obligations are so secured.</w:t>
      </w:r>
    </w:p>
    <w:p>
      <w:pPr>
        <w:spacing w:after="0" w:line="215" w:lineRule="exact"/>
        <w:rPr>
          <w:rFonts w:ascii="Arial" w:cs="Arial" w:eastAsia="Arial" w:hAnsi="Arial"/>
          <w:sz w:val="18"/>
          <w:szCs w:val="18"/>
          <w:color w:val="auto"/>
        </w:rPr>
      </w:pPr>
    </w:p>
    <w:p>
      <w:pPr>
        <w:jc w:val="both"/>
        <w:ind w:firstLine="1305"/>
        <w:spacing w:after="0" w:line="293" w:lineRule="auto"/>
        <w:tabs>
          <w:tab w:leader="none" w:pos="17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Notwithstanding Section 4.06(a), the Company and its Subsidiaries may create, assume, incur or guarantee Indebtedness secured by a Lien without equally and ratably securing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creation, assumption, incurrence or guarantee, after giving effect thereto and to the retirement of any Indebtedness that is being retired substantially concurrently with any such creation, assumption, incurrence or guarantee, the sum of (1) the aggregate principal amount of all outstanding Indebtedness secured by Liens other than Permitted Liens, (2) the outstanding Attributable Debt with respect to all Sale/Leaseback Transactions of the Company and its Subsidiaries incurred pursuant to Section 4.09(b), (3) the aggregate principal amount of all outstanding refinancing Indebtedness incurred pursuant to clause (7) of the definition of Permitted Liens in respect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Indebtedness initially incurred pursuant to this sentence and (4) the aggregate principal amount of all outstanding Indebtedness incurred pursuant to clause</w:t>
      </w:r>
    </w:p>
    <w:p>
      <w:pPr>
        <w:spacing w:after="0" w:line="46"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 the definition of Permitted Liens, does not, in the aggregate for clauses (1) through (4) of this Section 4.06(b), exceed 15% of Consolidated Net Worth.</w:t>
      </w:r>
    </w:p>
    <w:p>
      <w:pPr>
        <w:spacing w:after="0" w:line="260" w:lineRule="exact"/>
        <w:rPr>
          <w:rFonts w:ascii="Arial" w:cs="Arial" w:eastAsia="Arial" w:hAnsi="Arial"/>
          <w:sz w:val="16"/>
          <w:szCs w:val="16"/>
          <w:color w:val="auto"/>
        </w:rPr>
      </w:pPr>
    </w:p>
    <w:p>
      <w:pPr>
        <w:jc w:val="both"/>
        <w:ind w:right="140" w:firstLine="1305"/>
        <w:spacing w:after="0" w:line="264" w:lineRule="auto"/>
        <w:tabs>
          <w:tab w:leader="none" w:pos="177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such Lien thereby created in favor of the Notes will be automatically and unconditionally released and discharged upon (1) the release and discharge of each Initial Lien to which it relates, or (2) any sale, exchange or transfer of the property or assets secured by such Initial Lien to any Person that is not an affiliate of the Company.</w:t>
      </w:r>
    </w:p>
    <w:p>
      <w:pPr>
        <w:spacing w:after="0" w:line="2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Future Subsidiary Guarantors</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Each direct and indirect (a) Domestic Subsidiary that incurs or guarantees any Indebtedness under the Credit Agreement, (b) Domestic Subsidiary that guarantees any other Material Indebtedness or (c) wholly-owned Domestic Subsidiary that incurs any other Material Indebtedness, shall guarantee the Notes and execute a supplemental indenture and deliver an Opinion of Counsel to the Trustee within 45 days of the date such Domestic Subsidiary incurs or guarantees such Indebtedness. The Company may elect, in its sole discretion, to cause any Subsidiary that is not otherwise required to be a Subsidiary Guarantor to become a Subsidiary Guarantor, in which case such Subsidiary shall not be required to comply with the 45 day period of this Section 4.07.</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Offer to Repurchase Upon Change of Control Repurchase Event</w:t>
      </w:r>
      <w:r>
        <w:rPr>
          <w:rFonts w:ascii="Arial" w:cs="Arial" w:eastAsia="Arial" w:hAnsi="Arial"/>
          <w:sz w:val="16"/>
          <w:szCs w:val="16"/>
          <w:color w:val="auto"/>
        </w:rPr>
        <w:t>.</w:t>
      </w:r>
    </w:p>
    <w:p>
      <w:pPr>
        <w:spacing w:after="0" w:line="252" w:lineRule="exact"/>
        <w:rPr>
          <w:sz w:val="20"/>
          <w:szCs w:val="20"/>
          <w:color w:val="auto"/>
        </w:rPr>
      </w:pPr>
    </w:p>
    <w:p>
      <w:pPr>
        <w:ind w:right="360" w:firstLine="1305"/>
        <w:spacing w:after="0" w:line="291" w:lineRule="auto"/>
        <w:tabs>
          <w:tab w:leader="none" w:pos="17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the occurrence of a Change of Control Repurchase Event, unless the Company has exercised its right to redeem the Notes under Section 3.07 hereof, each Holder will have the right to require the Company to purchase all or a portion of such Holder’s Notes pursuant to Section</w:t>
      </w: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4.08(b) (the “</w:t>
      </w:r>
      <w:r>
        <w:rPr>
          <w:rFonts w:ascii="Arial" w:cs="Arial" w:eastAsia="Arial" w:hAnsi="Arial"/>
          <w:sz w:val="18"/>
          <w:szCs w:val="18"/>
          <w:i w:val="1"/>
          <w:iCs w:val="1"/>
          <w:color w:val="auto"/>
        </w:rPr>
        <w:t>Change of Control Offer</w:t>
      </w:r>
      <w:r>
        <w:rPr>
          <w:rFonts w:ascii="Arial" w:cs="Arial" w:eastAsia="Arial" w:hAnsi="Arial"/>
          <w:sz w:val="18"/>
          <w:szCs w:val="18"/>
          <w:color w:val="auto"/>
        </w:rPr>
        <w:t>”), at a purchase price equal to 101% of the principal amount of the Holder’s Notes plus accrued and unpaid interest, if any, to, but not including, the date of purchase, subject to the rights of Holders on the relevant record date to receive interest due on the relevant interest payment date.</w:t>
      </w:r>
    </w:p>
    <w:p>
      <w:pPr>
        <w:spacing w:after="0" w:line="217" w:lineRule="exact"/>
        <w:rPr>
          <w:rFonts w:ascii="Arial" w:cs="Arial" w:eastAsia="Arial" w:hAnsi="Arial"/>
          <w:sz w:val="16"/>
          <w:szCs w:val="16"/>
          <w:color w:val="auto"/>
        </w:rPr>
      </w:pPr>
    </w:p>
    <w:p>
      <w:pPr>
        <w:ind w:firstLine="1305"/>
        <w:spacing w:after="0" w:line="270" w:lineRule="auto"/>
        <w:tabs>
          <w:tab w:leader="none" w:pos="17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Within 30 days following the date upon which the Change of Control Repurchase Event occurred, or at the Company’s option, prior to any Change of Control but after the public announcement of the pending Change of Control, the Company will be required to send a notice, by first class mail to each Holder, or electronically in the case of a Global Note held by the Depository, with a copy to the Trustee, which notice will govern the terms of the Change of Control Offer. Such notice will state, among other things, the purchase date, which must be no earlier than 10 days nor later than 60 days from the date such notice is mailed or otherwise delivered, other than as may be required by law (the “</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The notice, if delivered prior to the date of consummation of the Change of Control, will state that the Change of Control Offer is conditioned on the Change of Control being consummated on or prior to the Change of Control Payment Date. Holders electing to have Notes purchased pursuant to a Change of Control Offer will be required to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the Paying Agent, prior to the close of business on the third business day prior to the Change of Control Payment Date.</w:t>
      </w:r>
    </w:p>
    <w:p>
      <w:pPr>
        <w:spacing w:after="0" w:line="204" w:lineRule="exact"/>
        <w:rPr>
          <w:rFonts w:ascii="Arial" w:cs="Arial" w:eastAsia="Arial" w:hAnsi="Arial"/>
          <w:sz w:val="17"/>
          <w:szCs w:val="17"/>
          <w:color w:val="auto"/>
        </w:rPr>
      </w:pPr>
    </w:p>
    <w:p>
      <w:pPr>
        <w:ind w:firstLine="1305"/>
        <w:spacing w:after="0" w:line="264" w:lineRule="auto"/>
        <w:tabs>
          <w:tab w:leader="none" w:pos="17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will not be required to make a Change of Control Offer if a third party makes such an offer in the manner, at the times and otherwise in compliance with the requirements for such an offer made by the Company and such third party purchases all Notes properly tendered and not withdrawn under its offer.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ind w:right="40" w:firstLine="1305"/>
        <w:spacing w:after="0" w:line="255" w:lineRule="auto"/>
        <w:tabs>
          <w:tab w:leader="none" w:pos="17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Holders of not less than 90% in aggregate principal amount of the outstanding Notes tender and do not withdraw such Notes in a Change of Control Offer and the Company, or any third party making a Change of Control Offer in lieu of the Company pursuant to Section 4.08(c), purchases all of the Notes validly tendered and not withdrawn by such Holders, the Company or such third party will have the right, upon not less than 10 nor more than 60 days’ prior notice, given not more than 30 days following such purchase pursuant to the Change of Control Offer, to redeem all Notes that remain outstanding following such purchase at a price in cash equal to 101% of the principal amount thereof plus accrued and unpaid interest to, but not including, the date of redemption.</w:t>
      </w:r>
    </w:p>
    <w:p>
      <w:pPr>
        <w:spacing w:after="0" w:line="220" w:lineRule="exact"/>
        <w:rPr>
          <w:rFonts w:ascii="Arial" w:cs="Arial" w:eastAsia="Arial" w:hAnsi="Arial"/>
          <w:sz w:val="18"/>
          <w:szCs w:val="18"/>
          <w:color w:val="auto"/>
        </w:rPr>
      </w:pPr>
    </w:p>
    <w:p>
      <w:pPr>
        <w:ind w:right="80" w:firstLine="1305"/>
        <w:spacing w:after="0" w:line="257" w:lineRule="auto"/>
        <w:tabs>
          <w:tab w:leader="none" w:pos="17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will comply, to the extent applicable, with the requirements of Section 14(e) of the Exchange Act and any other securities laws or regulations in connection with the repurchase of Notes as a result of a Change of Control Repurchase Event. To the extent that the provisions of any securities laws or regulations conflict with the provisions of this Section 4.08, the Company will comply with the applicable securities laws and regulations and shall not be deemed to have breached its obligations under this Section 4.08 by virtue of its compliance with such securities laws or regulations.</w:t>
      </w:r>
    </w:p>
    <w:p>
      <w:pPr>
        <w:spacing w:after="0" w:line="215" w:lineRule="exact"/>
        <w:rPr>
          <w:rFonts w:ascii="Arial" w:cs="Arial" w:eastAsia="Arial" w:hAnsi="Arial"/>
          <w:sz w:val="18"/>
          <w:szCs w:val="18"/>
          <w:color w:val="auto"/>
        </w:rPr>
      </w:pPr>
    </w:p>
    <w:p>
      <w:pPr>
        <w:ind w:right="220" w:firstLine="1305"/>
        <w:spacing w:after="0" w:line="264" w:lineRule="auto"/>
        <w:tabs>
          <w:tab w:leader="none" w:pos="17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this Section 4.08 relating to the Company’s obligation to make an offer to repurchase the Notes as a result of a Change of Control Repurchase Event may be waived or modified with the written consent of the Holders of a majority in aggregate principal amount of the Notes.</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Change of Control Repurchase Event payment date, the Company shall, to the extent lawful:</w:t>
      </w:r>
    </w:p>
    <w:p>
      <w:pPr>
        <w:spacing w:after="0" w:line="252" w:lineRule="exact"/>
        <w:rPr>
          <w:sz w:val="20"/>
          <w:szCs w:val="20"/>
          <w:color w:val="auto"/>
        </w:rPr>
      </w:pPr>
    </w:p>
    <w:p>
      <w:pPr>
        <w:ind w:left="660" w:right="420" w:firstLine="645"/>
        <w:spacing w:after="0" w:line="277" w:lineRule="auto"/>
        <w:tabs>
          <w:tab w:leader="none" w:pos="179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accept for payment all Notes or portions of Notes (in a minimum principal amount of $2,000 and integral multiples of $1,000 in excess thereof) properly tendered and not withdrawn pursuant to the Company’s offer;</w:t>
      </w:r>
    </w:p>
    <w:p>
      <w:pPr>
        <w:spacing w:after="0" w:line="197" w:lineRule="exact"/>
        <w:rPr>
          <w:rFonts w:ascii="Arial" w:cs="Arial" w:eastAsia="Arial" w:hAnsi="Arial"/>
          <w:sz w:val="18"/>
          <w:szCs w:val="18"/>
          <w:color w:val="010000"/>
        </w:rPr>
      </w:pPr>
    </w:p>
    <w:p>
      <w:pPr>
        <w:ind w:left="660" w:right="160" w:firstLine="645"/>
        <w:spacing w:after="0" w:line="277" w:lineRule="auto"/>
        <w:tabs>
          <w:tab w:leader="none" w:pos="179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deposit with the Paying Agent an amount equal to the aggregate purchase price in respect of all Notes or portions of Notes properly tendered and not withdrawn; and</w:t>
      </w:r>
    </w:p>
    <w:p>
      <w:pPr>
        <w:spacing w:after="0" w:line="197" w:lineRule="exact"/>
        <w:rPr>
          <w:rFonts w:ascii="Arial" w:cs="Arial" w:eastAsia="Arial" w:hAnsi="Arial"/>
          <w:sz w:val="18"/>
          <w:szCs w:val="18"/>
          <w:color w:val="010000"/>
        </w:rPr>
      </w:pPr>
    </w:p>
    <w:p>
      <w:pPr>
        <w:ind w:left="660" w:firstLine="645"/>
        <w:spacing w:after="0" w:line="277" w:lineRule="auto"/>
        <w:tabs>
          <w:tab w:leader="none" w:pos="179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9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The Paying Agent will promptly mail to each Holder of Notes properly tendered and not withdrawn the purchase price for such Notes, and the Trustee will promptly authenticate and mail (or cause to be transferred by book-entry) to each Holder a new Note equal in principal amount to any unpurchased portion of any such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that each new Note will be in a minimum principal amount of $2,000 or an integral multiple of $1,000 in excess thereof.</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u w:val="single" w:color="auto"/>
          <w:color w:val="auto"/>
        </w:rPr>
        <w:t>Limitation on Sale/Leaseback Transactions.</w:t>
      </w:r>
    </w:p>
    <w:p>
      <w:pPr>
        <w:spacing w:after="0" w:line="252" w:lineRule="exact"/>
        <w:rPr>
          <w:sz w:val="20"/>
          <w:szCs w:val="20"/>
          <w:color w:val="auto"/>
        </w:rPr>
      </w:pPr>
    </w:p>
    <w:p>
      <w:pPr>
        <w:ind w:left="1780" w:hanging="475"/>
        <w:spacing w:after="0"/>
        <w:tabs>
          <w:tab w:leader="none" w:pos="1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enter into any Sale/Leaseback Transaction with respect to any property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38" w:lineRule="exact"/>
        <w:rPr>
          <w:sz w:val="20"/>
          <w:szCs w:val="20"/>
          <w:color w:val="auto"/>
        </w:rPr>
      </w:pPr>
    </w:p>
    <w:p>
      <w:pPr>
        <w:ind w:left="660" w:right="580" w:firstLine="645"/>
        <w:spacing w:after="0" w:line="277" w:lineRule="auto"/>
        <w:tabs>
          <w:tab w:leader="none" w:pos="1795"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such transaction involves a lease period of not more than three years (or a lease that may be terminated by the Company or its Subsidiaries within a period of not more than three years) including renewals;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ind w:left="1800" w:hanging="495"/>
        <w:spacing w:after="0"/>
        <w:tabs>
          <w:tab w:leader="none" w:pos="180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such transaction involves leases between only the Company and a Subsidiary or only between Subsidiaries;</w:t>
      </w:r>
    </w:p>
    <w:p>
      <w:pPr>
        <w:spacing w:after="0" w:line="252" w:lineRule="exact"/>
        <w:rPr>
          <w:rFonts w:ascii="Arial" w:cs="Arial" w:eastAsia="Arial" w:hAnsi="Arial"/>
          <w:sz w:val="18"/>
          <w:szCs w:val="18"/>
          <w:color w:val="010000"/>
        </w:rPr>
      </w:pPr>
    </w:p>
    <w:p>
      <w:pPr>
        <w:ind w:left="660" w:right="560" w:firstLine="645"/>
        <w:spacing w:after="0" w:line="277" w:lineRule="auto"/>
        <w:tabs>
          <w:tab w:leader="none" w:pos="1795"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such transaction involves leases of property executed by the time of, or within 12 months after the latest of, the acquisition or completion of construction, development, replacement, repair or improvement of the property;</w:t>
      </w:r>
    </w:p>
    <w:p>
      <w:pPr>
        <w:spacing w:after="0" w:line="197" w:lineRule="exact"/>
        <w:rPr>
          <w:rFonts w:ascii="Arial" w:cs="Arial" w:eastAsia="Arial" w:hAnsi="Arial"/>
          <w:sz w:val="18"/>
          <w:szCs w:val="18"/>
          <w:color w:val="010000"/>
        </w:rPr>
      </w:pPr>
    </w:p>
    <w:p>
      <w:pPr>
        <w:ind w:left="660" w:right="380" w:firstLine="645"/>
        <w:spacing w:after="0" w:line="286" w:lineRule="auto"/>
        <w:tabs>
          <w:tab w:leader="none" w:pos="1795"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the Company or such Subsidiary would (at the time of entering into such arrangement) be entitled pursuant to any of clauses (1) through (9) of the definition of “Permitted Liens” to incur or guarantee Indebtedness secured by a Lien on such property in the amount of the Attributable Debt arising from such Sale/Leaseback Transaction without equally and ratably securing the Notes;</w:t>
      </w:r>
    </w:p>
    <w:p>
      <w:pPr>
        <w:spacing w:after="0" w:line="192" w:lineRule="exact"/>
        <w:rPr>
          <w:rFonts w:ascii="Arial" w:cs="Arial" w:eastAsia="Arial" w:hAnsi="Arial"/>
          <w:sz w:val="17"/>
          <w:szCs w:val="17"/>
          <w:color w:val="010000"/>
        </w:rPr>
      </w:pPr>
    </w:p>
    <w:p>
      <w:pPr>
        <w:ind w:left="660" w:firstLine="645"/>
        <w:spacing w:after="0" w:line="272" w:lineRule="auto"/>
        <w:tabs>
          <w:tab w:leader="none" w:pos="1795"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the net proceeds of the sale of the property to be leased are at least equal to such property’s Fair Market Value, as determined by the Company in good faith, and such net proceeds are applied within 365 days of the effective date of the Sale/Leaseback Transaction, or in the case of clause (i) of this Section 4.9(a)(5), within a period of 180 days after such 365th day, if by the end of such initial 365-day period, the Company or one or more Subsidiaries shall have entered into a definitive agreement to apply such net proceeds to (i) the purchase, construction, development or acquisition of properties or assets or (ii) the redemption, repayment or other retirement for value of the Notes or any Indebtedness of the Company that ranks equally in right of payment with the Notes or Indebtedness of a non-guarantor Subsidiary (in any such case that is not Indebtedness owed to the Company or any of its Subsidiaries); or</w:t>
      </w:r>
    </w:p>
    <w:p>
      <w:pPr>
        <w:spacing w:after="0" w:line="204" w:lineRule="exact"/>
        <w:rPr>
          <w:rFonts w:ascii="Arial" w:cs="Arial" w:eastAsia="Arial" w:hAnsi="Arial"/>
          <w:sz w:val="17"/>
          <w:szCs w:val="17"/>
          <w:color w:val="010000"/>
        </w:rPr>
      </w:pPr>
    </w:p>
    <w:p>
      <w:pPr>
        <w:ind w:left="660" w:right="160" w:firstLine="645"/>
        <w:spacing w:after="0" w:line="342" w:lineRule="auto"/>
        <w:tabs>
          <w:tab w:leader="none" w:pos="1795" w:val="left"/>
        </w:tabs>
        <w:numPr>
          <w:ilvl w:val="0"/>
          <w:numId w:val="40"/>
        </w:numPr>
        <w:rPr>
          <w:rFonts w:ascii="Arial" w:cs="Arial" w:eastAsia="Arial" w:hAnsi="Arial"/>
          <w:sz w:val="16"/>
          <w:szCs w:val="16"/>
          <w:color w:val="010000"/>
        </w:rPr>
      </w:pPr>
      <w:r>
        <w:rPr>
          <w:rFonts w:ascii="Arial" w:cs="Arial" w:eastAsia="Arial" w:hAnsi="Arial"/>
          <w:sz w:val="16"/>
          <w:szCs w:val="16"/>
          <w:color w:val="auto"/>
        </w:rPr>
        <w:t>other Sale/Leaseback Transactions if, at the time entered into and after giving effect thereto, the aggregate outstanding Attributable Debt incurred pursuant to this Section 4.09(a)(6) does not exceed the greater of $100.0 million and 2.0% of Consolidated Net Tangible Assets.</w:t>
      </w:r>
    </w:p>
    <w:p>
      <w:pPr>
        <w:spacing w:after="0" w:line="151" w:lineRule="exact"/>
        <w:rPr>
          <w:sz w:val="20"/>
          <w:szCs w:val="20"/>
          <w:color w:val="auto"/>
        </w:rPr>
      </w:pPr>
    </w:p>
    <w:p>
      <w:pPr>
        <w:ind w:right="120" w:firstLine="1305"/>
        <w:spacing w:after="0" w:line="255" w:lineRule="auto"/>
        <w:tabs>
          <w:tab w:leader="none" w:pos="17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Section 4.09(a), the Company and its Subsidiaries will be permitted to enter into Sale/Leaseback Transactions that would otherwise be subject to Section 4.09(a), without complying with the requirements of Section 4.09(a), if, after giving effect thereto, the aggregate amount of all outstanding Attributable Debt with respect to Sale/Leaseback Transactions existing at such time that could not have been entered into except pursuant to this Section 4.09(b), together with the aggregate amount of all outstanding Indebtedness secured by Liens permitted pursuant to Section 4.06(b) (including, for the avoidance of doubt, the amount of Indebtedness secured pursuant to Section 4.06(b)(3) and Section 4.06(b)(4)), does not exceed 15% of Consolidated Net Worth.</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286" w:lineRule="auto"/>
        <w:tabs>
          <w:tab w:leader="none" w:pos="17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commencing December 31, 2018, an Officer’s Certificate stating that to his or her knowledge the Company complied with all conditions and covenants contained in this Indenture or, if a Default or Event of Default shall have occurred, describing all such Defaults or Events of Default of which he or she may have knowledge.</w:t>
      </w:r>
    </w:p>
    <w:p>
      <w:pPr>
        <w:spacing w:after="0" w:line="192" w:lineRule="exact"/>
        <w:rPr>
          <w:rFonts w:ascii="Arial" w:cs="Arial" w:eastAsia="Arial" w:hAnsi="Arial"/>
          <w:sz w:val="17"/>
          <w:szCs w:val="17"/>
          <w:color w:val="auto"/>
        </w:rPr>
      </w:pPr>
    </w:p>
    <w:p>
      <w:pPr>
        <w:ind w:right="320" w:firstLine="1305"/>
        <w:spacing w:after="0" w:line="264" w:lineRule="auto"/>
        <w:tabs>
          <w:tab w:leader="none" w:pos="17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so long as any of the Notes are outstanding, deliver to the Trustee, within 30 Business Days of any Officer becoming aware of any Default or Event of Default that has not been cured, an Officer’s Certificate specifying such Default or Event of Default and what action the Company is taking or proposes to take with respect thereto.</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t>ARTICLE 5</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MERGER AND CONSOLIDATION</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Merger, Consolidation or Sale of All or Substantially All Assets</w:t>
      </w:r>
      <w:r>
        <w:rPr>
          <w:rFonts w:ascii="Arial" w:cs="Arial" w:eastAsia="Arial" w:hAnsi="Arial"/>
          <w:sz w:val="16"/>
          <w:szCs w:val="16"/>
          <w:color w:val="auto"/>
        </w:rPr>
        <w:t>.</w:t>
      </w:r>
    </w:p>
    <w:p>
      <w:pPr>
        <w:spacing w:after="0" w:line="252" w:lineRule="exact"/>
        <w:rPr>
          <w:sz w:val="20"/>
          <w:szCs w:val="20"/>
          <w:color w:val="auto"/>
        </w:rPr>
      </w:pPr>
    </w:p>
    <w:p>
      <w:pPr>
        <w:ind w:right="460" w:firstLine="1305"/>
        <w:spacing w:after="0" w:line="277" w:lineRule="auto"/>
        <w:tabs>
          <w:tab w:leader="none" w:pos="17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will not consolidate with or merge with or into, or sell, convey, transfer or lease, in one transaction or a series of transactions, directly or indirectly, all or substantially all of its assets to, any Person, unless:</w:t>
      </w:r>
    </w:p>
    <w:p>
      <w:pPr>
        <w:spacing w:after="0" w:line="197" w:lineRule="exact"/>
        <w:rPr>
          <w:sz w:val="20"/>
          <w:szCs w:val="20"/>
          <w:color w:val="auto"/>
        </w:rPr>
      </w:pPr>
    </w:p>
    <w:p>
      <w:pPr>
        <w:ind w:left="660" w:right="60" w:firstLine="645"/>
        <w:spacing w:after="0" w:line="257" w:lineRule="auto"/>
        <w:tabs>
          <w:tab w:leader="none" w:pos="1795"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The Company is the surviving Person or the resulting, surviving or transferee Person or lessee (the “</w:t>
      </w:r>
      <w:r>
        <w:rPr>
          <w:rFonts w:ascii="Arial" w:cs="Arial" w:eastAsia="Arial" w:hAnsi="Arial"/>
          <w:sz w:val="18"/>
          <w:szCs w:val="18"/>
          <w:i w:val="1"/>
          <w:iCs w:val="1"/>
          <w:color w:val="auto"/>
        </w:rPr>
        <w:t>Successor Company</w:t>
      </w:r>
      <w:r>
        <w:rPr>
          <w:rFonts w:ascii="Arial" w:cs="Arial" w:eastAsia="Arial" w:hAnsi="Arial"/>
          <w:sz w:val="18"/>
          <w:szCs w:val="18"/>
          <w:color w:val="auto"/>
        </w:rPr>
        <w:t>”) is a corporation, limited liability company, partnership or similar entity organized and existing under the laws of the United States of America, any State thereof or the District of Columbia and the Successor Company (if not the Company) expressly assumes, by an indenture supplemental thereto, all the obligations of the Company under the Notes and the Indenture and if such entity is not a corporation, a co-issuer of the Notes is a corporation organized or existing under such laws;</w:t>
      </w:r>
    </w:p>
    <w:p>
      <w:pPr>
        <w:spacing w:after="0" w:line="215" w:lineRule="exact"/>
        <w:rPr>
          <w:rFonts w:ascii="Arial" w:cs="Arial" w:eastAsia="Arial" w:hAnsi="Arial"/>
          <w:sz w:val="18"/>
          <w:szCs w:val="18"/>
          <w:color w:val="010000"/>
        </w:rPr>
      </w:pPr>
    </w:p>
    <w:p>
      <w:pPr>
        <w:ind w:left="660" w:right="100" w:firstLine="645"/>
        <w:spacing w:after="0" w:line="286" w:lineRule="auto"/>
        <w:tabs>
          <w:tab w:leader="none" w:pos="1795"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 xml:space="preserve">immediately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transaction or transactions (and treating any Indebtedness that becomes an obligation of the Successor Company or any Subsidiary as a result of such transaction as having been incurred by such Successor Company or such Subsidiary at the time of such transaction), no Default or Event of Default shall have occurred and be continuing; and</w:t>
      </w:r>
    </w:p>
    <w:p>
      <w:pPr>
        <w:spacing w:after="0" w:line="192" w:lineRule="exact"/>
        <w:rPr>
          <w:rFonts w:ascii="Arial" w:cs="Arial" w:eastAsia="Arial" w:hAnsi="Arial"/>
          <w:sz w:val="17"/>
          <w:szCs w:val="17"/>
          <w:color w:val="010000"/>
        </w:rPr>
      </w:pPr>
    </w:p>
    <w:p>
      <w:pPr>
        <w:ind w:left="660" w:right="780" w:firstLine="645"/>
        <w:spacing w:after="0" w:line="277" w:lineRule="auto"/>
        <w:tabs>
          <w:tab w:leader="none" w:pos="1795"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the Company shall have delivered to the Trustee an Officer’s Certificate and an Opinion of Counsel, each stating that such consolidation, merger or transfer and such supplemental indenture (if any) comply with the Indenture.</w:t>
      </w:r>
    </w:p>
    <w:p>
      <w:pPr>
        <w:spacing w:after="0" w:line="197"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For purposes of this Section 5.01, the sale, lease, conveyance, assignment, transfer or other disposition of all or substantially all of the properties and assets of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1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The Successor Company will succeed to, and be substituted for, the Company, and may exercise all of the rights and powers of the Company, under the Indenture. The Company will be relieved of all obligations and covenants under the Notes and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 lease of all or substantially all of properties or assets of the Company, the Company will not be released from the obligation to pay the principal of and interest on the Notes.</w:t>
      </w:r>
    </w:p>
    <w:p>
      <w:pPr>
        <w:spacing w:after="0" w:line="214" w:lineRule="exact"/>
        <w:rPr>
          <w:sz w:val="20"/>
          <w:szCs w:val="20"/>
          <w:color w:val="auto"/>
        </w:rPr>
      </w:pPr>
    </w:p>
    <w:p>
      <w:pPr>
        <w:ind w:right="200" w:firstLine="1305"/>
        <w:spacing w:after="0" w:line="342" w:lineRule="auto"/>
        <w:tabs>
          <w:tab w:leader="none" w:pos="17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Section 10.06, the Company will not permit any Subsidiary Guarantor to consolidate with or merge with or into, or sell, convey, transfer or lease, in one transaction or a series of transactions, directly or indirectly, all or substantially all of its assets to any Person unless:</w:t>
      </w:r>
    </w:p>
    <w:p>
      <w:pPr>
        <w:spacing w:after="0" w:line="151" w:lineRule="exact"/>
        <w:rPr>
          <w:sz w:val="20"/>
          <w:szCs w:val="20"/>
          <w:color w:val="auto"/>
        </w:rPr>
      </w:pPr>
    </w:p>
    <w:p>
      <w:pPr>
        <w:ind w:left="660" w:right="160" w:firstLine="645"/>
        <w:spacing w:after="0" w:line="264" w:lineRule="auto"/>
        <w:tabs>
          <w:tab w:leader="none" w:pos="1795"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such Subsidiary Guarantor is the surviving Person or the resulting, surviving or transferee Person or lessee is a corporation, limited liability company, partnership or similar entity organized and existing under the laws of the United States of America, any State thereof or the District of Columbia and the resulting, surviving or transferee Person (if not such Subsidiary)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expressly assumes, by supplemental indenture, all the obligations of such Subsidiary, if any, under its Subsidiary Guarantee and the Indenture;</w:t>
      </w:r>
    </w:p>
    <w:p>
      <w:pPr>
        <w:spacing w:after="0" w:line="275" w:lineRule="exact"/>
        <w:rPr>
          <w:sz w:val="20"/>
          <w:szCs w:val="20"/>
          <w:color w:val="auto"/>
        </w:rPr>
      </w:pPr>
    </w:p>
    <w:p>
      <w:pPr>
        <w:ind w:left="660" w:right="340" w:firstLine="645"/>
        <w:spacing w:after="0" w:line="264" w:lineRule="auto"/>
        <w:tabs>
          <w:tab w:leader="none" w:pos="1795"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transaction or transactions (and treating any Indebtedness that becomes an obligation of the resulting, surviving or transferee Person as a result of such transaction as having been issued by such Person at the time of such transaction), no Default or Event of Default shall have occurred and be continuing; and</w:t>
      </w:r>
    </w:p>
    <w:p>
      <w:pPr>
        <w:spacing w:after="0" w:line="208" w:lineRule="exact"/>
        <w:rPr>
          <w:sz w:val="20"/>
          <w:szCs w:val="20"/>
          <w:color w:val="auto"/>
        </w:rPr>
      </w:pPr>
    </w:p>
    <w:p>
      <w:pPr>
        <w:ind w:right="820" w:firstLine="1305"/>
        <w:spacing w:after="0" w:line="277" w:lineRule="auto"/>
        <w:tabs>
          <w:tab w:leader="none" w:pos="17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or transfer and such supplemental indenture (if any) comply with the Indenture.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52" w:lineRule="exact"/>
        <w:rPr>
          <w:sz w:val="20"/>
          <w:szCs w:val="20"/>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interest on the Notes when due, continued for 30 days;</w:t>
      </w:r>
    </w:p>
    <w:p>
      <w:pPr>
        <w:spacing w:after="0" w:line="252" w:lineRule="exact"/>
        <w:rPr>
          <w:rFonts w:ascii="Arial" w:cs="Arial" w:eastAsia="Arial" w:hAnsi="Arial"/>
          <w:sz w:val="18"/>
          <w:szCs w:val="18"/>
          <w:color w:val="auto"/>
        </w:rPr>
      </w:pPr>
    </w:p>
    <w:p>
      <w:pPr>
        <w:ind w:right="300" w:firstLine="1305"/>
        <w:spacing w:after="0" w:line="277" w:lineRule="auto"/>
        <w:tabs>
          <w:tab w:leader="none" w:pos="17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principal, or premium, if any, of any Note when due at its Stated Maturity, upon optional redemption, upon required purchase, upon declaration of acceleration or otherwise;</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by the Company to comply with its obligations under Section 5.01;</w:t>
      </w:r>
    </w:p>
    <w:p>
      <w:pPr>
        <w:spacing w:after="0" w:line="252" w:lineRule="exact"/>
        <w:rPr>
          <w:rFonts w:ascii="Arial" w:cs="Arial" w:eastAsia="Arial" w:hAnsi="Arial"/>
          <w:sz w:val="18"/>
          <w:szCs w:val="18"/>
          <w:color w:val="auto"/>
        </w:rPr>
      </w:pPr>
    </w:p>
    <w:p>
      <w:pPr>
        <w:ind w:right="100" w:firstLine="1305"/>
        <w:spacing w:after="0" w:line="277" w:lineRule="auto"/>
        <w:tabs>
          <w:tab w:leader="none" w:pos="17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by the Company to comply for 30 days after notice (as described below) with any of its obligations in Section 4.08 (other than a failure to purchase Notes) or under Sections 4.06 or 4.09;</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failure by the Company to comply for 60 days after notice (as described below) with its other agreements contained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37" w:lineRule="exact"/>
        <w:rPr>
          <w:rFonts w:ascii="Arial" w:cs="Arial" w:eastAsia="Arial" w:hAnsi="Arial"/>
          <w:sz w:val="17"/>
          <w:szCs w:val="17"/>
          <w:color w:val="auto"/>
        </w:rPr>
      </w:pPr>
    </w:p>
    <w:p>
      <w:pPr>
        <w:ind w:firstLine="1305"/>
        <w:spacing w:after="0" w:line="264" w:lineRule="auto"/>
        <w:tabs>
          <w:tab w:leader="none" w:pos="17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of the Company or any Subsidiary is not paid within any applicable grace period after final maturity or is accelerated by the Holders thereof because of a Default and the total amount of such Indebtedness unpaid or accelerated exceeds $100.0 million (the “</w:t>
      </w:r>
      <w:r>
        <w:rPr>
          <w:rFonts w:ascii="Arial" w:cs="Arial" w:eastAsia="Arial" w:hAnsi="Arial"/>
          <w:sz w:val="18"/>
          <w:szCs w:val="18"/>
          <w:i w:val="1"/>
          <w:iCs w:val="1"/>
          <w:color w:val="auto"/>
        </w:rPr>
        <w:t>cross acceleration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firstLine="1305"/>
        <w:spacing w:after="0" w:line="272" w:lineRule="auto"/>
        <w:tabs>
          <w:tab w:leader="none" w:pos="17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(1) a court having jurisdiction in the premises shall enter a decree or order for relief in respect of the Company or any Significant Subsidiary (or any group of Subsidiaries that taken together would constitute a Significant Subsidiary) in an involuntary case under any applicable bankruptcy, insolvency or other similar law now or hereafter in effect, or appointing a receiver, liquidator, assignee, custodian, trustee, sequestrator (or similar official) of the Company or any Significant Subsidiary or for any substantial part of its property, or ordering the winding-up or liquidation of its affairs and such decree or order shall remain unstayed and in effect for a period of 60 consecutive days; or (2) the Company or any Significant Subsidiary shall commence a voluntary case under any applicable bankruptcy, insolvency or other similar law now or hereafter in effect, or shall consent to the entry of an order for relief in an involuntary case under any such law, or shall consent to the appointment of or taking</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1" w:name="page42"/>
    <w:bookmarkEnd w:id="41"/>
    <w:p>
      <w:pPr>
        <w:ind w:right="240"/>
        <w:spacing w:after="0" w:line="308" w:lineRule="auto"/>
        <w:rPr>
          <w:sz w:val="20"/>
          <w:szCs w:val="20"/>
          <w:color w:val="auto"/>
        </w:rPr>
      </w:pPr>
      <w:r>
        <w:rPr>
          <w:rFonts w:ascii="Arial" w:cs="Arial" w:eastAsia="Arial" w:hAnsi="Arial"/>
          <w:sz w:val="17"/>
          <w:szCs w:val="17"/>
          <w:color w:val="auto"/>
        </w:rPr>
        <w:t>possession by a receiver, liquidator, assignee, trustee, custodian, sequestrator (or similar official) of the Company or such Significant Subsidiary or for any substantial part of its property, or shall make any general assignment for the benefit of creditors (the “</w:t>
      </w:r>
      <w:r>
        <w:rPr>
          <w:rFonts w:ascii="Arial" w:cs="Arial" w:eastAsia="Arial" w:hAnsi="Arial"/>
          <w:sz w:val="17"/>
          <w:szCs w:val="17"/>
          <w:i w:val="1"/>
          <w:iCs w:val="1"/>
          <w:color w:val="auto"/>
        </w:rPr>
        <w:t>bankruptcy default provisions</w:t>
      </w:r>
      <w:r>
        <w:rPr>
          <w:rFonts w:ascii="Arial" w:cs="Arial" w:eastAsia="Arial" w:hAnsi="Arial"/>
          <w:sz w:val="17"/>
          <w:szCs w:val="17"/>
          <w:color w:val="auto"/>
        </w:rPr>
        <w:t>”);</w:t>
      </w:r>
    </w:p>
    <w:p>
      <w:pPr>
        <w:spacing w:after="0" w:line="174" w:lineRule="exact"/>
        <w:rPr>
          <w:sz w:val="20"/>
          <w:szCs w:val="20"/>
          <w:color w:val="auto"/>
        </w:rPr>
      </w:pPr>
    </w:p>
    <w:p>
      <w:pPr>
        <w:ind w:right="80" w:firstLine="1305"/>
        <w:spacing w:after="0" w:line="259" w:lineRule="auto"/>
        <w:tabs>
          <w:tab w:leader="none" w:pos="17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judgment or decree for the payment of money (net of any amount covered by insurance issued by a reputable and creditworthy insurer that has not contested coverage or reserved rights with respect to an underlying claim) in excess of $100.0 million is entered against the Company or any Significant Subsidiary, remains outstanding for a period of 60 consecutive days after such judgment became final and non-appealable and is not paid, discharged, waived or stayed (the “</w:t>
      </w:r>
      <w:r>
        <w:rPr>
          <w:rFonts w:ascii="Arial" w:cs="Arial" w:eastAsia="Arial" w:hAnsi="Arial"/>
          <w:sz w:val="18"/>
          <w:szCs w:val="18"/>
          <w:i w:val="1"/>
          <w:iCs w:val="1"/>
          <w:color w:val="auto"/>
        </w:rPr>
        <w:t>judgment default provision</w:t>
      </w:r>
      <w:r>
        <w:rPr>
          <w:rFonts w:ascii="Arial" w:cs="Arial" w:eastAsia="Arial" w:hAnsi="Arial"/>
          <w:sz w:val="18"/>
          <w:szCs w:val="18"/>
          <w:color w:val="auto"/>
        </w:rPr>
        <w:t>”); or</w:t>
      </w:r>
    </w:p>
    <w:p>
      <w:pPr>
        <w:spacing w:after="0" w:line="213" w:lineRule="exact"/>
        <w:rPr>
          <w:rFonts w:ascii="Arial" w:cs="Arial" w:eastAsia="Arial" w:hAnsi="Arial"/>
          <w:sz w:val="18"/>
          <w:szCs w:val="18"/>
          <w:color w:val="auto"/>
        </w:rPr>
      </w:pPr>
    </w:p>
    <w:p>
      <w:pPr>
        <w:ind w:right="40" w:firstLine="1305"/>
        <w:spacing w:after="0" w:line="277" w:lineRule="auto"/>
        <w:tabs>
          <w:tab w:leader="none" w:pos="17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Subsidiary Guarantee ceases to be in full force and effect (other than in accordance with the terms of such Subsidiary Guarantee) or any Subsidiary Guarantor denies or disaffirms its obligations under its Subsidiary Guarantee.</w:t>
      </w:r>
    </w:p>
    <w:p>
      <w:pPr>
        <w:spacing w:after="0" w:line="19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Notwithstanding anything to the contrary in this Section 6.01, a Default under Sections 6.01(d) or 6.01(e) will not constitute an Event of Default until the Trustee or the Holders of 25% in aggregate principal amount of the outstanding Notes notify the Company of the Default and the Company does not cure such Default within the time specified after receipt of such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declaration of acceleration of the Notes, any Default for the failure to deliver any report within the time periods prescribed in Section 4.05 or to deliver any notice or certificate pursuant to any other provision of the Indenture shall be deemed to be cured upon the subsequent delivery of any such report, notice or certificate, even though such delivery is not within the prescribed period specified.</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57" w:lineRule="auto"/>
        <w:tabs>
          <w:tab w:leader="none" w:pos="17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Event of Default (other than an Event of Default described in Section 6.01(g)) occurs and is continuing, the Trustee by written notice to the Company, specifying the Event of Default, or the Holders of at least 25% in aggregate principal amount of the then outstanding Notes by notice to the Company and the Trustee, may, and the Trustee at the request of such Holders shall, declare the principal, premium, if any, and accrued and unpaid interest, if any, on all the Notes to be due and payable. Upon such declaration, such principal, premium, if any, and accrued but unpaid interest, if any, will be due and payable.</w:t>
      </w:r>
    </w:p>
    <w:p>
      <w:pPr>
        <w:spacing w:after="0" w:line="215" w:lineRule="exact"/>
        <w:rPr>
          <w:rFonts w:ascii="Arial" w:cs="Arial" w:eastAsia="Arial" w:hAnsi="Arial"/>
          <w:sz w:val="18"/>
          <w:szCs w:val="18"/>
          <w:color w:val="auto"/>
        </w:rPr>
      </w:pPr>
    </w:p>
    <w:p>
      <w:pPr>
        <w:ind w:right="60" w:firstLine="1305"/>
        <w:spacing w:after="0" w:line="264" w:lineRule="auto"/>
        <w:tabs>
          <w:tab w:leader="none" w:pos="17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case an Event of Default described in Section 6.01(g) occurs and is continuing, the principal of, premium, if any, and accrued and unpaid interest, if any, on all the Notes will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Holders.</w:t>
      </w:r>
    </w:p>
    <w:p>
      <w:pPr>
        <w:spacing w:after="0" w:line="208" w:lineRule="exact"/>
        <w:rPr>
          <w:rFonts w:ascii="Arial" w:cs="Arial" w:eastAsia="Arial" w:hAnsi="Arial"/>
          <w:sz w:val="18"/>
          <w:szCs w:val="18"/>
          <w:color w:val="auto"/>
        </w:rPr>
      </w:pPr>
    </w:p>
    <w:p>
      <w:pPr>
        <w:ind w:firstLine="1305"/>
        <w:spacing w:after="0" w:line="277" w:lineRule="auto"/>
        <w:tabs>
          <w:tab w:leader="none" w:pos="17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of a declaration of acceleration of the Notes because an Event of Default described in Section 6.01(f) has occurred and is continuing, the declaration of acceleration of the Notes shall be automatically annulled if:</w:t>
      </w:r>
    </w:p>
    <w:p>
      <w:pPr>
        <w:spacing w:after="0" w:line="197" w:lineRule="exact"/>
        <w:rPr>
          <w:sz w:val="20"/>
          <w:szCs w:val="20"/>
          <w:color w:val="auto"/>
        </w:rPr>
      </w:pPr>
    </w:p>
    <w:p>
      <w:pPr>
        <w:ind w:left="660" w:right="160" w:firstLine="645"/>
        <w:spacing w:after="0" w:line="342" w:lineRule="auto"/>
        <w:tabs>
          <w:tab w:leader="none" w:pos="1795"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the Default triggering such Event of Default pursuant to Section 6.01(f) shall be remedied or cured by the Company or a Restricted Subsidiary or waived by the Holders of the relevant Indebtedness within 20 days after the declaration of acceleration with respect thereto; and</w:t>
      </w:r>
    </w:p>
    <w:p>
      <w:pPr>
        <w:spacing w:after="0" w:line="150" w:lineRule="exact"/>
        <w:rPr>
          <w:rFonts w:ascii="Arial" w:cs="Arial" w:eastAsia="Arial" w:hAnsi="Arial"/>
          <w:sz w:val="16"/>
          <w:szCs w:val="16"/>
          <w:color w:val="010000"/>
        </w:rPr>
      </w:pPr>
    </w:p>
    <w:p>
      <w:pPr>
        <w:ind w:left="660" w:right="780" w:firstLine="645"/>
        <w:spacing w:after="0" w:line="277" w:lineRule="auto"/>
        <w:tabs>
          <w:tab w:leader="none" w:pos="179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(A) the annulment of the acceleration of the Notes would not conflict with any judgment or decree of a court of competent jurisdiction and (B) all existing Events of Default,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2" w:name="page43"/>
    <w:bookmarkEnd w:id="42"/>
    <w:p>
      <w:pPr>
        <w:ind w:left="660"/>
        <w:spacing w:after="0" w:line="277" w:lineRule="auto"/>
        <w:rPr>
          <w:sz w:val="20"/>
          <w:szCs w:val="20"/>
          <w:color w:val="auto"/>
        </w:rPr>
      </w:pPr>
      <w:r>
        <w:rPr>
          <w:rFonts w:ascii="Arial" w:cs="Arial" w:eastAsia="Arial" w:hAnsi="Arial"/>
          <w:sz w:val="18"/>
          <w:szCs w:val="18"/>
          <w:color w:val="auto"/>
        </w:rPr>
        <w:t>except nonpayment of principal, premium, if any, or interest on the Notes that became due solely because of the acceleration of the Notes, have been cured or waived.</w:t>
      </w:r>
    </w:p>
    <w:p>
      <w:pPr>
        <w:spacing w:after="0" w:line="197" w:lineRule="exact"/>
        <w:rPr>
          <w:sz w:val="20"/>
          <w:szCs w:val="20"/>
          <w:color w:val="auto"/>
        </w:rPr>
      </w:pPr>
    </w:p>
    <w:p>
      <w:pPr>
        <w:ind w:right="40" w:firstLine="1305"/>
        <w:spacing w:after="0" w:line="302" w:lineRule="auto"/>
        <w:tabs>
          <w:tab w:leader="none" w:pos="17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outstanding Notes may waive all past Events of Default (except with respect to nonpayment of principal, premium or interest) and rescind any acceleration with respect to the Notes and its consequences if (1) such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97"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Holders of a majority in aggregate principal amount of the outstanding Notes by written notice to the Trustee may on behalf of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waive any existing Default and its consequences hereunder, except:</w:t>
      </w:r>
    </w:p>
    <w:p>
      <w:pPr>
        <w:spacing w:after="0" w:line="238" w:lineRule="exact"/>
        <w:rPr>
          <w:sz w:val="20"/>
          <w:szCs w:val="20"/>
          <w:color w:val="auto"/>
        </w:rPr>
      </w:pPr>
    </w:p>
    <w:p>
      <w:pPr>
        <w:ind w:left="660" w:right="460" w:firstLine="645"/>
        <w:spacing w:after="0" w:line="277" w:lineRule="auto"/>
        <w:tabs>
          <w:tab w:leader="none" w:pos="1795"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a continuing Default in the payment of the principal, premium, if any, or interest on any Note held by a non-consenting Holder (including in connection with a Change of Control Offer); and</w:t>
      </w:r>
    </w:p>
    <w:p>
      <w:pPr>
        <w:spacing w:after="0" w:line="197" w:lineRule="exact"/>
        <w:rPr>
          <w:rFonts w:ascii="Arial" w:cs="Arial" w:eastAsia="Arial" w:hAnsi="Arial"/>
          <w:sz w:val="18"/>
          <w:szCs w:val="18"/>
          <w:color w:val="010000"/>
        </w:rPr>
      </w:pPr>
    </w:p>
    <w:p>
      <w:pPr>
        <w:ind w:left="1800" w:hanging="495"/>
        <w:spacing w:after="0"/>
        <w:tabs>
          <w:tab w:leader="none" w:pos="1800"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subject to Section 6.02, the Holders of a majority in aggregate principal amount of the then outstanding Notes may rescind an acceleration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52"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 Holders of a majority in aggregate principal amount of the outstanding Notes may direct the time, method and place of conducting any proceeding for any remedy available to the Trustee or of exercising any trust or power conferred on the Trustee. However, the Trustee may refuse to follow any direction that conflicts with law, this Indenture, the Notes or any Subsidiary Guarantee, or that the Trustee determines in good faith is unduly prejudicial to the rights of any other Holder or that would involve the Trustee in personal liability.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3" w:name="page44"/>
    <w:bookmarkEnd w:id="43"/>
    <w:p>
      <w:pPr>
        <w:spacing w:after="0"/>
        <w:tabs>
          <w:tab w:leader="none" w:pos="12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Subject to Section 6.07, no Holder may pursue any remedy with respect to this Indenture or the Notes </w:t>
      </w:r>
      <w:r>
        <w:rPr>
          <w:rFonts w:ascii="Arial" w:cs="Arial" w:eastAsia="Arial" w:hAnsi="Arial"/>
          <w:sz w:val="18"/>
          <w:szCs w:val="18"/>
          <w:i w:val="1"/>
          <w:iCs w:val="1"/>
          <w:color w:val="auto"/>
        </w:rPr>
        <w:t>unless</w:t>
      </w:r>
      <w:r>
        <w:rPr>
          <w:rFonts w:ascii="Arial" w:cs="Arial" w:eastAsia="Arial" w:hAnsi="Arial"/>
          <w:sz w:val="18"/>
          <w:szCs w:val="18"/>
          <w:color w:val="auto"/>
        </w:rPr>
        <w:t>:</w:t>
      </w:r>
    </w:p>
    <w:p>
      <w:pPr>
        <w:spacing w:after="0" w:line="252" w:lineRule="exact"/>
        <w:rPr>
          <w:sz w:val="20"/>
          <w:szCs w:val="20"/>
          <w:color w:val="auto"/>
        </w:rPr>
      </w:pPr>
    </w:p>
    <w:p>
      <w:pPr>
        <w:ind w:left="1800" w:hanging="495"/>
        <w:spacing w:after="0"/>
        <w:tabs>
          <w:tab w:leader="none" w:pos="180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such Holder has previously given the Trustee notice that an Event of Default is continuing;</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55"/>
        </w:numPr>
        <w:rPr>
          <w:rFonts w:ascii="Arial" w:cs="Arial" w:eastAsia="Arial" w:hAnsi="Arial"/>
          <w:sz w:val="16"/>
          <w:szCs w:val="16"/>
          <w:color w:val="010000"/>
        </w:rPr>
      </w:pPr>
      <w:r>
        <w:rPr>
          <w:rFonts w:ascii="Arial" w:cs="Arial" w:eastAsia="Arial" w:hAnsi="Arial"/>
          <w:sz w:val="16"/>
          <w:szCs w:val="16"/>
          <w:color w:val="auto"/>
        </w:rPr>
        <w:t>the Holders of at least 25% in principal amount of the then outstanding Notes have requested the Trustee to pursue the remedy;</w:t>
      </w:r>
    </w:p>
    <w:p>
      <w:pPr>
        <w:spacing w:after="0" w:line="275" w:lineRule="exact"/>
        <w:rPr>
          <w:rFonts w:ascii="Arial" w:cs="Arial" w:eastAsia="Arial" w:hAnsi="Arial"/>
          <w:sz w:val="16"/>
          <w:szCs w:val="16"/>
          <w:color w:val="010000"/>
        </w:rPr>
      </w:pPr>
    </w:p>
    <w:p>
      <w:pPr>
        <w:ind w:left="1800" w:hanging="495"/>
        <w:spacing w:after="0"/>
        <w:tabs>
          <w:tab w:leader="none" w:pos="1800" w:val="left"/>
        </w:tabs>
        <w:numPr>
          <w:ilvl w:val="0"/>
          <w:numId w:val="55"/>
        </w:numPr>
        <w:rPr>
          <w:rFonts w:ascii="Arial" w:cs="Arial" w:eastAsia="Arial" w:hAnsi="Arial"/>
          <w:sz w:val="17"/>
          <w:szCs w:val="17"/>
          <w:color w:val="010000"/>
        </w:rPr>
      </w:pPr>
      <w:r>
        <w:rPr>
          <w:rFonts w:ascii="Arial" w:cs="Arial" w:eastAsia="Arial" w:hAnsi="Arial"/>
          <w:sz w:val="17"/>
          <w:szCs w:val="17"/>
          <w:color w:val="auto"/>
        </w:rPr>
        <w:t>such Holders have offered the Trustee security or indemnity reasonably satisfactory to the Trustee against any loss, liability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38" w:lineRule="exact"/>
        <w:rPr>
          <w:sz w:val="20"/>
          <w:szCs w:val="20"/>
          <w:color w:val="auto"/>
        </w:rPr>
      </w:pPr>
    </w:p>
    <w:p>
      <w:pPr>
        <w:ind w:left="1800" w:hanging="495"/>
        <w:spacing w:after="0"/>
        <w:tabs>
          <w:tab w:leader="none" w:pos="1800" w:val="left"/>
        </w:tabs>
        <w:numPr>
          <w:ilvl w:val="0"/>
          <w:numId w:val="56"/>
        </w:numPr>
        <w:rPr>
          <w:rFonts w:ascii="Arial" w:cs="Arial" w:eastAsia="Arial" w:hAnsi="Arial"/>
          <w:sz w:val="16"/>
          <w:szCs w:val="16"/>
          <w:color w:val="010000"/>
        </w:rPr>
      </w:pPr>
      <w:r>
        <w:rPr>
          <w:rFonts w:ascii="Arial" w:cs="Arial" w:eastAsia="Arial" w:hAnsi="Arial"/>
          <w:sz w:val="16"/>
          <w:szCs w:val="16"/>
          <w:color w:val="auto"/>
        </w:rPr>
        <w:t>the Trustee has not complied with such request within 60 days after the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660" w:right="140" w:firstLine="645"/>
        <w:spacing w:after="0" w:line="277" w:lineRule="auto"/>
        <w:tabs>
          <w:tab w:leader="none" w:pos="179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Holders of a majority in aggregate principal amount of the then outstanding Notes have not given the Trustee a direction that, in the opinion of the Trustee, is inconsistent with such request within such 60-day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Notwithstanding any other provision of this Indenture, the right of any Holder to receive payment of principal, premium, if any, and interest on its Note, on or after the respective due dates expressed or provided for in such Note (including in connection with a Change of Control Offer),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If an Event of Default specified in Section 6.01(a) or (b) occurs and is continuing, the Trustee may recover judgment in its own name and as trustee of an express trust against the Company and any other obligor on the Notes for the whole amount of principal, premium, if any, and interest remaining unpaid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Subsidiary Guarantors,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4" w:name="page45"/>
    <w:bookmarkEnd w:id="44"/>
    <w:p>
      <w:pPr>
        <w:spacing w:after="0"/>
        <w:tabs>
          <w:tab w:leader="none" w:pos="12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52"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52"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including the Subsidiary Guarantors),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agents and counsel, and any other amounts due the Trustee under Section 7.06. To the extent that the payment of any such compensation, expenses, disbursements and advances of the Trustee, its agents and counsel, and any other amounts due the Trustee under Section 7.06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52" w:lineRule="exact"/>
        <w:rPr>
          <w:sz w:val="20"/>
          <w:szCs w:val="20"/>
          <w:color w:val="auto"/>
        </w:rPr>
      </w:pPr>
    </w:p>
    <w:p>
      <w:pPr>
        <w:ind w:left="660" w:right="220" w:firstLine="645"/>
        <w:spacing w:after="0" w:line="277" w:lineRule="auto"/>
        <w:tabs>
          <w:tab w:leader="none" w:pos="1795"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to the Trustee and its agents and attorneys for amounts due under Section 7.06, including payment of all reasonable compensation, expenses and liabilities incurred, and all advances made, by the Trustee and the costs and expenses of collection;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5" w:name="page46"/>
    <w:bookmarkEnd w:id="45"/>
    <w:p>
      <w:pPr>
        <w:ind w:left="660" w:firstLine="645"/>
        <w:spacing w:after="0" w:line="308" w:lineRule="auto"/>
        <w:tabs>
          <w:tab w:leader="none" w:pos="1795"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73" w:lineRule="exact"/>
        <w:rPr>
          <w:rFonts w:ascii="Arial" w:cs="Arial" w:eastAsia="Arial" w:hAnsi="Arial"/>
          <w:sz w:val="17"/>
          <w:szCs w:val="17"/>
          <w:color w:val="010000"/>
        </w:rPr>
      </w:pPr>
    </w:p>
    <w:p>
      <w:pPr>
        <w:ind w:left="1800" w:hanging="495"/>
        <w:spacing w:after="0"/>
        <w:tabs>
          <w:tab w:leader="none" w:pos="1800"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to the Company or to such party as a court of competent jurisdiction shall direct, including a Subsidiary Guarantor, if applicable.</w:t>
      </w:r>
    </w:p>
    <w:p>
      <w:pPr>
        <w:spacing w:after="0" w:line="2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Section 6.13, the Trustee shall cause notice of such record date and payment date to be given to the Company and to each Holder in the manner set forth in Section 12.01.</w:t>
      </w:r>
    </w:p>
    <w:p>
      <w:pPr>
        <w:spacing w:after="0" w:line="2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such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outstanding Notes.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52" w:lineRule="exact"/>
        <w:rPr>
          <w:sz w:val="20"/>
          <w:szCs w:val="20"/>
          <w:color w:val="auto"/>
        </w:rPr>
      </w:pPr>
    </w:p>
    <w:p>
      <w:pPr>
        <w:ind w:right="160" w:firstLine="1305"/>
        <w:spacing w:after="0" w:line="264" w:lineRule="auto"/>
        <w:tabs>
          <w:tab w:leader="none" w:pos="17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in its exercise, as a prudent person would exercise or use under the circumstances in the conduct of such person’s own affairs.</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52" w:lineRule="exact"/>
        <w:rPr>
          <w:sz w:val="20"/>
          <w:szCs w:val="20"/>
          <w:color w:val="auto"/>
        </w:rPr>
      </w:pPr>
    </w:p>
    <w:p>
      <w:pPr>
        <w:jc w:val="both"/>
        <w:ind w:left="660" w:right="280" w:firstLine="645"/>
        <w:spacing w:after="0" w:line="264" w:lineRule="auto"/>
        <w:tabs>
          <w:tab w:leader="none" w:pos="1795"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208" w:lineRule="exact"/>
        <w:rPr>
          <w:rFonts w:ascii="Arial" w:cs="Arial" w:eastAsia="Arial" w:hAnsi="Arial"/>
          <w:sz w:val="18"/>
          <w:szCs w:val="18"/>
          <w:color w:val="010000"/>
        </w:rPr>
      </w:pPr>
    </w:p>
    <w:p>
      <w:pPr>
        <w:ind w:left="660" w:right="80" w:firstLine="645"/>
        <w:spacing w:after="0" w:line="279" w:lineRule="auto"/>
        <w:tabs>
          <w:tab w:leader="none" w:pos="1795"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w:t>
      </w:r>
    </w:p>
    <w:p>
      <w:pPr>
        <w:spacing w:after="0" w:line="198" w:lineRule="exact"/>
        <w:rPr>
          <w:sz w:val="20"/>
          <w:szCs w:val="20"/>
          <w:color w:val="auto"/>
        </w:rPr>
      </w:pPr>
    </w:p>
    <w:p>
      <w:pPr>
        <w:ind w:left="1780" w:hanging="475"/>
        <w:spacing w:after="0"/>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ind w:left="1800" w:hanging="495"/>
        <w:spacing w:after="0"/>
        <w:tabs>
          <w:tab w:leader="none" w:pos="180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this Section 7.01(c) does not limit the effect of Section 7.01(b);</w:t>
      </w:r>
    </w:p>
    <w:p>
      <w:pPr>
        <w:spacing w:after="0" w:line="252" w:lineRule="exact"/>
        <w:rPr>
          <w:rFonts w:ascii="Arial" w:cs="Arial" w:eastAsia="Arial" w:hAnsi="Arial"/>
          <w:sz w:val="18"/>
          <w:szCs w:val="18"/>
          <w:color w:val="010000"/>
        </w:rPr>
      </w:pPr>
    </w:p>
    <w:p>
      <w:pPr>
        <w:ind w:left="660" w:right="100" w:firstLine="645"/>
        <w:spacing w:after="0" w:line="277" w:lineRule="auto"/>
        <w:tabs>
          <w:tab w:leader="none" w:pos="1795"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97" w:lineRule="exact"/>
        <w:rPr>
          <w:rFonts w:ascii="Arial" w:cs="Arial" w:eastAsia="Arial" w:hAnsi="Arial"/>
          <w:sz w:val="18"/>
          <w:szCs w:val="18"/>
          <w:color w:val="010000"/>
        </w:rPr>
      </w:pPr>
    </w:p>
    <w:p>
      <w:pPr>
        <w:ind w:left="660" w:right="60" w:firstLine="645"/>
        <w:spacing w:after="0" w:line="277" w:lineRule="auto"/>
        <w:tabs>
          <w:tab w:leader="none" w:pos="1795"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6.02 or Section 6.05.</w:t>
      </w:r>
    </w:p>
    <w:p>
      <w:pPr>
        <w:spacing w:after="0" w:line="197" w:lineRule="exact"/>
        <w:rPr>
          <w:sz w:val="20"/>
          <w:szCs w:val="20"/>
          <w:color w:val="auto"/>
        </w:rPr>
      </w:pPr>
    </w:p>
    <w:p>
      <w:pPr>
        <w:ind w:right="340" w:firstLine="1305"/>
        <w:spacing w:after="0" w:line="277" w:lineRule="auto"/>
        <w:tabs>
          <w:tab w:leader="none" w:pos="17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Sections 7.01(a) through (c).</w:t>
      </w:r>
    </w:p>
    <w:p>
      <w:pPr>
        <w:spacing w:after="0" w:line="197" w:lineRule="exact"/>
        <w:rPr>
          <w:rFonts w:ascii="Arial" w:cs="Arial" w:eastAsia="Arial" w:hAnsi="Arial"/>
          <w:sz w:val="18"/>
          <w:szCs w:val="18"/>
          <w:color w:val="auto"/>
        </w:rPr>
      </w:pPr>
    </w:p>
    <w:p>
      <w:pPr>
        <w:ind w:firstLine="1305"/>
        <w:spacing w:after="0" w:line="264" w:lineRule="auto"/>
        <w:tabs>
          <w:tab w:leader="none" w:pos="17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 to this Article 7, if an Event of Default occurs and is continuing, the Trustee will be under no obligation to exercise any of the rights or powers under this Indenture, the Notes and the Subsidiary Guarantees at the request or direction of any of the Holders unless such Holders have offered to the Trustee indemnity or security reasonably satisfactory to it against any loss, liability or expense.</w:t>
      </w:r>
    </w:p>
    <w:p>
      <w:pPr>
        <w:spacing w:after="0" w:line="208" w:lineRule="exact"/>
        <w:rPr>
          <w:rFonts w:ascii="Arial" w:cs="Arial" w:eastAsia="Arial" w:hAnsi="Arial"/>
          <w:sz w:val="18"/>
          <w:szCs w:val="18"/>
          <w:color w:val="auto"/>
        </w:rPr>
      </w:pPr>
    </w:p>
    <w:p>
      <w:pPr>
        <w:ind w:right="60" w:firstLine="1305"/>
        <w:spacing w:after="0" w:line="277" w:lineRule="auto"/>
        <w:tabs>
          <w:tab w:leader="none" w:pos="17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76" w:lineRule="auto"/>
        <w:tabs>
          <w:tab w:leader="none" w:pos="177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in good faith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9" w:lineRule="exact"/>
        <w:rPr>
          <w:rFonts w:ascii="Arial" w:cs="Arial" w:eastAsia="Arial" w:hAnsi="Arial"/>
          <w:sz w:val="17"/>
          <w:szCs w:val="17"/>
          <w:color w:val="auto"/>
        </w:rPr>
      </w:pPr>
    </w:p>
    <w:p>
      <w:pPr>
        <w:ind w:right="60" w:firstLine="1305"/>
        <w:spacing w:after="0" w:line="302" w:lineRule="auto"/>
        <w:tabs>
          <w:tab w:leader="none" w:pos="17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81" w:lineRule="exact"/>
        <w:rPr>
          <w:rFonts w:ascii="Arial" w:cs="Arial" w:eastAsia="Arial" w:hAnsi="Arial"/>
          <w:sz w:val="16"/>
          <w:szCs w:val="16"/>
          <w:color w:val="auto"/>
        </w:rPr>
      </w:pPr>
    </w:p>
    <w:p>
      <w:pPr>
        <w:ind w:right="240" w:firstLine="1305"/>
        <w:spacing w:after="0" w:line="277" w:lineRule="auto"/>
        <w:tabs>
          <w:tab w:leader="none" w:pos="17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97" w:lineRule="exact"/>
        <w:rPr>
          <w:rFonts w:ascii="Arial" w:cs="Arial" w:eastAsia="Arial" w:hAnsi="Arial"/>
          <w:sz w:val="18"/>
          <w:szCs w:val="18"/>
          <w:color w:val="auto"/>
        </w:rPr>
      </w:pPr>
    </w:p>
    <w:p>
      <w:pPr>
        <w:ind w:right="440" w:firstLine="1305"/>
        <w:spacing w:after="0" w:line="277" w:lineRule="auto"/>
        <w:tabs>
          <w:tab w:leader="none" w:pos="17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97" w:lineRule="exact"/>
        <w:rPr>
          <w:rFonts w:ascii="Arial" w:cs="Arial" w:eastAsia="Arial" w:hAnsi="Arial"/>
          <w:sz w:val="18"/>
          <w:szCs w:val="18"/>
          <w:color w:val="auto"/>
        </w:rPr>
      </w:pPr>
    </w:p>
    <w:p>
      <w:pPr>
        <w:ind w:right="100" w:firstLine="1305"/>
        <w:spacing w:after="0" w:line="277" w:lineRule="auto"/>
        <w:tabs>
          <w:tab w:leader="none" w:pos="17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or a Subsidiary Guarantor shall be sufficient if signed by an Officer of the Company or such Subsidiary Guarantor.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ind w:firstLine="1305"/>
        <w:spacing w:after="0" w:line="286" w:lineRule="auto"/>
        <w:tabs>
          <w:tab w:leader="none" w:pos="17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reasonably satisfactory to it against such risk or liability is not assured to it.</w:t>
      </w:r>
    </w:p>
    <w:p>
      <w:pPr>
        <w:spacing w:after="0" w:line="192" w:lineRule="exact"/>
        <w:rPr>
          <w:rFonts w:ascii="Arial" w:cs="Arial" w:eastAsia="Arial" w:hAnsi="Arial"/>
          <w:sz w:val="17"/>
          <w:szCs w:val="17"/>
          <w:color w:val="auto"/>
        </w:rPr>
      </w:pPr>
    </w:p>
    <w:p>
      <w:pPr>
        <w:ind w:right="80" w:firstLine="1305"/>
        <w:spacing w:after="0" w:line="259" w:lineRule="auto"/>
        <w:tabs>
          <w:tab w:leader="none" w:pos="17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knowledge of any Default or Event of Default unless a Responsible Officer of the Trustee has actual knowledge thereof (in the case of a payment Default or Event of Default) or unless written notice of any event which is in fact such a Default or Event of Default is received by a Responsible Officer of the Trustee at the Corporate Trust Office of the Trustee, and such notice references the existence of a Default or Event of Default, the Notes and this Indenture.</w:t>
      </w:r>
    </w:p>
    <w:p>
      <w:pPr>
        <w:spacing w:after="0" w:line="213" w:lineRule="exact"/>
        <w:rPr>
          <w:rFonts w:ascii="Arial" w:cs="Arial" w:eastAsia="Arial" w:hAnsi="Arial"/>
          <w:sz w:val="18"/>
          <w:szCs w:val="18"/>
          <w:color w:val="auto"/>
        </w:rPr>
      </w:pPr>
    </w:p>
    <w:p>
      <w:pPr>
        <w:jc w:val="both"/>
        <w:ind w:right="220" w:firstLine="1305"/>
        <w:spacing w:after="0" w:line="264" w:lineRule="auto"/>
        <w:tabs>
          <w:tab w:leader="none" w:pos="17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208" w:lineRule="exact"/>
        <w:rPr>
          <w:rFonts w:ascii="Arial" w:cs="Arial" w:eastAsia="Arial" w:hAnsi="Arial"/>
          <w:sz w:val="18"/>
          <w:szCs w:val="18"/>
          <w:color w:val="auto"/>
        </w:rPr>
      </w:pPr>
    </w:p>
    <w:p>
      <w:pPr>
        <w:jc w:val="both"/>
        <w:ind w:right="700" w:firstLine="1305"/>
        <w:spacing w:after="0" w:line="264" w:lineRule="auto"/>
        <w:tabs>
          <w:tab w:leader="none" w:pos="17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208" w:lineRule="exact"/>
        <w:rPr>
          <w:rFonts w:ascii="Arial" w:cs="Arial" w:eastAsia="Arial" w:hAnsi="Arial"/>
          <w:sz w:val="18"/>
          <w:szCs w:val="18"/>
          <w:color w:val="auto"/>
        </w:rPr>
      </w:pPr>
    </w:p>
    <w:p>
      <w:pPr>
        <w:ind w:right="160" w:firstLine="1305"/>
        <w:spacing w:after="0" w:line="312" w:lineRule="auto"/>
        <w:tabs>
          <w:tab w:leader="none" w:pos="17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3" w:lineRule="exact"/>
        <w:rPr>
          <w:rFonts w:ascii="Arial" w:cs="Arial" w:eastAsia="Arial" w:hAnsi="Arial"/>
          <w:sz w:val="16"/>
          <w:szCs w:val="16"/>
          <w:color w:val="auto"/>
        </w:rPr>
      </w:pPr>
    </w:p>
    <w:p>
      <w:pPr>
        <w:ind w:left="1800" w:hanging="495"/>
        <w:spacing w:after="0"/>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52"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 Trustee or any Agent in its individual or any other capacity may become the owner or pledgee of Notes and may otherwise deal with the Company or any Affiliate of the Company with the same rights it would have if it were not Trustee or such Agent. However, in the event that the Trustee acquires any conflicting interest, it must eliminate such conflict within 90 days or resign. Any Agent may do the same with like rights and duties. The Trustee is also subject to Sections 7.08 and 7.09.</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52" w:lineRule="exact"/>
        <w:rPr>
          <w:sz w:val="20"/>
          <w:szCs w:val="20"/>
          <w:color w:val="auto"/>
        </w:rPr>
      </w:pPr>
    </w:p>
    <w:p>
      <w:pPr>
        <w:ind w:right="220" w:firstLine="1297"/>
        <w:spacing w:after="0" w:line="276" w:lineRule="auto"/>
        <w:rPr>
          <w:sz w:val="20"/>
          <w:szCs w:val="20"/>
          <w:color w:val="auto"/>
        </w:rPr>
      </w:pPr>
      <w:r>
        <w:rPr>
          <w:rFonts w:ascii="Arial" w:cs="Arial" w:eastAsia="Arial" w:hAnsi="Arial"/>
          <w:sz w:val="17"/>
          <w:szCs w:val="17"/>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on the Notes.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8" w:name="page49"/>
    <w:bookmarkEnd w:id="48"/>
    <w:p>
      <w:pPr>
        <w:spacing w:after="0"/>
        <w:tabs>
          <w:tab w:leader="none" w:pos="12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p>
    <w:p>
      <w:pPr>
        <w:spacing w:after="0" w:line="252"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If a Default occurs and is continuing and is known to the Trustee, the Trustee will mail to each Holder a notice of the Default within 90 days after it occurs. Except in the case of an Event of Default specified in clauses (1) or (2) of Section 6.01, the Trustee may withhold from the Holders notice of any continuing Default if the Trustee determines in good faith that withholding the notice is not opposed to the interest of the Holders.</w:t>
      </w:r>
    </w:p>
    <w:p>
      <w:pPr>
        <w:spacing w:after="0" w:line="19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55" w:lineRule="auto"/>
        <w:tabs>
          <w:tab w:leader="none" w:pos="17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and the Subsidiary Guarantors, jointly and severally,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220" w:lineRule="exact"/>
        <w:rPr>
          <w:rFonts w:ascii="Arial" w:cs="Arial" w:eastAsia="Arial" w:hAnsi="Arial"/>
          <w:sz w:val="18"/>
          <w:szCs w:val="18"/>
          <w:color w:val="auto"/>
        </w:rPr>
      </w:pPr>
    </w:p>
    <w:p>
      <w:pPr>
        <w:ind w:right="20" w:firstLine="1305"/>
        <w:spacing w:after="0" w:line="270" w:lineRule="auto"/>
        <w:tabs>
          <w:tab w:leader="none" w:pos="17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and the Subsidiary Guarantors, jointly and severally, shall indemnify the Trustee (which for purposes of this Section 7.06(b) shall include its officers, directors, employees and agents) for, and hold each of the Trustee and any predecessor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or any Subsidiary Guarantor (including this Section 7.06)) or defending itself against any claim whether asserted by any Holder, the Company or any Subsidiary Guarantor,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negligence or bad faith.</w:t>
      </w:r>
    </w:p>
    <w:p>
      <w:pPr>
        <w:spacing w:after="0" w:line="204" w:lineRule="exact"/>
        <w:rPr>
          <w:rFonts w:ascii="Arial" w:cs="Arial" w:eastAsia="Arial" w:hAnsi="Arial"/>
          <w:sz w:val="17"/>
          <w:szCs w:val="17"/>
          <w:color w:val="auto"/>
        </w:rPr>
      </w:pPr>
    </w:p>
    <w:p>
      <w:pPr>
        <w:ind w:right="40" w:firstLine="1305"/>
        <w:spacing w:after="0" w:line="277" w:lineRule="auto"/>
        <w:tabs>
          <w:tab w:leader="none" w:pos="17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obligations of the Company and the Subsidiary Guarantors under this Section 7.06 shall survive the satisfaction and discharge of this Indenture or the earlier resignation or removal of the Trustee.</w:t>
      </w:r>
    </w:p>
    <w:p>
      <w:pPr>
        <w:spacing w:after="0" w:line="197" w:lineRule="exact"/>
        <w:rPr>
          <w:rFonts w:ascii="Arial" w:cs="Arial" w:eastAsia="Arial" w:hAnsi="Arial"/>
          <w:sz w:val="18"/>
          <w:szCs w:val="18"/>
          <w:color w:val="auto"/>
        </w:rPr>
      </w:pPr>
    </w:p>
    <w:p>
      <w:pPr>
        <w:ind w:right="120" w:firstLine="1305"/>
        <w:spacing w:after="0" w:line="264" w:lineRule="auto"/>
        <w:tabs>
          <w:tab w:leader="none" w:pos="17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secure the payment obligations of the Company and the Subsidiary Guarantors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208" w:lineRule="exact"/>
        <w:rPr>
          <w:rFonts w:ascii="Arial" w:cs="Arial" w:eastAsia="Arial" w:hAnsi="Arial"/>
          <w:sz w:val="18"/>
          <w:szCs w:val="18"/>
          <w:color w:val="auto"/>
        </w:rPr>
      </w:pPr>
    </w:p>
    <w:p>
      <w:pPr>
        <w:jc w:val="both"/>
        <w:ind w:right="80" w:firstLine="1305"/>
        <w:spacing w:after="0" w:line="264" w:lineRule="auto"/>
        <w:tabs>
          <w:tab w:leader="none" w:pos="17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6.01(g) occurs, the expenses and the compensation for the services (including the fees and expenses of its agents and counsel) are intended to constitute expenses of administration under any Bankruptcy Law.</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9" w:name="page50"/>
    <w:bookmarkEnd w:id="49"/>
    <w:p>
      <w:pPr>
        <w:spacing w:after="0"/>
        <w:tabs>
          <w:tab w:leader="none" w:pos="12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52" w:lineRule="exact"/>
        <w:rPr>
          <w:sz w:val="20"/>
          <w:szCs w:val="20"/>
          <w:color w:val="auto"/>
        </w:rPr>
      </w:pPr>
    </w:p>
    <w:p>
      <w:pPr>
        <w:ind w:right="180" w:firstLine="1305"/>
        <w:spacing w:after="0" w:line="257" w:lineRule="auto"/>
        <w:tabs>
          <w:tab w:leader="none" w:pos="17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7.07.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215" w:lineRule="exact"/>
        <w:rPr>
          <w:sz w:val="20"/>
          <w:szCs w:val="20"/>
          <w:color w:val="auto"/>
        </w:rPr>
      </w:pPr>
    </w:p>
    <w:p>
      <w:pPr>
        <w:ind w:left="1800" w:hanging="495"/>
        <w:spacing w:after="0"/>
        <w:tabs>
          <w:tab w:leader="none" w:pos="180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the Trustee fails to comply with Section 7.09;</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w:t>
      </w:r>
    </w:p>
    <w:p>
      <w:pPr>
        <w:spacing w:after="0" w:line="238" w:lineRule="exact"/>
        <w:rPr>
          <w:sz w:val="20"/>
          <w:szCs w:val="20"/>
          <w:color w:val="auto"/>
        </w:rPr>
      </w:pPr>
    </w:p>
    <w:p>
      <w:pPr>
        <w:ind w:left="1800" w:hanging="495"/>
        <w:spacing w:after="0"/>
        <w:tabs>
          <w:tab w:leader="none" w:pos="18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a receiver or public officer takes charge of the Trustee or its property; or</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the Trustee becomes incapable of acting.</w:t>
      </w:r>
    </w:p>
    <w:p>
      <w:pPr>
        <w:spacing w:after="0" w:line="252" w:lineRule="exact"/>
        <w:rPr>
          <w:sz w:val="20"/>
          <w:szCs w:val="20"/>
          <w:color w:val="auto"/>
        </w:rPr>
      </w:pPr>
    </w:p>
    <w:p>
      <w:pPr>
        <w:ind w:firstLine="1305"/>
        <w:spacing w:after="0" w:line="286" w:lineRule="auto"/>
        <w:tabs>
          <w:tab w:leader="none" w:pos="1784"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remove the successor Trustee to replace it with another successor Trustee appointed by the Company.</w:t>
      </w:r>
    </w:p>
    <w:p>
      <w:pPr>
        <w:spacing w:after="0" w:line="192" w:lineRule="exact"/>
        <w:rPr>
          <w:rFonts w:ascii="Arial" w:cs="Arial" w:eastAsia="Arial" w:hAnsi="Arial"/>
          <w:sz w:val="17"/>
          <w:szCs w:val="17"/>
          <w:color w:val="auto"/>
        </w:rPr>
      </w:pPr>
    </w:p>
    <w:p>
      <w:pPr>
        <w:ind w:right="160" w:firstLine="1305"/>
        <w:spacing w:after="0" w:line="264" w:lineRule="auto"/>
        <w:tabs>
          <w:tab w:leader="none" w:pos="17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208" w:lineRule="exact"/>
        <w:rPr>
          <w:rFonts w:ascii="Arial" w:cs="Arial" w:eastAsia="Arial" w:hAnsi="Arial"/>
          <w:sz w:val="18"/>
          <w:szCs w:val="18"/>
          <w:color w:val="auto"/>
        </w:rPr>
      </w:pPr>
    </w:p>
    <w:p>
      <w:pPr>
        <w:ind w:right="180" w:firstLine="1305"/>
        <w:spacing w:after="0" w:line="308" w:lineRule="auto"/>
        <w:tabs>
          <w:tab w:leader="none" w:pos="1784"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73" w:lineRule="exact"/>
        <w:rPr>
          <w:rFonts w:ascii="Arial" w:cs="Arial" w:eastAsia="Arial" w:hAnsi="Arial"/>
          <w:sz w:val="17"/>
          <w:szCs w:val="17"/>
          <w:color w:val="auto"/>
        </w:rPr>
      </w:pPr>
    </w:p>
    <w:p>
      <w:pPr>
        <w:ind w:right="60" w:firstLine="1305"/>
        <w:spacing w:after="0" w:line="255" w:lineRule="auto"/>
        <w:tabs>
          <w:tab w:leader="none" w:pos="17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sums owing to the Trustee hereunder have been paid and such transfer shall be subject to the Lien provided for in Section 7.06. Notwithstanding replacement of the Trustee pursuant to this Section 7.07, the Company’s obligations under Section 7.06 shall continue for the benefit of the retiring Trustee.</w:t>
      </w:r>
    </w:p>
    <w:p>
      <w:pPr>
        <w:spacing w:after="0" w:line="220" w:lineRule="exact"/>
        <w:rPr>
          <w:rFonts w:ascii="Arial" w:cs="Arial" w:eastAsia="Arial" w:hAnsi="Arial"/>
          <w:sz w:val="18"/>
          <w:szCs w:val="18"/>
          <w:color w:val="auto"/>
        </w:rPr>
      </w:pPr>
    </w:p>
    <w:p>
      <w:pPr>
        <w:ind w:left="1760" w:hanging="455"/>
        <w:spacing w:after="0"/>
        <w:tabs>
          <w:tab w:leader="none" w:pos="1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used in this Section 7.07, the term “Trustee” shall also include each Agent.</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u w:val="single" w:color="auto"/>
          <w:color w:val="auto"/>
        </w:rPr>
        <w:t>Successor Trustee by Merger, etc.</w:t>
      </w:r>
    </w:p>
    <w:p>
      <w:pPr>
        <w:spacing w:after="0" w:line="252"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7.09.</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0" w:name="page51"/>
    <w:bookmarkEnd w:id="50"/>
    <w:p>
      <w:pPr>
        <w:spacing w:after="0"/>
        <w:tabs>
          <w:tab w:leader="none" w:pos="12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5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LEGAL DEFEASANCE AND COVENANT DEFEASANCE</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Option to Effect Legal Defeasance or Covenant Defeasance</w:t>
      </w:r>
      <w:r>
        <w:rPr>
          <w:rFonts w:ascii="Arial" w:cs="Arial" w:eastAsia="Arial" w:hAnsi="Arial"/>
          <w:sz w:val="16"/>
          <w:szCs w:val="16"/>
          <w:color w:val="auto"/>
        </w:rPr>
        <w:t>.</w:t>
      </w:r>
    </w:p>
    <w:p>
      <w:pPr>
        <w:spacing w:after="0" w:line="252"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The Company may, at its option and at any time, elect to have either Section 8.02 or Section 8.03 applied to all outstanding Notes upon compliance with the conditions set forth below in this Article 8.</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 and Discharge</w:t>
      </w:r>
      <w:r>
        <w:rPr>
          <w:rFonts w:ascii="Arial" w:cs="Arial" w:eastAsia="Arial" w:hAnsi="Arial"/>
          <w:sz w:val="15"/>
          <w:szCs w:val="15"/>
          <w:color w:val="auto"/>
        </w:rPr>
        <w:t>.</w:t>
      </w:r>
    </w:p>
    <w:p>
      <w:pPr>
        <w:spacing w:after="0" w:line="252" w:lineRule="exact"/>
        <w:rPr>
          <w:sz w:val="20"/>
          <w:szCs w:val="20"/>
          <w:color w:val="auto"/>
        </w:rPr>
      </w:pPr>
    </w:p>
    <w:p>
      <w:pPr>
        <w:ind w:right="40" w:firstLine="1305"/>
        <w:spacing w:after="0" w:line="290" w:lineRule="auto"/>
        <w:tabs>
          <w:tab w:leader="none" w:pos="17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the Company’s exercise under Section 8.01 of the option applicable to this Section 8.02, the Company and the Subsidiary Guarantors shall, subject to the satisfaction of the conditions set forth in Section 8.04, be deemed to have been discharged from their obligations with respect to the Indenture, all outstanding Notes and Subsidiary Guarantees on the date the conditions set forth below are satisfied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shall be deemed to have paid and discharged the entire Indebtedness represented by the outstanding Notes, which shall thereafter be deemed to be “outstanding” only for the purposes of Section 8.05 and the other Sections of this Indenture referred to in clauses (1) through (4) of this Section 8.02(a), and to have satisfied all of its other obligations under such Notes and this Indenture, including that of the Subsidiary Guarantors (and the Trustee, on demand of and at the expense of the Company, shall execute proper instruments acknowledging the same), except for the following provisions which shall survive until otherwise terminated or discharged hereunder:</w:t>
      </w:r>
    </w:p>
    <w:p>
      <w:pPr>
        <w:spacing w:after="0" w:line="193" w:lineRule="exact"/>
        <w:rPr>
          <w:sz w:val="20"/>
          <w:szCs w:val="20"/>
          <w:color w:val="auto"/>
        </w:rPr>
      </w:pPr>
    </w:p>
    <w:p>
      <w:pPr>
        <w:ind w:left="660" w:right="80" w:firstLine="645"/>
        <w:spacing w:after="0" w:line="277" w:lineRule="auto"/>
        <w:tabs>
          <w:tab w:leader="none" w:pos="1795"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rights of Holders to receive payments in respect of the principal, premium, if any, and interest on the Notes when such payments are due, solely out of the trust created pursuant to this Indenture referred to in Section 8.04;</w:t>
      </w:r>
    </w:p>
    <w:p>
      <w:pPr>
        <w:spacing w:after="0" w:line="197" w:lineRule="exact"/>
        <w:rPr>
          <w:rFonts w:ascii="Arial" w:cs="Arial" w:eastAsia="Arial" w:hAnsi="Arial"/>
          <w:sz w:val="18"/>
          <w:szCs w:val="18"/>
          <w:color w:val="010000"/>
        </w:rPr>
      </w:pPr>
    </w:p>
    <w:p>
      <w:pPr>
        <w:ind w:left="660" w:firstLine="645"/>
        <w:spacing w:after="0" w:line="308" w:lineRule="auto"/>
        <w:tabs>
          <w:tab w:leader="none" w:pos="1795"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Note payments held in trust;</w:t>
      </w:r>
    </w:p>
    <w:p>
      <w:pPr>
        <w:spacing w:after="0" w:line="173" w:lineRule="exact"/>
        <w:rPr>
          <w:rFonts w:ascii="Arial" w:cs="Arial" w:eastAsia="Arial" w:hAnsi="Arial"/>
          <w:sz w:val="17"/>
          <w:szCs w:val="17"/>
          <w:color w:val="010000"/>
        </w:rPr>
      </w:pPr>
    </w:p>
    <w:p>
      <w:pPr>
        <w:ind w:left="1800" w:hanging="495"/>
        <w:spacing w:after="0"/>
        <w:tabs>
          <w:tab w:leader="none" w:pos="180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63" w:lineRule="exact"/>
        <w:rPr>
          <w:rFonts w:ascii="Arial" w:cs="Arial" w:eastAsia="Arial" w:hAnsi="Arial"/>
          <w:sz w:val="17"/>
          <w:szCs w:val="17"/>
          <w:color w:val="010000"/>
        </w:rPr>
      </w:pPr>
    </w:p>
    <w:p>
      <w:pPr>
        <w:ind w:left="1800" w:hanging="495"/>
        <w:spacing w:after="0"/>
        <w:tabs>
          <w:tab w:leader="none" w:pos="180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this Section 8.02.</w:t>
      </w:r>
    </w:p>
    <w:p>
      <w:pPr>
        <w:spacing w:after="0" w:line="252" w:lineRule="exact"/>
        <w:rPr>
          <w:sz w:val="20"/>
          <w:szCs w:val="20"/>
          <w:color w:val="auto"/>
        </w:rPr>
      </w:pPr>
    </w:p>
    <w:p>
      <w:pPr>
        <w:ind w:left="1800" w:hanging="495"/>
        <w:spacing w:after="0"/>
        <w:tabs>
          <w:tab w:leader="none" w:pos="1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Following the Company’s exercise of its Legal Defeasance option, payment of the Notes may not be accelerated because of an Event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Default.</w:t>
      </w:r>
    </w:p>
    <w:p>
      <w:pPr>
        <w:spacing w:after="0" w:line="238" w:lineRule="exact"/>
        <w:rPr>
          <w:sz w:val="20"/>
          <w:szCs w:val="20"/>
          <w:color w:val="auto"/>
        </w:rPr>
      </w:pPr>
    </w:p>
    <w:p>
      <w:pPr>
        <w:ind w:right="320" w:firstLine="1305"/>
        <w:spacing w:after="0" w:line="277" w:lineRule="auto"/>
        <w:tabs>
          <w:tab w:leader="none" w:pos="17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1" w:name="page52"/>
    <w:bookmarkEnd w:id="51"/>
    <w:p>
      <w:pPr>
        <w:spacing w:after="0"/>
        <w:tabs>
          <w:tab w:leader="none" w:pos="12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52" w:lineRule="exact"/>
        <w:rPr>
          <w:sz w:val="20"/>
          <w:szCs w:val="20"/>
          <w:color w:val="auto"/>
        </w:rPr>
      </w:pPr>
    </w:p>
    <w:p>
      <w:pPr>
        <w:ind w:right="20" w:firstLine="1297"/>
        <w:spacing w:after="0" w:line="267" w:lineRule="auto"/>
        <w:rPr>
          <w:sz w:val="20"/>
          <w:szCs w:val="20"/>
          <w:color w:val="auto"/>
        </w:rPr>
      </w:pPr>
      <w:r>
        <w:rPr>
          <w:rFonts w:ascii="Arial" w:cs="Arial" w:eastAsia="Arial" w:hAnsi="Arial"/>
          <w:sz w:val="17"/>
          <w:szCs w:val="17"/>
          <w:color w:val="auto"/>
        </w:rPr>
        <w:t>Upon the Company’s exercise under Section 8.01 of the option applicable to this Section 8.03, the Company and the Subsidiary Guarantors shall, subject to the satisfaction of the conditions set forth in Section 8.04, be released from their obligations under the covenants contained in Sections 4.03, 4.05, 4.06, 4.07, 4.08 and 4.09, with respect to the outstanding Notes, and the Subsidiary Guarantors shall be deemed to have been discharged from their obligations with respect to all Subsidiary Guarantees, on and after the date the conditions set forth in Section 8.04 are satisfied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this Indenture and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Company’s exercise under Section 8.01 of the option applicable to this Section 8.03, subject to the satisfaction of the conditions set forth in Section 8.04, an Event of Default specified in Section 6.01(c) that resulted solely from the failure of the Company to comply with Section 5.01, Sections 6.01(d) (only with respect to covenants that are released as a result of such Covenant Defeasance), 6.01(e) (only with respect to covenants that are released as a result of such Covenant Defeasance), 6.01(f), 6.01(g), 6.01(h) (solely with respect to Significant Subsidiaries or any group of Subsidiaries that, taken together (as of the date of the latest audited financial statements of the Company and its Subsidiaries) would constitute a Significant Subsidiary), and 6.01(i), in each case, shall not constitute an Event of Default.</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Conditions to Legal or Covenant Defeasance</w:t>
      </w:r>
      <w:r>
        <w:rPr>
          <w:rFonts w:ascii="Arial" w:cs="Arial" w:eastAsia="Arial" w:hAnsi="Arial"/>
          <w:sz w:val="16"/>
          <w:szCs w:val="16"/>
          <w:color w:val="auto"/>
        </w:rPr>
        <w:t>.</w:t>
      </w:r>
    </w:p>
    <w:p>
      <w:pPr>
        <w:spacing w:after="0" w:line="252" w:lineRule="exact"/>
        <w:rPr>
          <w:sz w:val="20"/>
          <w:szCs w:val="20"/>
          <w:color w:val="auto"/>
        </w:rPr>
      </w:pPr>
    </w:p>
    <w:p>
      <w:pPr>
        <w:ind w:right="520" w:firstLine="1305"/>
        <w:spacing w:after="0" w:line="277" w:lineRule="auto"/>
        <w:tabs>
          <w:tab w:leader="none" w:pos="17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shall be the conditions to the exercise of either the Legal Defeasance option under Section 8.02 or the Covenant Defeasance option under Section 8.03 with respect to the Notes:</w:t>
      </w:r>
    </w:p>
    <w:p>
      <w:pPr>
        <w:spacing w:after="0" w:line="197" w:lineRule="exact"/>
        <w:rPr>
          <w:sz w:val="20"/>
          <w:szCs w:val="20"/>
          <w:color w:val="auto"/>
        </w:rPr>
      </w:pPr>
    </w:p>
    <w:p>
      <w:pPr>
        <w:ind w:left="660" w:firstLine="645"/>
        <w:spacing w:after="0" w:line="257" w:lineRule="auto"/>
        <w:tabs>
          <w:tab w:leader="none" w:pos="1795"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Company must irrevocably deposit with the Trustee, in trust, for the benefit of the Holders, cash in U.S. dollars, U.S. Government Obligations, or a combination thereof, in amounts as will be sufficient, in the written opinion of a nationally recognized firm of independent public accountants, without any reinvestment of interest to pay the principal, premium, if any, and interest due on the outstanding Notes on the Stated Maturity or on the applicable redemption date, as the case may be, and the Company must specify whether the Notes are being defeased to maturity or to a particular redemption date;</w:t>
      </w:r>
    </w:p>
    <w:p>
      <w:pPr>
        <w:spacing w:after="0" w:line="215" w:lineRule="exact"/>
        <w:rPr>
          <w:rFonts w:ascii="Arial" w:cs="Arial" w:eastAsia="Arial" w:hAnsi="Arial"/>
          <w:sz w:val="18"/>
          <w:szCs w:val="18"/>
          <w:color w:val="010000"/>
        </w:rPr>
      </w:pPr>
    </w:p>
    <w:p>
      <w:pPr>
        <w:ind w:left="660" w:right="500" w:firstLine="645"/>
        <w:spacing w:after="0" w:line="277" w:lineRule="auto"/>
        <w:tabs>
          <w:tab w:leader="none" w:pos="1795"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in the case of Legal Defeasance, the Company has delivered to the Trustee an Opinion of Counsel reasonably acceptable to the Trustee confirming that, subject to customary assumptions and exclusions,</w:t>
      </w:r>
    </w:p>
    <w:p>
      <w:pPr>
        <w:spacing w:after="0" w:line="197" w:lineRule="exact"/>
        <w:rPr>
          <w:rFonts w:ascii="Arial" w:cs="Arial" w:eastAsia="Arial" w:hAnsi="Arial"/>
          <w:sz w:val="18"/>
          <w:szCs w:val="18"/>
          <w:color w:val="010000"/>
        </w:rPr>
      </w:pPr>
    </w:p>
    <w:p>
      <w:pPr>
        <w:ind w:left="2480" w:hanging="527"/>
        <w:spacing w:after="0"/>
        <w:tabs>
          <w:tab w:leader="none" w:pos="2480" w:val="left"/>
        </w:tabs>
        <w:numPr>
          <w:ilvl w:val="1"/>
          <w:numId w:val="77"/>
        </w:numPr>
        <w:rPr>
          <w:rFonts w:ascii="Arial" w:cs="Arial" w:eastAsia="Arial" w:hAnsi="Arial"/>
          <w:sz w:val="18"/>
          <w:szCs w:val="18"/>
          <w:color w:val="010000"/>
        </w:rPr>
      </w:pPr>
      <w:r>
        <w:rPr>
          <w:rFonts w:ascii="Arial" w:cs="Arial" w:eastAsia="Arial" w:hAnsi="Arial"/>
          <w:sz w:val="18"/>
          <w:szCs w:val="18"/>
          <w:color w:val="auto"/>
        </w:rPr>
        <w:t>the Company has received from, or there has been published by, the U.S. Internal Revenue Service a ruling, or</w:t>
      </w:r>
    </w:p>
    <w:p>
      <w:pPr>
        <w:spacing w:after="0" w:line="252" w:lineRule="exact"/>
        <w:rPr>
          <w:rFonts w:ascii="Arial" w:cs="Arial" w:eastAsia="Arial" w:hAnsi="Arial"/>
          <w:sz w:val="18"/>
          <w:szCs w:val="18"/>
          <w:color w:val="010000"/>
        </w:rPr>
      </w:pPr>
    </w:p>
    <w:p>
      <w:pPr>
        <w:ind w:left="2480" w:hanging="527"/>
        <w:spacing w:after="0"/>
        <w:tabs>
          <w:tab w:leader="none" w:pos="2480" w:val="left"/>
        </w:tabs>
        <w:numPr>
          <w:ilvl w:val="1"/>
          <w:numId w:val="77"/>
        </w:numPr>
        <w:rPr>
          <w:rFonts w:ascii="Arial" w:cs="Arial" w:eastAsia="Arial" w:hAnsi="Arial"/>
          <w:sz w:val="18"/>
          <w:szCs w:val="18"/>
          <w:color w:val="010000"/>
        </w:rPr>
      </w:pPr>
      <w:r>
        <w:rPr>
          <w:rFonts w:ascii="Arial" w:cs="Arial" w:eastAsia="Arial" w:hAnsi="Arial"/>
          <w:sz w:val="18"/>
          <w:szCs w:val="18"/>
          <w:color w:val="auto"/>
        </w:rPr>
        <w:t>since the Issue Date, there has been a change in the applicable U.S. federal income tax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ind w:left="660" w:right="140"/>
        <w:spacing w:after="0" w:line="286" w:lineRule="auto"/>
        <w:rPr>
          <w:sz w:val="20"/>
          <w:szCs w:val="20"/>
          <w:color w:val="auto"/>
        </w:rPr>
      </w:pPr>
      <w:r>
        <w:rPr>
          <w:rFonts w:ascii="Arial" w:cs="Arial" w:eastAsia="Arial" w:hAnsi="Arial"/>
          <w:sz w:val="17"/>
          <w:szCs w:val="17"/>
          <w:color w:val="auto"/>
        </w:rPr>
        <w:t>in either case to the effect that, and based thereon such Opinion of Counsel will confirm that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93" w:lineRule="exact"/>
        <w:rPr>
          <w:sz w:val="20"/>
          <w:szCs w:val="20"/>
          <w:color w:val="auto"/>
        </w:rPr>
      </w:pPr>
    </w:p>
    <w:p>
      <w:pPr>
        <w:ind w:left="660" w:right="220" w:firstLine="645"/>
        <w:spacing w:after="0" w:line="279" w:lineRule="auto"/>
        <w:tabs>
          <w:tab w:leader="none" w:pos="1795"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in the case of Covenant Defeasance, the Company has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98" w:lineRule="exact"/>
        <w:rPr>
          <w:rFonts w:ascii="Arial" w:cs="Arial" w:eastAsia="Arial" w:hAnsi="Arial"/>
          <w:sz w:val="17"/>
          <w:szCs w:val="17"/>
          <w:color w:val="010000"/>
        </w:rPr>
      </w:pPr>
    </w:p>
    <w:p>
      <w:pPr>
        <w:ind w:left="660" w:right="40" w:firstLine="645"/>
        <w:spacing w:after="0" w:line="297" w:lineRule="auto"/>
        <w:tabs>
          <w:tab w:leader="none" w:pos="1795"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no Default or Event of Default has occurred and is continuing on the date of such deposit or will occur as a result of such deposit (other than a Default or an Event of Default resulting from the borrowing of funds to be applied to make such deposit and any similar and simultaneous deposit relating to other Indebtedness and, in each case, the granting of Liens in connection therewith) and the deposit will not result in a breach or violation of, or constitute a default under, the Credit Agreement or any other material agreement or material instrument (other than this Indenture) to which the Company or any Subsidiary Guarantor is a party or by which the Company or any Subsidiary Guarantor is bound;</w:t>
      </w:r>
    </w:p>
    <w:p>
      <w:pPr>
        <w:spacing w:after="0" w:line="185" w:lineRule="exact"/>
        <w:rPr>
          <w:rFonts w:ascii="Arial" w:cs="Arial" w:eastAsia="Arial" w:hAnsi="Arial"/>
          <w:sz w:val="16"/>
          <w:szCs w:val="16"/>
          <w:color w:val="010000"/>
        </w:rPr>
      </w:pPr>
    </w:p>
    <w:p>
      <w:pPr>
        <w:ind w:left="660" w:right="360" w:firstLine="645"/>
        <w:spacing w:after="0" w:line="308" w:lineRule="auto"/>
        <w:tabs>
          <w:tab w:leader="none" w:pos="1795"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the Company has delivered to the Trustee an Officer’s Certificate stating that the deposit was not made by the Company with the intent of defeating, hindering, delaying or defrauding any creditors of the Company, any Subsidiary Guarantor or others;</w:t>
      </w:r>
    </w:p>
    <w:p>
      <w:pPr>
        <w:spacing w:after="0" w:line="173" w:lineRule="exact"/>
        <w:rPr>
          <w:rFonts w:ascii="Arial" w:cs="Arial" w:eastAsia="Arial" w:hAnsi="Arial"/>
          <w:sz w:val="17"/>
          <w:szCs w:val="17"/>
          <w:color w:val="010000"/>
        </w:rPr>
      </w:pPr>
    </w:p>
    <w:p>
      <w:pPr>
        <w:ind w:left="660" w:right="360" w:firstLine="645"/>
        <w:spacing w:after="0" w:line="264" w:lineRule="auto"/>
        <w:tabs>
          <w:tab w:leader="none" w:pos="1795"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the Company has delivered to the Trustee an Officer’s Certificate and an Opinion of Counsel (which Opinion of Counsel may be subject to customary assumptions and exclusions), each stating that all conditions precedent relating to the Legal Defeasance or the Covenant Defeasance, as the case may be, have been complied with; and</w:t>
      </w:r>
    </w:p>
    <w:p>
      <w:pPr>
        <w:spacing w:after="0" w:line="208" w:lineRule="exact"/>
        <w:rPr>
          <w:rFonts w:ascii="Arial" w:cs="Arial" w:eastAsia="Arial" w:hAnsi="Arial"/>
          <w:sz w:val="18"/>
          <w:szCs w:val="18"/>
          <w:color w:val="010000"/>
        </w:rPr>
      </w:pPr>
    </w:p>
    <w:p>
      <w:pPr>
        <w:ind w:left="660" w:right="60" w:firstLine="645"/>
        <w:spacing w:after="0" w:line="342" w:lineRule="auto"/>
        <w:tabs>
          <w:tab w:leader="none" w:pos="1795"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the Company has delivered irrevocable instructions to the Trustee to apply the deposited money toward the payment of the Notes at maturity or the redemption date, as the case may be (which instructions may be contained in the Officer’s Certificate referred to in clause (6) above).</w:t>
      </w:r>
    </w:p>
    <w:p>
      <w:pPr>
        <w:spacing w:after="0" w:line="15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w:t>
      </w:r>
    </w:p>
    <w:p>
      <w:pPr>
        <w:spacing w:after="0" w:line="252" w:lineRule="exact"/>
        <w:rPr>
          <w:sz w:val="20"/>
          <w:szCs w:val="20"/>
          <w:color w:val="auto"/>
        </w:rPr>
      </w:pPr>
    </w:p>
    <w:p>
      <w:pPr>
        <w:ind w:right="60" w:firstLine="1305"/>
        <w:spacing w:after="0" w:line="276" w:lineRule="auto"/>
        <w:tabs>
          <w:tab w:leader="none" w:pos="1773"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Subject to Section 8.06, all money and U.S. Government Obligations (including the proceeds thereof) deposited with the Trustee pursuant to Section 8.04 in respect of the outstanding Notes shall be held in trust and applied by the Trustee, in accordance with the provisions of such Notes and this Indenture, to the payment, either directly or through any Paying Agent (including the Company or a Subsidiary Guarantor acting as Paying Agent) as the Trustee may determine, to the Holders of all sums due and to become due thereon in respect of principal, premium, if any, and interest on the Notes, but such money need not be segregated from other funds except to the extent required by law.</w:t>
      </w:r>
    </w:p>
    <w:p>
      <w:pPr>
        <w:spacing w:after="0" w:line="199" w:lineRule="exact"/>
        <w:rPr>
          <w:rFonts w:ascii="Arial" w:cs="Arial" w:eastAsia="Arial" w:hAnsi="Arial"/>
          <w:sz w:val="17"/>
          <w:szCs w:val="17"/>
          <w:color w:val="auto"/>
        </w:rPr>
      </w:pPr>
    </w:p>
    <w:p>
      <w:pPr>
        <w:ind w:firstLine="1305"/>
        <w:spacing w:after="0" w:line="264" w:lineRule="auto"/>
        <w:tabs>
          <w:tab w:leader="none" w:pos="178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will pay and indemnify the Trustee against any tax, fee or other charge imposed on or assessed against the cash or U.S. Government Obligations deposited pursuant to Section 8.04 or the principal and interest received in respect thereof other than any such tax, fee or other charge which by law is for the account of the 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jc w:val="both"/>
        <w:ind w:right="60" w:firstLine="1305"/>
        <w:spacing w:after="0" w:line="279" w:lineRule="auto"/>
        <w:tabs>
          <w:tab w:leader="none" w:pos="1773"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Anything in this Article 8 to the contrary notwithstanding, the Trustee will deliver or pay to the Company from time to time upon the request of the Company any money or U.S. Government Obligations held by it as provided in Section 8.04 which, in the opinion of an Independent Financial Advisor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9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Repayment to the Company</w:t>
      </w:r>
      <w:r>
        <w:rPr>
          <w:rFonts w:ascii="Arial" w:cs="Arial" w:eastAsia="Arial" w:hAnsi="Arial"/>
          <w:sz w:val="16"/>
          <w:szCs w:val="16"/>
          <w:color w:val="auto"/>
        </w:rPr>
        <w:t>.</w:t>
      </w:r>
    </w:p>
    <w:p>
      <w:pPr>
        <w:spacing w:after="0" w:line="252"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Subject to any applicable abandoned property law, any money deposited with the Trustee or any Paying Agent, or then held by the Company, in trust for the payment of the principal, premium, if any, or interest on any Note and remaining unclaimed for two years after such principal,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or such Paying Agent, before being required to make any such repayment, may at the expense of the Company cause to be published once, in </w:t>
      </w:r>
      <w:r>
        <w:rPr>
          <w:rFonts w:ascii="Arial" w:cs="Arial" w:eastAsia="Arial" w:hAnsi="Arial"/>
          <w:sz w:val="16"/>
          <w:szCs w:val="16"/>
          <w:u w:val="single" w:color="auto"/>
          <w:color w:val="auto"/>
        </w:rPr>
        <w:t>The New York Times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(national edition), notice that such money remains unclaimed and that, after a date specified therein, which shall not be less than 30 days from the date of such notification or publication, any unclaimed balance of such money then remaining shall be repaid to the Company.</w:t>
      </w:r>
    </w:p>
    <w:p>
      <w:pPr>
        <w:spacing w:after="0" w:line="19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52"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U.S. Government Obligations in accordance with Section 8.02 or Section 8.03, as the case may be, by reason of any order or judgment of any court or governmental authority enjoining, restraining or otherwise prohibiting such application, then the Company’s and the Subsidiary Guarantors’ obligations under this Indenture, the Notes and the Subsidiary Guarantees shall be revived and reinstated as though no deposit had occurred pursuant to Section 8.02 or Section 8.03 until such time as the Trustee or Paying Agent is permitted to apply all such money in accordance with Section 8.02 or Section 8.03,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makes any payment of principal, premium, if any, or interest on any Note following the reinstatement of its obligations, the Company shall be subrogated to the rights of the Holders to receive such payment from the money held by the Trustee or Paying 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52" w:lineRule="exact"/>
        <w:rPr>
          <w:sz w:val="20"/>
          <w:szCs w:val="20"/>
          <w:color w:val="auto"/>
        </w:rPr>
      </w:pPr>
    </w:p>
    <w:p>
      <w:pPr>
        <w:ind w:right="440" w:firstLine="1305"/>
        <w:spacing w:after="0" w:line="277" w:lineRule="auto"/>
        <w:tabs>
          <w:tab w:leader="none" w:pos="17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Section 9.02, without the consent of any Holder, the Company, the Subsidiary Guarantors and the Trustee may amend this Indenture, the Notes and the Subsidiary Guarantees to:</w:t>
      </w:r>
    </w:p>
    <w:p>
      <w:pPr>
        <w:spacing w:after="0" w:line="197" w:lineRule="exact"/>
        <w:rPr>
          <w:sz w:val="20"/>
          <w:szCs w:val="20"/>
          <w:color w:val="auto"/>
        </w:rPr>
      </w:pPr>
    </w:p>
    <w:p>
      <w:pPr>
        <w:ind w:left="1800" w:hanging="495"/>
        <w:spacing w:after="0"/>
        <w:tabs>
          <w:tab w:leader="none" w:pos="180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cure any ambiguity, omission, defect or inconsistency;</w:t>
      </w:r>
    </w:p>
    <w:p>
      <w:pPr>
        <w:spacing w:after="0" w:line="252" w:lineRule="exact"/>
        <w:rPr>
          <w:rFonts w:ascii="Arial" w:cs="Arial" w:eastAsia="Arial" w:hAnsi="Arial"/>
          <w:sz w:val="18"/>
          <w:szCs w:val="18"/>
          <w:color w:val="010000"/>
        </w:rPr>
      </w:pPr>
    </w:p>
    <w:p>
      <w:pPr>
        <w:jc w:val="both"/>
        <w:ind w:left="660" w:firstLine="645"/>
        <w:spacing w:after="0" w:line="264" w:lineRule="auto"/>
        <w:tabs>
          <w:tab w:leader="none" w:pos="1795"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provide for the assumption by a successor corporation, limited liability company, partnership or similar entity, of the obligations of the Company or any Subsidiary Guarantor under this Indenture, the Notes or a Subsidiary Guarantee, as applicable, or to provide for the addition of a co-issuer of the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jc w:val="both"/>
        <w:ind w:left="660" w:right="40" w:firstLine="645"/>
        <w:spacing w:after="0" w:line="264" w:lineRule="auto"/>
        <w:tabs>
          <w:tab w:leader="none" w:pos="1795"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Notes are issued in registered form for purposes of Section 163(f) of the Code, or in a manner such that the uncertificated Notes are described in Section 163(f)(2)(B) of the Code);</w:t>
      </w:r>
    </w:p>
    <w:p>
      <w:pPr>
        <w:spacing w:after="0" w:line="208" w:lineRule="exact"/>
        <w:rPr>
          <w:rFonts w:ascii="Arial" w:cs="Arial" w:eastAsia="Arial" w:hAnsi="Arial"/>
          <w:sz w:val="18"/>
          <w:szCs w:val="18"/>
          <w:color w:val="010000"/>
        </w:rPr>
      </w:pPr>
    </w:p>
    <w:p>
      <w:pPr>
        <w:ind w:left="1800" w:hanging="495"/>
        <w:spacing w:after="0"/>
        <w:tabs>
          <w:tab w:leader="none" w:pos="1800"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to add Subsidiary Guarantees with respect to the Notes in accordance with this Indenture or to secure the Notes or a Subsidiary</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Guarantee;</w:t>
      </w:r>
    </w:p>
    <w:p>
      <w:pPr>
        <w:spacing w:after="0" w:line="237" w:lineRule="exact"/>
        <w:rPr>
          <w:rFonts w:ascii="Arial" w:cs="Arial" w:eastAsia="Arial" w:hAnsi="Arial"/>
          <w:sz w:val="16"/>
          <w:szCs w:val="16"/>
          <w:color w:val="010000"/>
        </w:rPr>
      </w:pPr>
    </w:p>
    <w:p>
      <w:pPr>
        <w:ind w:left="660" w:right="60" w:firstLine="645"/>
        <w:spacing w:after="0" w:line="277" w:lineRule="auto"/>
        <w:tabs>
          <w:tab w:leader="none" w:pos="1795"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to add to the covenants of the Company for the benefit of the Holders of the Notes or to surrender any right or power conferred upon the Company or any Subsidiary Guarantor;</w:t>
      </w:r>
    </w:p>
    <w:p>
      <w:pPr>
        <w:spacing w:after="0" w:line="197" w:lineRule="exact"/>
        <w:rPr>
          <w:rFonts w:ascii="Arial" w:cs="Arial" w:eastAsia="Arial" w:hAnsi="Arial"/>
          <w:sz w:val="18"/>
          <w:szCs w:val="18"/>
          <w:color w:val="010000"/>
        </w:rPr>
      </w:pPr>
    </w:p>
    <w:p>
      <w:pPr>
        <w:ind w:left="1800" w:hanging="495"/>
        <w:spacing w:after="0"/>
        <w:tabs>
          <w:tab w:leader="none" w:pos="180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to make any change that does not adversely affect in any material respect the rights of any Holder of the Notes;</w:t>
      </w:r>
    </w:p>
    <w:p>
      <w:pPr>
        <w:spacing w:after="0" w:line="252" w:lineRule="exact"/>
        <w:rPr>
          <w:rFonts w:ascii="Arial" w:cs="Arial" w:eastAsia="Arial" w:hAnsi="Arial"/>
          <w:sz w:val="18"/>
          <w:szCs w:val="18"/>
          <w:color w:val="010000"/>
        </w:rPr>
      </w:pPr>
    </w:p>
    <w:p>
      <w:pPr>
        <w:ind w:left="660" w:right="60" w:firstLine="645"/>
        <w:spacing w:after="0" w:line="264" w:lineRule="auto"/>
        <w:tabs>
          <w:tab w:leader="none" w:pos="1795"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to conform the text of this Indenture, the Notes or any Subsidiary Guarantee to any provision contained in the “Description of the Notes” section of the Offering Memorandum to the extent that such provision was intended to be a verbatim recitation of the Indenture, the Notes or such Subsidiary Guarantee;</w:t>
      </w:r>
    </w:p>
    <w:p>
      <w:pPr>
        <w:spacing w:after="0" w:line="208" w:lineRule="exact"/>
        <w:rPr>
          <w:rFonts w:ascii="Arial" w:cs="Arial" w:eastAsia="Arial" w:hAnsi="Arial"/>
          <w:sz w:val="18"/>
          <w:szCs w:val="18"/>
          <w:color w:val="010000"/>
        </w:rPr>
      </w:pPr>
    </w:p>
    <w:p>
      <w:pPr>
        <w:ind w:left="1800" w:hanging="495"/>
        <w:spacing w:after="0"/>
        <w:tabs>
          <w:tab w:leader="none" w:pos="1800"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 xml:space="preserve">to make any amendment to the provisions of this Indenture relating to the transfer and legending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46" w:lineRule="exact"/>
        <w:rPr>
          <w:rFonts w:ascii="Arial" w:cs="Arial" w:eastAsia="Arial" w:hAnsi="Arial"/>
          <w:sz w:val="16"/>
          <w:szCs w:val="16"/>
          <w:color w:val="010000"/>
        </w:rPr>
      </w:pPr>
    </w:p>
    <w:p>
      <w:pPr>
        <w:ind w:left="660" w:right="740" w:hanging="4"/>
        <w:spacing w:after="0" w:line="323" w:lineRule="auto"/>
        <w:tabs>
          <w:tab w:leader="none" w:pos="9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spacing w:after="0" w:line="165" w:lineRule="exact"/>
        <w:rPr>
          <w:rFonts w:ascii="Arial" w:cs="Arial" w:eastAsia="Arial" w:hAnsi="Arial"/>
          <w:sz w:val="16"/>
          <w:szCs w:val="16"/>
          <w:color w:val="auto"/>
        </w:rPr>
      </w:pPr>
    </w:p>
    <w:p>
      <w:pPr>
        <w:ind w:left="660" w:right="100" w:firstLine="645"/>
        <w:spacing w:after="0" w:line="277" w:lineRule="auto"/>
        <w:tabs>
          <w:tab w:leader="none" w:pos="1795"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to evidence and provide for the acceptance of appointment under this Indenture by a successor trustee or to comply with the rules of any applicable securities depository;</w:t>
      </w:r>
    </w:p>
    <w:p>
      <w:pPr>
        <w:spacing w:after="0" w:line="197" w:lineRule="exact"/>
        <w:rPr>
          <w:rFonts w:ascii="Arial" w:cs="Arial" w:eastAsia="Arial" w:hAnsi="Arial"/>
          <w:sz w:val="18"/>
          <w:szCs w:val="18"/>
          <w:color w:val="010000"/>
        </w:rPr>
      </w:pPr>
    </w:p>
    <w:p>
      <w:pPr>
        <w:ind w:left="1880" w:hanging="575"/>
        <w:spacing w:after="0"/>
        <w:tabs>
          <w:tab w:leader="none" w:pos="1880"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to release any Lien securing the Notes as provided for in Section 4.06(c); or</w:t>
      </w:r>
    </w:p>
    <w:p>
      <w:pPr>
        <w:spacing w:after="0" w:line="252" w:lineRule="exact"/>
        <w:rPr>
          <w:rFonts w:ascii="Arial" w:cs="Arial" w:eastAsia="Arial" w:hAnsi="Arial"/>
          <w:sz w:val="18"/>
          <w:szCs w:val="18"/>
          <w:color w:val="010000"/>
        </w:rPr>
      </w:pPr>
    </w:p>
    <w:p>
      <w:pPr>
        <w:ind w:left="1880" w:hanging="575"/>
        <w:spacing w:after="0"/>
        <w:tabs>
          <w:tab w:leader="none" w:pos="1880"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to provide for the issuance of Additional Notes (except as may be limited by Section 4.06).</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76" w:lineRule="auto"/>
        <w:tabs>
          <w:tab w:leader="none" w:pos="1773"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Except as provided in Section 9.01 and this Section 9.02, the Company, the Subsidiary Guarantors and the Trustee may amend or supplement this Indenture, the Notes and the Subsidiary Guarantees with the consent of the Holders of a majority in aggregate principal amount of the Notes then outstanding (including consents obtained in connection with a tender offer or exchange offer for the Notes) and any past Default or compliance with any provision may also be waived with the consent of the holders of a majority in aggregate principal amount of the Notes then outstanding. However, without the consent of each holder of an outstanding Note affected thereby, an amendment or waiver may not:</w:t>
      </w:r>
    </w:p>
    <w:p>
      <w:pPr>
        <w:spacing w:after="0" w:line="200" w:lineRule="exact"/>
        <w:rPr>
          <w:sz w:val="20"/>
          <w:szCs w:val="20"/>
          <w:color w:val="auto"/>
        </w:rPr>
      </w:pPr>
    </w:p>
    <w:p>
      <w:pPr>
        <w:ind w:left="1800" w:hanging="495"/>
        <w:spacing w:after="0"/>
        <w:tabs>
          <w:tab w:leader="none" w:pos="180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make any change in the percentage of the principal amount of Notes required for amendments or waivers;</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reduce the rate of or extend the time for payment of interest on any Note;</w:t>
      </w:r>
    </w:p>
    <w:p>
      <w:pPr>
        <w:spacing w:after="0" w:line="252" w:lineRule="exact"/>
        <w:rPr>
          <w:rFonts w:ascii="Arial" w:cs="Arial" w:eastAsia="Arial" w:hAnsi="Arial"/>
          <w:sz w:val="18"/>
          <w:szCs w:val="18"/>
          <w:color w:val="010000"/>
        </w:rPr>
      </w:pPr>
    </w:p>
    <w:p>
      <w:pPr>
        <w:ind w:left="1800" w:hanging="495"/>
        <w:spacing w:after="0"/>
        <w:tabs>
          <w:tab w:leader="none" w:pos="180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reduce the principal of or change the Stated Maturity of any Note;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5" w:name="page56"/>
    <w:bookmarkEnd w:id="55"/>
    <w:p>
      <w:pPr>
        <w:ind w:left="660" w:right="420" w:firstLine="645"/>
        <w:spacing w:after="0" w:line="342" w:lineRule="auto"/>
        <w:tabs>
          <w:tab w:leader="none" w:pos="1795" w:val="left"/>
        </w:tabs>
        <w:numPr>
          <w:ilvl w:val="0"/>
          <w:numId w:val="87"/>
        </w:numPr>
        <w:rPr>
          <w:rFonts w:ascii="Arial" w:cs="Arial" w:eastAsia="Arial" w:hAnsi="Arial"/>
          <w:sz w:val="16"/>
          <w:szCs w:val="16"/>
          <w:color w:val="010000"/>
        </w:rPr>
      </w:pPr>
      <w:r>
        <w:rPr>
          <w:rFonts w:ascii="Arial" w:cs="Arial" w:eastAsia="Arial" w:hAnsi="Arial"/>
          <w:sz w:val="16"/>
          <w:szCs w:val="16"/>
          <w:color w:val="auto"/>
        </w:rPr>
        <w:t>reduce the amount payable upon the redemption or repurchase of any Note or, in respect of an optional redemption, the times at which any Note may be redeemed or, once notice of redemption has been given, the time at which it must thereupon be redeemed;</w:t>
      </w:r>
    </w:p>
    <w:p>
      <w:pPr>
        <w:spacing w:after="0" w:line="150" w:lineRule="exact"/>
        <w:rPr>
          <w:rFonts w:ascii="Arial" w:cs="Arial" w:eastAsia="Arial" w:hAnsi="Arial"/>
          <w:sz w:val="16"/>
          <w:szCs w:val="16"/>
          <w:color w:val="010000"/>
        </w:rPr>
      </w:pPr>
    </w:p>
    <w:p>
      <w:pPr>
        <w:ind w:left="1800" w:hanging="495"/>
        <w:spacing w:after="0"/>
        <w:tabs>
          <w:tab w:leader="none" w:pos="180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make any Note payable in money other than that stated in the Note;</w:t>
      </w:r>
    </w:p>
    <w:p>
      <w:pPr>
        <w:spacing w:after="0" w:line="252" w:lineRule="exact"/>
        <w:rPr>
          <w:rFonts w:ascii="Arial" w:cs="Arial" w:eastAsia="Arial" w:hAnsi="Arial"/>
          <w:sz w:val="18"/>
          <w:szCs w:val="18"/>
          <w:color w:val="010000"/>
        </w:rPr>
      </w:pPr>
    </w:p>
    <w:p>
      <w:pPr>
        <w:ind w:left="660" w:right="40" w:firstLine="645"/>
        <w:spacing w:after="0" w:line="277" w:lineRule="auto"/>
        <w:tabs>
          <w:tab w:leader="none" w:pos="1795"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impair the right of any Holder of the Notes to receive payment of principal of and interest on such Holder’s Notes on or after the due dates therefor or to institute suit for the enforcement of any payment on or with respect to such Holder’s Notes;</w:t>
      </w:r>
    </w:p>
    <w:p>
      <w:pPr>
        <w:spacing w:after="0" w:line="197" w:lineRule="exact"/>
        <w:rPr>
          <w:rFonts w:ascii="Arial" w:cs="Arial" w:eastAsia="Arial" w:hAnsi="Arial"/>
          <w:sz w:val="18"/>
          <w:szCs w:val="18"/>
          <w:color w:val="010000"/>
        </w:rPr>
      </w:pPr>
    </w:p>
    <w:p>
      <w:pPr>
        <w:ind w:left="660" w:right="140" w:firstLine="645"/>
        <w:spacing w:after="0" w:line="277" w:lineRule="auto"/>
        <w:tabs>
          <w:tab w:leader="none" w:pos="1795"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after the time an offer to purchase is required to have been made, reduce the purchase amount or purchase price, or extend the latest expiration date or purchase date thereunder; or</w:t>
      </w:r>
    </w:p>
    <w:p>
      <w:pPr>
        <w:spacing w:after="0" w:line="197" w:lineRule="exact"/>
        <w:rPr>
          <w:rFonts w:ascii="Arial" w:cs="Arial" w:eastAsia="Arial" w:hAnsi="Arial"/>
          <w:sz w:val="18"/>
          <w:szCs w:val="18"/>
          <w:color w:val="010000"/>
        </w:rPr>
      </w:pPr>
    </w:p>
    <w:p>
      <w:pPr>
        <w:ind w:left="1800" w:hanging="495"/>
        <w:spacing w:after="0"/>
        <w:tabs>
          <w:tab w:leader="none" w:pos="180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make any change in the ranking or priority of any Note that would adversely affect the Holders of the Notes.</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52" w:lineRule="exact"/>
        <w:rPr>
          <w:sz w:val="20"/>
          <w:szCs w:val="20"/>
          <w:color w:val="auto"/>
        </w:rPr>
      </w:pPr>
    </w:p>
    <w:p>
      <w:pPr>
        <w:ind w:right="40" w:firstLine="1305"/>
        <w:spacing w:after="0" w:line="276" w:lineRule="auto"/>
        <w:tabs>
          <w:tab w:leader="none" w:pos="1773" w:val="left"/>
        </w:tabs>
        <w:numPr>
          <w:ilvl w:val="0"/>
          <w:numId w:val="88"/>
        </w:numPr>
        <w:rPr>
          <w:rFonts w:ascii="Arial" w:cs="Arial" w:eastAsia="Arial" w:hAnsi="Arial"/>
          <w:sz w:val="17"/>
          <w:szCs w:val="17"/>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99" w:lineRule="exact"/>
        <w:rPr>
          <w:rFonts w:ascii="Arial" w:cs="Arial" w:eastAsia="Arial" w:hAnsi="Arial"/>
          <w:sz w:val="17"/>
          <w:szCs w:val="17"/>
          <w:color w:val="auto"/>
        </w:rPr>
      </w:pPr>
    </w:p>
    <w:p>
      <w:pPr>
        <w:ind w:right="580" w:firstLine="1305"/>
        <w:spacing w:after="0" w:line="277" w:lineRule="auto"/>
        <w:tabs>
          <w:tab w:leader="none" w:pos="17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1.04 for the purpose of determining the Holders entitled to consent to any amendment, supplement or waiver.</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64" w:lineRule="auto"/>
        <w:tabs>
          <w:tab w:leader="none" w:pos="17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Failure to make the appropriate notation or issue a new Note shall not affect the validity and effect of such amendment, supplement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waiver.</w:t>
      </w:r>
    </w:p>
    <w:p>
      <w:pPr>
        <w:spacing w:after="0" w:line="2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Trustee to Sign Amendments, etc.</w:t>
      </w:r>
    </w:p>
    <w:p>
      <w:pPr>
        <w:spacing w:after="0" w:line="252" w:lineRule="exact"/>
        <w:rPr>
          <w:sz w:val="20"/>
          <w:szCs w:val="20"/>
          <w:color w:val="auto"/>
        </w:rPr>
      </w:pPr>
    </w:p>
    <w:p>
      <w:pPr>
        <w:ind w:right="140" w:firstLine="1305"/>
        <w:spacing w:after="0" w:line="276" w:lineRule="auto"/>
        <w:tabs>
          <w:tab w:leader="none" w:pos="177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be entitled to receive and (subject to Section 7.01) shall be fully protected in relying upon, in addition to the documents required by Section 12.02, an Officer’s Certificate and an Opinion of Counsel stating that the execution of such amendment, supplement or waiver is authorized or permitted by this Indenture and that such amendment, supplement or waiver is the legal, valid and binding obligation of the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t>Company and any Subsidiary Guarantor party thereto, enforceable against them in accordance with its terms, subject to customary exceptions, and complies with the provisions hereof.</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Payment for Consent</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The Company will not, and will not permit any of its Subsidiaries to, directly or indirectly, pay or cause to be paid any consideration to or for the benefit of any Holder for or as an inducement to any consent, waiver or amendment of any of the terms or provisions of this Indenture or the Notes unless such consideration is offered to all Holders and is paid to all Holders that consent, waive or agree to amend in the time frame set forth in the solicitation documents relating to such consent, waiver or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consents, waivers or amendments are sought in connection with an exchange offer where participation in such exchange offer is limited to Holders who are “qualified institutional buyers” as defined in Rule 144A under the Securities Act, or non-U.S. persons, within the meaning given to such term in Regulation S under the Securities Act, then such consideration need only be offered to all Holders to whom the exchange offer is made and to be paid to all such Holders that consent, waive or agree to amend in such time frame.</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Notice of Amendments, etc</w:t>
      </w:r>
      <w:r>
        <w:rPr>
          <w:rFonts w:ascii="Arial" w:cs="Arial" w:eastAsia="Arial" w:hAnsi="Arial"/>
          <w:sz w:val="16"/>
          <w:szCs w:val="16"/>
          <w:color w:val="auto"/>
        </w:rPr>
        <w:t>.</w:t>
      </w:r>
    </w:p>
    <w:p>
      <w:pPr>
        <w:spacing w:after="0" w:line="252"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After an amendment, supplement or waiver under this Article 9 becomes effective, the Company shall send electronically or by mail to the Holders of Notes affected thereby a notice briefly describing the amendment, supplement or waiver. Any failure of the Company to send electronically or mail such notice, or any defect therein, shall not, however, in any way impair or affect the validity of any such amended or supplemental indenture or waiver.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GUARANTEES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5"/>
          <w:szCs w:val="15"/>
          <w:color w:val="auto"/>
        </w:rPr>
        <w:t>.</w:t>
      </w:r>
    </w:p>
    <w:p>
      <w:pPr>
        <w:spacing w:after="0" w:line="252" w:lineRule="exact"/>
        <w:rPr>
          <w:sz w:val="20"/>
          <w:szCs w:val="20"/>
          <w:color w:val="auto"/>
        </w:rPr>
      </w:pPr>
    </w:p>
    <w:p>
      <w:pPr>
        <w:ind w:right="20" w:firstLine="1305"/>
        <w:spacing w:after="0" w:line="288" w:lineRule="auto"/>
        <w:tabs>
          <w:tab w:leader="none" w:pos="1773"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Subject to this Article 10, each of the Subsidiary Guarantors hereby, jointly and severally, irrevocably and unconditionally guarantees, on a senior unsecured basis, to each Holder and to the Trustee and its successors and assigns, irrespective of the validity and enforceability of this Indenture, the Notes or the obligations of the Company hereunder or thereunder, that: (1) the principal, premium, if any, and interest on the Notes shall be promptly paid in full when due, whether at Stated Maturity, by acceleration, redemption or otherwise, and interest on the overdue principal and interest on the Notes, if any, if lawful, and all other Obligations of the Company to the Holders or the Trustee hereunder or under the Notes shall be promptly paid in full or performed, all in accordance with the terms hereof and thereof; and (2) in case of any extension of time of payment or renewal of any Notes or any of such other obligations, that same shall be promptly paid in full when due or performed in accordance with the terms of the extension or renewal, whether at Stated Maturity, by acceleration or otherwise, collectively, the “</w:t>
      </w:r>
      <w:r>
        <w:rPr>
          <w:rFonts w:ascii="Arial" w:cs="Arial" w:eastAsia="Arial" w:hAnsi="Arial"/>
          <w:sz w:val="16"/>
          <w:szCs w:val="16"/>
          <w:i w:val="1"/>
          <w:iCs w:val="1"/>
          <w:color w:val="auto"/>
        </w:rPr>
        <w:t>Guaranteed Obligations</w:t>
      </w:r>
      <w:r>
        <w:rPr>
          <w:rFonts w:ascii="Arial" w:cs="Arial" w:eastAsia="Arial" w:hAnsi="Arial"/>
          <w:sz w:val="16"/>
          <w:szCs w:val="16"/>
          <w:color w:val="auto"/>
        </w:rPr>
        <w:t>”. Failing payment by the Company when due of any amount so guaranteed or any performance so guaranteed for whatever reason, the Subsidiary Guarantors shall be jointly and severally obligated to pay the same immediately. Each Subsidiary Guarantor agrees that this is a guarantee of payment and not a guarantee of collection.</w:t>
      </w:r>
    </w:p>
    <w:p>
      <w:pPr>
        <w:spacing w:after="0" w:line="196" w:lineRule="exact"/>
        <w:rPr>
          <w:rFonts w:ascii="Arial" w:cs="Arial" w:eastAsia="Arial" w:hAnsi="Arial"/>
          <w:sz w:val="16"/>
          <w:szCs w:val="16"/>
          <w:color w:val="auto"/>
        </w:rPr>
      </w:pPr>
    </w:p>
    <w:p>
      <w:pPr>
        <w:ind w:firstLine="1305"/>
        <w:spacing w:after="0" w:line="264" w:lineRule="auto"/>
        <w:tabs>
          <w:tab w:leader="none" w:pos="178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Subsidiary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Company, any action to enforce the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7" w:name="page58"/>
    <w:bookmarkEnd w:id="57"/>
    <w:p>
      <w:pPr>
        <w:spacing w:after="0" w:line="279" w:lineRule="auto"/>
        <w:rPr>
          <w:sz w:val="20"/>
          <w:szCs w:val="20"/>
          <w:color w:val="auto"/>
        </w:rPr>
      </w:pPr>
      <w:r>
        <w:rPr>
          <w:rFonts w:ascii="Arial" w:cs="Arial" w:eastAsia="Arial" w:hAnsi="Arial"/>
          <w:sz w:val="17"/>
          <w:szCs w:val="17"/>
          <w:color w:val="auto"/>
        </w:rPr>
        <w:t>same or any other circumstance which might otherwise constitute a legal or equitable discharge or defense of a guarantor. Each Subsidiary Guarantor hereby waives diligence, presentment, demand of payment, filing of claims with a court in the event of insolvency or bankruptcy of the Company, any right to require a proceeding first against the Company, protest, notice and all demands whatsoever and covenants that this Subsidiary Guarantee shall not be discharged except by complete performance of the obligations contained in the Notes and this Indenture, or pursuant to Section 10.06.</w:t>
      </w:r>
    </w:p>
    <w:p>
      <w:pPr>
        <w:spacing w:after="0" w:line="198" w:lineRule="exact"/>
        <w:rPr>
          <w:sz w:val="20"/>
          <w:szCs w:val="20"/>
          <w:color w:val="auto"/>
        </w:rPr>
      </w:pPr>
    </w:p>
    <w:p>
      <w:pPr>
        <w:ind w:right="400" w:firstLine="1305"/>
        <w:spacing w:after="0" w:line="308" w:lineRule="auto"/>
        <w:tabs>
          <w:tab w:leader="none" w:pos="1773"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of the Subsidiary Guarantors also agrees, jointly and severally, to pay any and all costs and expenses (including reasonable attorneys’ fees and expenses) Incurred by the Trustee or any Holder in enforcing any rights under this Section 10.01.</w:t>
      </w:r>
    </w:p>
    <w:p>
      <w:pPr>
        <w:spacing w:after="0" w:line="173" w:lineRule="exact"/>
        <w:rPr>
          <w:rFonts w:ascii="Arial" w:cs="Arial" w:eastAsia="Arial" w:hAnsi="Arial"/>
          <w:sz w:val="17"/>
          <w:szCs w:val="17"/>
          <w:color w:val="auto"/>
        </w:rPr>
      </w:pPr>
    </w:p>
    <w:p>
      <w:pPr>
        <w:ind w:right="100" w:firstLine="1305"/>
        <w:spacing w:after="0" w:line="264" w:lineRule="auto"/>
        <w:tabs>
          <w:tab w:leader="none" w:pos="17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Subsidiary Guarantors or any custodian, trustee, liquidator or other similar official acting in relation to the Company or the Subsidiary Guarantors, any amount paid either to the Trustee or such Holder, this Subsidiary Guarantee, to the extent theretofore discharged, shall be reinstated in full force and effect.</w:t>
      </w:r>
    </w:p>
    <w:p>
      <w:pPr>
        <w:spacing w:after="0" w:line="208" w:lineRule="exact"/>
        <w:rPr>
          <w:rFonts w:ascii="Arial" w:cs="Arial" w:eastAsia="Arial" w:hAnsi="Arial"/>
          <w:sz w:val="18"/>
          <w:szCs w:val="18"/>
          <w:color w:val="auto"/>
        </w:rPr>
      </w:pPr>
    </w:p>
    <w:p>
      <w:pPr>
        <w:ind w:right="100" w:firstLine="1305"/>
        <w:spacing w:after="0" w:line="271" w:lineRule="auto"/>
        <w:tabs>
          <w:tab w:leader="none" w:pos="1773"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Subsidiary Guarantor agrees that it shall not be entitled to any right of subrogation in relation to the Holders in respect of any obligations guaranteed hereby until payment in full of all obligations guaranteed hereby. Each Subsidiary Guarantor further agrees that, as between the Subsidiary Guarantors, on the one hand, and the Holders and the Trustee, on the other hand, (1) the maturity of the obligations guaranteed hereby may be accelerated as provided in Article 6 for the purposes of this Subsidiary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shall forthwith become due and payable by the Subsidiary Guarantors for the purpose of this Subsidiary Guarantee. The Subsidiary Guarantors shall have the right to seek contribution from any non-paying Subsidiary Guarantor so long as the exercise of such right does not impair the rights of the Holders under the Subsidiary Guarantees.</w:t>
      </w:r>
    </w:p>
    <w:p>
      <w:pPr>
        <w:spacing w:after="0" w:line="205" w:lineRule="exact"/>
        <w:rPr>
          <w:rFonts w:ascii="Arial" w:cs="Arial" w:eastAsia="Arial" w:hAnsi="Arial"/>
          <w:sz w:val="17"/>
          <w:szCs w:val="17"/>
          <w:color w:val="auto"/>
        </w:rPr>
      </w:pPr>
    </w:p>
    <w:p>
      <w:pPr>
        <w:ind w:right="80" w:firstLine="1305"/>
        <w:spacing w:after="0" w:line="254" w:lineRule="auto"/>
        <w:tabs>
          <w:tab w:leader="none" w:pos="175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Subsidiary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219" w:lineRule="exact"/>
        <w:rPr>
          <w:rFonts w:ascii="Arial" w:cs="Arial" w:eastAsia="Arial" w:hAnsi="Arial"/>
          <w:sz w:val="18"/>
          <w:szCs w:val="18"/>
          <w:color w:val="auto"/>
        </w:rPr>
      </w:pPr>
    </w:p>
    <w:p>
      <w:pPr>
        <w:ind w:right="180" w:firstLine="1305"/>
        <w:spacing w:after="0" w:line="277" w:lineRule="auto"/>
        <w:tabs>
          <w:tab w:leader="none" w:pos="17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case any provision of any Subsidiary Guarantee shall be invalid, illegal or unenforceable, the validity, legality and enforceability of the remaining provisions shall not in any way be affected or impaired thereby.</w:t>
      </w:r>
    </w:p>
    <w:p>
      <w:pPr>
        <w:spacing w:after="0" w:line="197" w:lineRule="exact"/>
        <w:rPr>
          <w:rFonts w:ascii="Arial" w:cs="Arial" w:eastAsia="Arial" w:hAnsi="Arial"/>
          <w:sz w:val="18"/>
          <w:szCs w:val="18"/>
          <w:color w:val="auto"/>
        </w:rPr>
      </w:pPr>
    </w:p>
    <w:p>
      <w:pPr>
        <w:ind w:right="900" w:firstLine="1305"/>
        <w:spacing w:after="0" w:line="277" w:lineRule="auto"/>
        <w:tabs>
          <w:tab w:leader="none" w:pos="17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payment to be made by a Subsidiary Guarantor in respect of its Subsidiary Guarantee shall be made without set-off, counterclaim, reduction or diminution of any kind or nature.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spacing w:after="0"/>
        <w:tabs>
          <w:tab w:leader="none" w:pos="12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u w:val="single" w:color="auto"/>
          <w:color w:val="auto"/>
        </w:rPr>
        <w:t>Limitation on Subsidiary Guarantor Liability</w:t>
      </w:r>
      <w:r>
        <w:rPr>
          <w:rFonts w:ascii="Arial" w:cs="Arial" w:eastAsia="Arial" w:hAnsi="Arial"/>
          <w:sz w:val="17"/>
          <w:szCs w:val="17"/>
          <w:color w:val="auto"/>
        </w:rPr>
        <w:t>.</w:t>
      </w:r>
    </w:p>
    <w:p>
      <w:pPr>
        <w:spacing w:after="0" w:line="252"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Each Subsidiary Guarantor, and by its acceptance of Notes, each Holder, hereby confirms that it is the intention of all such parties that the Subsidiary Guarantee of such Subsidiary Guarantor not constitute a fraudulent conveyance or a fraudulent transfer for purposes of Bankruptcy Law, the Uniform Fraudulent Conveyance Act, the Uniform Fraudulent Transfer Act or any similar federal or state law to the extent applicable to any Subsidiary Guarantee. To effectuate the foregoing intention, the Trustee, the Holders and the Subsidiary Guarantors hereby irrevocably agree that the obligations of each Subsidiary Guarantor shall be limited to the maximum amount as will, after giving effect to such maximum amount and all other contingent and fixed liabilities of such Subsidiary Guarantor that are relevant under such laws and after giving effect to any collections from, rights to receive contribution from or payments made by or on behalf of any other Subsidiary Guarantor in respect of the obligations of such other Subsidiary Guarantor under this Article 10, result in the obligations of such Subsidiary Guarantor under its Subsidiary Guarantee not constituting a fraudulent conveyance or fraudulent transfer under applicable law. Each Subsidiary Guarantor that makes a payment under its Subsidiary Guarantee will be entitled upon payment in full of all Guaranteed Obligations under this Indenture to a contribution from each other Subsidiary Guarantor in an amount equal to such other Subsidiary Guarantor’s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such payment based on the respective net assets of all the Subsidiary Guarantors at the time of such payment, determined in accordance with GAAP.</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Execution and Delivery</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77" w:lineRule="auto"/>
        <w:tabs>
          <w:tab w:leader="none" w:pos="177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evidence its Subsidiary Guarantee set forth in Section 10.01, each Subsidiary Guarantor hereby agrees that this Indenture shall be executed on behalf of such Subsidiary Guarantor by an Officer or person holding an equivalent title.</w:t>
      </w:r>
    </w:p>
    <w:p>
      <w:pPr>
        <w:spacing w:after="0" w:line="197" w:lineRule="exact"/>
        <w:rPr>
          <w:rFonts w:ascii="Arial" w:cs="Arial" w:eastAsia="Arial" w:hAnsi="Arial"/>
          <w:sz w:val="18"/>
          <w:szCs w:val="18"/>
          <w:color w:val="auto"/>
        </w:rPr>
      </w:pPr>
    </w:p>
    <w:p>
      <w:pPr>
        <w:ind w:right="60" w:firstLine="1305"/>
        <w:spacing w:after="0" w:line="277" w:lineRule="auto"/>
        <w:tabs>
          <w:tab w:leader="none" w:pos="17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Subsidiary Guarantor hereby agrees that its Subsidiary Guarantee set forth in Section 10.01 shall remain in full force and effect notwithstanding the absence of the endorsement of any notation of such Subsidiary Guarantee on the Notes.</w:t>
      </w:r>
    </w:p>
    <w:p>
      <w:pPr>
        <w:spacing w:after="0" w:line="197" w:lineRule="exact"/>
        <w:rPr>
          <w:rFonts w:ascii="Arial" w:cs="Arial" w:eastAsia="Arial" w:hAnsi="Arial"/>
          <w:sz w:val="18"/>
          <w:szCs w:val="18"/>
          <w:color w:val="auto"/>
        </w:rPr>
      </w:pPr>
    </w:p>
    <w:p>
      <w:pPr>
        <w:ind w:right="560" w:firstLine="1305"/>
        <w:spacing w:after="0" w:line="277" w:lineRule="auto"/>
        <w:tabs>
          <w:tab w:leader="none" w:pos="177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an Officer whose signature is on this Indenture no longer holds that office at the time the Trustee authenticates the Note, the Subsidiary Guarantees shall be valid nevertheless.</w:t>
      </w:r>
    </w:p>
    <w:p>
      <w:pPr>
        <w:spacing w:after="0" w:line="197" w:lineRule="exact"/>
        <w:rPr>
          <w:rFonts w:ascii="Arial" w:cs="Arial" w:eastAsia="Arial" w:hAnsi="Arial"/>
          <w:sz w:val="18"/>
          <w:szCs w:val="18"/>
          <w:color w:val="auto"/>
        </w:rPr>
      </w:pPr>
    </w:p>
    <w:p>
      <w:pPr>
        <w:ind w:right="300" w:firstLine="1305"/>
        <w:spacing w:after="0" w:line="277" w:lineRule="auto"/>
        <w:tabs>
          <w:tab w:leader="none" w:pos="17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delivery of any Note by the Trustee, after the authentication thereof hereunder, shall constitute due delivery of the Subsidiary Guarantee set forth in this Indenture on behalf of the Subsidiary Guarantors.</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Subrogation</w:t>
      </w:r>
      <w:r>
        <w:rPr>
          <w:rFonts w:ascii="Arial" w:cs="Arial" w:eastAsia="Arial" w:hAnsi="Arial"/>
          <w:sz w:val="16"/>
          <w:szCs w:val="16"/>
          <w:color w:val="auto"/>
        </w:rPr>
        <w:t>.</w:t>
      </w:r>
    </w:p>
    <w:p>
      <w:pPr>
        <w:spacing w:after="0" w:line="252"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Each Subsidiary Guarantor shall be subrogated to all rights of Holders against the Company in respect of any amounts paid by any Subsidiary Guarantor pursuant to the provisions of Section 10.01;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of Default has occurred and is continuing, no Subsidiary Guarantor shall be entitled to enforce or receive any payments arising out of, or based upon, such right of subrogation until all amounts then due and payable by the Company under this Indenture or the Notes shall have been paid in full.</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Benefits Acknowledged</w:t>
      </w:r>
      <w:r>
        <w:rPr>
          <w:rFonts w:ascii="Arial" w:cs="Arial" w:eastAsia="Arial" w:hAnsi="Arial"/>
          <w:sz w:val="16"/>
          <w:szCs w:val="16"/>
          <w:color w:val="auto"/>
        </w:rPr>
        <w:t>.</w:t>
      </w:r>
    </w:p>
    <w:p>
      <w:pPr>
        <w:spacing w:after="0" w:line="252"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Each Subsidiary Guarantor acknowledges that it will receive direct and indirect benefits from the financing arrangements contemplated by this Indenture and that the guarantee and waivers made by it pursuant to its Subsidiary Guarantee are knowingly made in contemplation of such benefits.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u w:val="single" w:color="auto"/>
          <w:color w:val="auto"/>
        </w:rPr>
        <w:t>Release of Subsidiary Guarantees</w:t>
      </w:r>
      <w:r>
        <w:rPr>
          <w:rFonts w:ascii="Arial" w:cs="Arial" w:eastAsia="Arial" w:hAnsi="Arial"/>
          <w:sz w:val="15"/>
          <w:szCs w:val="15"/>
          <w:color w:val="auto"/>
        </w:rPr>
        <w:t>.</w:t>
      </w:r>
    </w:p>
    <w:p>
      <w:pPr>
        <w:spacing w:after="0" w:line="252" w:lineRule="exact"/>
        <w:rPr>
          <w:sz w:val="20"/>
          <w:szCs w:val="20"/>
          <w:color w:val="auto"/>
        </w:rPr>
      </w:pPr>
    </w:p>
    <w:p>
      <w:pPr>
        <w:ind w:right="500" w:firstLine="1305"/>
        <w:spacing w:after="0" w:line="264" w:lineRule="auto"/>
        <w:tabs>
          <w:tab w:leader="none" w:pos="17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Subsidiary Guarantee by a Subsidiary Guarantor shall be automatically and unconditionally released and discharged, and no further action by such Subsidiary Guarantor, the Company or the Trustee shall be required for the release of such Subsidiary Guarantor’s Subsidiary Guarantee, upon:</w:t>
      </w:r>
    </w:p>
    <w:p>
      <w:pPr>
        <w:spacing w:after="0" w:line="208" w:lineRule="exact"/>
        <w:rPr>
          <w:sz w:val="20"/>
          <w:szCs w:val="20"/>
          <w:color w:val="auto"/>
        </w:rPr>
      </w:pPr>
    </w:p>
    <w:p>
      <w:pPr>
        <w:ind w:left="660" w:right="280" w:firstLine="645"/>
        <w:spacing w:after="0" w:line="264" w:lineRule="auto"/>
        <w:tabs>
          <w:tab w:leader="none" w:pos="1795"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(a) the sale or other disposition of all of the Capital Stock or all or substantially all of the assets of such Subsidiary Guarantor, including by way of merger or consolidation, to a Person that is not (either before or after giving effect to such transaction) the Company or a Subsidiary, so long as such sale or other disposition does not violate Section 5.01 hereof;</w:t>
      </w:r>
    </w:p>
    <w:p>
      <w:pPr>
        <w:spacing w:after="0" w:line="208" w:lineRule="exact"/>
        <w:rPr>
          <w:rFonts w:ascii="Arial" w:cs="Arial" w:eastAsia="Arial" w:hAnsi="Arial"/>
          <w:sz w:val="18"/>
          <w:szCs w:val="18"/>
          <w:color w:val="010000"/>
        </w:rPr>
      </w:pPr>
    </w:p>
    <w:p>
      <w:pPr>
        <w:ind w:left="1300" w:right="80" w:firstLine="653"/>
        <w:spacing w:after="0" w:line="276" w:lineRule="auto"/>
        <w:tabs>
          <w:tab w:leader="none" w:pos="2435" w:val="left"/>
        </w:tabs>
        <w:numPr>
          <w:ilvl w:val="1"/>
          <w:numId w:val="95"/>
        </w:numPr>
        <w:rPr>
          <w:rFonts w:ascii="Arial" w:cs="Arial" w:eastAsia="Arial" w:hAnsi="Arial"/>
          <w:sz w:val="17"/>
          <w:szCs w:val="17"/>
          <w:color w:val="010000"/>
        </w:rPr>
      </w:pPr>
      <w:r>
        <w:rPr>
          <w:rFonts w:ascii="Arial" w:cs="Arial" w:eastAsia="Arial" w:hAnsi="Arial"/>
          <w:sz w:val="17"/>
          <w:szCs w:val="17"/>
          <w:color w:val="auto"/>
        </w:rPr>
        <w:t xml:space="preserve">such Subsidiary Guarantor ceasing to be a guarantor or other obligor of Indebtedness under the Credit Agreement and any Material Indebtedness to which it is a party, other than a release or discharge through payment thereon;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any time following such release, such Subsidiary Guarantor subsequently guarantees or otherwise becomes an obligor with respect to any Indebtedness of the Company under the Credit Agreement or any Material Indebtedness, then that Subsidiary Guarantor will be required to provide a Subsidiary Guarantee in accordance Article 10 hereof; or</w:t>
      </w:r>
    </w:p>
    <w:p>
      <w:pPr>
        <w:spacing w:after="0" w:line="199" w:lineRule="exact"/>
        <w:rPr>
          <w:rFonts w:ascii="Arial" w:cs="Arial" w:eastAsia="Arial" w:hAnsi="Arial"/>
          <w:sz w:val="17"/>
          <w:szCs w:val="17"/>
          <w:color w:val="010000"/>
        </w:rPr>
      </w:pPr>
    </w:p>
    <w:p>
      <w:pPr>
        <w:ind w:left="1300" w:right="60" w:firstLine="653"/>
        <w:spacing w:after="0" w:line="277" w:lineRule="auto"/>
        <w:tabs>
          <w:tab w:leader="none" w:pos="2425" w:val="left"/>
        </w:tabs>
        <w:numPr>
          <w:ilvl w:val="1"/>
          <w:numId w:val="95"/>
        </w:numPr>
        <w:rPr>
          <w:rFonts w:ascii="Arial" w:cs="Arial" w:eastAsia="Arial" w:hAnsi="Arial"/>
          <w:sz w:val="18"/>
          <w:szCs w:val="18"/>
          <w:color w:val="010000"/>
        </w:rPr>
      </w:pPr>
      <w:r>
        <w:rPr>
          <w:rFonts w:ascii="Arial" w:cs="Arial" w:eastAsia="Arial" w:hAnsi="Arial"/>
          <w:sz w:val="18"/>
          <w:szCs w:val="18"/>
          <w:color w:val="auto"/>
        </w:rPr>
        <w:t>the Company exercising its legal defeasance option or its covenant defeasance option with respect to the Notes as described in Article 8 hereof;</w:t>
      </w:r>
    </w:p>
    <w:p>
      <w:pPr>
        <w:spacing w:after="0" w:line="197" w:lineRule="exact"/>
        <w:rPr>
          <w:rFonts w:ascii="Arial" w:cs="Arial" w:eastAsia="Arial" w:hAnsi="Arial"/>
          <w:sz w:val="18"/>
          <w:szCs w:val="18"/>
          <w:color w:val="010000"/>
        </w:rPr>
      </w:pPr>
    </w:p>
    <w:p>
      <w:pPr>
        <w:ind w:left="2440" w:hanging="487"/>
        <w:spacing w:after="0"/>
        <w:tabs>
          <w:tab w:leader="none" w:pos="2440" w:val="left"/>
        </w:tabs>
        <w:numPr>
          <w:ilvl w:val="1"/>
          <w:numId w:val="95"/>
        </w:numPr>
        <w:rPr>
          <w:rFonts w:ascii="Arial" w:cs="Arial" w:eastAsia="Arial" w:hAnsi="Arial"/>
          <w:sz w:val="18"/>
          <w:szCs w:val="18"/>
          <w:color w:val="010000"/>
        </w:rPr>
      </w:pPr>
      <w:r>
        <w:rPr>
          <w:rFonts w:ascii="Arial" w:cs="Arial" w:eastAsia="Arial" w:hAnsi="Arial"/>
          <w:sz w:val="18"/>
          <w:szCs w:val="18"/>
          <w:color w:val="auto"/>
        </w:rPr>
        <w:t>satisfaction and discharge of the Notes as provided in Article 11 hereof; and</w:t>
      </w:r>
    </w:p>
    <w:p>
      <w:pPr>
        <w:spacing w:after="0" w:line="252" w:lineRule="exact"/>
        <w:rPr>
          <w:rFonts w:ascii="Arial" w:cs="Arial" w:eastAsia="Arial" w:hAnsi="Arial"/>
          <w:sz w:val="18"/>
          <w:szCs w:val="18"/>
          <w:color w:val="010000"/>
        </w:rPr>
      </w:pPr>
    </w:p>
    <w:p>
      <w:pPr>
        <w:ind w:left="660" w:right="460" w:firstLine="645"/>
        <w:spacing w:after="0" w:line="277" w:lineRule="auto"/>
        <w:tabs>
          <w:tab w:leader="none" w:pos="1795"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the Company and such Subsidiary Guarantor delivering to the Trustee an Officer’s Certificate and an Opinion of Counsel, each stating that all conditions provided for in the Indenture relating to such transaction have been complied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Satisfaction and Discharge</w:t>
      </w:r>
      <w:r>
        <w:rPr>
          <w:rFonts w:ascii="Arial" w:cs="Arial" w:eastAsia="Arial" w:hAnsi="Arial"/>
          <w:sz w:val="16"/>
          <w:szCs w:val="16"/>
          <w:color w:val="auto"/>
        </w:rPr>
        <w:t>.</w:t>
      </w:r>
    </w:p>
    <w:p>
      <w:pPr>
        <w:spacing w:after="0" w:line="252" w:lineRule="exact"/>
        <w:rPr>
          <w:sz w:val="20"/>
          <w:szCs w:val="20"/>
          <w:color w:val="auto"/>
        </w:rPr>
      </w:pPr>
    </w:p>
    <w:p>
      <w:pPr>
        <w:ind w:left="1780" w:hanging="475"/>
        <w:spacing w:after="0"/>
        <w:tabs>
          <w:tab w:leader="none" w:pos="1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Indenture will be discharged, and will cease to be of further effect as to all Notes, when either:</w:t>
      </w:r>
    </w:p>
    <w:p>
      <w:pPr>
        <w:spacing w:after="0" w:line="252" w:lineRule="exact"/>
        <w:rPr>
          <w:sz w:val="20"/>
          <w:szCs w:val="20"/>
          <w:color w:val="auto"/>
        </w:rPr>
      </w:pPr>
    </w:p>
    <w:p>
      <w:pPr>
        <w:ind w:left="660" w:firstLine="645"/>
        <w:spacing w:after="0" w:line="277" w:lineRule="auto"/>
        <w:tabs>
          <w:tab w:leader="none" w:pos="1795"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all Notes that have been authenticated and delivered (except lost, stolen or destroyed Notes that have been replaced or paid and Notes for whose payment money has been deposited in trust) have been delivered to the Trustee for cancellation; or</w:t>
      </w:r>
    </w:p>
    <w:p>
      <w:pPr>
        <w:spacing w:after="0" w:line="197" w:lineRule="exact"/>
        <w:rPr>
          <w:rFonts w:ascii="Arial" w:cs="Arial" w:eastAsia="Arial" w:hAnsi="Arial"/>
          <w:sz w:val="18"/>
          <w:szCs w:val="18"/>
          <w:color w:val="010000"/>
        </w:rPr>
      </w:pPr>
    </w:p>
    <w:p>
      <w:pPr>
        <w:ind w:left="660" w:right="140" w:firstLine="645"/>
        <w:spacing w:after="0" w:line="276" w:lineRule="auto"/>
        <w:tabs>
          <w:tab w:leader="none" w:pos="1795"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(A) all Notes not theretofore delivered to the Trustee for cancellation have become due and payable by reason of the giving of a notice of redemption or otherwise, will become due and payable within one year or are to be called for redemption within one year under arrangements satisfactory to the Trustee for the giving of notice of redemption by the Trustee in the name, and at the expense, of the Company, and the Company or any Subsidiary Guarantor has irrevocably deposited or caused to be deposited with the Trustee, as trust funds in trust solely for the benefit of the Holders, cash in U.S. dollars, U.S. Government Obligations, or a combination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0" w:name="page61"/>
    <w:bookmarkEnd w:id="60"/>
    <w:p>
      <w:pPr>
        <w:ind w:left="660" w:right="20"/>
        <w:spacing w:after="0" w:line="264" w:lineRule="auto"/>
        <w:rPr>
          <w:sz w:val="20"/>
          <w:szCs w:val="20"/>
          <w:color w:val="auto"/>
        </w:rPr>
      </w:pPr>
      <w:r>
        <w:rPr>
          <w:rFonts w:ascii="Arial" w:cs="Arial" w:eastAsia="Arial" w:hAnsi="Arial"/>
          <w:sz w:val="18"/>
          <w:szCs w:val="18"/>
          <w:color w:val="auto"/>
        </w:rPr>
        <w:t>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 as the case may be;</w:t>
      </w:r>
    </w:p>
    <w:p>
      <w:pPr>
        <w:spacing w:after="0" w:line="208" w:lineRule="exact"/>
        <w:rPr>
          <w:sz w:val="20"/>
          <w:szCs w:val="20"/>
          <w:color w:val="auto"/>
        </w:rPr>
      </w:pPr>
    </w:p>
    <w:p>
      <w:pPr>
        <w:ind w:left="2480" w:hanging="527"/>
        <w:spacing w:after="0"/>
        <w:tabs>
          <w:tab w:leader="none" w:pos="2480" w:val="left"/>
        </w:tabs>
        <w:numPr>
          <w:ilvl w:val="2"/>
          <w:numId w:val="98"/>
        </w:numPr>
        <w:rPr>
          <w:rFonts w:ascii="Arial" w:cs="Arial" w:eastAsia="Arial" w:hAnsi="Arial"/>
          <w:sz w:val="16"/>
          <w:szCs w:val="16"/>
          <w:color w:val="010000"/>
        </w:rPr>
      </w:pPr>
      <w:r>
        <w:rPr>
          <w:rFonts w:ascii="Arial" w:cs="Arial" w:eastAsia="Arial" w:hAnsi="Arial"/>
          <w:sz w:val="16"/>
          <w:szCs w:val="16"/>
          <w:color w:val="auto"/>
        </w:rPr>
        <w:t>the Company or any Subsidiary Guarantor has paid or caused to be paid all sums payable by the Company under this</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Indenture; and</w:t>
      </w:r>
    </w:p>
    <w:p>
      <w:pPr>
        <w:spacing w:after="0" w:line="237" w:lineRule="exact"/>
        <w:rPr>
          <w:rFonts w:ascii="Arial" w:cs="Arial" w:eastAsia="Arial" w:hAnsi="Arial"/>
          <w:sz w:val="16"/>
          <w:szCs w:val="16"/>
          <w:color w:val="010000"/>
        </w:rPr>
      </w:pPr>
    </w:p>
    <w:p>
      <w:pPr>
        <w:ind w:left="1300" w:firstLine="653"/>
        <w:spacing w:after="0" w:line="277" w:lineRule="auto"/>
        <w:tabs>
          <w:tab w:leader="none" w:pos="2465"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the Company has delivered irrevocable instructions to the Trustee to apply the deposited money toward the payment of the Notes at maturity or the redemption date, as the case may be.</w:t>
      </w:r>
    </w:p>
    <w:p>
      <w:pPr>
        <w:spacing w:after="0" w:line="197" w:lineRule="exact"/>
        <w:rPr>
          <w:rFonts w:ascii="Arial" w:cs="Arial" w:eastAsia="Arial" w:hAnsi="Arial"/>
          <w:sz w:val="18"/>
          <w:szCs w:val="18"/>
          <w:color w:val="010000"/>
        </w:rPr>
      </w:pPr>
    </w:p>
    <w:p>
      <w:pPr>
        <w:ind w:firstLine="1305"/>
        <w:spacing w:after="0" w:line="288" w:lineRule="auto"/>
        <w:tabs>
          <w:tab w:leader="none" w:pos="1784"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addition, the Company shall deliver to the Trustee an Officer’s Certificate and an Opinion of Counsel (which Opinion of Counsel may be subject to customary assumptions and exclusions) each stating that all conditions precedent to satisfaction and discharge have been satisfied. Notwithstanding the satisfaction and discharge of this Indenture, if money shall have been deposited with the Trustee pursuant to subclause (A) of clause</w:t>
      </w: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 Section 11.01(a), the provisions of Section 11.02 and Section 8.06 shall survive.</w:t>
      </w:r>
    </w:p>
    <w:p>
      <w:pPr>
        <w:spacing w:after="0" w:line="2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52" w:lineRule="exact"/>
        <w:rPr>
          <w:sz w:val="20"/>
          <w:szCs w:val="20"/>
          <w:color w:val="auto"/>
        </w:rPr>
      </w:pPr>
    </w:p>
    <w:p>
      <w:pPr>
        <w:ind w:right="160" w:firstLine="1305"/>
        <w:spacing w:after="0" w:line="257" w:lineRule="auto"/>
        <w:tabs>
          <w:tab w:leader="none" w:pos="17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the provisions of Section 8.06,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215" w:lineRule="exact"/>
        <w:rPr>
          <w:rFonts w:ascii="Arial" w:cs="Arial" w:eastAsia="Arial" w:hAnsi="Arial"/>
          <w:sz w:val="18"/>
          <w:szCs w:val="18"/>
          <w:color w:val="auto"/>
        </w:rPr>
      </w:pPr>
    </w:p>
    <w:p>
      <w:pPr>
        <w:ind w:right="80" w:firstLine="1305"/>
        <w:spacing w:after="0" w:line="293" w:lineRule="auto"/>
        <w:tabs>
          <w:tab w:leader="none" w:pos="178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the Trustee or Paying Agent is unable to apply any money or U.S. Government Obligations in accordance with Section 11.01 by reason of any legal proceeding or by reason of any order or judgment of any court or governmental authority enjoining, restraining or otherwise prohibiting such application, the Company’s and any Subsidiary Guarantor’s obligations under this Indenture, the Notes and the Subsidiary Guarantees shall be revived and reinstated as though no deposit had occurred pursuant to Section 11.01;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principal, premium, if any, or interest on any Notes because of the reinstatement of its obligations, the Company shall be subrogated to the rights of the Holders of such Notes to receive such payment from the money or U.S. Government Obligations held by the Trustee or Paying Agent, as the case may be.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12</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52" w:lineRule="exact"/>
        <w:rPr>
          <w:sz w:val="20"/>
          <w:szCs w:val="20"/>
          <w:color w:val="auto"/>
        </w:rPr>
      </w:pPr>
    </w:p>
    <w:p>
      <w:pPr>
        <w:ind w:right="40" w:firstLine="1305"/>
        <w:spacing w:after="0" w:line="264" w:lineRule="auto"/>
        <w:tabs>
          <w:tab w:leader="none" w:pos="17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notice or communication to the Company, any Subsidiary Guarantor or the Trustee is duly given if in writing and (1) delivered in person, (2) mailed by first-class mail (certified or registered, return receipt requested), postage prepaid, or overnight air courier guaranteeing next day delivery or (3) sent by facsimile or electronic transmission, to its address:</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61" w:name="page62"/>
    <w:bookmarkEnd w:id="61"/>
    <w:p>
      <w:pPr>
        <w:ind w:left="1300"/>
        <w:spacing w:after="0"/>
        <w:rPr>
          <w:sz w:val="20"/>
          <w:szCs w:val="20"/>
          <w:color w:val="auto"/>
        </w:rPr>
      </w:pPr>
      <w:r>
        <w:rPr>
          <w:rFonts w:ascii="Arial" w:cs="Arial" w:eastAsia="Arial" w:hAnsi="Arial"/>
          <w:sz w:val="18"/>
          <w:szCs w:val="18"/>
          <w:color w:val="auto"/>
        </w:rPr>
        <w:t>if to the Company or any Subsidiary Guarantor: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Graham Holdings Company</w:t>
      </w:r>
    </w:p>
    <w:p>
      <w:pPr>
        <w:ind w:left="1300"/>
        <w:spacing w:after="0" w:line="186" w:lineRule="auto"/>
        <w:rPr>
          <w:sz w:val="20"/>
          <w:szCs w:val="20"/>
          <w:color w:val="auto"/>
        </w:rPr>
      </w:pPr>
      <w:r>
        <w:rPr>
          <w:rFonts w:ascii="Arial" w:cs="Arial" w:eastAsia="Arial" w:hAnsi="Arial"/>
          <w:sz w:val="17"/>
          <w:szCs w:val="17"/>
          <w:color w:val="auto"/>
        </w:rPr>
        <w:t>1300 North 17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17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Arlington, VA 22209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(703) 345-6545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Nicole.Maddrey@ghco.com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Nicole M. Maddrey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ind w:left="1300"/>
        <w:spacing w:after="0" w:line="184" w:lineRule="auto"/>
        <w:rPr>
          <w:sz w:val="20"/>
          <w:szCs w:val="20"/>
          <w:color w:val="auto"/>
        </w:rPr>
      </w:pPr>
      <w:r>
        <w:rPr>
          <w:rFonts w:ascii="Arial" w:cs="Arial" w:eastAsia="Arial" w:hAnsi="Arial"/>
          <w:sz w:val="16"/>
          <w:szCs w:val="16"/>
          <w:color w:val="auto"/>
        </w:rPr>
        <w:t>825 8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New York, NY 10019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474-3700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ndorsey@cravath.com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Nicholas A. Dorsey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North LaSalle Street, Suite 700, Chicago, IL 60602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(312) 827-8542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Trust Administrator</w:t>
      </w:r>
    </w:p>
    <w:p>
      <w:pPr>
        <w:spacing w:after="0" w:line="238"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The Company, any Subsidiary Guarantor or the Trustee, by like notice, may designate additional or different addresses for subsequent notices or communications.</w:t>
      </w:r>
    </w:p>
    <w:p>
      <w:pPr>
        <w:spacing w:after="0" w:line="197" w:lineRule="exact"/>
        <w:rPr>
          <w:sz w:val="20"/>
          <w:szCs w:val="20"/>
          <w:color w:val="auto"/>
        </w:rPr>
      </w:pPr>
    </w:p>
    <w:p>
      <w:pPr>
        <w:ind w:firstLine="1305"/>
        <w:spacing w:after="0" w:line="257" w:lineRule="auto"/>
        <w:tabs>
          <w:tab w:leader="none" w:pos="17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215" w:lineRule="exact"/>
        <w:rPr>
          <w:rFonts w:ascii="Arial" w:cs="Arial" w:eastAsia="Arial" w:hAnsi="Arial"/>
          <w:sz w:val="18"/>
          <w:szCs w:val="18"/>
          <w:color w:val="auto"/>
        </w:rPr>
      </w:pPr>
    </w:p>
    <w:p>
      <w:pPr>
        <w:ind w:firstLine="1305"/>
        <w:spacing w:after="0" w:line="259" w:lineRule="auto"/>
        <w:tabs>
          <w:tab w:leader="none" w:pos="17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Section 12.01(e), any notice or communication to a Holder shall be mailed by first-class mail (certified or registered, return receipt requested) or by overnight air courier guaranteeing next day delivery to its address shown on the Note Register or by such other delivery system as the Trustee agrees to accept. Failure to mail a notice or communication to a Holder or any defect in it shall not affect its sufficiency with respect to other Holders.</w:t>
      </w:r>
    </w:p>
    <w:p>
      <w:pPr>
        <w:spacing w:after="0" w:line="213" w:lineRule="exact"/>
        <w:rPr>
          <w:rFonts w:ascii="Arial" w:cs="Arial" w:eastAsia="Arial" w:hAnsi="Arial"/>
          <w:sz w:val="18"/>
          <w:szCs w:val="18"/>
          <w:color w:val="auto"/>
        </w:rPr>
      </w:pPr>
    </w:p>
    <w:p>
      <w:pPr>
        <w:ind w:right="100" w:firstLine="1305"/>
        <w:spacing w:after="0" w:line="264" w:lineRule="auto"/>
        <w:tabs>
          <w:tab w:leader="none" w:pos="17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08" w:lineRule="exact"/>
        <w:rPr>
          <w:rFonts w:ascii="Arial" w:cs="Arial" w:eastAsia="Arial" w:hAnsi="Arial"/>
          <w:sz w:val="18"/>
          <w:szCs w:val="18"/>
          <w:color w:val="auto"/>
        </w:rPr>
      </w:pPr>
    </w:p>
    <w:p>
      <w:pPr>
        <w:ind w:right="60" w:firstLine="1305"/>
        <w:spacing w:after="0" w:line="264" w:lineRule="auto"/>
        <w:tabs>
          <w:tab w:leader="none" w:pos="17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 other provision herein, where this Indenture provides for notice of any event to any Holder of an interest in a Global Note (whether by mail or otherwise), such notice shall be sufficiently given if given to the Depositary for such Note (or its designee), according to the applicable procedures of such Depositary, if any, prescribed for the giving of such notice.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2" w:name="page63"/>
    <w:bookmarkEnd w:id="62"/>
    <w:p>
      <w:pPr>
        <w:ind w:right="20" w:firstLine="1305"/>
        <w:spacing w:after="0" w:line="288" w:lineRule="auto"/>
        <w:tabs>
          <w:tab w:leader="none" w:pos="175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shall have the right, but shall not be required, to rely upon and comply with notices, instructions, directions or other communications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or directions on behalf of the Company; and the Trustee shall have no liability for any losses, liabilities, costs or expenses incurred or sustained by the Company as a result of such reliance upon or compliance with such notices, instructions, directions or other communications. The Company agrees to assume all risks arising out of the use of such electronic methods to submit notices, instructions, directions or other communications to the Trustee, including without limitation the risk of the Trustee acting on unauthorized instructions, and the risk of interception and misuse by third parties. The Company shall use all reasonable endeavors to ensure that any such notices, instructions, directions or other communications transmitted to the Trustee pursuant to this Indenture are complete and correct. Any such notices, instructions, directions or other communications shall be conclusively deemed to be valid instructions from the Company to the Trustee for the purposes of this Indenture.</w:t>
      </w:r>
    </w:p>
    <w:p>
      <w:pPr>
        <w:spacing w:after="0" w:line="196" w:lineRule="exact"/>
        <w:rPr>
          <w:rFonts w:ascii="Arial" w:cs="Arial" w:eastAsia="Arial" w:hAnsi="Arial"/>
          <w:sz w:val="16"/>
          <w:szCs w:val="16"/>
          <w:color w:val="auto"/>
        </w:rPr>
      </w:pPr>
    </w:p>
    <w:p>
      <w:pPr>
        <w:ind w:left="1800" w:hanging="495"/>
        <w:spacing w:after="0"/>
        <w:tabs>
          <w:tab w:leader="none" w:pos="18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a notice or communication is sent in the manner provided above within the time prescribed, it is duly given, whether or not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addressee receives it.</w:t>
      </w:r>
    </w:p>
    <w:p>
      <w:pPr>
        <w:spacing w:after="0" w:line="237" w:lineRule="exact"/>
        <w:rPr>
          <w:rFonts w:ascii="Arial" w:cs="Arial" w:eastAsia="Arial" w:hAnsi="Arial"/>
          <w:sz w:val="17"/>
          <w:szCs w:val="17"/>
          <w:color w:val="auto"/>
        </w:rPr>
      </w:pPr>
    </w:p>
    <w:p>
      <w:pPr>
        <w:ind w:right="360" w:firstLine="1305"/>
        <w:spacing w:after="0" w:line="532" w:lineRule="auto"/>
        <w:tabs>
          <w:tab w:leader="none" w:pos="17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the Company mails a notice or communication to Holders, it shall mail a copy to the Trustee and each Agent at the same time. Section 12.02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or any Subsidiary Guarantor to the Trustee to take any action under this Indenture,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such Subsidiary Guarantor, as the case may be, shall furnish to the Trustee:</w:t>
      </w:r>
    </w:p>
    <w:p>
      <w:pPr>
        <w:spacing w:after="0" w:line="238" w:lineRule="exact"/>
        <w:rPr>
          <w:sz w:val="20"/>
          <w:szCs w:val="20"/>
          <w:color w:val="auto"/>
        </w:rPr>
      </w:pPr>
    </w:p>
    <w:p>
      <w:pPr>
        <w:ind w:left="660" w:firstLine="645"/>
        <w:spacing w:after="0" w:line="264" w:lineRule="auto"/>
        <w:tabs>
          <w:tab w:leader="none" w:pos="1795"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an Officer’s Certificate in form and substance reasonably satisfactory to the Trustee (which shall include the statements set forth in Section 12.03) stating that, in the opinion of the signer(s), all conditions precedent and covenants, if any, provided for in this Indenture relating to the proposed action have been complied with; and</w:t>
      </w:r>
    </w:p>
    <w:p>
      <w:pPr>
        <w:spacing w:after="0" w:line="208" w:lineRule="exact"/>
        <w:rPr>
          <w:rFonts w:ascii="Arial" w:cs="Arial" w:eastAsia="Arial" w:hAnsi="Arial"/>
          <w:sz w:val="18"/>
          <w:szCs w:val="18"/>
          <w:color w:val="010000"/>
        </w:rPr>
      </w:pPr>
    </w:p>
    <w:p>
      <w:pPr>
        <w:ind w:left="660" w:right="220" w:firstLine="645"/>
        <w:spacing w:after="0" w:line="257" w:lineRule="auto"/>
        <w:tabs>
          <w:tab w:leader="none" w:pos="1795"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 xml:space="preserve">an Opinion of Counsel in form and substance reasonably satisfactory to the Trustee (which shall include the statements set forth in Section 12.03) stating that, in the opinion of such counsel, all such conditions precedent and covenants have been complied 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5.01(c), no Opinion of Counsel shall be required in connection with the addition of a Subsidiary Guarantor under this Indenture upon execution and delivery by such Subsidiary Guarantor and the Trustee of a supplemental indenture to this Indenture, the form of which is attached as Exhibit C.</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shall include:</w:t>
      </w:r>
    </w:p>
    <w:p>
      <w:pPr>
        <w:spacing w:after="0" w:line="252" w:lineRule="exact"/>
        <w:rPr>
          <w:sz w:val="20"/>
          <w:szCs w:val="20"/>
          <w:color w:val="auto"/>
        </w:rPr>
      </w:pPr>
    </w:p>
    <w:p>
      <w:pPr>
        <w:ind w:left="1800" w:hanging="495"/>
        <w:spacing w:after="0"/>
        <w:tabs>
          <w:tab w:leader="none" w:pos="1800"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a statement that the Person making such certificate or opinion has read such covenant or condition;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3" w:name="page64"/>
    <w:bookmarkEnd w:id="63"/>
    <w:p>
      <w:pPr>
        <w:ind w:left="660" w:right="220" w:firstLine="645"/>
        <w:spacing w:after="0" w:line="277" w:lineRule="auto"/>
        <w:tabs>
          <w:tab w:leader="none" w:pos="1795"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97" w:lineRule="exact"/>
        <w:rPr>
          <w:rFonts w:ascii="Arial" w:cs="Arial" w:eastAsia="Arial" w:hAnsi="Arial"/>
          <w:sz w:val="18"/>
          <w:szCs w:val="18"/>
          <w:color w:val="010000"/>
        </w:rPr>
      </w:pPr>
    </w:p>
    <w:p>
      <w:pPr>
        <w:ind w:left="660" w:right="40" w:firstLine="645"/>
        <w:spacing w:after="0" w:line="264" w:lineRule="auto"/>
        <w:tabs>
          <w:tab w:leader="none" w:pos="1795"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208" w:lineRule="exact"/>
        <w:rPr>
          <w:rFonts w:ascii="Arial" w:cs="Arial" w:eastAsia="Arial" w:hAnsi="Arial"/>
          <w:sz w:val="18"/>
          <w:szCs w:val="18"/>
          <w:color w:val="010000"/>
        </w:rPr>
      </w:pPr>
    </w:p>
    <w:p>
      <w:pPr>
        <w:ind w:left="1800" w:hanging="495"/>
        <w:spacing w:after="0"/>
        <w:tabs>
          <w:tab w:leader="none" w:pos="18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a statement as to whether or not, in the opinion of such Person, such condition or covenant has been complied with.</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5"/>
          <w:szCs w:val="15"/>
          <w:u w:val="single" w:color="auto"/>
          <w:color w:val="auto"/>
        </w:rPr>
        <w:t>Rules by Trustee and Agents</w:t>
      </w:r>
      <w:r>
        <w:rPr>
          <w:rFonts w:ascii="Arial" w:cs="Arial" w:eastAsia="Arial" w:hAnsi="Arial"/>
          <w:sz w:val="15"/>
          <w:szCs w:val="15"/>
          <w:color w:val="auto"/>
        </w:rPr>
        <w: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u w:val="single" w:color="auto"/>
          <w:color w:val="auto"/>
        </w:rPr>
        <w:t>No Personal Liability of Directors, Officers, Employees, Members, Partners and Stockholders</w:t>
      </w:r>
      <w:r>
        <w:rPr>
          <w:rFonts w:ascii="Arial" w:cs="Arial" w:eastAsia="Arial" w:hAnsi="Arial"/>
          <w:sz w:val="16"/>
          <w:szCs w:val="16"/>
          <w:color w:val="auto"/>
        </w:rPr>
        <w:t>.</w:t>
      </w:r>
    </w:p>
    <w:p>
      <w:pPr>
        <w:spacing w:after="0" w:line="252"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No past, present or future director, officer, employee, incorporator, member, partner or stockholder of the Company or any Subsidiary Guarantor, as such, shall have any liability for any obligations of the Company or any Subsidiary Guarantor under the Notes, the Subsidiary Guarantees or this Indenture or for any claim based on, in respect of, or by reason of, such obligations or their creation.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Holder by accepting a Note waives and releases all such liability. The waiver and release are part of the consideration for issuance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THIS INDENTURE, THE NOTES AND ANY SUBSIDIARY GUARANTEE WILL BE GOVERNED BY, AND CONSTRUED IN ACCORDANCE WITH, THE LAWS OF THE STATE OF NEW YORK. THE COMPANY AND THE SUBSIDIARY GUARANTORS HEREBY SUBMIT TO THE JURISDICTION OF THE COURTS OF THE STATE OF NEW YORK SITTING IN THE BOROUGH OF MANHATTAN, THE CITY OF NEW YORK, AND OF THE UNITED STATES DISTRICT COURT FOR THE SOUTHERN DISTRICT OF NEW YORK, IN ANY ACTION OR PROCEEDING TO ENFORCE ANY OF THEIR OBLIGATIONS UNDER THIS INDENTURE OR WITH REGARD TO THE NOTES, AND AGREE NOT TO SEEK A TRANSFER OF ANY SUCH ACTION OR PROCEEDING ON THE BASIS OF INCONVENIENCE OF THE FORUM OR OTHERWISE (BUT THE COMPANY AND THE SUBSIDIARY GUARANTORS WILL NOT BE PREVENTED FROM REMOVING ANY SUCH ACTION OR PROCEEDING FROM A STATE COURT TO THE UNITED STATES DISTRICT COURT FOR THE SOUTHERN DISTRICT OF NEW YORK). THE COMPANY AND THE SUBSIDIARY GUARANTORS AGREE THAT PROCESS IN ANY SUCH ACTION OR PROCEEDING MAY BE SERVED UPON THEM BY REGISTERED MAIL OR IN ANY OTHER MANNER PERMITTED BY THE RULES OF THE COURT IN WHICH THE ACTION OR PROCEEDING IS BROUGHT.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EACH OF THE COMPANY, THE SUBSIDIARY GUARANTORS AND THE TRUSTEE HEREBY IRREVOCABLY WAIVES, TO THE FULLEST EXTENT PERMITTED BY APPLICABLE LAW, ANY AND ALL RIGHT TO TRIAL BY JURY IN ANY LEGAL PROCEEDING ARISING OUT OF OR RELATING TO THIS INDENTURE, THE NOTES, THE SUBSIDIARY GUARANTEES OR THE TRANSACTIONS CONTEMPLATED HEREBY.</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52"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52"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in this Indenture shall bind its successors. All agreements of each Subsidiary Guarantor in this Indenture shall bind its successors, except as otherwise provided in Section 10.06.</w:t>
      </w:r>
    </w:p>
    <w:p>
      <w:pPr>
        <w:spacing w:after="0" w:line="2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parties may sign any number of copies of this Indenture. Each signed copy shall be an original, but all of them together represent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agreement.</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u w:val="single" w:color="auto"/>
          <w:color w:val="auto"/>
        </w:rPr>
        <w:t>Table of Contents, Headings, etc.</w:t>
      </w:r>
    </w:p>
    <w:p>
      <w:pPr>
        <w:spacing w:after="0" w:line="252"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Facsimile and PDF Delivery of Signature Pages</w:t>
      </w:r>
      <w:r>
        <w:rPr>
          <w:rFonts w:ascii="Arial" w:cs="Arial" w:eastAsia="Arial" w:hAnsi="Arial"/>
          <w:sz w:val="16"/>
          <w:szCs w:val="16"/>
          <w:color w:val="auto"/>
        </w:rPr>
        <w:t>.</w:t>
      </w:r>
    </w:p>
    <w:p>
      <w:pPr>
        <w:spacing w:after="0" w:line="252" w:lineRule="exact"/>
        <w:rPr>
          <w:sz w:val="20"/>
          <w:szCs w:val="20"/>
          <w:color w:val="auto"/>
        </w:rPr>
      </w:pPr>
    </w:p>
    <w:p>
      <w:pPr>
        <w:ind w:right="440" w:firstLine="1297"/>
        <w:spacing w:after="0" w:line="286" w:lineRule="auto"/>
        <w:rPr>
          <w:sz w:val="20"/>
          <w:szCs w:val="20"/>
          <w:color w:val="auto"/>
        </w:rPr>
      </w:pPr>
      <w:r>
        <w:rPr>
          <w:rFonts w:ascii="Arial" w:cs="Arial" w:eastAsia="Arial" w:hAnsi="Arial"/>
          <w:sz w:val="17"/>
          <w:szCs w:val="17"/>
          <w:color w:val="auto"/>
        </w:rPr>
        <w:t>The exchange of copies of this Indenture and of signature pages by facsimile or portable document format (“</w:t>
      </w:r>
      <w:r>
        <w:rPr>
          <w:rFonts w:ascii="Arial" w:cs="Arial" w:eastAsia="Arial" w:hAnsi="Arial"/>
          <w:sz w:val="17"/>
          <w:szCs w:val="17"/>
          <w:i w:val="1"/>
          <w:iCs w:val="1"/>
          <w:color w:val="auto"/>
        </w:rPr>
        <w:t>PDF</w:t>
      </w:r>
      <w:r>
        <w:rPr>
          <w:rFonts w:ascii="Arial" w:cs="Arial" w:eastAsia="Arial" w:hAnsi="Arial"/>
          <w:sz w:val="17"/>
          <w:szCs w:val="17"/>
          <w:color w:val="auto"/>
        </w:rPr>
        <w:t>”)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52"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Payments Due on Non-Business Days</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In any case where any Interest Payment Date, redemption date or repurchase date or the Stated Maturity of the Notes shall not be a Business Day, then (notwithstanding any other provision of this Indenture or of the Notes) payment of principal, premium, if any, or interest on the Notes need not be made on such date, but may be made on the next succeeding Business Day with the same force and effect as if made on the Interest Payment Date, redemption date or repurchase date, or at the Stated Maturity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interest will accrue for the period from and after such Interest Payment Date, redemption date, repurchase date or Stated Maturity, as the case may be.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u w:val="single" w:color="auto"/>
          <w:color w:val="auto"/>
        </w:rPr>
        <w:t>FATCA</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The Company agrees (i) to provide the Trustee with such reasonable information that the Trustee requests in writing as the Company has in its possession to enable the Trustee to determine whether any payments pursuant to this Indenture are subject to the withholding requirements described in Section 1471(b) of the Code or otherwise imposed pursuant to Sections 1471 through 1474 of the Code and any regulations, or agreements thereunder or official interpretations thereof (“</w:t>
      </w:r>
      <w:r>
        <w:rPr>
          <w:rFonts w:ascii="Arial" w:cs="Arial" w:eastAsia="Arial" w:hAnsi="Arial"/>
          <w:sz w:val="18"/>
          <w:szCs w:val="18"/>
          <w:i w:val="1"/>
          <w:iCs w:val="1"/>
          <w:color w:val="auto"/>
        </w:rPr>
        <w:t>Applicable Law</w:t>
      </w:r>
      <w:r>
        <w:rPr>
          <w:rFonts w:ascii="Arial" w:cs="Arial" w:eastAsia="Arial" w:hAnsi="Arial"/>
          <w:sz w:val="18"/>
          <w:szCs w:val="18"/>
          <w:color w:val="auto"/>
        </w:rPr>
        <w:t>”), and (ii) that the Trustee shall be entitled to make any withholding or deduction from payments under this Indenture to the extent necessary to comply with Applicable Law.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6" w:name="page67"/>
    <w:bookmarkEnd w:id="66"/>
    <w:p>
      <w:pPr>
        <w:ind w:left="452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Wallace R. Cooney</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President-Finance, Chief Financial</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HOUSTON,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MICHIGAN,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ORLANDO,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SAN ANTONIO,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GRAHAM MEDIA GROUP, FLORIDA,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Heidi 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Heidi I. Schmid Whiting</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 for 5.750% Senior Notes due 2026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415290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7" w:name="page68"/>
    <w:bookmarkEnd w:id="67"/>
    <w:p>
      <w:pPr>
        <w:ind w:left="4520"/>
        <w:spacing w:after="0"/>
        <w:rPr>
          <w:sz w:val="20"/>
          <w:szCs w:val="20"/>
          <w:color w:val="auto"/>
        </w:rPr>
      </w:pPr>
      <w:r>
        <w:rPr>
          <w:rFonts w:ascii="Arial" w:cs="Arial" w:eastAsia="Arial" w:hAnsi="Arial"/>
          <w:sz w:val="18"/>
          <w:szCs w:val="18"/>
          <w:color w:val="auto"/>
        </w:rPr>
        <w:t>KAPLAN,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Matthew C. Seelye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Matthew C. Seelye</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KAPLAN INTERNATIONAL NORTH AMERICA,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Ashley Pomonis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Ashley Pomonis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IOWA COLLEGE ACQUISITION,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Adams</w:t>
      </w:r>
    </w:p>
    <w:p>
      <w:pPr>
        <w:spacing w:after="0" w:line="23" w:lineRule="exact"/>
        <w:rPr>
          <w:sz w:val="20"/>
          <w:szCs w:val="20"/>
          <w:color w:val="auto"/>
        </w:rPr>
      </w:pPr>
    </w:p>
    <w:p>
      <w:pPr>
        <w:jc w:val="right"/>
        <w:ind w:right="219"/>
        <w:spacing w:after="0"/>
        <w:tabs>
          <w:tab w:leader="none" w:pos="3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General Counsel and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GROUP DEKKO HOLDINGS,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Burnworth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Burnworth</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GROUP DEKKO,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Burnworth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Burnworth</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FRTW HOLDINGS,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Barry W.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Barry W. Holden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 for 5.750% Senior Notes due 2026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68" w:name="page69"/>
    <w:bookmarkEnd w:id="68"/>
    <w:p>
      <w:pPr>
        <w:ind w:left="4520"/>
        <w:spacing w:after="0"/>
        <w:rPr>
          <w:sz w:val="20"/>
          <w:szCs w:val="20"/>
          <w:color w:val="auto"/>
        </w:rPr>
      </w:pPr>
      <w:r>
        <w:rPr>
          <w:rFonts w:ascii="Arial" w:cs="Arial" w:eastAsia="Arial" w:hAnsi="Arial"/>
          <w:sz w:val="18"/>
          <w:szCs w:val="18"/>
          <w:color w:val="auto"/>
        </w:rPr>
        <w:t>DF INSTITUTE,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Adams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General Counsel and Assistant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Indenture for 5.750% Senior Notes due 2026</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9" w:name="page70"/>
    <w:bookmarkEnd w:id="69"/>
    <w:p>
      <w:pPr>
        <w:ind w:left="4520"/>
        <w:spacing w:after="0"/>
        <w:rPr>
          <w:sz w:val="20"/>
          <w:szCs w:val="20"/>
          <w:color w:val="auto"/>
        </w:rPr>
      </w:pPr>
      <w:r>
        <w:rPr>
          <w:rFonts w:ascii="Arial" w:cs="Arial" w:eastAsia="Arial" w:hAnsi="Arial"/>
          <w:sz w:val="17"/>
          <w:szCs w:val="17"/>
          <w:color w:val="auto"/>
        </w:rPr>
        <w:t>THE BANK OF NEW YORK MELLON TRUST</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 N.A., as Trustee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Indenture for 5.750% Senior Notes due 2026</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PROVISIONS RELATING TO INITIAL NOTES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NOTES</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52" w:lineRule="exact"/>
        <w:rPr>
          <w:sz w:val="20"/>
          <w:szCs w:val="20"/>
          <w:color w:val="auto"/>
        </w:rPr>
      </w:pPr>
    </w:p>
    <w:p>
      <w:pPr>
        <w:ind w:left="1780" w:hanging="475"/>
        <w:spacing w:after="0"/>
        <w:tabs>
          <w:tab w:leader="none" w:pos="17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w:t>
      </w:r>
    </w:p>
    <w:p>
      <w:pPr>
        <w:spacing w:after="0" w:line="252"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pacing w:after="0" w:line="19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52"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Distribution Compliance Period</w:t>
      </w:r>
      <w:r>
        <w:rPr>
          <w:rFonts w:ascii="Arial" w:cs="Arial" w:eastAsia="Arial" w:hAnsi="Arial"/>
          <w:sz w:val="16"/>
          <w:szCs w:val="16"/>
          <w:color w:val="auto"/>
        </w:rPr>
        <w:t>,”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Company to the Trustee, and (b) the date of issuance with respect to such Note or any predecessor of such Note.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Euroclear</w:t>
      </w:r>
      <w:r>
        <w:rPr>
          <w:rFonts w:ascii="Arial" w:cs="Arial" w:eastAsia="Arial" w:hAnsi="Arial"/>
          <w:sz w:val="17"/>
          <w:szCs w:val="17"/>
          <w:color w:val="auto"/>
        </w:rPr>
        <w:t>” means Euroclear Bank S.A./N.Y., as operator of Euroclear systems Clearance System or any successor securities clearing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agency.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Unrestricted Global Note</w:t>
      </w:r>
      <w:r>
        <w:rPr>
          <w:rFonts w:ascii="Arial" w:cs="Arial" w:eastAsia="Arial" w:hAnsi="Arial"/>
          <w:sz w:val="17"/>
          <w:szCs w:val="17"/>
          <w:color w:val="auto"/>
        </w:rPr>
        <w:t>” means any Note in global form that does not bear or is not required to bear the Restricted Notes Legend.</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Regulation 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4680" w:type="dxa"/>
            <w:vAlign w:val="bottom"/>
            <w:gridSpan w:val="2"/>
          </w:tcPr>
          <w:p>
            <w:pPr>
              <w:spacing w:after="0"/>
              <w:rPr>
                <w:sz w:val="20"/>
                <w:szCs w:val="20"/>
                <w:color w:val="auto"/>
              </w:rPr>
            </w:pPr>
            <w:r>
              <w:rPr>
                <w:rFonts w:ascii="Arial" w:cs="Arial" w:eastAsia="Arial" w:hAnsi="Arial"/>
                <w:sz w:val="18"/>
                <w:szCs w:val="18"/>
                <w:color w:val="auto"/>
              </w:rPr>
              <w:t>Other Definitions.</w:t>
            </w: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9"/>
        </w:trPr>
        <w:tc>
          <w:tcPr>
            <w:tcW w:w="1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Term:</w:t>
            </w:r>
          </w:p>
        </w:tc>
        <w:tc>
          <w:tcPr>
            <w:tcW w:w="126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940" w:type="dxa"/>
            <w:vAlign w:val="bottom"/>
            <w:gridSpan w:val="3"/>
          </w:tcPr>
          <w:p>
            <w:pPr>
              <w:ind w:left="3380"/>
              <w:spacing w:after="0"/>
              <w:rPr>
                <w:sz w:val="20"/>
                <w:szCs w:val="20"/>
                <w:color w:val="auto"/>
              </w:rPr>
            </w:pPr>
            <w:r>
              <w:rPr>
                <w:rFonts w:ascii="Arial" w:cs="Arial" w:eastAsia="Arial" w:hAnsi="Arial"/>
                <w:sz w:val="18"/>
                <w:szCs w:val="18"/>
                <w:color w:val="auto"/>
              </w:rPr>
              <w:t>Defined in Section:</w:t>
            </w:r>
          </w:p>
        </w:tc>
      </w:tr>
      <w:tr>
        <w:trPr>
          <w:trHeight w:val="21"/>
        </w:trPr>
        <w:tc>
          <w:tcPr>
            <w:tcW w:w="1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w:t>
            </w:r>
          </w:p>
        </w:tc>
        <w:tc>
          <w:tcPr>
            <w:tcW w:w="338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1.2(c)</w:t>
            </w:r>
          </w:p>
        </w:tc>
      </w:tr>
      <w:tr>
        <w:trPr>
          <w:trHeight w:val="216"/>
        </w:trPr>
        <w:tc>
          <w:tcPr>
            <w:tcW w:w="1100" w:type="dxa"/>
            <w:vAlign w:val="bottom"/>
            <w:shd w:val="clear" w:color="auto" w:fill="CCEEFF"/>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 Legend</w:t>
            </w:r>
            <w:r>
              <w:rPr>
                <w:rFonts w:ascii="Arial" w:cs="Arial" w:eastAsia="Arial" w:hAnsi="Arial"/>
                <w:sz w:val="18"/>
                <w:szCs w:val="18"/>
                <w:color w:val="auto"/>
              </w:rPr>
              <w:t>”</w:t>
            </w:r>
          </w:p>
        </w:tc>
        <w:tc>
          <w:tcPr>
            <w:tcW w:w="3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1.3(e)(i)</w:t>
            </w:r>
          </w:p>
        </w:tc>
      </w:tr>
      <w:tr>
        <w:trPr>
          <w:trHeight w:val="216"/>
        </w:trPr>
        <w:tc>
          <w:tcPr>
            <w:tcW w:w="11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Legend</w:t>
            </w:r>
            <w:r>
              <w:rPr>
                <w:rFonts w:ascii="Arial" w:cs="Arial" w:eastAsia="Arial" w:hAnsi="Arial"/>
                <w:sz w:val="18"/>
                <w:szCs w:val="18"/>
                <w:color w:val="auto"/>
              </w:rPr>
              <w:t>”</w:t>
            </w:r>
          </w:p>
        </w:tc>
        <w:tc>
          <w:tcPr>
            <w:tcW w:w="33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1.3(e)(i)</w:t>
            </w:r>
          </w:p>
        </w:tc>
      </w:tr>
      <w:tr>
        <w:trPr>
          <w:trHeight w:val="216"/>
        </w:trPr>
        <w:tc>
          <w:tcPr>
            <w:tcW w:w="1100" w:type="dxa"/>
            <w:vAlign w:val="bottom"/>
            <w:shd w:val="clear" w:color="auto" w:fill="CCEEFF"/>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w:t>
            </w:r>
            <w:r>
              <w:rPr>
                <w:rFonts w:ascii="Arial" w:cs="Arial" w:eastAsia="Arial" w:hAnsi="Arial"/>
                <w:sz w:val="18"/>
                <w:szCs w:val="18"/>
                <w:color w:val="auto"/>
              </w:rPr>
              <w:t>”</w:t>
            </w:r>
          </w:p>
        </w:tc>
        <w:tc>
          <w:tcPr>
            <w:tcW w:w="3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1.2(b)</w:t>
            </w:r>
          </w:p>
        </w:tc>
      </w:tr>
      <w:tr>
        <w:trPr>
          <w:trHeight w:val="216"/>
        </w:trPr>
        <w:tc>
          <w:tcPr>
            <w:tcW w:w="11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 Legend</w:t>
            </w:r>
            <w:r>
              <w:rPr>
                <w:rFonts w:ascii="Arial" w:cs="Arial" w:eastAsia="Arial" w:hAnsi="Arial"/>
                <w:sz w:val="18"/>
                <w:szCs w:val="18"/>
                <w:color w:val="auto"/>
              </w:rPr>
              <w:t>”</w:t>
            </w:r>
          </w:p>
        </w:tc>
        <w:tc>
          <w:tcPr>
            <w:tcW w:w="33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1.3(e)(i)</w:t>
            </w:r>
          </w:p>
        </w:tc>
      </w:tr>
      <w:tr>
        <w:trPr>
          <w:trHeight w:val="216"/>
        </w:trPr>
        <w:tc>
          <w:tcPr>
            <w:tcW w:w="1100" w:type="dxa"/>
            <w:vAlign w:val="bottom"/>
            <w:shd w:val="clear" w:color="auto" w:fill="CCEEFF"/>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w:t>
            </w:r>
          </w:p>
        </w:tc>
        <w:tc>
          <w:tcPr>
            <w:tcW w:w="3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1.2(b)</w:t>
            </w:r>
          </w:p>
        </w:tc>
      </w:tr>
      <w:tr>
        <w:trPr>
          <w:trHeight w:val="230"/>
        </w:trPr>
        <w:tc>
          <w:tcPr>
            <w:tcW w:w="1100" w:type="dxa"/>
            <w:vAlign w:val="bottom"/>
          </w:tcPr>
          <w:p>
            <w:pPr>
              <w:spacing w:after="0"/>
              <w:rPr>
                <w:sz w:val="20"/>
                <w:szCs w:val="20"/>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Notes</w:t>
            </w:r>
            <w:r>
              <w:rPr>
                <w:rFonts w:ascii="Arial" w:cs="Arial" w:eastAsia="Arial" w:hAnsi="Arial"/>
                <w:sz w:val="18"/>
                <w:szCs w:val="18"/>
                <w:color w:val="auto"/>
              </w:rPr>
              <w:t>”</w:t>
            </w:r>
          </w:p>
        </w:tc>
        <w:tc>
          <w:tcPr>
            <w:tcW w:w="3380" w:type="dxa"/>
            <w:vAlign w:val="bottom"/>
          </w:tcPr>
          <w:p>
            <w:pPr>
              <w:spacing w:after="0"/>
              <w:rPr>
                <w:sz w:val="20"/>
                <w:szCs w:val="20"/>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1.2(a)</w:t>
            </w:r>
          </w:p>
        </w:tc>
      </w:tr>
      <w:tr>
        <w:trPr>
          <w:trHeight w:val="1141"/>
        </w:trPr>
        <w:tc>
          <w:tcPr>
            <w:tcW w:w="11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1260" w:type="dxa"/>
            <w:vAlign w:val="bottom"/>
            <w:tcBorders>
              <w:bottom w:val="single" w:sz="8" w:color="BFBFBF"/>
            </w:tcBorders>
          </w:tcPr>
          <w:p>
            <w:pPr>
              <w:spacing w:after="0"/>
              <w:rPr>
                <w:sz w:val="24"/>
                <w:szCs w:val="24"/>
                <w:color w:val="auto"/>
              </w:rPr>
            </w:pPr>
          </w:p>
        </w:tc>
        <w:tc>
          <w:tcPr>
            <w:tcW w:w="3420" w:type="dxa"/>
            <w:vAlign w:val="bottom"/>
            <w:tcBorders>
              <w:bottom w:val="single" w:sz="8" w:color="BFBFBF"/>
            </w:tcBorders>
          </w:tcPr>
          <w:p>
            <w:pPr>
              <w:spacing w:after="0"/>
              <w:rPr>
                <w:sz w:val="24"/>
                <w:szCs w:val="24"/>
                <w:color w:val="auto"/>
              </w:rPr>
            </w:pPr>
          </w:p>
        </w:tc>
        <w:tc>
          <w:tcPr>
            <w:tcW w:w="33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Term:</w:t>
            </w:r>
          </w:p>
        </w:tc>
        <w:tc>
          <w:tcPr>
            <w:tcW w:w="4520" w:type="dxa"/>
            <w:vAlign w:val="bottom"/>
          </w:tcPr>
          <w:p>
            <w:pPr>
              <w:spacing w:after="0"/>
              <w:rPr>
                <w:sz w:val="17"/>
                <w:szCs w:val="17"/>
                <w:color w:val="auto"/>
              </w:rPr>
            </w:pPr>
          </w:p>
        </w:tc>
        <w:tc>
          <w:tcPr>
            <w:tcW w:w="5000" w:type="dxa"/>
            <w:vAlign w:val="bottom"/>
            <w:gridSpan w:val="3"/>
          </w:tcPr>
          <w:p>
            <w:pPr>
              <w:ind w:left="3440"/>
              <w:spacing w:after="0"/>
              <w:rPr>
                <w:sz w:val="20"/>
                <w:szCs w:val="20"/>
                <w:color w:val="auto"/>
              </w:rPr>
            </w:pPr>
            <w:r>
              <w:rPr>
                <w:rFonts w:ascii="Arial" w:cs="Arial" w:eastAsia="Arial" w:hAnsi="Arial"/>
                <w:sz w:val="18"/>
                <w:szCs w:val="18"/>
                <w:color w:val="auto"/>
              </w:rPr>
              <w:t>Defined in Section:</w:t>
            </w:r>
          </w:p>
        </w:tc>
      </w:tr>
      <w:tr>
        <w:trPr>
          <w:trHeight w:val="21"/>
        </w:trPr>
        <w:tc>
          <w:tcPr>
            <w:tcW w:w="10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1.3(e)(i)</w:t>
            </w:r>
          </w:p>
        </w:tc>
      </w:tr>
      <w:tr>
        <w:trPr>
          <w:trHeight w:val="216"/>
        </w:trPr>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Rule 144A</w:t>
            </w: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Global Note</w:t>
            </w:r>
            <w:r>
              <w:rPr>
                <w:rFonts w:ascii="Arial" w:cs="Arial" w:eastAsia="Arial" w:hAnsi="Arial"/>
                <w:sz w:val="18"/>
                <w:szCs w:val="18"/>
                <w:color w:val="auto"/>
              </w:rPr>
              <w:t>”</w:t>
            </w:r>
          </w:p>
        </w:tc>
        <w:tc>
          <w:tcPr>
            <w:tcW w:w="3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1.2(b)</w:t>
            </w:r>
          </w:p>
        </w:tc>
      </w:tr>
      <w:tr>
        <w:trPr>
          <w:trHeight w:val="216"/>
        </w:trPr>
        <w:tc>
          <w:tcPr>
            <w:tcW w:w="10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Rule 144A</w:t>
            </w:r>
          </w:p>
        </w:tc>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Notes</w:t>
            </w: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1.2(a)</w:t>
            </w:r>
          </w:p>
        </w:tc>
      </w:tr>
      <w:tr>
        <w:trPr>
          <w:trHeight w:val="216"/>
        </w:trPr>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Form and Dating</w:t>
      </w:r>
      <w:r>
        <w:rPr>
          <w:rFonts w:ascii="Arial" w:cs="Arial" w:eastAsia="Arial" w:hAnsi="Arial"/>
          <w:sz w:val="16"/>
          <w:szCs w:val="16"/>
          <w:color w:val="auto"/>
        </w:rPr>
        <w:t>.</w:t>
      </w:r>
    </w:p>
    <w:p>
      <w:pPr>
        <w:spacing w:after="0" w:line="252" w:lineRule="exact"/>
        <w:rPr>
          <w:sz w:val="20"/>
          <w:szCs w:val="20"/>
          <w:color w:val="auto"/>
        </w:rPr>
      </w:pPr>
    </w:p>
    <w:p>
      <w:pPr>
        <w:ind w:right="460" w:firstLine="1305"/>
        <w:spacing w:after="0" w:line="286" w:lineRule="auto"/>
        <w:tabs>
          <w:tab w:leader="none" w:pos="177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Initial Notes issued on the date hereof shall be (i) offered and sold by the Company to the initial purchasers thereof and (ii) resold, initially only to (1) QIBs in reliance on Rule 144A (“</w:t>
      </w:r>
      <w:r>
        <w:rPr>
          <w:rFonts w:ascii="Arial" w:cs="Arial" w:eastAsia="Arial" w:hAnsi="Arial"/>
          <w:sz w:val="17"/>
          <w:szCs w:val="17"/>
          <w:i w:val="1"/>
          <w:iCs w:val="1"/>
          <w:color w:val="auto"/>
        </w:rPr>
        <w:t>Rule 144A Notes</w:t>
      </w:r>
      <w:r>
        <w:rPr>
          <w:rFonts w:ascii="Arial" w:cs="Arial" w:eastAsia="Arial" w:hAnsi="Arial"/>
          <w:sz w:val="17"/>
          <w:szCs w:val="17"/>
          <w:color w:val="auto"/>
        </w:rPr>
        <w:t>”) and (2) Persons other than U.S. persons in reliance on Regulation S (“</w:t>
      </w:r>
      <w:r>
        <w:rPr>
          <w:rFonts w:ascii="Arial" w:cs="Arial" w:eastAsia="Arial" w:hAnsi="Arial"/>
          <w:sz w:val="17"/>
          <w:szCs w:val="17"/>
          <w:i w:val="1"/>
          <w:iCs w:val="1"/>
          <w:color w:val="auto"/>
        </w:rPr>
        <w:t>Regulation S Notes</w:t>
      </w:r>
      <w:r>
        <w:rPr>
          <w:rFonts w:ascii="Arial" w:cs="Arial" w:eastAsia="Arial" w:hAnsi="Arial"/>
          <w:sz w:val="17"/>
          <w:szCs w:val="17"/>
          <w:color w:val="auto"/>
        </w:rPr>
        <w:t>”). Additional Notes may also be considered to be Rule 144A Notes or Regulation S Notes, as applicable.</w:t>
      </w:r>
    </w:p>
    <w:p>
      <w:pPr>
        <w:spacing w:after="0" w:line="192" w:lineRule="exact"/>
        <w:rPr>
          <w:rFonts w:ascii="Arial" w:cs="Arial" w:eastAsia="Arial" w:hAnsi="Arial"/>
          <w:sz w:val="17"/>
          <w:szCs w:val="17"/>
          <w:color w:val="auto"/>
        </w:rPr>
      </w:pPr>
    </w:p>
    <w:p>
      <w:pPr>
        <w:ind w:right="40" w:firstLine="1305"/>
        <w:spacing w:after="0" w:line="287" w:lineRule="auto"/>
        <w:tabs>
          <w:tab w:leader="none" w:pos="1784"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Rule 144A Notes shall be issued initially in the form of one or more permanent global Notes in definitive, fully</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form, numbered RA-1 upward (collectively, the “</w:t>
      </w:r>
      <w:r>
        <w:rPr>
          <w:rFonts w:ascii="Arial" w:cs="Arial" w:eastAsia="Arial" w:hAnsi="Arial"/>
          <w:sz w:val="16"/>
          <w:szCs w:val="16"/>
          <w:i w:val="1"/>
          <w:iCs w:val="1"/>
          <w:color w:val="auto"/>
        </w:rPr>
        <w:t>Rule 144A Global Note</w:t>
      </w:r>
      <w:r>
        <w:rPr>
          <w:rFonts w:ascii="Arial" w:cs="Arial" w:eastAsia="Arial" w:hAnsi="Arial"/>
          <w:sz w:val="16"/>
          <w:szCs w:val="16"/>
          <w:color w:val="auto"/>
        </w:rPr>
        <w:t>”) and Regulation S Notes shall be issued initially in the form of one or more global Notes, numbered RS-1 upward (collectively, the “</w:t>
      </w:r>
      <w:r>
        <w:rPr>
          <w:rFonts w:ascii="Arial" w:cs="Arial" w:eastAsia="Arial" w:hAnsi="Arial"/>
          <w:sz w:val="16"/>
          <w:szCs w:val="16"/>
          <w:i w:val="1"/>
          <w:iCs w:val="1"/>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The Rule 144A Global Note, the Regulation S Global Note and any Unrestricted Global Note are each referred to herein as a “</w:t>
      </w:r>
      <w:r>
        <w:rPr>
          <w:rFonts w:ascii="Arial" w:cs="Arial" w:eastAsia="Arial" w:hAnsi="Arial"/>
          <w:sz w:val="16"/>
          <w:szCs w:val="16"/>
          <w:i w:val="1"/>
          <w:iCs w:val="1"/>
          <w:color w:val="auto"/>
        </w:rPr>
        <w:t>Global Note</w:t>
      </w:r>
      <w:r>
        <w:rPr>
          <w:rFonts w:ascii="Arial" w:cs="Arial" w:eastAsia="Arial" w:hAnsi="Arial"/>
          <w:sz w:val="16"/>
          <w:szCs w:val="16"/>
          <w:color w:val="auto"/>
        </w:rPr>
        <w:t>” and are collectively referred to herein as “</w:t>
      </w:r>
      <w:r>
        <w:rPr>
          <w:rFonts w:ascii="Arial" w:cs="Arial" w:eastAsia="Arial" w:hAnsi="Arial"/>
          <w:sz w:val="16"/>
          <w:szCs w:val="16"/>
          <w:i w:val="1"/>
          <w:iCs w:val="1"/>
          <w:color w:val="auto"/>
        </w:rPr>
        <w:t>Global Notes</w:t>
      </w:r>
      <w:r>
        <w:rPr>
          <w:rFonts w:ascii="Arial" w:cs="Arial" w:eastAsia="Arial" w:hAnsi="Arial"/>
          <w:sz w:val="16"/>
          <w:szCs w:val="16"/>
          <w:color w:val="auto"/>
        </w:rPr>
        <w:t>.”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this Indenture and Section 1.3(c) of this Appendix A.</w:t>
      </w:r>
    </w:p>
    <w:p>
      <w:pPr>
        <w:spacing w:after="0" w:line="195" w:lineRule="exact"/>
        <w:rPr>
          <w:rFonts w:ascii="Arial" w:cs="Arial" w:eastAsia="Arial" w:hAnsi="Arial"/>
          <w:sz w:val="16"/>
          <w:szCs w:val="16"/>
          <w:color w:val="auto"/>
        </w:rPr>
      </w:pPr>
    </w:p>
    <w:p>
      <w:pPr>
        <w:ind w:left="1780" w:hanging="475"/>
        <w:spacing w:after="0"/>
        <w:tabs>
          <w:tab w:leader="none" w:pos="17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This Section 1.2(c) shall apply only to a Global Note deposited with or on behalf of the Depositary.</w:t>
      </w:r>
    </w:p>
    <w:p>
      <w:pPr>
        <w:spacing w:after="0" w:line="264" w:lineRule="exact"/>
        <w:rPr>
          <w:sz w:val="20"/>
          <w:szCs w:val="20"/>
          <w:color w:val="auto"/>
        </w:rPr>
      </w:pPr>
    </w:p>
    <w:p>
      <w:pPr>
        <w:jc w:val="both"/>
        <w:ind w:right="10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1.2(c) and Section 2.02 of this Indenture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pacing w:after="0" w:line="214"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Members of, or participants in, the Depositary (“</w:t>
      </w:r>
      <w:r>
        <w:rPr>
          <w:rFonts w:ascii="Arial" w:cs="Arial" w:eastAsia="Arial" w:hAnsi="Arial"/>
          <w:sz w:val="17"/>
          <w:szCs w:val="17"/>
          <w:i w:val="1"/>
          <w:iCs w:val="1"/>
          <w:color w:val="auto"/>
        </w:rPr>
        <w:t>Agent Members</w:t>
      </w:r>
      <w:r>
        <w:rPr>
          <w:rFonts w:ascii="Arial" w:cs="Arial" w:eastAsia="Arial" w:hAnsi="Arial"/>
          <w:sz w:val="17"/>
          <w:szCs w:val="17"/>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Members, the operation of customary practices of such Depositary governing the exercise of the rights of a Holder of a beneficial interest in any Global Note.</w:t>
      </w:r>
    </w:p>
    <w:p>
      <w:pPr>
        <w:spacing w:after="0" w:line="275" w:lineRule="exact"/>
        <w:rPr>
          <w:sz w:val="20"/>
          <w:szCs w:val="20"/>
          <w:color w:val="auto"/>
        </w:rPr>
      </w:pPr>
    </w:p>
    <w:p>
      <w:pPr>
        <w:ind w:right="200" w:firstLine="1305"/>
        <w:spacing w:after="0" w:line="277" w:lineRule="auto"/>
        <w:tabs>
          <w:tab w:leader="none" w:pos="178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Definitive Notes</w:t>
      </w:r>
      <w:r>
        <w:rPr>
          <w:rFonts w:ascii="Arial" w:cs="Arial" w:eastAsia="Arial" w:hAnsi="Arial"/>
          <w:sz w:val="18"/>
          <w:szCs w:val="18"/>
          <w:color w:val="auto"/>
        </w:rPr>
        <w:t>. Except as provided in Section 1.3 or 1.4 of this Appendix A, owners of beneficial interests in Global Notes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entitled to receive physical delivery of Definitive Notes.</w:t>
      </w:r>
    </w:p>
    <w:p>
      <w:pPr>
        <w:spacing w:after="0" w:line="19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52" w:lineRule="exact"/>
        <w:rPr>
          <w:sz w:val="20"/>
          <w:szCs w:val="20"/>
          <w:color w:val="auto"/>
        </w:rPr>
      </w:pPr>
    </w:p>
    <w:p>
      <w:pPr>
        <w:ind w:left="1780" w:hanging="475"/>
        <w:spacing w:after="0"/>
        <w:tabs>
          <w:tab w:leader="none" w:pos="178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Transfer and Exchange of Definitive Notes for Definitive Notes</w:t>
      </w:r>
      <w:r>
        <w:rPr>
          <w:rFonts w:ascii="Arial" w:cs="Arial" w:eastAsia="Arial" w:hAnsi="Arial"/>
          <w:sz w:val="16"/>
          <w:szCs w:val="16"/>
          <w:color w:val="auto"/>
        </w:rPr>
        <w:t>. When Definitive Notes are presented to the Registrar with a request:</w:t>
      </w:r>
    </w:p>
    <w:p>
      <w:pPr>
        <w:spacing w:after="0" w:line="275" w:lineRule="exact"/>
        <w:rPr>
          <w:sz w:val="20"/>
          <w:szCs w:val="20"/>
          <w:color w:val="auto"/>
        </w:rPr>
      </w:pPr>
    </w:p>
    <w:p>
      <w:pPr>
        <w:ind w:left="1760" w:hanging="455"/>
        <w:spacing w:after="0"/>
        <w:tabs>
          <w:tab w:leader="none" w:pos="1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97" w:lineRule="exact"/>
        <w:rPr>
          <w:sz w:val="20"/>
          <w:szCs w:val="20"/>
          <w:color w:val="auto"/>
        </w:rPr>
      </w:pPr>
    </w:p>
    <w:p>
      <w:pPr>
        <w:ind w:left="660" w:right="240" w:firstLine="645"/>
        <w:spacing w:after="0" w:line="277" w:lineRule="auto"/>
        <w:tabs>
          <w:tab w:leader="none" w:pos="17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97" w:lineRule="exact"/>
        <w:rPr>
          <w:rFonts w:ascii="Arial" w:cs="Arial" w:eastAsia="Arial" w:hAnsi="Arial"/>
          <w:sz w:val="18"/>
          <w:szCs w:val="18"/>
          <w:color w:val="auto"/>
        </w:rPr>
      </w:pPr>
    </w:p>
    <w:p>
      <w:pPr>
        <w:jc w:val="both"/>
        <w:ind w:left="660" w:right="100" w:firstLine="645"/>
        <w:spacing w:after="0" w:line="302" w:lineRule="auto"/>
        <w:tabs>
          <w:tab w:leader="none" w:pos="17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in the case of Transfer Restricted Notes, are being transferred or exchanged pursuant to an effective registration statement under the Securities Act or pursuant to Section 1.3(b) of this Appendix A or otherwise in accordance with the Restricted Notes Legend, and are accompanied by a certification from the transferor in the form provided on the reverse side of the Form of Note in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for exchange or registration of transfers and, as applicable, delivery of such legal opinions, certifications and other information as may be requested pursuant thereto.</w:t>
      </w:r>
    </w:p>
    <w:p>
      <w:pPr>
        <w:spacing w:after="0" w:line="181" w:lineRule="exact"/>
        <w:rPr>
          <w:sz w:val="20"/>
          <w:szCs w:val="20"/>
          <w:color w:val="auto"/>
        </w:rPr>
      </w:pPr>
    </w:p>
    <w:p>
      <w:pPr>
        <w:ind w:right="40" w:firstLine="1305"/>
        <w:spacing w:after="0" w:line="286" w:lineRule="auto"/>
        <w:tabs>
          <w:tab w:leader="none" w:pos="1784"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Restrictions on Transfer of a Definitive Note for a Beneficial Interest in a Global Note</w:t>
      </w:r>
      <w:r>
        <w:rPr>
          <w:rFonts w:ascii="Arial" w:cs="Arial" w:eastAsia="Arial" w:hAnsi="Arial"/>
          <w:sz w:val="17"/>
          <w:szCs w:val="17"/>
          <w:color w:val="auto"/>
        </w:rPr>
        <w:t>. A Definitive Note may not be exchanged for</w:t>
      </w:r>
      <w:r>
        <w:rPr>
          <w:rFonts w:ascii="Arial" w:cs="Arial" w:eastAsia="Arial" w:hAnsi="Arial"/>
          <w:sz w:val="17"/>
          <w:szCs w:val="17"/>
          <w:i w:val="1"/>
          <w:iCs w:val="1"/>
          <w:color w:val="auto"/>
        </w:rPr>
        <w:t xml:space="preserve"> </w:t>
      </w:r>
      <w:r>
        <w:rPr>
          <w:rFonts w:ascii="Arial" w:cs="Arial" w:eastAsia="Arial" w:hAnsi="Arial"/>
          <w:sz w:val="17"/>
          <w:szCs w:val="17"/>
          <w:color w:val="auto"/>
        </w:rPr>
        <w:t>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93" w:lineRule="exact"/>
        <w:rPr>
          <w:sz w:val="20"/>
          <w:szCs w:val="20"/>
          <w:color w:val="auto"/>
        </w:rPr>
      </w:pPr>
    </w:p>
    <w:p>
      <w:pPr>
        <w:ind w:left="660" w:firstLine="645"/>
        <w:spacing w:after="0" w:line="264" w:lineRule="auto"/>
        <w:tabs>
          <w:tab w:leader="none" w:pos="17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 certification from the transferor in the form provided on the reverse side of the Form of Note in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for exchange or registration of transfers and, as applicable, delivery of such legal opinions, certifications and other information as may be requested pursuant thereto; and</w:t>
      </w:r>
    </w:p>
    <w:p>
      <w:pPr>
        <w:spacing w:after="0" w:line="208" w:lineRule="exact"/>
        <w:rPr>
          <w:rFonts w:ascii="Arial" w:cs="Arial" w:eastAsia="Arial" w:hAnsi="Arial"/>
          <w:sz w:val="18"/>
          <w:szCs w:val="18"/>
          <w:color w:val="auto"/>
        </w:rPr>
      </w:pPr>
    </w:p>
    <w:p>
      <w:pPr>
        <w:ind w:left="660" w:right="20" w:firstLine="645"/>
        <w:spacing w:after="0" w:line="264" w:lineRule="auto"/>
        <w:tabs>
          <w:tab w:leader="none" w:pos="18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Trustee shall cancel such Definitive Note and cause, or direct the Custodian to cause, in accordance with the standing instructions and procedures existing between the Depositary and the Custodian,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73" w:name="page74"/>
    <w:bookmarkEnd w:id="73"/>
    <w:p>
      <w:pPr>
        <w:spacing w:after="0" w:line="279" w:lineRule="auto"/>
        <w:rPr>
          <w:sz w:val="20"/>
          <w:szCs w:val="20"/>
          <w:color w:val="auto"/>
        </w:rPr>
      </w:pPr>
      <w:r>
        <w:rPr>
          <w:rFonts w:ascii="Arial" w:cs="Arial" w:eastAsia="Arial" w:hAnsi="Arial"/>
          <w:sz w:val="17"/>
          <w:szCs w:val="17"/>
          <w:color w:val="auto"/>
        </w:rPr>
        <w:t>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an Authentication Order, a new applicable Global Note in the appropriate principal amount.</w:t>
      </w:r>
    </w:p>
    <w:p>
      <w:pPr>
        <w:spacing w:after="0" w:line="198" w:lineRule="exact"/>
        <w:rPr>
          <w:sz w:val="20"/>
          <w:szCs w:val="20"/>
          <w:color w:val="auto"/>
        </w:rPr>
      </w:pPr>
    </w:p>
    <w:p>
      <w:pPr>
        <w:ind w:left="1780" w:hanging="475"/>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w:t>
      </w:r>
    </w:p>
    <w:p>
      <w:pPr>
        <w:spacing w:after="0" w:line="252" w:lineRule="exact"/>
        <w:rPr>
          <w:sz w:val="20"/>
          <w:szCs w:val="20"/>
          <w:color w:val="auto"/>
        </w:rPr>
      </w:pPr>
    </w:p>
    <w:p>
      <w:pPr>
        <w:ind w:left="660" w:firstLine="645"/>
        <w:spacing w:after="0" w:line="255" w:lineRule="auto"/>
        <w:tabs>
          <w:tab w:leader="none" w:pos="17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transfer and exchange of Global Notes or beneficial interests therein shall be effected through the Depositary, in accordance with the Indenture (including applicable restrictions on transfer set forth in Section 1.3(d)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216" w:lineRule="exact"/>
        <w:rPr>
          <w:rFonts w:ascii="Arial" w:cs="Arial" w:eastAsia="Arial" w:hAnsi="Arial"/>
          <w:sz w:val="18"/>
          <w:szCs w:val="18"/>
          <w:color w:val="auto"/>
        </w:rPr>
      </w:pPr>
    </w:p>
    <w:p>
      <w:pPr>
        <w:jc w:val="both"/>
        <w:ind w:left="660" w:right="100" w:firstLine="645"/>
        <w:spacing w:after="0" w:line="279" w:lineRule="auto"/>
        <w:tabs>
          <w:tab w:leader="none" w:pos="180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98" w:lineRule="exact"/>
        <w:rPr>
          <w:rFonts w:ascii="Arial" w:cs="Arial" w:eastAsia="Arial" w:hAnsi="Arial"/>
          <w:sz w:val="17"/>
          <w:szCs w:val="17"/>
          <w:color w:val="auto"/>
        </w:rPr>
      </w:pPr>
    </w:p>
    <w:p>
      <w:pPr>
        <w:ind w:left="660" w:right="180" w:firstLine="645"/>
        <w:spacing w:after="0" w:line="259" w:lineRule="auto"/>
        <w:tabs>
          <w:tab w:leader="none" w:pos="18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any other provisions of this Appendix A (other than the provisions set forth in Section 1.4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14" w:lineRule="exact"/>
        <w:rPr>
          <w:sz w:val="20"/>
          <w:szCs w:val="20"/>
          <w:color w:val="auto"/>
        </w:rPr>
      </w:pPr>
    </w:p>
    <w:p>
      <w:pPr>
        <w:ind w:right="560" w:firstLine="1305"/>
        <w:spacing w:after="0" w:line="277" w:lineRule="auto"/>
        <w:tabs>
          <w:tab w:leader="none" w:pos="1784"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Restrictions on Transfer of Global Notes; Voluntary Exchange of Interests in Transfer Restricted Global Notes for Interests in Unrestricted Global Notes</w:t>
      </w:r>
      <w:r>
        <w:rPr>
          <w:rFonts w:ascii="Arial" w:cs="Arial" w:eastAsia="Arial" w:hAnsi="Arial"/>
          <w:sz w:val="18"/>
          <w:szCs w:val="18"/>
          <w:color w:val="auto"/>
        </w:rPr>
        <w:t>.</w:t>
      </w:r>
    </w:p>
    <w:p>
      <w:pPr>
        <w:spacing w:after="0" w:line="197" w:lineRule="exact"/>
        <w:rPr>
          <w:sz w:val="20"/>
          <w:szCs w:val="20"/>
          <w:color w:val="auto"/>
        </w:rPr>
      </w:pPr>
    </w:p>
    <w:p>
      <w:pPr>
        <w:ind w:left="660" w:firstLine="645"/>
        <w:spacing w:after="0" w:line="302" w:lineRule="auto"/>
        <w:tabs>
          <w:tab w:leader="none" w:pos="17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Transfers by an owner of a beneficial interest in a Rule 144A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for exchange or registration of transfers and, as applicable, delivery of such legal opinions, certifications and other information as may be requested pursuant thereto.</w:t>
      </w:r>
    </w:p>
    <w:p>
      <w:pPr>
        <w:spacing w:after="0" w:line="181" w:lineRule="exact"/>
        <w:rPr>
          <w:rFonts w:ascii="Arial" w:cs="Arial" w:eastAsia="Arial" w:hAnsi="Arial"/>
          <w:sz w:val="16"/>
          <w:szCs w:val="16"/>
          <w:color w:val="auto"/>
        </w:rPr>
      </w:pPr>
    </w:p>
    <w:p>
      <w:pPr>
        <w:jc w:val="both"/>
        <w:ind w:left="660" w:right="160" w:firstLine="645"/>
        <w:spacing w:after="0" w:line="302" w:lineRule="auto"/>
        <w:tabs>
          <w:tab w:leader="none" w:pos="180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U.S. Prior to the expiration of the Distribution Compliance Period, transfers by an owner of a beneficial interest in the Regulation S Global Note to a transferee who takes delivery of such interest through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4" w:name="page75"/>
    <w:bookmarkEnd w:id="74"/>
    <w:p>
      <w:pPr>
        <w:spacing w:after="0" w:line="257" w:lineRule="auto"/>
        <w:rPr>
          <w:sz w:val="20"/>
          <w:szCs w:val="20"/>
          <w:color w:val="auto"/>
        </w:rPr>
      </w:pPr>
      <w:r>
        <w:rPr>
          <w:rFonts w:ascii="Arial" w:cs="Arial" w:eastAsia="Arial" w:hAnsi="Arial"/>
          <w:sz w:val="18"/>
          <w:szCs w:val="18"/>
          <w:color w:val="auto"/>
        </w:rPr>
        <w:t xml:space="preserve">Rule 144A Global Note shall be made only in accordance with the Applicable Procedures and the Restricted Notes Legend and upon receipt by the Trustee of a written certification from the transferor of the beneficial interest in the form provided on the reverse side of the Form of Note in </w:t>
      </w:r>
      <w:r>
        <w:rPr>
          <w:rFonts w:ascii="Arial" w:cs="Arial" w:eastAsia="Arial" w:hAnsi="Arial"/>
          <w:sz w:val="18"/>
          <w:szCs w:val="18"/>
          <w:i w:val="1"/>
          <w:iCs w:val="1"/>
          <w:color w:val="auto"/>
        </w:rPr>
        <w:t xml:space="preserve">Exhibit A </w:t>
      </w:r>
      <w:r>
        <w:rPr>
          <w:rFonts w:ascii="Arial" w:cs="Arial" w:eastAsia="Arial" w:hAnsi="Arial"/>
          <w:sz w:val="18"/>
          <w:szCs w:val="18"/>
          <w:color w:val="auto"/>
        </w:rPr>
        <w:t>for exchange or registration of transfers. Such written certification shall no longer be required after the expiration of the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Period. Upon the expiration of the Distribution Compliance Period, beneficial ownership interests in the Regulation S Global Note shall be transferable in accordance with applicable law and the other terms of the Indenture.</w:t>
      </w:r>
    </w:p>
    <w:p>
      <w:pPr>
        <w:spacing w:after="0" w:line="215" w:lineRule="exact"/>
        <w:rPr>
          <w:sz w:val="20"/>
          <w:szCs w:val="20"/>
          <w:color w:val="auto"/>
        </w:rPr>
      </w:pPr>
    </w:p>
    <w:p>
      <w:pPr>
        <w:ind w:firstLine="645"/>
        <w:spacing w:after="0" w:line="264" w:lineRule="auto"/>
        <w:tabs>
          <w:tab w:leader="none" w:pos="11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Upon the expiration of the Distribution Compliance Period, beneficial interests in the Regulation S Global Note may be exchanged for beneficial interests in an Unrestricted Global Note upon certification in the form provided on the reverse side of the Form of Note in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for an exchange from a Regulation S Global Note to an Unrestricted Global Note.</w:t>
      </w:r>
    </w:p>
    <w:p>
      <w:pPr>
        <w:spacing w:after="0" w:line="208" w:lineRule="exact"/>
        <w:rPr>
          <w:rFonts w:ascii="Arial" w:cs="Arial" w:eastAsia="Arial" w:hAnsi="Arial"/>
          <w:sz w:val="18"/>
          <w:szCs w:val="18"/>
          <w:color w:val="auto"/>
        </w:rPr>
      </w:pPr>
    </w:p>
    <w:p>
      <w:pPr>
        <w:ind w:right="60" w:firstLine="645"/>
        <w:spacing w:after="0" w:line="279" w:lineRule="auto"/>
        <w:tabs>
          <w:tab w:leader="none" w:pos="11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Beneficial interests in a Transfer Restricted Note that is a Rule 144A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w:t>
      </w:r>
      <w:r>
        <w:rPr>
          <w:rFonts w:ascii="Arial" w:cs="Arial" w:eastAsia="Arial" w:hAnsi="Arial"/>
          <w:sz w:val="17"/>
          <w:szCs w:val="17"/>
          <w:i w:val="1"/>
          <w:iCs w:val="1"/>
          <w:color w:val="auto"/>
        </w:rPr>
        <w:t>Exhibit A</w:t>
      </w:r>
      <w:r>
        <w:rPr>
          <w:rFonts w:ascii="Arial" w:cs="Arial" w:eastAsia="Arial" w:hAnsi="Arial"/>
          <w:sz w:val="17"/>
          <w:szCs w:val="17"/>
          <w:color w:val="auto"/>
        </w:rPr>
        <w:t>) and/or upon delivery of such legal opinions, certifications and other information as the Company or the Trustee may reasonably request.</w:t>
      </w:r>
    </w:p>
    <w:p>
      <w:pPr>
        <w:spacing w:after="0" w:line="198" w:lineRule="exact"/>
        <w:rPr>
          <w:rFonts w:ascii="Arial" w:cs="Arial" w:eastAsia="Arial" w:hAnsi="Arial"/>
          <w:sz w:val="17"/>
          <w:szCs w:val="17"/>
          <w:color w:val="auto"/>
        </w:rPr>
      </w:pPr>
    </w:p>
    <w:p>
      <w:pPr>
        <w:ind w:right="200" w:firstLine="645"/>
        <w:spacing w:after="0" w:line="264" w:lineRule="auto"/>
        <w:tabs>
          <w:tab w:leader="none" w:pos="11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no Unrestricted Global Note is outstanding at the time of a transfer contemplated by the preceding clauses (iii) and (iv), the Company shall issue and the Trustee shall authenticate, upon an Authentication Order, a new Unrestricted Global Note in the appropriate principal amount.</w:t>
      </w:r>
    </w:p>
    <w:p>
      <w:pPr>
        <w:spacing w:after="0" w:line="208" w:lineRule="exact"/>
        <w:rPr>
          <w:sz w:val="20"/>
          <w:szCs w:val="20"/>
          <w:color w:val="auto"/>
        </w:rPr>
      </w:pPr>
    </w:p>
    <w:p>
      <w:pPr>
        <w:ind w:left="1120" w:hanging="475"/>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w:t>
      </w:r>
    </w:p>
    <w:p>
      <w:pPr>
        <w:spacing w:after="0" w:line="252" w:lineRule="exact"/>
        <w:rPr>
          <w:sz w:val="20"/>
          <w:szCs w:val="20"/>
          <w:color w:val="auto"/>
        </w:rPr>
      </w:pPr>
    </w:p>
    <w:p>
      <w:pPr>
        <w:ind w:right="100" w:firstLine="645"/>
        <w:spacing w:after="0" w:line="286" w:lineRule="auto"/>
        <w:tabs>
          <w:tab w:leader="none" w:pos="10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Except as permitted by Section 1.3(d) and this Section 1.3(e)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7"/>
          <w:szCs w:val="17"/>
          <w:i w:val="1"/>
          <w:iCs w:val="1"/>
          <w:color w:val="auto"/>
        </w:rPr>
        <w:t>Restricted Notes Legend</w:t>
      </w:r>
      <w:r>
        <w:rPr>
          <w:rFonts w:ascii="Arial" w:cs="Arial" w:eastAsia="Arial" w:hAnsi="Arial"/>
          <w:sz w:val="17"/>
          <w:szCs w:val="17"/>
          <w:color w:val="auto"/>
        </w:rPr>
        <w:t>”):</w:t>
      </w:r>
    </w:p>
    <w:p>
      <w:pPr>
        <w:spacing w:after="0" w:line="193" w:lineRule="exact"/>
        <w:rPr>
          <w:sz w:val="20"/>
          <w:szCs w:val="20"/>
          <w:color w:val="auto"/>
        </w:rPr>
      </w:pPr>
    </w:p>
    <w:p>
      <w:pPr>
        <w:ind w:right="780"/>
        <w:spacing w:after="0" w:line="269"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(OR ANY INTEREST THEREIN), BY ITS ACCEPTANCE HEREOF, AGREES ON ITS OWN BEHALF AND ON BEHALF OF ANY INVESTOR ACCOUNT FOR WHICH IT HAS PURCHASED SECURITIES, TO OFFER, SELL OR OTHERWISE TRANSFER SUCH SECURITY, PRIOR TO THE DATE (THE “RESALE RESTRICTION TERMINATION DATE”) THAT IS [IN THE CASE OF RULE 144A NOTES: SIX MONTHS AFTER THE LATER OF THE ORIGINAL ISSUE DATE HEREOF, THE ORIGINAL ISSUE DATE OF THE ISSUANCE OF ANY ADDITIONAL NOTES AND THE LAST DATE ON WHICH THE COMPANY OR ANY AFFILIATE OF THE COMPANY WAS THE OWNER OF THIS SECURITY (OR ANY PREDECESSOR OF SUCH SECURITY)][, IN THE CASE OF REGULATION S NOTES: 40 DAYS AFTER THE LATER OF THE</w:t>
      </w:r>
    </w:p>
    <w:p>
      <w:pPr>
        <w:spacing w:after="0" w:line="135"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368" w:right="259" w:bottom="1440" w:gutter="0" w:footer="0" w:header="0"/>
        </w:sectPr>
      </w:pPr>
    </w:p>
    <w:bookmarkStart w:id="75" w:name="page76"/>
    <w:bookmarkEnd w:id="75"/>
    <w:p>
      <w:pPr>
        <w:ind w:left="660"/>
        <w:spacing w:after="0" w:line="267" w:lineRule="auto"/>
        <w:rPr>
          <w:sz w:val="20"/>
          <w:szCs w:val="20"/>
          <w:color w:val="auto"/>
        </w:rPr>
      </w:pPr>
      <w:r>
        <w:rPr>
          <w:rFonts w:ascii="Arial" w:cs="Arial" w:eastAsia="Arial" w:hAnsi="Arial"/>
          <w:sz w:val="17"/>
          <w:szCs w:val="17"/>
          <w:color w:val="auto"/>
        </w:rPr>
        <w:t>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 Each Definitive Note shall bear the following additional legend (“</w:t>
      </w:r>
      <w:r>
        <w:rPr>
          <w:rFonts w:ascii="Arial" w:cs="Arial" w:eastAsia="Arial" w:hAnsi="Arial"/>
          <w:sz w:val="17"/>
          <w:szCs w:val="17"/>
          <w:i w:val="1"/>
          <w:iCs w:val="1"/>
          <w:color w:val="auto"/>
        </w:rPr>
        <w:t>Definitive Notes Legend</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both"/>
        <w:ind w:left="660" w:right="380"/>
        <w:spacing w:after="0" w:line="286" w:lineRule="auto"/>
        <w:rPr>
          <w:sz w:val="20"/>
          <w:szCs w:val="20"/>
          <w:color w:val="auto"/>
        </w:rPr>
      </w:pPr>
      <w:r>
        <w:rPr>
          <w:rFonts w:ascii="Arial" w:cs="Arial" w:eastAsia="Arial" w:hAnsi="Arial"/>
          <w:sz w:val="17"/>
          <w:szCs w:val="17"/>
          <w:color w:val="auto"/>
        </w:rPr>
        <w:t>IN CONNECTION WITH ANY TRANSFER, THE HOLDER WILL DELIVER TO THE REGISTRAR AND TRANSFER AGENT SUCH CERTIFICATES AND OTHER INFORMATION AS SUCH REGISTRAR AND TRANSFER AGENT MAY REASONABLY REQUIRE TO CONFIRM THAT THE TRANSFER COMPLIES WITH THE FOREGOING RESTRICTIONS.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i w:val="1"/>
          <w:iCs w:val="1"/>
          <w:color w:val="auto"/>
        </w:rPr>
        <w:t>Global Notes Legend</w:t>
      </w:r>
      <w:r>
        <w:rPr>
          <w:rFonts w:ascii="Arial" w:cs="Arial" w:eastAsia="Arial" w:hAnsi="Arial"/>
          <w:sz w:val="18"/>
          <w:szCs w:val="18"/>
          <w:color w:val="auto"/>
        </w:rPr>
        <w:t>”):</w:t>
      </w:r>
    </w:p>
    <w:p>
      <w:pPr>
        <w:spacing w:after="0" w:line="252"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240" w:top="368" w:right="919" w:bottom="1440" w:gutter="0" w:footer="0" w:header="0"/>
        </w:sectPr>
      </w:pPr>
    </w:p>
    <w:bookmarkStart w:id="76" w:name="page77"/>
    <w:bookmarkEnd w:id="76"/>
    <w:p>
      <w:pPr>
        <w:ind w:left="660" w:right="68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Each Note shall bear the following additional legend (“</w:t>
      </w:r>
      <w:r>
        <w:rPr>
          <w:rFonts w:ascii="Arial" w:cs="Arial" w:eastAsia="Arial" w:hAnsi="Arial"/>
          <w:sz w:val="18"/>
          <w:szCs w:val="18"/>
          <w:i w:val="1"/>
          <w:iCs w:val="1"/>
          <w:color w:val="auto"/>
        </w:rPr>
        <w:t>ERISA Legend</w:t>
      </w:r>
      <w:r>
        <w:rPr>
          <w:rFonts w:ascii="Arial" w:cs="Arial" w:eastAsia="Arial" w:hAnsi="Arial"/>
          <w:sz w:val="18"/>
          <w:szCs w:val="18"/>
          <w:color w:val="auto"/>
        </w:rPr>
        <w:t>”):</w:t>
      </w:r>
    </w:p>
    <w:p>
      <w:pPr>
        <w:spacing w:after="0" w:line="252"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BY ITS ACQUISITION OF THIS SECURITY (OR ANY INTEREST THEREIN), THE HOLDER THEREOF WILL BE DEEMED TO HAVE REPRESENTED AND WARRANTED THAT EITHER (1) NO PORTION OF THE ASSETS USED BY SUCH HOLDER TO ACQUIRE OR HOLD THIS SECURITY (OR ANY INTEREST THEREIN)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(EACH OF THE FOREGOING, A “PLAN”), OR (2) THE ACQUISITION, HOLDING AND SUBSEQUENT DISPOSITION OF THIS SECURITY (OR ANY INTEREST THEREIN) WILL NOT CONSTITUTE OR RESULT IN A NON-EXEMPT PROHIBITED TRANSACTION UNDER SECTION 406 OF ERISA OR SECTION 4975 OF THE CODE OR A SIMILAR VIOLATION UNDER ANY APPLICABLE SIMILAR LAWS.</w:t>
      </w:r>
    </w:p>
    <w:p>
      <w:pPr>
        <w:spacing w:after="0" w:line="218"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ADDITIONALLY WITHOUT LIMITING THE FOREGOING, EACH PURCHASER AND SUBSEQUENT TRANSFEREE OF THIS SECURITY (OR ANY INTEREST THEREIN) THAT IS, OR IS ACTING ON BEHALF OF, OR IS ACQUIRING SUCH NOTE (OR INTEREST THEREIN) WITH ASSETS OF, A PLAN SUBJECT TO TITLE I OF ERISA OR SECTION 4975 OF THE CODE (AN “ERISA PLAN”), IS DEEMED TO REPRESENT AND WARRANT AT ALL TIMES, THAT (A) IT IS NOT A BENEFICIARY OF A PLAN THAT IS AN INDIVIDUAL RETIREMENT ACCOUNT (“IRA”), OR RELATIVE OF THE IRA OWNER OR BENEFICIARY (SUCH AS A SPOUSE, ANCESTOR, LINEAL DESCENDANT, SPOUSE OF A LINEAL DESCENDANT, BROTHER, SISTER, OR A SPOUSE OF A BROTHER OR SISTER) IN THE CASE OF AN ERISA PLAN THAT IS AN IRA AND (B) AT ALL TIMES (1) NONE OF THE COMPANY, THE INITIAL PURCHASERS, OR ANY OF THEIR RESPECTIVE AFFILIATES HAS ACTED AS THE ERISA PLAN’S FIDUCIARY (WITHIN THE MEANING OF ERISA OR THE CODE), OR HAS BEEN RELIED UPON FOR ANY ADVICE, WITH RESPECT TO THE PURCHASER OR TRANSFEREE’S DECISION TO ACQUIRE, HOLD, SELL, EXCHANGE, VOTE OR PROVIDE ANY CONSENT WITH RESPECT TO THIS SECURITY (OR ANY INTEREST THEREIN) AND NONE OF THE COMPANY, THE INITIAL PURCHASERS, OR ANY OF THEIR RESPECTIVE AFFILIATES SHALL AT ANY TIME BE RELIED UPON AS THE ERISA PLAN’S FIDUCIARY WITH RESPECT TO ANY DECISION TO ACQUIRE, CONTINUE TO HOLD, SELL, EXCHANGE, VOTE OR PROVIDE ANY CONSENT WITH RESPECT TO THIS SECURITY (OR ANY INTEREST THEREIN) AND (2) THE DECISION TO INVEST IN THE SECURITY HAS BEEN MADE AT THE RECOMMENDATION OR DIRECTION OF AN “INDEPENDENT FIDUCIARY” (“INDEPENDENT FIDUCIARY”) WITHIN THE MEANING OF U.S. CODE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p>
      <w:pPr>
        <w:ind w:left="4" w:right="40"/>
        <w:spacing w:after="0" w:line="266" w:lineRule="auto"/>
        <w:rPr>
          <w:sz w:val="20"/>
          <w:szCs w:val="20"/>
          <w:color w:val="auto"/>
        </w:rPr>
      </w:pPr>
      <w:r>
        <w:rPr>
          <w:rFonts w:ascii="Arial" w:cs="Arial" w:eastAsia="Arial" w:hAnsi="Arial"/>
          <w:sz w:val="17"/>
          <w:szCs w:val="17"/>
          <w:color w:val="auto"/>
        </w:rPr>
        <w:t>OF FEDERAL REGULATIONS 29 C.F.R. SECTION 2510.3-21(C)(1), AS AMENDED FROM TIME TO TIME (THE “FIDUCIARY RULE”), WHO (I) IS INDEPENDENT OF THE COMPANY AND THE INITIAL PURCHASERS; (II) IS CAPABLE OF EVALUATING INVESTMENT RISKS INDEPENDENTLY, BOTH IN GENERAL AND WITH RESPECT TO PARTICULAR TRANSACTIONS AND INVESTMENT STRATEGIES (WITHIN THE MEANING OF THE FIDUCIARY RULE) (INCLUDING, WITHOUT LIMITATION, WITH RESPECT TO THE DECISION TO INVEST IN THIS SECURITY); (III) IS A FIDUCIARY (UNDER ERISA AND/OR SECTION 4975 OF THE CODE) WITH RESPECT TO THE PURCHASER’S OR TRANSFEREE’S INVESTMENT IN THIS SECURITY AND IS RESPONSIBLE FOR EXERCISING INDEPENDENT JUDGMENT IN EVALUATING THE INVESTMENT IN THE SECURITY; (IV) IS EITHER (1) A BANK AS DEFINED IN SECTION 202 OF THE INVESTMENT ADVISERS ACT OF 1940, AS AMENDED (THE “ADVISERS ACT”), OR SIMILAR INSTITUTION THAT IS REGULATED AND SUPERVISED AND SUBJECT TO PERIODIC EXAMINATION BY A STATE OR FEDERAL AGENCY OF THE UNITED STATES; (2) AN INSURANCE CARRIER WHICH IS QUALIFIED UNDER THE LAWS OF MORE THAN ONE STATE OF THE UNITED STATES TO PERFORM THE SERVICES OF MANAGING, ACQUIRING OR DISPOSING OF ASSETS OF SUCH AN ERISA PLAN;</w:t>
      </w:r>
    </w:p>
    <w:p>
      <w:pPr>
        <w:spacing w:after="0" w:line="8" w:lineRule="exact"/>
        <w:rPr>
          <w:sz w:val="20"/>
          <w:szCs w:val="20"/>
          <w:color w:val="auto"/>
        </w:rPr>
      </w:pPr>
    </w:p>
    <w:p>
      <w:pPr>
        <w:ind w:left="4" w:hanging="4"/>
        <w:spacing w:after="0" w:line="251" w:lineRule="auto"/>
        <w:tabs>
          <w:tab w:leader="none" w:pos="2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INVESTMENT ADVISER REGISTERED UNDER THE ADVISERS ACT OR, IF NOT REGISTERED AS AN INVESTMENT ADVISER UNDER THE ADVISERS ACT BY REASON OF PARAGRAPH (1) OF SECTION 203A OF THE ADVISERS ACT, IS REGISTERED AS AN INVESTMENT ADVISER UNDER THE LAWS OF THE STATE (REFERRED TO IN SUCH PARAGRAPH (1)) IN WHICH IT MAINTAINS ITS PRINCIPAL OFFICE AND PLACE OF BUSINESS; (4) A BROKER DEALER REGISTERED UNDER THE SECURITIES ACT OF 1934, AS AMENDED; AND/OR (5) AN INDEPENDENT FIDUCIARY (NOT DESCRIBED IN CLAUSES (1), (2), (3) OR (4) ABOVE) THAT HOLDS OR HAS UNDER MANAGEMENT OR CONTROL TOTAL ASSETS OF AT LEAST $50 MILLION, AND WILL AT ALL TIMES THAT SUCH PURCHASER OR TRANSFEREE HOLDS THIS SECURITY (OR ANY INTEREST THEREIN) HOLD OR HAVE UNDER MANAGEMENT OR CONTROL TOTAL ASSETS OF AT LEAST $50 MILLION; AND (V) IS AWARE OF AND ACKNOWLEDGES THAT (I) NONE OF THE COMPANY, THE INITIAL PURCHASERS, OR ANY OF THEIR RESPECTIVE AFFILIATES IS UNDERTAKING TO PROVIDE IMPARTIAL INVESTMENT ADVICE, OR TO GIVE ADVICE IN A FIDUCIARY CAPACITY, IN CONNECTION WITH THE PURCHASER’S OR TRANSFEREE’S INVESTMENT IN THE SECURITY, AND (II) THE COMPANY, THE INITIAL PURCHASERS, AND THEIR RESPECTIVE AFFILIATES HAVE A FINANCIAL INTEREST IN THE PURCHASER’S OR TRANSFEREE’S INVESTMENT IN THIS SECURITY ON ACCOUNT OF THE FEES AND OTHER REMUNERATION WE OR THEY EXPECT TO RECEIVE IN CONNECTION WITH TRANSACTIONS CONTEMPLATED HEREUNDER. THE REPRESENTATIONS IN THIS PARAGRAPH ARE INTENDED TO COMPLY WITH THE FIDUCIARY RULE. TO THE EXTENT THAT THE FIDUCIARY RULE IS REVOKED, REPEALED OR NO LONGER EFFECTIVE, THE REPRESENTATIONS IN THIS PARAGRAPH SHALL BE DEEMED TO BE NO LONGER IN EFFECT.</w:t>
      </w:r>
    </w:p>
    <w:p>
      <w:pPr>
        <w:spacing w:after="0" w:line="222" w:lineRule="exact"/>
        <w:rPr>
          <w:rFonts w:ascii="Arial" w:cs="Arial" w:eastAsia="Arial" w:hAnsi="Arial"/>
          <w:sz w:val="18"/>
          <w:szCs w:val="18"/>
          <w:color w:val="auto"/>
        </w:rPr>
      </w:pPr>
    </w:p>
    <w:p>
      <w:pPr>
        <w:ind w:left="4" w:right="200" w:firstLine="645"/>
        <w:spacing w:after="0" w:line="302" w:lineRule="auto"/>
        <w:tabs>
          <w:tab w:leader="none" w:pos="114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w:t>
      </w:r>
    </w:p>
    <w:p>
      <w:pPr>
        <w:spacing w:after="0" w:line="109"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125" w:right="27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color w:val="auto"/>
        </w:rPr>
        <w:t xml:space="preserve">of Note in </w:t>
      </w:r>
      <w:r>
        <w:rPr>
          <w:rFonts w:ascii="Arial" w:cs="Arial" w:eastAsia="Arial" w:hAnsi="Arial"/>
          <w:sz w:val="16"/>
          <w:szCs w:val="16"/>
          <w:i w:val="1"/>
          <w:iCs w:val="1"/>
          <w:color w:val="auto"/>
        </w:rPr>
        <w:t>Exhibit A</w:t>
      </w:r>
      <w:r>
        <w:rPr>
          <w:rFonts w:ascii="Arial" w:cs="Arial" w:eastAsia="Arial" w:hAnsi="Arial"/>
          <w:sz w:val="16"/>
          <w:szCs w:val="16"/>
          <w:color w:val="auto"/>
        </w:rPr>
        <w:t>) and provides such legal opinions, certifications and other information as the Company or the Trustee may reasonably request.</w:t>
      </w:r>
    </w:p>
    <w:p>
      <w:pPr>
        <w:spacing w:after="0" w:line="275" w:lineRule="exact"/>
        <w:rPr>
          <w:sz w:val="20"/>
          <w:szCs w:val="20"/>
          <w:color w:val="auto"/>
        </w:rPr>
      </w:pPr>
    </w:p>
    <w:p>
      <w:pPr>
        <w:ind w:left="1860" w:hanging="555"/>
        <w:spacing w:after="0"/>
        <w:tabs>
          <w:tab w:leader="none" w:pos="1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52" w:lineRule="exact"/>
        <w:rPr>
          <w:sz w:val="20"/>
          <w:szCs w:val="20"/>
          <w:color w:val="auto"/>
        </w:rPr>
      </w:pPr>
    </w:p>
    <w:p>
      <w:pPr>
        <w:ind w:right="140" w:firstLine="1305"/>
        <w:spacing w:after="0" w:line="293" w:lineRule="auto"/>
        <w:tabs>
          <w:tab w:leader="none" w:pos="1754"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Cancellation or Adjustment of Global Note</w:t>
      </w:r>
      <w:r>
        <w:rPr>
          <w:rFonts w:ascii="Arial" w:cs="Arial" w:eastAsia="Arial" w:hAnsi="Arial"/>
          <w:sz w:val="16"/>
          <w:szCs w:val="16"/>
          <w:color w:val="auto"/>
        </w:rPr>
        <w:t>. At such time as all beneficial interests in a Global Note have either been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w:t>
      </w:r>
    </w:p>
    <w:p>
      <w:pPr>
        <w:spacing w:after="0" w:line="191" w:lineRule="exact"/>
        <w:rPr>
          <w:rFonts w:ascii="Arial" w:cs="Arial" w:eastAsia="Arial" w:hAnsi="Arial"/>
          <w:sz w:val="16"/>
          <w:szCs w:val="16"/>
          <w:color w:val="auto"/>
        </w:rPr>
      </w:pPr>
    </w:p>
    <w:p>
      <w:pPr>
        <w:ind w:left="1800" w:hanging="495"/>
        <w:spacing w:after="0"/>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Obligations with Respect to Transfers and Exchanges of Notes</w:t>
      </w:r>
      <w:r>
        <w:rPr>
          <w:rFonts w:ascii="Arial" w:cs="Arial" w:eastAsia="Arial" w:hAnsi="Arial"/>
          <w:sz w:val="18"/>
          <w:szCs w:val="18"/>
          <w:color w:val="auto"/>
        </w:rPr>
        <w:t>.</w:t>
      </w:r>
    </w:p>
    <w:p>
      <w:pPr>
        <w:spacing w:after="0" w:line="252" w:lineRule="exact"/>
        <w:rPr>
          <w:sz w:val="20"/>
          <w:szCs w:val="20"/>
          <w:color w:val="auto"/>
        </w:rPr>
      </w:pPr>
    </w:p>
    <w:p>
      <w:pPr>
        <w:ind w:left="660" w:firstLine="645"/>
        <w:spacing w:after="0" w:line="277" w:lineRule="auto"/>
        <w:tabs>
          <w:tab w:leader="none" w:pos="17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97" w:lineRule="exact"/>
        <w:rPr>
          <w:rFonts w:ascii="Arial" w:cs="Arial" w:eastAsia="Arial" w:hAnsi="Arial"/>
          <w:sz w:val="18"/>
          <w:szCs w:val="18"/>
          <w:color w:val="auto"/>
        </w:rPr>
      </w:pPr>
    </w:p>
    <w:p>
      <w:pPr>
        <w:ind w:left="660" w:right="180" w:firstLine="645"/>
        <w:spacing w:after="0" w:line="259" w:lineRule="auto"/>
        <w:tabs>
          <w:tab w:leader="none" w:pos="180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service charge shall be imposed in connection with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2.10, 3.06, 3.07 and 9.04 of this Indenture).</w:t>
      </w:r>
    </w:p>
    <w:p>
      <w:pPr>
        <w:spacing w:after="0" w:line="213" w:lineRule="exact"/>
        <w:rPr>
          <w:rFonts w:ascii="Arial" w:cs="Arial" w:eastAsia="Arial" w:hAnsi="Arial"/>
          <w:sz w:val="18"/>
          <w:szCs w:val="18"/>
          <w:color w:val="auto"/>
        </w:rPr>
      </w:pPr>
    </w:p>
    <w:p>
      <w:pPr>
        <w:ind w:left="660" w:right="280" w:firstLine="645"/>
        <w:spacing w:after="0" w:line="279" w:lineRule="auto"/>
        <w:tabs>
          <w:tab w:leader="none" w:pos="185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Company, the Trustee, the Paying Agent or the Registrar shall be affected by notice to the contrary.</w:t>
      </w:r>
    </w:p>
    <w:p>
      <w:pPr>
        <w:spacing w:after="0" w:line="198" w:lineRule="exact"/>
        <w:rPr>
          <w:rFonts w:ascii="Arial" w:cs="Arial" w:eastAsia="Arial" w:hAnsi="Arial"/>
          <w:sz w:val="17"/>
          <w:szCs w:val="17"/>
          <w:color w:val="auto"/>
        </w:rPr>
      </w:pPr>
    </w:p>
    <w:p>
      <w:pPr>
        <w:ind w:left="660" w:right="360" w:firstLine="645"/>
        <w:spacing w:after="0" w:line="277" w:lineRule="auto"/>
        <w:tabs>
          <w:tab w:leader="none" w:pos="18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97" w:lineRule="exact"/>
        <w:rPr>
          <w:rFonts w:ascii="Arial" w:cs="Arial" w:eastAsia="Arial" w:hAnsi="Arial"/>
          <w:sz w:val="18"/>
          <w:szCs w:val="18"/>
          <w:color w:val="auto"/>
        </w:rPr>
      </w:pPr>
    </w:p>
    <w:p>
      <w:pPr>
        <w:ind w:left="660" w:right="40" w:firstLine="645"/>
        <w:spacing w:after="0" w:line="257" w:lineRule="auto"/>
        <w:tabs>
          <w:tab w:leader="none" w:pos="17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w:t>
      </w:r>
    </w:p>
    <w:p>
      <w:pPr>
        <w:spacing w:after="0" w:line="215" w:lineRule="exact"/>
        <w:rPr>
          <w:sz w:val="20"/>
          <w:szCs w:val="20"/>
          <w:color w:val="auto"/>
        </w:rPr>
      </w:pPr>
    </w:p>
    <w:p>
      <w:pPr>
        <w:ind w:left="1800" w:hanging="495"/>
        <w:spacing w:after="0"/>
        <w:tabs>
          <w:tab w:leader="none" w:pos="18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No Obligation of the Trustee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200" w:firstLine="645"/>
        <w:spacing w:after="0" w:line="342" w:lineRule="auto"/>
        <w:tabs>
          <w:tab w:leader="none" w:pos="175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9" w:name="page80"/>
    <w:bookmarkEnd w:id="79"/>
    <w:p>
      <w:pPr>
        <w:ind w:left="660" w:right="120"/>
        <w:spacing w:after="0" w:line="255" w:lineRule="auto"/>
        <w:rPr>
          <w:sz w:val="20"/>
          <w:szCs w:val="20"/>
          <w:color w:val="auto"/>
        </w:rPr>
      </w:pPr>
      <w:r>
        <w:rPr>
          <w:rFonts w:ascii="Arial" w:cs="Arial" w:eastAsia="Arial" w:hAnsi="Arial"/>
          <w:sz w:val="18"/>
          <w:szCs w:val="18"/>
          <w:color w:val="auto"/>
        </w:rPr>
        <w:t>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216" w:lineRule="exact"/>
        <w:rPr>
          <w:sz w:val="20"/>
          <w:szCs w:val="20"/>
          <w:color w:val="auto"/>
        </w:rPr>
      </w:pPr>
    </w:p>
    <w:p>
      <w:pPr>
        <w:ind w:left="660" w:right="100" w:firstLine="645"/>
        <w:spacing w:after="0" w:line="276" w:lineRule="auto"/>
        <w:tabs>
          <w:tab w:leader="none" w:pos="180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52" w:lineRule="exact"/>
        <w:rPr>
          <w:sz w:val="20"/>
          <w:szCs w:val="20"/>
          <w:color w:val="auto"/>
        </w:rPr>
      </w:pPr>
    </w:p>
    <w:p>
      <w:pPr>
        <w:ind w:right="80" w:firstLine="1305"/>
        <w:spacing w:after="0" w:line="288" w:lineRule="auto"/>
        <w:tabs>
          <w:tab w:leader="none" w:pos="177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Global Note deposited with the Depositary or with the Trustee as Custodian pursuant to Section 1.2 of this Appendix A may be transferred to the beneficial owners thereof in the form of Definitive Notes in an aggregate principal amount equal to the principal amount of such Global Note, in exchange for such Global Note, only if such transfer complies with Section 1.3 of this Appendix A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(ii) the Company, in its sole discretion, notifies the Trustee in writing that it elects to cause the issuance of Definitive Notes under this Indenture, or (iii) an Event of Default has occurred and is continuing and the Registrar has received a request from the Depository. In addition, any Affiliate of the Company or any Subsidiary Guarantor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this Indenture or the Company or Trustee.</w:t>
      </w:r>
    </w:p>
    <w:p>
      <w:pPr>
        <w:spacing w:after="0" w:line="196" w:lineRule="exact"/>
        <w:rPr>
          <w:rFonts w:ascii="Arial" w:cs="Arial" w:eastAsia="Arial" w:hAnsi="Arial"/>
          <w:sz w:val="16"/>
          <w:szCs w:val="16"/>
          <w:color w:val="auto"/>
        </w:rPr>
      </w:pPr>
    </w:p>
    <w:p>
      <w:pPr>
        <w:ind w:firstLine="1305"/>
        <w:spacing w:after="0" w:line="293" w:lineRule="auto"/>
        <w:tabs>
          <w:tab w:leader="none" w:pos="17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Global Note that is transferable to the beneficial owners thereof pursuant to this Section 1.4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1.4 shall be executed, authenticated and delivered only in denominations of $2,000 and integral multiples of $1,000 in excess thereof and registered in such names as the Depositary shall direct. Any Definitive Note delivered in exchange for an interest in a Global Note that is a Transfer Restricted Note shall, except as otherwise provided by Section 1.3(e) of this Appendix A, bear the Restricted Notes Legend.</w:t>
      </w:r>
    </w:p>
    <w:p>
      <w:pPr>
        <w:spacing w:after="0" w:line="191" w:lineRule="exact"/>
        <w:rPr>
          <w:rFonts w:ascii="Arial" w:cs="Arial" w:eastAsia="Arial" w:hAnsi="Arial"/>
          <w:sz w:val="16"/>
          <w:szCs w:val="16"/>
          <w:color w:val="auto"/>
        </w:rPr>
      </w:pPr>
    </w:p>
    <w:p>
      <w:pPr>
        <w:ind w:right="520" w:firstLine="1305"/>
        <w:spacing w:after="0" w:line="342" w:lineRule="auto"/>
        <w:tabs>
          <w:tab w:leader="none" w:pos="177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80" w:name="page81"/>
    <w:bookmarkEnd w:id="80"/>
    <w:p>
      <w:pPr>
        <w:ind w:left="-80" w:firstLine="1305"/>
        <w:spacing w:after="0" w:line="277" w:lineRule="auto"/>
        <w:tabs>
          <w:tab w:leader="none" w:pos="170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1.4(a) of this Appendix A, the Company shall promptly make available to the Trustee a reasonable supply of Definitive Notes in fully registered form without interest coupons.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[FORM OF FACE OF NOTE]</w:t>
      </w:r>
    </w:p>
    <w:p>
      <w:pPr>
        <w:spacing w:after="0" w:line="252" w:lineRule="exact"/>
        <w:rPr>
          <w:sz w:val="20"/>
          <w:szCs w:val="20"/>
          <w:color w:val="auto"/>
        </w:rPr>
      </w:pPr>
    </w:p>
    <w:p>
      <w:pPr>
        <w:ind w:left="100" w:right="3360"/>
        <w:spacing w:after="0" w:line="614" w:lineRule="auto"/>
        <w:rPr>
          <w:sz w:val="20"/>
          <w:szCs w:val="20"/>
          <w:color w:val="auto"/>
        </w:rPr>
      </w:pPr>
      <w:r>
        <w:rPr>
          <w:rFonts w:ascii="Arial" w:cs="Arial" w:eastAsia="Arial" w:hAnsi="Arial"/>
          <w:sz w:val="16"/>
          <w:szCs w:val="16"/>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 [Insert the ERISA Legend, if applicable, pursuant to the provisions of the Indenture.] [[Insert the OID Notes Legend, if applicable, pursuant to the provisions of the Indenture.]]</w:t>
      </w: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[Rule 144A Note CUSIP: 384637AA2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Rule 144A Note ISIN:  US384637AA23]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[Regulation S Note CUSIP: U3824RAA3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Regulation S Note ISIN: USU3824RAA33]</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144A][REGULATION S] GLOBAL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1080" w:val="left"/>
        </w:tabs>
        <w:rPr>
          <w:sz w:val="20"/>
          <w:szCs w:val="20"/>
          <w:color w:val="auto"/>
        </w:rPr>
      </w:pPr>
      <w:r>
        <w:rPr>
          <w:rFonts w:ascii="Arial" w:cs="Arial" w:eastAsia="Arial" w:hAnsi="Arial"/>
          <w:sz w:val="18"/>
          <w:szCs w:val="18"/>
          <w:color w:val="auto"/>
        </w:rPr>
        <w:t>No.[RA-1][RS-1]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 ([●] Dollars) on June 1, 2026.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 and December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15 and November 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IN WITNESS HEREOF, the Company has caused this instrument to be duly executed.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GRAHAM HOLDINGS COMPANY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84" w:name="page85"/>
    <w:bookmarkEnd w:id="84"/>
    <w:p>
      <w:pPr>
        <w:ind w:left="4200"/>
        <w:spacing w:after="0"/>
        <w:rPr>
          <w:sz w:val="20"/>
          <w:szCs w:val="20"/>
          <w:color w:val="auto"/>
        </w:rPr>
      </w:pPr>
      <w:r>
        <w:rPr>
          <w:rFonts w:ascii="Arial" w:cs="Arial" w:eastAsia="Arial" w:hAnsi="Arial"/>
          <w:sz w:val="18"/>
          <w:szCs w:val="18"/>
          <w:color w:val="auto"/>
        </w:rPr>
        <w:t>CERTIFICATE OF AUTHENTICATION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 TRUST</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 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[Reverse Side of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2026</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64" w:lineRule="exact"/>
        <w:rPr>
          <w:sz w:val="20"/>
          <w:szCs w:val="20"/>
          <w:color w:val="auto"/>
        </w:rPr>
      </w:pPr>
    </w:p>
    <w:p>
      <w:pPr>
        <w:ind w:left="-20" w:right="60" w:firstLine="1305"/>
        <w:spacing w:after="0" w:line="253" w:lineRule="auto"/>
        <w:tabs>
          <w:tab w:leader="none" w:pos="16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INTEREST. Graham Holdings Company,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interest on the principal amount of this Note at 5.750% per annum until but excluding maturity. The Company shall pay interest semi-annually in arrears on June 1 and December 1 of each year, or if any such day is not a Business Day, on the next succeeding Business Day (each, an “</w:t>
      </w:r>
      <w:r>
        <w:rPr>
          <w:rFonts w:ascii="Arial" w:cs="Arial" w:eastAsia="Arial" w:hAnsi="Arial"/>
          <w:sz w:val="18"/>
          <w:szCs w:val="18"/>
          <w:i w:val="1"/>
          <w:iCs w:val="1"/>
          <w:color w:val="auto"/>
        </w:rPr>
        <w:t>Interest Payment Date</w:t>
      </w:r>
      <w:r>
        <w:rPr>
          <w:rFonts w:ascii="Arial" w:cs="Arial" w:eastAsia="Arial" w:hAnsi="Arial"/>
          <w:sz w:val="18"/>
          <w:szCs w:val="18"/>
          <w:color w:val="auto"/>
        </w:rPr>
        <w:t xml:space="preserve">”). Interest on the Notes shall accrue from the most recent date to which interest has been paid or, if no interest has been paid, from and including May 30, 2018;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Interest Payment Date shall be December 1, 2018. The Company shall pay interest (including post-petition interest in any proceeding under any Bankruptcy Law) on overdue principal and premium, if any, from time to time on demand at the interest rate on the Notes to the extent lawful; it shall pay interest (including post-petition interest in any proceeding under any Bankruptcy Law) on overdue installments of interest (without regard to any applicable grace periods) from time to time on demand at the interest rate on the Notes to the extent lawful. Interest shall be computed on the basis of a 360-day year comprised of twelve 30-day months.</w:t>
      </w:r>
    </w:p>
    <w:p>
      <w:pPr>
        <w:spacing w:after="0" w:line="224" w:lineRule="exact"/>
        <w:rPr>
          <w:rFonts w:ascii="Arial" w:cs="Arial" w:eastAsia="Arial" w:hAnsi="Arial"/>
          <w:sz w:val="18"/>
          <w:szCs w:val="18"/>
          <w:color w:val="auto"/>
        </w:rPr>
      </w:pPr>
    </w:p>
    <w:p>
      <w:pPr>
        <w:ind w:left="-20" w:right="80" w:firstLine="1305"/>
        <w:spacing w:after="0" w:line="270" w:lineRule="auto"/>
        <w:tabs>
          <w:tab w:leader="none" w:pos="168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METHOD OF PAYMENT. The Company shall pay interest on the Notes to the Persons who are registered Holders at the close of business on the May 15 or November 15 (whether or not a Business Day), as the case may be, immediately preceding the related Interest Payment Date, even if such Notes are canceled after such Record Date and on or before such Interest Payment Date, except as provided in Section 2.12 of the Indenture with respect to defaulted interest. Principal, premium, if any, and interest on the Notes shall be payable at the office or agency of the Company maintained for such purpose or, at the option of the Company, payment of interest and premium, if any, may be made by check mailed to the Holders at their respective addresses set forth in the Note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premium, if any, and interest on all Global Notes and all other Notes the Holders of which shall have provided wire transfer instructions to the Company or the Paying Agent at least five Business Days prior to the applicable payment date. Such payment shall be in such coin or currency of the United States as at the time of payment is legal tender for payment of public and private debts.</w:t>
      </w:r>
    </w:p>
    <w:p>
      <w:pPr>
        <w:spacing w:after="0" w:line="208" w:lineRule="exact"/>
        <w:rPr>
          <w:rFonts w:ascii="Arial" w:cs="Arial" w:eastAsia="Arial" w:hAnsi="Arial"/>
          <w:sz w:val="17"/>
          <w:szCs w:val="17"/>
          <w:color w:val="auto"/>
        </w:rPr>
      </w:pPr>
    </w:p>
    <w:p>
      <w:pPr>
        <w:ind w:left="-20" w:firstLine="1305"/>
        <w:spacing w:after="0" w:line="264" w:lineRule="auto"/>
        <w:tabs>
          <w:tab w:leader="none" w:pos="16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PAYING AGENT AND REGISTRAR. Initially, The Bank of New York Mellon Trust Company, N.A., the Trustee under the Indenture, shall act as Paying Agent and Registrar. The Company may change any Paying Agent or Registrar without notice to the Holders. The Company or any of its Subsidiaries may act in any such capacity.</w:t>
      </w:r>
    </w:p>
    <w:p>
      <w:pPr>
        <w:spacing w:after="0" w:line="208" w:lineRule="exact"/>
        <w:rPr>
          <w:rFonts w:ascii="Arial" w:cs="Arial" w:eastAsia="Arial" w:hAnsi="Arial"/>
          <w:sz w:val="18"/>
          <w:szCs w:val="18"/>
          <w:color w:val="auto"/>
        </w:rPr>
      </w:pPr>
    </w:p>
    <w:p>
      <w:pPr>
        <w:ind w:left="-20" w:right="20" w:firstLine="1305"/>
        <w:spacing w:after="0" w:line="291" w:lineRule="auto"/>
        <w:tabs>
          <w:tab w:leader="none" w:pos="168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INDENTURE. The Company issued the Notes under an Indenture, dated as of May 30, 2018 (as amended or supplemented from time to time, the “</w:t>
      </w:r>
      <w:r>
        <w:rPr>
          <w:rFonts w:ascii="Arial" w:cs="Arial" w:eastAsia="Arial" w:hAnsi="Arial"/>
          <w:sz w:val="16"/>
          <w:szCs w:val="16"/>
          <w:i w:val="1"/>
          <w:iCs w:val="1"/>
          <w:color w:val="auto"/>
        </w:rPr>
        <w:t>Indenture</w:t>
      </w:r>
      <w:r>
        <w:rPr>
          <w:rFonts w:ascii="Arial" w:cs="Arial" w:eastAsia="Arial" w:hAnsi="Arial"/>
          <w:sz w:val="16"/>
          <w:szCs w:val="16"/>
          <w:color w:val="auto"/>
        </w:rPr>
        <w:t>”), among Graham Holdings Company, the Subsidiary Guarantors named therein and the Trustee. This Note is one of a duly authorized issue of Notes of the Company designated as its 5.750% Senior Notes due 2026. The Company shall be entitled to issue Additional Notes pursuant to Section 2.01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86" w:name="page87"/>
    <w:bookmarkEnd w:id="86"/>
    <w:p>
      <w:pPr>
        <w:jc w:val="both"/>
        <w:ind w:firstLine="1305"/>
        <w:spacing w:after="0" w:line="264" w:lineRule="auto"/>
        <w:tabs>
          <w:tab w:leader="none" w:pos="17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REDEMPTION AND REPURCHASE. The Notes are subject to optional redemption, and may be the subject of a Change of Control Offer, as further described in the Indenture. The Company shall not be required to make mandatory redemption or sinking fund payments with respect to the Notes.</w:t>
      </w:r>
    </w:p>
    <w:p>
      <w:pPr>
        <w:spacing w:after="0" w:line="208" w:lineRule="exact"/>
        <w:rPr>
          <w:rFonts w:ascii="Arial" w:cs="Arial" w:eastAsia="Arial" w:hAnsi="Arial"/>
          <w:sz w:val="18"/>
          <w:szCs w:val="18"/>
          <w:color w:val="auto"/>
        </w:rPr>
      </w:pPr>
    </w:p>
    <w:p>
      <w:pPr>
        <w:ind w:right="20" w:firstLine="1305"/>
        <w:spacing w:after="0" w:line="255" w:lineRule="auto"/>
        <w:tabs>
          <w:tab w:leader="none" w:pos="17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or tendered for repurchase in connection with a Change of Control Offer, except for the unredeemed portion of any Note being redeemed or repurchased in part.</w:t>
      </w:r>
    </w:p>
    <w:p>
      <w:pPr>
        <w:spacing w:after="0" w:line="220" w:lineRule="exact"/>
        <w:rPr>
          <w:rFonts w:ascii="Arial" w:cs="Arial" w:eastAsia="Arial" w:hAnsi="Arial"/>
          <w:sz w:val="18"/>
          <w:szCs w:val="18"/>
          <w:color w:val="auto"/>
        </w:rPr>
      </w:pPr>
    </w:p>
    <w:p>
      <w:pPr>
        <w:ind w:left="1720" w:hanging="415"/>
        <w:spacing w:after="0"/>
        <w:tabs>
          <w:tab w:leader="none" w:pos="1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52" w:lineRule="exact"/>
        <w:rPr>
          <w:rFonts w:ascii="Arial" w:cs="Arial" w:eastAsia="Arial" w:hAnsi="Arial"/>
          <w:sz w:val="18"/>
          <w:szCs w:val="18"/>
          <w:color w:val="auto"/>
        </w:rPr>
      </w:pPr>
    </w:p>
    <w:p>
      <w:pPr>
        <w:ind w:right="540" w:firstLine="1305"/>
        <w:spacing w:after="0" w:line="277" w:lineRule="auto"/>
        <w:tabs>
          <w:tab w:leader="none" w:pos="17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Subsidiary Guarantees or the Notes may be amended or supplemented as provided in the Indenture.</w:t>
      </w:r>
    </w:p>
    <w:p>
      <w:pPr>
        <w:spacing w:after="0" w:line="197" w:lineRule="exact"/>
        <w:rPr>
          <w:rFonts w:ascii="Arial" w:cs="Arial" w:eastAsia="Arial" w:hAnsi="Arial"/>
          <w:sz w:val="18"/>
          <w:szCs w:val="18"/>
          <w:color w:val="auto"/>
        </w:rPr>
      </w:pPr>
    </w:p>
    <w:p>
      <w:pPr>
        <w:jc w:val="both"/>
        <w:ind w:right="140" w:firstLine="1305"/>
        <w:spacing w:after="0" w:line="264" w:lineRule="auto"/>
        <w:tabs>
          <w:tab w:leader="none" w:pos="17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Notes are defined in Section 6.01 of the Indenture. Upon the occurrence of an Event of Default, the rights and obligations of the Company, the Subsidiary Guarantors, the Trustee and the Holders shall be as set forth in the applicable provisions of the Indenture.</w:t>
      </w:r>
    </w:p>
    <w:p>
      <w:pPr>
        <w:spacing w:after="0" w:line="208" w:lineRule="exact"/>
        <w:rPr>
          <w:rFonts w:ascii="Arial" w:cs="Arial" w:eastAsia="Arial" w:hAnsi="Arial"/>
          <w:sz w:val="18"/>
          <w:szCs w:val="18"/>
          <w:color w:val="auto"/>
        </w:rPr>
      </w:pPr>
    </w:p>
    <w:p>
      <w:pPr>
        <w:ind w:right="220" w:firstLine="1305"/>
        <w:spacing w:after="0" w:line="277" w:lineRule="auto"/>
        <w:tabs>
          <w:tab w:leader="none" w:pos="179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97" w:lineRule="exact"/>
        <w:rPr>
          <w:rFonts w:ascii="Arial" w:cs="Arial" w:eastAsia="Arial" w:hAnsi="Arial"/>
          <w:sz w:val="18"/>
          <w:szCs w:val="18"/>
          <w:color w:val="auto"/>
        </w:rPr>
      </w:pPr>
    </w:p>
    <w:p>
      <w:pPr>
        <w:ind w:right="40" w:firstLine="1305"/>
        <w:spacing w:after="0" w:line="277" w:lineRule="auto"/>
        <w:tabs>
          <w:tab w:leader="none" w:pos="17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GOVERNING LAW. THIS NOTE WILL BE GOVERNED BY, AND CONSTRUED IN ACCORDANCE WITH, THE LAWS OF THE STATE OF NEW YORK.</w:t>
      </w:r>
    </w:p>
    <w:p>
      <w:pPr>
        <w:spacing w:after="0" w:line="197" w:lineRule="exact"/>
        <w:rPr>
          <w:rFonts w:ascii="Arial" w:cs="Arial" w:eastAsia="Arial" w:hAnsi="Arial"/>
          <w:sz w:val="18"/>
          <w:szCs w:val="18"/>
          <w:color w:val="auto"/>
        </w:rPr>
      </w:pPr>
    </w:p>
    <w:p>
      <w:pPr>
        <w:jc w:val="both"/>
        <w:ind w:right="100" w:firstLine="1305"/>
        <w:spacing w:after="0" w:line="279" w:lineRule="auto"/>
        <w:tabs>
          <w:tab w:leader="none" w:pos="179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shall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at the following address: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Graham Holdings Company</w:t>
      </w:r>
    </w:p>
    <w:p>
      <w:pPr>
        <w:jc w:val="center"/>
        <w:ind w:right="-79"/>
        <w:spacing w:after="0" w:line="186" w:lineRule="auto"/>
        <w:rPr>
          <w:sz w:val="20"/>
          <w:szCs w:val="20"/>
          <w:color w:val="auto"/>
        </w:rPr>
      </w:pPr>
      <w:r>
        <w:rPr>
          <w:rFonts w:ascii="Arial" w:cs="Arial" w:eastAsia="Arial" w:hAnsi="Arial"/>
          <w:sz w:val="17"/>
          <w:szCs w:val="17"/>
          <w:color w:val="auto"/>
        </w:rPr>
        <w:t>1300 North 17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17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Arlington, VA 22209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Fax No.: (703) 345-6545</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Nicole.Maddrey@ghco.com</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Nicole M. Maddrey</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22"/>
          <w:szCs w:val="22"/>
          <w:color w:val="auto"/>
        </w:rPr>
        <w:t>ASSIGNMENT FORM</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right="8920" w:firstLine="8"/>
        <w:spacing w:after="0" w:line="274" w:lineRule="auto"/>
        <w:tabs>
          <w:tab w:leader="none" w:pos="2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ind w:left="60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-130175</wp:posOffset>
            </wp:positionV>
            <wp:extent cx="5454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____________________________________________________ to transfer this Note on the books of the Company.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-121920</wp:posOffset>
            </wp:positionV>
            <wp:extent cx="1741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3"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(Sign exactly as your name appears on the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-115570</wp:posOffset>
            </wp:positionV>
            <wp:extent cx="2178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6"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of this Note)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OF TRANSFERS OF TRANSFER RESTRICTED NOTES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relates to $_________ aggregate principal amount of Notes held in (check applicable space) ____ book-entry or _____ definitive form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undersigned.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(check one box below):</w:t>
      </w:r>
    </w:p>
    <w:p>
      <w:pPr>
        <w:spacing w:after="0" w:line="252" w:lineRule="exact"/>
        <w:rPr>
          <w:sz w:val="20"/>
          <w:szCs w:val="20"/>
          <w:color w:val="auto"/>
        </w:rPr>
      </w:pPr>
    </w:p>
    <w:p>
      <w:pPr>
        <w:jc w:val="both"/>
        <w:ind w:left="660" w:hanging="652"/>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the undersigned confirms that such Notes are being transferred in accordance with its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the Company or subsidiary thereof;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the Registrar for registration in the name of the Holder, without transfer;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pursuant to an effective registration statement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w:t>
      </w:r>
    </w:p>
    <w:p>
      <w:pPr>
        <w:spacing w:after="0" w:line="252" w:lineRule="exact"/>
        <w:rPr>
          <w:rFonts w:ascii="Arial" w:cs="Arial" w:eastAsia="Arial" w:hAnsi="Arial"/>
          <w:sz w:val="18"/>
          <w:szCs w:val="18"/>
          <w:color w:val="auto"/>
        </w:rPr>
      </w:pPr>
    </w:p>
    <w:p>
      <w:pPr>
        <w:ind w:left="1960" w:right="120" w:hanging="1304"/>
        <w:spacing w:after="0" w:line="288" w:lineRule="auto"/>
        <w:tabs>
          <w:tab w:leader="none" w:pos="13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a Person that the undersigned reasonably believes is a “qualified institutional buyer” (as defined in Rule 144A under the Securities Act (“</w:t>
      </w:r>
      <w:r>
        <w:rPr>
          <w:rFonts w:ascii="Arial" w:cs="Arial" w:eastAsia="Arial" w:hAnsi="Arial"/>
          <w:sz w:val="16"/>
          <w:szCs w:val="16"/>
          <w:i w:val="1"/>
          <w:iCs w:val="1"/>
          <w:color w:val="auto"/>
        </w:rPr>
        <w:t>Rule 144A</w:t>
      </w:r>
      <w:r>
        <w:rPr>
          <w:rFonts w:ascii="Arial" w:cs="Arial" w:eastAsia="Arial" w:hAnsi="Arial"/>
          <w:sz w:val="16"/>
          <w:szCs w:val="16"/>
          <w:color w:val="auto"/>
        </w:rPr>
        <w:t>”)) that purchases for its own account or for the account of a qualified institutional buyer and to whom notice is given that such transfer is being made in reliance on Rule 144A, in each case pursuant to and in compliance with</w:t>
      </w:r>
    </w:p>
    <w:p>
      <w:pPr>
        <w:ind w:left="1960"/>
        <w:spacing w:after="0"/>
        <w:rPr>
          <w:rFonts w:ascii="Arial" w:cs="Arial" w:eastAsia="Arial" w:hAnsi="Arial"/>
          <w:sz w:val="18"/>
          <w:szCs w:val="18"/>
          <w:color w:val="auto"/>
        </w:rPr>
      </w:pPr>
      <w:r>
        <w:rPr>
          <w:rFonts w:ascii="Arial" w:cs="Arial" w:eastAsia="Arial" w:hAnsi="Arial"/>
          <w:sz w:val="18"/>
          <w:szCs w:val="18"/>
          <w:color w:val="auto"/>
        </w:rPr>
        <w:t>Rule 144A; or</w:t>
      </w:r>
    </w:p>
    <w:p>
      <w:pPr>
        <w:spacing w:after="0" w:line="237" w:lineRule="exact"/>
        <w:rPr>
          <w:rFonts w:ascii="Arial" w:cs="Arial" w:eastAsia="Arial" w:hAnsi="Arial"/>
          <w:sz w:val="18"/>
          <w:szCs w:val="18"/>
          <w:color w:val="auto"/>
        </w:rPr>
      </w:pPr>
    </w:p>
    <w:p>
      <w:pPr>
        <w:ind w:left="1960" w:right="80" w:hanging="1304"/>
        <w:spacing w:after="0" w:line="264" w:lineRule="auto"/>
        <w:tabs>
          <w:tab w:leader="none" w:pos="13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pursuant to Rule 144 under the Securities Act;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pursuant to another available exemption from registration under the Securities Act.</w:t>
      </w:r>
    </w:p>
    <w:p>
      <w:pPr>
        <w:spacing w:after="0" w:line="252"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box (5), (6), or (7) is checked, the Company or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89" w:name="page90"/>
    <w:bookmarkEnd w:id="89"/>
    <w:p>
      <w:pPr>
        <w:ind w:left="56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2804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Signature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12604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-130175</wp:posOffset>
            </wp:positionV>
            <wp:extent cx="2804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Subsidiary Guarantor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(4) ABOVE IS CHECKED.</w:t>
      </w:r>
    </w:p>
    <w:p>
      <w:pPr>
        <w:spacing w:after="0" w:line="252"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NOTICE: To be executed by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12522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-130175</wp:posOffset>
            </wp:positionV>
            <wp:extent cx="2804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90" w:name="page91"/>
    <w:bookmarkEnd w:id="90"/>
    <w:p>
      <w:pPr>
        <w:ind w:left="2140"/>
        <w:spacing w:after="0"/>
        <w:rPr>
          <w:sz w:val="20"/>
          <w:szCs w:val="20"/>
          <w:color w:val="auto"/>
        </w:rPr>
      </w:pPr>
      <w:r>
        <w:rPr>
          <w:rFonts w:ascii="Arial" w:cs="Arial" w:eastAsia="Arial" w:hAnsi="Arial"/>
          <w:sz w:val="18"/>
          <w:szCs w:val="18"/>
          <w:color w:val="auto"/>
        </w:rPr>
        <w:t>TO BE COMPLETED IF THE HOLDER REQUIRES AN EXCHANGE FROM A</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REGULATION S GLOBAL NOTE TO AN UNRESTRICTED GLOBAL NOTE,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PURSUANT TO SECTION 1.3(d)(iii) OF APPENDIX A TO THE INDENTURE</w:t>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undersigned represents and warrants that either:</w:t>
      </w:r>
    </w:p>
    <w:p>
      <w:pPr>
        <w:spacing w:after="0" w:line="225" w:lineRule="exact"/>
        <w:rPr>
          <w:sz w:val="20"/>
          <w:szCs w:val="20"/>
          <w:color w:val="auto"/>
        </w:rPr>
      </w:pPr>
    </w:p>
    <w:p>
      <w:pPr>
        <w:ind w:left="720" w:right="260" w:hanging="644"/>
        <w:spacing w:after="0" w:line="277"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undersigned is not a dealer (as defined in the Securities Act) and is a non-U.S. person (within the meaning of Regulation S under the Securities Act); or</w:t>
      </w:r>
    </w:p>
    <w:p>
      <w:pPr>
        <w:spacing w:after="0" w:line="170" w:lineRule="exact"/>
        <w:rPr>
          <w:rFonts w:ascii="Arial" w:cs="Arial" w:eastAsia="Arial" w:hAnsi="Arial"/>
          <w:sz w:val="18"/>
          <w:szCs w:val="18"/>
          <w:color w:val="auto"/>
        </w:rPr>
      </w:pPr>
    </w:p>
    <w:p>
      <w:pPr>
        <w:ind w:left="720" w:right="600" w:hanging="644"/>
        <w:spacing w:after="0" w:line="258"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undersigned is not a dealer (as defined in the Securities Act) and is a U.S. person (within the meaning of Regulation S under the Securities Act) who purchased</w:t>
      </w:r>
    </w:p>
    <w:p>
      <w:pPr>
        <w:spacing w:after="0" w:line="1" w:lineRule="exact"/>
        <w:rPr>
          <w:rFonts w:ascii="Arial" w:cs="Arial" w:eastAsia="Arial" w:hAnsi="Arial"/>
          <w:sz w:val="18"/>
          <w:szCs w:val="18"/>
          <w:color w:val="auto"/>
        </w:rPr>
      </w:pPr>
    </w:p>
    <w:p>
      <w:pPr>
        <w:ind w:left="720" w:right="260"/>
        <w:spacing w:after="0" w:line="261" w:lineRule="auto"/>
        <w:rPr>
          <w:rFonts w:ascii="Arial" w:cs="Arial" w:eastAsia="Arial" w:hAnsi="Arial"/>
          <w:sz w:val="18"/>
          <w:szCs w:val="18"/>
          <w:color w:val="auto"/>
        </w:rPr>
      </w:pPr>
      <w:r>
        <w:rPr>
          <w:rFonts w:ascii="Arial" w:cs="Arial" w:eastAsia="Arial" w:hAnsi="Arial"/>
          <w:sz w:val="18"/>
          <w:szCs w:val="18"/>
          <w:color w:val="auto"/>
        </w:rPr>
        <w:t>interests in the Notes pursuant to an exemption from, or in a transaction not subject to, the registration requirements under the Securities Act; or</w:t>
      </w:r>
    </w:p>
    <w:p>
      <w:pPr>
        <w:spacing w:after="0" w:line="183" w:lineRule="exact"/>
        <w:rPr>
          <w:rFonts w:ascii="Arial" w:cs="Arial" w:eastAsia="Arial" w:hAnsi="Arial"/>
          <w:sz w:val="18"/>
          <w:szCs w:val="18"/>
          <w:color w:val="auto"/>
        </w:rPr>
      </w:pPr>
    </w:p>
    <w:p>
      <w:pPr>
        <w:ind w:left="720" w:hanging="644"/>
        <w:spacing w:after="0" w:line="258"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undersigned is a dealer (as defined in the Securities Act) and the interest of the undersigned in this Note does not constitute the whole or a part of an unsold</w:t>
      </w:r>
    </w:p>
    <w:p>
      <w:pPr>
        <w:spacing w:after="0" w:line="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allotment to or subscription by such dealer for the Notes.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56940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00"/>
          </w:cols>
          <w:pgMar w:left="820" w:top="611" w:right="279" w:bottom="1440" w:gutter="0" w:footer="0" w:header="0"/>
        </w:sectPr>
      </w:pPr>
    </w:p>
    <w:bookmarkStart w:id="91" w:name="page92"/>
    <w:bookmarkEnd w:id="91"/>
    <w:p>
      <w:pPr>
        <w:jc w:val="center"/>
        <w:ind w:right="-299"/>
        <w:spacing w:after="0"/>
        <w:rPr>
          <w:sz w:val="20"/>
          <w:szCs w:val="20"/>
          <w:color w:val="auto"/>
        </w:rPr>
      </w:pPr>
      <w:r>
        <w:rPr>
          <w:rFonts w:ascii="Arial" w:cs="Arial" w:eastAsia="Arial" w:hAnsi="Arial"/>
          <w:sz w:val="18"/>
          <w:szCs w:val="18"/>
          <w:color w:val="auto"/>
        </w:rPr>
        <w:t>OPTION OF HOLDER TO ELECT PURCHASE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want to elect to have this Note purchased by the Company pursuant to Section 4.08 of the Indenture, check the box below:</w:t>
      </w: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 Section 4.08</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you want to elect to have only part of this Note purchased by the Company pursuant to Section 4.08 of the Indenture, state the amount you elect to have purchased: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$_______________ (integral multiples of $1,000,</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unpurchased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portion must be in a minimum</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amount of $2,000)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Your Signature: ________________________________</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(Sign exactly as your name appears on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the face of this Note)</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Tax Identification No.: 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initial outstanding principal amount of this Global Note is $__________. The following exchanges of a part of this Global Note for an</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interest in another Global Note or for a Definitive Note, or exchanges of a part of another Global Note or Definitive Note for an interest in this Global Note, have been made: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Amount of decrease in</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Amount of increase</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Amount of this</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Amount of</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 Principal Amount of</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Global Note following</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signatory of Trustee,</w:t>
            </w:r>
          </w:p>
        </w:tc>
      </w:tr>
      <w:tr>
        <w:trPr>
          <w:trHeight w:val="237"/>
        </w:trPr>
        <w:tc>
          <w:tcPr>
            <w:tcW w:w="1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Date of Exchange</w:t>
            </w:r>
          </w:p>
        </w:tc>
        <w:tc>
          <w:tcPr>
            <w:tcW w:w="2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this Global Note</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this Global Note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such decrease or increase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Depositary or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38" w:lineRule="exact"/>
        <w:rPr>
          <w:sz w:val="20"/>
          <w:szCs w:val="20"/>
          <w:color w:val="auto"/>
        </w:rPr>
      </w:pPr>
    </w:p>
    <w:p>
      <w:pPr>
        <w:jc w:val="both"/>
        <w:ind w:right="140" w:firstLine="1297"/>
        <w:spacing w:after="0" w:line="342" w:lineRule="auto"/>
        <w:rPr>
          <w:sz w:val="20"/>
          <w:szCs w:val="20"/>
          <w:color w:val="auto"/>
        </w:rPr>
      </w:pPr>
      <w:r>
        <w:rPr>
          <w:rFonts w:ascii="Arial" w:cs="Arial" w:eastAsia="Arial" w:hAnsi="Arial"/>
          <w:sz w:val="16"/>
          <w:szCs w:val="16"/>
          <w:color w:val="auto"/>
        </w:rPr>
        <w:t>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 20[•], among [•]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Graham Holdings Company,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The Bank of New York Mellon Trust Company, N.A., as trustee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WHEREAS, each of the Company and the Subsidiary Guarantors (as defined in the Indenture referred to below)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May 30, 2018 providing for the issuance of an unlimited aggregate principal amount of 5.750%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pursuant to Section 9.01 of the Indenture, the Trustee is authorized to execute and deliver this Supplemental Indenture.</w:t>
      </w:r>
    </w:p>
    <w:p>
      <w:pPr>
        <w:spacing w:after="0" w:line="264"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97" w:lineRule="exact"/>
        <w:rPr>
          <w:sz w:val="20"/>
          <w:szCs w:val="20"/>
          <w:color w:val="auto"/>
        </w:rPr>
      </w:pPr>
    </w:p>
    <w:p>
      <w:pPr>
        <w:ind w:left="1720" w:hanging="415"/>
        <w:spacing w:after="0"/>
        <w:tabs>
          <w:tab w:leader="none" w:pos="172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263" w:lineRule="exact"/>
        <w:rPr>
          <w:rFonts w:ascii="Arial" w:cs="Arial" w:eastAsia="Arial" w:hAnsi="Arial"/>
          <w:sz w:val="17"/>
          <w:szCs w:val="17"/>
          <w:color w:val="auto"/>
        </w:rPr>
      </w:pPr>
    </w:p>
    <w:p>
      <w:pPr>
        <w:ind w:right="100" w:firstLine="1305"/>
        <w:spacing w:after="0" w:line="277" w:lineRule="auto"/>
        <w:tabs>
          <w:tab w:leader="none" w:pos="170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Subsidiary Guarantor</w:t>
      </w:r>
      <w:r>
        <w:rPr>
          <w:rFonts w:ascii="Arial" w:cs="Arial" w:eastAsia="Arial" w:hAnsi="Arial"/>
          <w:sz w:val="18"/>
          <w:szCs w:val="18"/>
          <w:color w:val="auto"/>
        </w:rPr>
        <w:t>. The Guaranteeing Subsidiary hereby agrees to be a Subsidiary Guarantor under the Indenture and to be bound by the terms of the Indenture applicable to Subsidiary Guarantors, including Article 10 thereof.</w:t>
      </w:r>
    </w:p>
    <w:p>
      <w:pPr>
        <w:spacing w:after="0" w:line="197" w:lineRule="exact"/>
        <w:rPr>
          <w:rFonts w:ascii="Arial" w:cs="Arial" w:eastAsia="Arial" w:hAnsi="Arial"/>
          <w:sz w:val="18"/>
          <w:szCs w:val="18"/>
          <w:color w:val="auto"/>
        </w:rPr>
      </w:pPr>
    </w:p>
    <w:p>
      <w:pPr>
        <w:ind w:right="320" w:firstLine="1305"/>
        <w:spacing w:after="0" w:line="277" w:lineRule="auto"/>
        <w:tabs>
          <w:tab w:leader="none" w:pos="170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97" w:lineRule="exact"/>
        <w:rPr>
          <w:rFonts w:ascii="Arial" w:cs="Arial" w:eastAsia="Arial" w:hAnsi="Arial"/>
          <w:sz w:val="18"/>
          <w:szCs w:val="18"/>
          <w:color w:val="auto"/>
        </w:rPr>
      </w:pPr>
    </w:p>
    <w:p>
      <w:pPr>
        <w:jc w:val="both"/>
        <w:ind w:right="220" w:firstLine="1305"/>
        <w:spacing w:after="0" w:line="259" w:lineRule="auto"/>
        <w:tabs>
          <w:tab w:leader="none" w:pos="170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GUARANTEEING SUBSIDIARY AND THE TRUSTEE HEREBY IRREVOCABLY WAIVES, TO THE FULLEST EXTENT PERMITTED BY APPLICABLE LAW, ANY AND ALL RIGHT TO TRIAL BY JURY IN ANY LEGAL PROCEEDING ARISING OUT OF OR RELATING TO THIS SUPPLEMENTAL INDENTURE, THE INDENTURE, THE NOTES, THE SUBSIDIARY GUARANTEES OR THE TRANSACTIONS CONTEMPLATED HEREBY OR THEREBY.</w:t>
      </w:r>
    </w:p>
    <w:p>
      <w:pPr>
        <w:spacing w:after="0" w:line="213" w:lineRule="exact"/>
        <w:rPr>
          <w:rFonts w:ascii="Arial" w:cs="Arial" w:eastAsia="Arial" w:hAnsi="Arial"/>
          <w:sz w:val="18"/>
          <w:szCs w:val="18"/>
          <w:color w:val="auto"/>
        </w:rPr>
      </w:pPr>
    </w:p>
    <w:p>
      <w:pPr>
        <w:ind w:right="120" w:firstLine="1305"/>
        <w:spacing w:after="0" w:line="277" w:lineRule="auto"/>
        <w:tabs>
          <w:tab w:leader="none" w:pos="170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120" w:firstLine="1305"/>
        <w:spacing w:after="0" w:line="308" w:lineRule="auto"/>
        <w:tabs>
          <w:tab w:leader="none" w:pos="1589"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36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GUARANTEEING SUBSIDIARY]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 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1080"/>
          </w:cols>
          <w:pgMar w:left="240" w:top="368" w:right="579" w:bottom="1440" w:gutter="0" w:footer="0" w:header="0"/>
        </w:sectPr>
      </w:pPr>
    </w:p>
    <w:bookmarkStart w:id="96" w:name="page97"/>
    <w:bookmarkEnd w:id="96"/>
    <w:p>
      <w:pPr>
        <w:ind w:left="10220"/>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$400,000,000</w:t>
      </w:r>
    </w:p>
    <w:p>
      <w:pPr>
        <w:spacing w:after="0" w:line="23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Graham Holdings Company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ind w:left="120"/>
        <w:spacing w:after="0" w:line="235" w:lineRule="auto"/>
        <w:rPr>
          <w:sz w:val="20"/>
          <w:szCs w:val="20"/>
          <w:color w:val="auto"/>
        </w:rPr>
      </w:pPr>
      <w:r>
        <w:rPr>
          <w:rFonts w:ascii="Arial" w:cs="Arial" w:eastAsia="Arial" w:hAnsi="Arial"/>
          <w:sz w:val="22"/>
          <w:szCs w:val="22"/>
          <w:color w:val="auto"/>
        </w:rPr>
        <w:t>As Representative of the</w:t>
      </w:r>
    </w:p>
    <w:p>
      <w:pPr>
        <w:ind w:left="100"/>
        <w:spacing w:after="0" w:line="236" w:lineRule="auto"/>
        <w:rPr>
          <w:sz w:val="20"/>
          <w:szCs w:val="20"/>
          <w:color w:val="auto"/>
        </w:rPr>
      </w:pPr>
      <w:r>
        <w:rPr>
          <w:rFonts w:ascii="Arial" w:cs="Arial" w:eastAsia="Arial" w:hAnsi="Arial"/>
          <w:sz w:val="18"/>
          <w:szCs w:val="18"/>
          <w:color w:val="auto"/>
        </w:rPr>
        <w:t>several Initial Purchasers listed</w:t>
      </w:r>
    </w:p>
    <w:p>
      <w:pPr>
        <w:ind w:left="100"/>
        <w:spacing w:after="0" w:line="234" w:lineRule="auto"/>
        <w:rPr>
          <w:sz w:val="20"/>
          <w:szCs w:val="20"/>
          <w:color w:val="auto"/>
        </w:rPr>
      </w:pPr>
      <w:r>
        <w:rPr>
          <w:rFonts w:ascii="Arial" w:cs="Arial" w:eastAsia="Arial" w:hAnsi="Arial"/>
          <w:sz w:val="18"/>
          <w:szCs w:val="18"/>
          <w:color w:val="auto"/>
        </w:rPr>
        <w:t>in Schedule 1 hereto</w:t>
      </w:r>
    </w:p>
    <w:p>
      <w:pPr>
        <w:spacing w:after="0" w:line="235" w:lineRule="auto"/>
        <w:rPr>
          <w:sz w:val="20"/>
          <w:szCs w:val="20"/>
          <w:color w:val="auto"/>
        </w:rPr>
      </w:pPr>
      <w:r>
        <w:rPr>
          <w:rFonts w:ascii="Arial" w:cs="Arial" w:eastAsia="Arial" w:hAnsi="Arial"/>
          <w:sz w:val="18"/>
          <w:szCs w:val="18"/>
          <w:color w:val="auto"/>
        </w:rPr>
        <w:t>c/o J.P. Morgan Securities LLC</w:t>
      </w:r>
    </w:p>
    <w:p>
      <w:pPr>
        <w:spacing w:after="0" w:line="235" w:lineRule="auto"/>
        <w:rPr>
          <w:sz w:val="20"/>
          <w:szCs w:val="20"/>
          <w:color w:val="auto"/>
        </w:rPr>
      </w:pPr>
      <w:r>
        <w:rPr>
          <w:rFonts w:ascii="Arial" w:cs="Arial" w:eastAsia="Arial" w:hAnsi="Arial"/>
          <w:sz w:val="18"/>
          <w:szCs w:val="18"/>
          <w:color w:val="auto"/>
        </w:rPr>
        <w:t>383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Graham Holdings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issue and sell to the several initial purchasers listed in Schedule 1 hereto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 for whom you are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$400,000,000 principal amount of its 5.750% Senior Notes due 2026 (the “</w:t>
      </w:r>
      <w:r>
        <w:rPr>
          <w:rFonts w:ascii="Arial" w:cs="Arial" w:eastAsia="Arial" w:hAnsi="Arial"/>
          <w:sz w:val="18"/>
          <w:szCs w:val="18"/>
          <w:u w:val="single" w:color="auto"/>
          <w:color w:val="auto"/>
        </w:rPr>
        <w:t>Securities</w:t>
      </w:r>
      <w:r>
        <w:rPr>
          <w:rFonts w:ascii="Arial" w:cs="Arial" w:eastAsia="Arial" w:hAnsi="Arial"/>
          <w:sz w:val="18"/>
          <w:szCs w:val="18"/>
          <w:color w:val="auto"/>
        </w:rPr>
        <w:t>”). The Securities will be issued pursuant to an Indenture to be dated as of May 30, 2018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Company, the guarantors listed in Schedule 2 hereto (the “</w:t>
      </w:r>
      <w:r>
        <w:rPr>
          <w:rFonts w:ascii="Arial" w:cs="Arial" w:eastAsia="Arial" w:hAnsi="Arial"/>
          <w:sz w:val="18"/>
          <w:szCs w:val="18"/>
          <w:u w:val="single" w:color="auto"/>
          <w:color w:val="auto"/>
        </w:rPr>
        <w:t>Guarantors</w:t>
      </w:r>
      <w:r>
        <w:rPr>
          <w:rFonts w:ascii="Arial" w:cs="Arial" w:eastAsia="Arial" w:hAnsi="Arial"/>
          <w:sz w:val="18"/>
          <w:szCs w:val="18"/>
          <w:color w:val="auto"/>
        </w:rPr>
        <w:t>”) and The Bank of New York Mellon Trust Company,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and will be guaranteed on an unsecured senior basis by each of the Guarantors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23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Company and the Guarantors hereby confirm their agreement with the several Initial Purchasers concerning the purchase and resale of the Securities, as follows:</w:t>
      </w:r>
    </w:p>
    <w:p>
      <w:pPr>
        <w:spacing w:after="0" w:line="224"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Offering Memorandum and Transaction Information</w:t>
      </w:r>
      <w:r>
        <w:rPr>
          <w:rFonts w:ascii="Arial" w:cs="Arial" w:eastAsia="Arial" w:hAnsi="Arial"/>
          <w:sz w:val="18"/>
          <w:szCs w:val="18"/>
          <w:color w:val="auto"/>
        </w:rPr>
        <w:t>.</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Securities will be sold to the Initial Purchasers without being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reliance upon an exemption therefrom. The Company and the Guarantors have prepared a preliminary offering memorandum dated May 21, 2018 (the “</w:t>
      </w:r>
      <w:r>
        <w:rPr>
          <w:rFonts w:ascii="Arial" w:cs="Arial" w:eastAsia="Arial" w:hAnsi="Arial"/>
          <w:sz w:val="18"/>
          <w:szCs w:val="18"/>
          <w:u w:val="single" w:color="auto"/>
          <w:color w:val="auto"/>
        </w:rPr>
        <w:t>Preliminary Offering Memorandum</w:t>
      </w:r>
      <w:r>
        <w:rPr>
          <w:rFonts w:ascii="Arial" w:cs="Arial" w:eastAsia="Arial" w:hAnsi="Arial"/>
          <w:sz w:val="18"/>
          <w:szCs w:val="18"/>
          <w:color w:val="auto"/>
        </w:rPr>
        <w:t>”) and will prepare an offering memorandum dated the date hereof (the “</w:t>
      </w:r>
      <w:r>
        <w:rPr>
          <w:rFonts w:ascii="Arial" w:cs="Arial" w:eastAsia="Arial" w:hAnsi="Arial"/>
          <w:sz w:val="18"/>
          <w:szCs w:val="18"/>
          <w:u w:val="single" w:color="auto"/>
          <w:color w:val="auto"/>
        </w:rPr>
        <w:t>Offering Memorandum</w:t>
      </w:r>
      <w:r>
        <w:rPr>
          <w:rFonts w:ascii="Arial" w:cs="Arial" w:eastAsia="Arial" w:hAnsi="Arial"/>
          <w:sz w:val="18"/>
          <w:szCs w:val="18"/>
          <w:color w:val="auto"/>
        </w:rPr>
        <w:t>”) setting forth information concerning the Company, the Guarantors and the Securities. Copies of the Preliminary Offering Memorandum have been, and copies of the Offering Memorandum will be, delivered by the Company to the Initial Purchasers pursuant to the terms of this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hereby confirms that it has authorized the use of the Preliminary Offering Memorandum, the other Time of Sale Information (as defined below) and the Offering Memorandum in connection with the offering and resale of the Securities by the Initial Purchasers in the manner contemplated by this Agreement. References herein to the Preliminary Offering Memorandum, the Time of Sale Information and the Offering Memorandum shall be deemed to refer to and include any document incorporated by reference therein and any reference to “amend,” “amendment” or “supplement” with respect to the Preliminary Offering Memorandum or the Offering Memorandum shall be deemed to refer to and include any documents filed after such date and incorporated by reference therein. Capitalized terms used but not defined herein shall have the meanings given to such terms in the Preliminary Offering Memorandum.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7" w:name="page98"/>
    <w:bookmarkEnd w:id="97"/>
    <w:p>
      <w:pPr>
        <w:ind w:right="120" w:firstLine="648"/>
        <w:spacing w:after="0"/>
        <w:rPr>
          <w:sz w:val="20"/>
          <w:szCs w:val="20"/>
          <w:color w:val="auto"/>
        </w:rPr>
      </w:pPr>
      <w:r>
        <w:rPr>
          <w:rFonts w:ascii="Arial" w:cs="Arial" w:eastAsia="Arial" w:hAnsi="Arial"/>
          <w:sz w:val="18"/>
          <w:szCs w:val="18"/>
          <w:color w:val="auto"/>
        </w:rPr>
        <w:t>At or prior to the time when sales of the Securities were first made (the “</w:t>
      </w:r>
      <w:r>
        <w:rPr>
          <w:rFonts w:ascii="Arial" w:cs="Arial" w:eastAsia="Arial" w:hAnsi="Arial"/>
          <w:sz w:val="18"/>
          <w:szCs w:val="18"/>
          <w:u w:val="single" w:color="auto"/>
          <w:color w:val="auto"/>
        </w:rPr>
        <w:t>Time of Sale</w:t>
      </w:r>
      <w:r>
        <w:rPr>
          <w:rFonts w:ascii="Arial" w:cs="Arial" w:eastAsia="Arial" w:hAnsi="Arial"/>
          <w:sz w:val="18"/>
          <w:szCs w:val="18"/>
          <w:color w:val="auto"/>
        </w:rPr>
        <w:t>”), the Company had prepared the following information (collectively,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Offering Memorandum, as supplemented and amended by the written communications listed on Annex A hereto.</w:t>
      </w:r>
    </w:p>
    <w:p>
      <w:pPr>
        <w:spacing w:after="0" w:line="230"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 Company intends to use the proceeds of the offering of the Securities to redeem the Company’s existing 7.250% Notes due February 1, 2019.</w:t>
      </w:r>
    </w:p>
    <w:p>
      <w:pPr>
        <w:spacing w:after="0" w:line="224" w:lineRule="exact"/>
        <w:rPr>
          <w:sz w:val="20"/>
          <w:szCs w:val="20"/>
          <w:color w:val="auto"/>
        </w:rPr>
      </w:pPr>
    </w:p>
    <w:p>
      <w:pPr>
        <w:ind w:left="1120" w:hanging="464"/>
        <w:spacing w:after="0"/>
        <w:tabs>
          <w:tab w:leader="none" w:pos="11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Purchase and Resale of the Securities</w:t>
      </w:r>
      <w:r>
        <w:rPr>
          <w:rFonts w:ascii="Arial" w:cs="Arial" w:eastAsia="Arial" w:hAnsi="Arial"/>
          <w:sz w:val="18"/>
          <w:szCs w:val="18"/>
          <w:color w:val="auto"/>
        </w:rPr>
        <w:t>.</w:t>
      </w:r>
    </w:p>
    <w:p>
      <w:pPr>
        <w:spacing w:after="0" w:line="239" w:lineRule="exact"/>
        <w:rPr>
          <w:sz w:val="20"/>
          <w:szCs w:val="20"/>
          <w:color w:val="auto"/>
        </w:rPr>
      </w:pPr>
    </w:p>
    <w:p>
      <w:pPr>
        <w:ind w:right="80" w:firstLine="656"/>
        <w:spacing w:after="0" w:line="237" w:lineRule="auto"/>
        <w:tabs>
          <w:tab w:leader="none" w:pos="11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agrees to issue and sell the Securities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principal amount of Securities set forth opposite such Initial Purchaser’s name in Schedule 1 hereto at a price equal to 98.875% of the principal amount thereof plus accrued interest, if any, from May 30, 2018 to the Closing Date. The Company will not be obligated to deliver any of the Securities except upon payment for all the Securities to be purchased as provided herein.</w:t>
      </w:r>
    </w:p>
    <w:p>
      <w:pPr>
        <w:spacing w:after="0" w:line="232" w:lineRule="exact"/>
        <w:rPr>
          <w:rFonts w:ascii="Arial" w:cs="Arial" w:eastAsia="Arial" w:hAnsi="Arial"/>
          <w:sz w:val="18"/>
          <w:szCs w:val="18"/>
          <w:color w:val="auto"/>
        </w:rPr>
      </w:pPr>
    </w:p>
    <w:p>
      <w:pPr>
        <w:ind w:firstLine="656"/>
        <w:spacing w:after="0" w:line="246" w:lineRule="auto"/>
        <w:tabs>
          <w:tab w:leader="none" w:pos="11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understands that the Initial Purchasers intend to offer the Securities for resale on the terms set forth in the Time of Sale Information. Each Initial Purchaser, severally and not jointly, represents, warrants and agrees that: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8" w:name="page99"/>
    <w:bookmarkEnd w:id="98"/>
    <w:p>
      <w:pPr>
        <w:ind w:left="660" w:right="220" w:firstLine="645"/>
        <w:spacing w:after="0" w:line="245" w:lineRule="auto"/>
        <w:tabs>
          <w:tab w:leader="none" w:pos="177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is a qualified institutional buyer within the meaning of Rule 144A under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 and an accredited investor within the meaning of Rule 501(a) of Regulation D under the Securities Act (“</w:t>
      </w:r>
      <w:r>
        <w:rPr>
          <w:rFonts w:ascii="Arial" w:cs="Arial" w:eastAsia="Arial" w:hAnsi="Arial"/>
          <w:sz w:val="18"/>
          <w:szCs w:val="18"/>
          <w:u w:val="single" w:color="auto"/>
          <w:color w:val="auto"/>
        </w:rPr>
        <w:t>Regulation 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right="220" w:firstLine="645"/>
        <w:spacing w:after="0"/>
        <w:tabs>
          <w:tab w:leader="none" w:pos="181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Securities by means of any form of general solicitation or general advertising within the meaning of Rule 502(c) of Regulation D or in any manner involving a public offering within the meaning of Section 4(a)(2) of the Securities Act; and</w:t>
      </w:r>
    </w:p>
    <w:p>
      <w:pPr>
        <w:spacing w:after="0" w:line="229" w:lineRule="exact"/>
        <w:rPr>
          <w:rFonts w:ascii="Arial" w:cs="Arial" w:eastAsia="Arial" w:hAnsi="Arial"/>
          <w:sz w:val="18"/>
          <w:szCs w:val="18"/>
          <w:color w:val="auto"/>
        </w:rPr>
      </w:pPr>
    </w:p>
    <w:p>
      <w:pPr>
        <w:ind w:left="660" w:right="100" w:firstLine="645"/>
        <w:spacing w:after="0" w:line="246" w:lineRule="auto"/>
        <w:tabs>
          <w:tab w:leader="none" w:pos="185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Securities as part of their initial offering except:</w:t>
      </w:r>
    </w:p>
    <w:p>
      <w:pPr>
        <w:spacing w:after="0" w:line="223" w:lineRule="exact"/>
        <w:rPr>
          <w:rFonts w:ascii="Arial" w:cs="Arial" w:eastAsia="Arial" w:hAnsi="Arial"/>
          <w:sz w:val="18"/>
          <w:szCs w:val="18"/>
          <w:color w:val="auto"/>
        </w:rPr>
      </w:pPr>
    </w:p>
    <w:p>
      <w:pPr>
        <w:ind w:left="1300" w:firstLine="653"/>
        <w:spacing w:after="0"/>
        <w:tabs>
          <w:tab w:leader="none" w:pos="249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to persons whom it reasonably believes to be QIBs in transactions pursuant to Rule 144A under the Securities Act (“</w:t>
      </w:r>
      <w:r>
        <w:rPr>
          <w:rFonts w:ascii="Arial" w:cs="Arial" w:eastAsia="Arial" w:hAnsi="Arial"/>
          <w:sz w:val="18"/>
          <w:szCs w:val="18"/>
          <w:u w:val="single" w:color="auto"/>
          <w:color w:val="auto"/>
        </w:rPr>
        <w:t>Rule 144A</w:t>
      </w:r>
      <w:r>
        <w:rPr>
          <w:rFonts w:ascii="Arial" w:cs="Arial" w:eastAsia="Arial" w:hAnsi="Arial"/>
          <w:sz w:val="18"/>
          <w:szCs w:val="18"/>
          <w:color w:val="auto"/>
        </w:rPr>
        <w:t>”) and in connection with each such sale, it has taken or will take reasonable steps to ensure that the purchaser of the Securities is aware that such sale is being made in reliance on Rule 144A; or</w:t>
      </w:r>
    </w:p>
    <w:p>
      <w:pPr>
        <w:spacing w:after="0" w:line="229" w:lineRule="exact"/>
        <w:rPr>
          <w:rFonts w:ascii="Arial" w:cs="Arial" w:eastAsia="Arial" w:hAnsi="Arial"/>
          <w:sz w:val="18"/>
          <w:szCs w:val="18"/>
          <w:color w:val="auto"/>
        </w:rPr>
      </w:pPr>
    </w:p>
    <w:p>
      <w:pPr>
        <w:ind w:left="2500" w:hanging="547"/>
        <w:spacing w:after="0"/>
        <w:tabs>
          <w:tab w:leader="none" w:pos="2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in accordance with the restrictions set forth in Annex C hereto.</w:t>
      </w:r>
    </w:p>
    <w:p>
      <w:pPr>
        <w:spacing w:after="0" w:line="238" w:lineRule="exact"/>
        <w:rPr>
          <w:rFonts w:ascii="Arial" w:cs="Arial" w:eastAsia="Arial" w:hAnsi="Arial"/>
          <w:sz w:val="18"/>
          <w:szCs w:val="18"/>
          <w:color w:val="auto"/>
        </w:rPr>
      </w:pPr>
    </w:p>
    <w:p>
      <w:pPr>
        <w:ind w:right="40" w:firstLine="656"/>
        <w:spacing w:after="0" w:line="238" w:lineRule="auto"/>
        <w:tabs>
          <w:tab w:leader="none" w:pos="116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Initial Purchaser acknowledges and agrees that the Company and, for purposes of the “no registration” opinions to be delivered to the Initial Purchasers pursuant to Sections 6(f) and 6(g), counsel for the Company and counsel for the Initial Purchasers, respectively, may rely upon the accuracy of the representations and warranties of the Initial Purchasers, and compliance by the Initial Purchasers with their agreements, contained in paragraph (b) above (including Annex C hereto), and each Initial Purchaser hereby consents to such reliance.</w:t>
      </w:r>
    </w:p>
    <w:p>
      <w:pPr>
        <w:spacing w:after="0" w:line="229" w:lineRule="exact"/>
        <w:rPr>
          <w:rFonts w:ascii="Arial" w:cs="Arial" w:eastAsia="Arial" w:hAnsi="Arial"/>
          <w:sz w:val="18"/>
          <w:szCs w:val="18"/>
          <w:color w:val="auto"/>
        </w:rPr>
      </w:pPr>
    </w:p>
    <w:p>
      <w:pPr>
        <w:jc w:val="both"/>
        <w:ind w:right="500" w:firstLine="656"/>
        <w:spacing w:after="0"/>
        <w:tabs>
          <w:tab w:leader="none" w:pos="11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and each Guarantor acknowledges and agrees that the Initial Purchasers may offer and sell Securities to or through any affiliate of an Initial Purchaser and that any such affiliate may offer and sell Securities purchased by it to or through any Initial Purchaser.</w:t>
      </w:r>
    </w:p>
    <w:p>
      <w:pPr>
        <w:spacing w:after="0" w:line="229" w:lineRule="exact"/>
        <w:rPr>
          <w:rFonts w:ascii="Arial" w:cs="Arial" w:eastAsia="Arial" w:hAnsi="Arial"/>
          <w:sz w:val="18"/>
          <w:szCs w:val="18"/>
          <w:color w:val="auto"/>
        </w:rPr>
      </w:pPr>
    </w:p>
    <w:p>
      <w:pPr>
        <w:ind w:right="140" w:firstLine="656"/>
        <w:spacing w:after="0" w:line="239" w:lineRule="auto"/>
        <w:tabs>
          <w:tab w:leader="none" w:pos="11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 for and delivery of the Securities will be made at the offices of Simpson Thacher &amp; Bartlett LLP at 10:00 A.M., New York City time, on May 30, 2018, or at such other time or place on the same or such other date, not later than the fifth business day thereafter, as the Representative and the Company may agree upon in writing. The time and date of such payment and delivery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ind w:right="580" w:firstLine="656"/>
        <w:spacing w:after="0" w:line="238" w:lineRule="auto"/>
        <w:tabs>
          <w:tab w:leader="none" w:pos="112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Initial Purchasers,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 not later than 1:00 P.M., New York City time, on the business day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9" w:name="page100"/>
    <w:bookmarkEnd w:id="99"/>
    <w:p>
      <w:pPr>
        <w:ind w:left="-60" w:firstLine="656"/>
        <w:spacing w:after="0" w:line="236" w:lineRule="auto"/>
        <w:tabs>
          <w:tab w:leader="none" w:pos="111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and the Guarantors acknowledge and agree that each Initial Purchaser is acting solely in the capacity of an arm’s length contractual counterparty to the Company and the Guarantors with respect to the offering of Securities contemplated hereby (including in connection with determining the terms of the offering) and not as a financial advisor or a fiduciary to, or an agent of, the Company, the Guarantors or any other person. Additionally, neither the Representative nor any other Initial Purchaser are advising the Company, the Guarantors or any other person as to any legal, tax, investment, accounting or regulatory matters in any jurisdiction. The Company and the Guarantors shall consult with their own advisors concerning such matters and shall be responsible for making their own independent investigation and appraisal of the transactions contemplated hereby, and the Initial Purchasers shall have no responsibility or liability to the Company or the Guarantors with respect thereto. Any review by the Representative or any Initial Purchaser of the Company, the Guarantors, and the transactions contemplated hereby or other matters relating to such transactions will be performed solely for the benefit of the Representative or such Initial Purchaser, as the case may be, and shall not be on behalf of the Company, the Guarantors or any other person.</w:t>
      </w:r>
    </w:p>
    <w:p>
      <w:pPr>
        <w:spacing w:after="0" w:line="233" w:lineRule="exact"/>
        <w:rPr>
          <w:sz w:val="20"/>
          <w:szCs w:val="20"/>
          <w:color w:val="auto"/>
        </w:rPr>
      </w:pPr>
    </w:p>
    <w:p>
      <w:pPr>
        <w:ind w:left="-60" w:right="240" w:firstLine="656"/>
        <w:spacing w:after="0" w:line="246" w:lineRule="auto"/>
        <w:tabs>
          <w:tab w:leader="none" w:pos="104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 and the Guarantors</w:t>
      </w:r>
      <w:r>
        <w:rPr>
          <w:rFonts w:ascii="Arial" w:cs="Arial" w:eastAsia="Arial" w:hAnsi="Arial"/>
          <w:sz w:val="18"/>
          <w:szCs w:val="18"/>
          <w:color w:val="auto"/>
        </w:rPr>
        <w:t>. The Company and the Guarantors jointly and severally represent and warrant to each Initial Purchaser that:</w:t>
      </w:r>
    </w:p>
    <w:p>
      <w:pPr>
        <w:spacing w:after="0" w:line="206" w:lineRule="exact"/>
        <w:rPr>
          <w:sz w:val="20"/>
          <w:szCs w:val="20"/>
          <w:color w:val="auto"/>
        </w:rPr>
      </w:pPr>
    </w:p>
    <w:p>
      <w:pPr>
        <w:ind w:left="-60" w:right="40" w:firstLine="656"/>
        <w:spacing w:after="0" w:line="239" w:lineRule="auto"/>
        <w:tabs>
          <w:tab w:leader="none" w:pos="111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Preliminary Offering Memorandum, Time of Sale Information and Offering Memorandum. </w:t>
      </w:r>
      <w:r>
        <w:rPr>
          <w:rFonts w:ascii="Arial" w:cs="Arial" w:eastAsia="Arial" w:hAnsi="Arial"/>
          <w:sz w:val="18"/>
          <w:szCs w:val="18"/>
          <w:color w:val="auto"/>
        </w:rPr>
        <w:t>The Preliminary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Memorandum, as of its date, did not, the Time of Sale Information, at the Time of Sale, did not, and at the Closing Date, will not, and the Offering Memorandum, in the form first used by the Initial Purchasers to confirm sales of the Securities and as of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Guarantors make no representation or warranty with respect to any statements or omissions made in reliance upon and in conformity with information relating to any Initial Purchaser furnished to the Company in writing by such Initial Purchaser through the Representative expressly for use in the Preliminary Offering Memorandum, the Time of Sale Information or the Offering Memorandum.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31750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100" w:name="page101"/>
    <w:bookmarkEnd w:id="100"/>
    <w:p>
      <w:pPr>
        <w:ind w:left="-20" w:firstLine="656"/>
        <w:spacing w:after="0" w:line="237" w:lineRule="auto"/>
        <w:tabs>
          <w:tab w:leader="none" w:pos="115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Additional Written Communications</w:t>
      </w:r>
      <w:r>
        <w:rPr>
          <w:rFonts w:ascii="Arial" w:cs="Arial" w:eastAsia="Arial" w:hAnsi="Arial"/>
          <w:sz w:val="18"/>
          <w:szCs w:val="18"/>
          <w:color w:val="auto"/>
        </w:rPr>
        <w:t>. The Company and the Guarantors (including their agents and representatives,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Purchasers in their capacity as such) have not prepared, made, used, authorized, approved or referred to and will not prepare, make, use, authorize, approve or refer to any written communication that constitutes an offer to sell or solicitation of an offer to buy the Securities (each such communication by the Company and the Guarantors or their agents and representatives (other than a communication referred to in clauses (i) and (ii) below) an “</w:t>
      </w:r>
      <w:r>
        <w:rPr>
          <w:rFonts w:ascii="Arial" w:cs="Arial" w:eastAsia="Arial" w:hAnsi="Arial"/>
          <w:sz w:val="18"/>
          <w:szCs w:val="18"/>
          <w:u w:val="single" w:color="auto"/>
          <w:color w:val="auto"/>
        </w:rPr>
        <w:t>Issuer Written Communication</w:t>
      </w:r>
      <w:r>
        <w:rPr>
          <w:rFonts w:ascii="Arial" w:cs="Arial" w:eastAsia="Arial" w:hAnsi="Arial"/>
          <w:sz w:val="18"/>
          <w:szCs w:val="18"/>
          <w:color w:val="auto"/>
        </w:rPr>
        <w:t xml:space="preserve">”) other than (i) the Preliminary Offering Memorandum, (ii) the Offering Memorandum, (iii) the documents listed on Annex A hereto, including a term sheet substantially in the form of Annex B hereto, which constitute part of the Time of Sale Information, and (iv) any electronic road show or other written communications, in each case used in accordance with Section 4(c) hereof. Each such Issuer Written Communication, when taken together with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Guarantors make no representation or warranty with respect to any statements or omissions made in each such Issuer Written Communication in reliance upon and in conformity with information relating to any Initial Purchaser furnished to the Company in writing by such Initial Purchaser through the Representative expressly for use in any Issuer Written Communication.</w:t>
      </w:r>
    </w:p>
    <w:p>
      <w:pPr>
        <w:spacing w:after="0" w:line="220" w:lineRule="exact"/>
        <w:rPr>
          <w:rFonts w:ascii="Arial" w:cs="Arial" w:eastAsia="Arial" w:hAnsi="Arial"/>
          <w:sz w:val="18"/>
          <w:szCs w:val="18"/>
          <w:color w:val="auto"/>
        </w:rPr>
      </w:pPr>
    </w:p>
    <w:p>
      <w:pPr>
        <w:ind w:left="-20" w:right="20" w:firstLine="656"/>
        <w:spacing w:after="0" w:line="242" w:lineRule="auto"/>
        <w:tabs>
          <w:tab w:leader="none" w:pos="114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each of the Time of Sale Information and the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when they were filed with the Commission, conformed or will conform, as the case may be, in all material respects to the requirements of the Exchange Act, and the rules and regulations of the Commission thereunder, and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12" w:lineRule="exact"/>
        <w:rPr>
          <w:rFonts w:ascii="Arial" w:cs="Arial" w:eastAsia="Arial" w:hAnsi="Arial"/>
          <w:sz w:val="18"/>
          <w:szCs w:val="18"/>
          <w:color w:val="auto"/>
        </w:rPr>
      </w:pPr>
    </w:p>
    <w:p>
      <w:pPr>
        <w:ind w:left="-20" w:right="100" w:firstLine="656"/>
        <w:spacing w:after="0" w:line="239" w:lineRule="auto"/>
        <w:tabs>
          <w:tab w:leader="none" w:pos="115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and the related notes thereto included or incorporated by reference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Sale Information and the Offering Memorandum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(“GAAP”) applied on a consistent basis throughout the periods covered thereby; and the other financial information included or incorporated by reference in each of the Time of Sale Information and the Offering Memorandum has been derived from the accounting records of the Company and its subsidiaries and presents fairly the information shown thereby. The interactive data in eXtensible Business Reporting Language included or incorporated by reference in each of the Preliminary Offering Memorandum, the Time of Sale Information and the Offering Memorandum fairly presents the information called for in all material respects and is prepared in accordance with the Commission’s rules and guidelines applicable thereto.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1" w:name="page102"/>
    <w:bookmarkEnd w:id="101"/>
    <w:p>
      <w:pPr>
        <w:ind w:left="-20" w:firstLine="656"/>
        <w:spacing w:after="0" w:line="238" w:lineRule="auto"/>
        <w:tabs>
          <w:tab w:leader="none" w:pos="1156"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Since the date of the most recent financial statements of the Company included or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in each of the Time of Sale Information and the Offering Memorandum (i) there has not been any change in the capital stock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Time of Sale Information and the Offering Memorandum.</w:t>
      </w:r>
    </w:p>
    <w:p>
      <w:pPr>
        <w:spacing w:after="0" w:line="214" w:lineRule="exact"/>
        <w:rPr>
          <w:rFonts w:ascii="Arial" w:cs="Arial" w:eastAsia="Arial" w:hAnsi="Arial"/>
          <w:sz w:val="18"/>
          <w:szCs w:val="18"/>
          <w:color w:val="auto"/>
        </w:rPr>
      </w:pPr>
    </w:p>
    <w:p>
      <w:pPr>
        <w:ind w:left="-20" w:right="20" w:firstLine="656"/>
        <w:spacing w:after="0" w:line="239" w:lineRule="auto"/>
        <w:tabs>
          <w:tab w:leader="none" w:pos="1106"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Company, each Guarantor and each of its significant subsidiaries, as defined in Rule 1-02</w:t>
      </w:r>
      <w:r>
        <w:rPr>
          <w:rFonts w:ascii="Arial" w:cs="Arial" w:eastAsia="Arial" w:hAnsi="Arial"/>
          <w:sz w:val="18"/>
          <w:szCs w:val="18"/>
          <w:i w:val="1"/>
          <w:iCs w:val="1"/>
          <w:color w:val="auto"/>
        </w:rPr>
        <w:t xml:space="preserve"> </w:t>
      </w:r>
      <w:r>
        <w:rPr>
          <w:rFonts w:ascii="Arial" w:cs="Arial" w:eastAsia="Arial" w:hAnsi="Arial"/>
          <w:sz w:val="18"/>
          <w:szCs w:val="18"/>
          <w:color w:val="auto"/>
        </w:rPr>
        <w:t>of Regulation S-X under the Exchange Act,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management, financial position, results of operations or prospects of the Company and its subsidiaries taken as a whole or on the performance by the Company and the Guarantors of their obligations under this Agreement, the Securities and the Guarantees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 subsidiaries listed in Schedule 3 to this Agreement are the only significant subsidiaries of the Company.</w:t>
      </w:r>
    </w:p>
    <w:p>
      <w:pPr>
        <w:spacing w:after="0" w:line="211" w:lineRule="exact"/>
        <w:rPr>
          <w:rFonts w:ascii="Arial" w:cs="Arial" w:eastAsia="Arial" w:hAnsi="Arial"/>
          <w:sz w:val="18"/>
          <w:szCs w:val="18"/>
          <w:color w:val="auto"/>
        </w:rPr>
      </w:pPr>
    </w:p>
    <w:p>
      <w:pPr>
        <w:ind w:left="-20" w:right="180" w:firstLine="656"/>
        <w:spacing w:after="0" w:line="241" w:lineRule="auto"/>
        <w:tabs>
          <w:tab w:leader="none" w:pos="1156"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The Company has the capitalization as set forth in each of the Time of Sale Information and the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under the heading “Capitalization”; and all the outstanding shares of capital stock or other equity interests of each subsidiary of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where the existence of such lien or any other claim is disclosed in the Time of Sale Information and the Offering Memorandum and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2" w:name="page103"/>
    <w:bookmarkEnd w:id="102"/>
    <w:p>
      <w:pPr>
        <w:ind w:right="120" w:firstLine="656"/>
        <w:spacing w:after="0" w:line="243" w:lineRule="auto"/>
        <w:tabs>
          <w:tab w:leader="none" w:pos="1176"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and each of the Guarantors have full right, power and authority to execute and deliver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Securities and the Indenture (including each Guarantee set forth therein)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to perform their respective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209" w:lineRule="exact"/>
        <w:rPr>
          <w:rFonts w:ascii="Arial" w:cs="Arial" w:eastAsia="Arial" w:hAnsi="Arial"/>
          <w:sz w:val="18"/>
          <w:szCs w:val="18"/>
          <w:color w:val="auto"/>
        </w:rPr>
      </w:pPr>
    </w:p>
    <w:p>
      <w:pPr>
        <w:ind w:firstLine="656"/>
        <w:spacing w:after="0" w:line="241"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The Indenture</w:t>
      </w:r>
      <w:r>
        <w:rPr>
          <w:rFonts w:ascii="Arial" w:cs="Arial" w:eastAsia="Arial" w:hAnsi="Arial"/>
          <w:sz w:val="18"/>
          <w:szCs w:val="18"/>
          <w:color w:val="auto"/>
        </w:rPr>
        <w:t>. The Indenture has been duly authorized by the Company and each of the Guarantors and on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duly executed and delivered by the Company and each of the Guarantors and, when duly executed and delivered in accordance with its terms by each of the parties thereto, will constitute a valid and legally binding agreement of the Company and each of the Guarantors enforceable against the Company and each of the Guarantors in accordance with its terms, except as enforceability may be limited by applicable bankruptcy, insolvency or similar laws affecting the enforcement of creditors’ rights generally or by equitable principles relating to enforceability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60" w:firstLine="656"/>
        <w:spacing w:after="0"/>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The Securities and the Guarantees</w:t>
      </w:r>
      <w:r>
        <w:rPr>
          <w:rFonts w:ascii="Arial" w:cs="Arial" w:eastAsia="Arial" w:hAnsi="Arial"/>
          <w:sz w:val="18"/>
          <w:szCs w:val="18"/>
          <w:color w:val="auto"/>
        </w:rPr>
        <w:t>. The Securities have been duly authorized by the Company and, when duly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and the Guarantees have been duly authorized by each of the Guarantors and, when the Securities have been duly executed, authenticated, issued and delivered as provided in the Indenture and paid for as provided herein, will be valid and legally binding obligations of each of the Guarantors, enforceable against each of the Guarantors in accordance with their terms, subject to the Enforceability Exceptions, and will be entitled to the benefits of the Indenture.</w:t>
      </w:r>
    </w:p>
    <w:p>
      <w:pPr>
        <w:spacing w:after="0" w:line="212" w:lineRule="exact"/>
        <w:rPr>
          <w:rFonts w:ascii="Arial" w:cs="Arial" w:eastAsia="Arial" w:hAnsi="Arial"/>
          <w:sz w:val="18"/>
          <w:szCs w:val="18"/>
          <w:color w:val="auto"/>
        </w:rPr>
      </w:pPr>
    </w:p>
    <w:p>
      <w:pPr>
        <w:ind w:left="1180" w:hanging="524"/>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This Agreement has been duly authorized, executed and delivered by the Company and each of the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Guarantors.</w:t>
      </w:r>
    </w:p>
    <w:p>
      <w:pPr>
        <w:spacing w:after="0" w:line="220" w:lineRule="exact"/>
        <w:rPr>
          <w:rFonts w:ascii="Arial" w:cs="Arial" w:eastAsia="Arial" w:hAnsi="Arial"/>
          <w:sz w:val="18"/>
          <w:szCs w:val="18"/>
          <w:color w:val="auto"/>
        </w:rPr>
      </w:pPr>
    </w:p>
    <w:p>
      <w:pPr>
        <w:ind w:right="320" w:firstLine="656"/>
        <w:spacing w:after="0" w:line="267"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contained in each of the Time of Sale Information and the Offering Memorandum.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103" w:name="page104"/>
    <w:bookmarkEnd w:id="103"/>
    <w:p>
      <w:pPr>
        <w:ind w:left="-40" w:right="20" w:firstLine="656"/>
        <w:spacing w:after="0" w:line="238" w:lineRule="auto"/>
        <w:tabs>
          <w:tab w:leader="none" w:pos="118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including under the Federal Communications Act of 1934, as amended, and the regulations thereunder, all relevant rules, regulations and policies of the U.S. Federal Communications Commission and any applicable state, local and foreign governmental authority (collectively, the “</w:t>
      </w:r>
      <w:r>
        <w:rPr>
          <w:rFonts w:ascii="Arial" w:cs="Arial" w:eastAsia="Arial" w:hAnsi="Arial"/>
          <w:sz w:val="18"/>
          <w:szCs w:val="18"/>
          <w:u w:val="single" w:color="auto"/>
          <w:color w:val="auto"/>
        </w:rPr>
        <w:t>Communications Laws</w:t>
      </w:r>
      <w:r>
        <w:rPr>
          <w:rFonts w:ascii="Arial" w:cs="Arial" w:eastAsia="Arial" w:hAnsi="Arial"/>
          <w:sz w:val="18"/>
          <w:szCs w:val="18"/>
          <w:color w:val="auto"/>
        </w:rPr>
        <w:t>”) except, in the case of clauses (ii) and (iii) above, for any such default or violation that would not, individually or in the aggregate, have a Material Adverse Effect.</w:t>
      </w:r>
    </w:p>
    <w:p>
      <w:pPr>
        <w:spacing w:after="0" w:line="217" w:lineRule="exact"/>
        <w:rPr>
          <w:rFonts w:ascii="Arial" w:cs="Arial" w:eastAsia="Arial" w:hAnsi="Arial"/>
          <w:sz w:val="18"/>
          <w:szCs w:val="18"/>
          <w:color w:val="auto"/>
        </w:rPr>
      </w:pPr>
    </w:p>
    <w:p>
      <w:pPr>
        <w:ind w:left="-40" w:firstLine="656"/>
        <w:spacing w:after="0" w:line="238" w:lineRule="auto"/>
        <w:tabs>
          <w:tab w:leader="none" w:pos="113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No Conflicts</w:t>
      </w:r>
      <w:r>
        <w:rPr>
          <w:rFonts w:ascii="Arial" w:cs="Arial" w:eastAsia="Arial" w:hAnsi="Arial"/>
          <w:sz w:val="18"/>
          <w:szCs w:val="18"/>
          <w:color w:val="auto"/>
        </w:rPr>
        <w:t>. The execution, delivery and performance by the Company and each of the Guarantors of each of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each is a party, the issuance and sale of the Securities and the issuance of the Guarantees and compliance by the Company and each of the Guarantors with the terms thereof and the consummation of the transactions contemplated by the Transaction Documents will not (i) conflict with or result in a breach or violation of any of the terms or provisions of, or constitute a default under, or result in the creation or imposition of any lien, charge or encumbrance upon any property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213" w:lineRule="exact"/>
        <w:rPr>
          <w:rFonts w:ascii="Arial" w:cs="Arial" w:eastAsia="Arial" w:hAnsi="Arial"/>
          <w:sz w:val="18"/>
          <w:szCs w:val="18"/>
          <w:color w:val="auto"/>
        </w:rPr>
      </w:pPr>
    </w:p>
    <w:p>
      <w:pPr>
        <w:ind w:left="-40" w:right="100" w:firstLine="656"/>
        <w:spacing w:after="0"/>
        <w:tabs>
          <w:tab w:leader="none" w:pos="113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No Consents Required</w:t>
      </w:r>
      <w:r>
        <w:rPr>
          <w:rFonts w:ascii="Arial" w:cs="Arial" w:eastAsia="Arial" w:hAnsi="Arial"/>
          <w:sz w:val="18"/>
          <w:szCs w:val="18"/>
          <w:color w:val="auto"/>
        </w:rPr>
        <w:t>. No consent, approval, authorization, order, registration or qualification of or with any court or arbitrator</w:t>
      </w:r>
      <w:r>
        <w:rPr>
          <w:rFonts w:ascii="Arial" w:cs="Arial" w:eastAsia="Arial" w:hAnsi="Arial"/>
          <w:sz w:val="18"/>
          <w:szCs w:val="18"/>
          <w:i w:val="1"/>
          <w:iCs w:val="1"/>
          <w:color w:val="auto"/>
        </w:rPr>
        <w:t xml:space="preserve"> </w:t>
      </w:r>
      <w:r>
        <w:rPr>
          <w:rFonts w:ascii="Arial" w:cs="Arial" w:eastAsia="Arial" w:hAnsi="Arial"/>
          <w:sz w:val="18"/>
          <w:szCs w:val="18"/>
          <w:color w:val="auto"/>
        </w:rPr>
        <w:t>or governmental or regulatory authority, including under the Communications Laws, is required for the execution, delivery and performance by the Company and each of the Guarantors of each of the Transaction Documents to which each is a party, the issuance and sale of the Securities and the issuance of the Guarantees and compliance by the Company and each of the Guarantors with the terms thereof and the consummation of the transactions contemplated by the Transaction Documents, except for such consents, approvals, authorizations, orders and registrations or qualifications as may be required under applicable state securities laws in connection with the purchase and resale of the Securities by the Initial Purchasers.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20" w:right="279" w:bottom="1440" w:gutter="0" w:footer="0" w:header="0"/>
        </w:sectPr>
      </w:pPr>
    </w:p>
    <w:bookmarkStart w:id="104" w:name="page105"/>
    <w:bookmarkEnd w:id="104"/>
    <w:p>
      <w:pPr>
        <w:ind w:left="-20" w:right="20" w:firstLine="656"/>
        <w:spacing w:after="0" w:line="241" w:lineRule="auto"/>
        <w:tabs>
          <w:tab w:leader="none" w:pos="1156"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Except as described in each of the Time of Sale Information and the Offering Memorandum,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legal, governmental or regulatory investigations, actions, demands, claims, suits, arbitrations, inquiries or proceedings (“</w:t>
      </w:r>
      <w:r>
        <w:rPr>
          <w:rFonts w:ascii="Arial" w:cs="Arial" w:eastAsia="Arial" w:hAnsi="Arial"/>
          <w:sz w:val="18"/>
          <w:szCs w:val="18"/>
          <w:u w:val="single" w:color="auto"/>
          <w:color w:val="auto"/>
        </w:rPr>
        <w:t>Actions</w:t>
      </w:r>
      <w:r>
        <w:rPr>
          <w:rFonts w:ascii="Arial" w:cs="Arial" w:eastAsia="Arial" w:hAnsi="Arial"/>
          <w:sz w:val="18"/>
          <w:szCs w:val="18"/>
          <w:color w:val="auto"/>
        </w:rPr>
        <w:t>”) pending, or threatened in writing,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and no such Actions are threatened or, to the knowledge of the Company and each of the Guarantors, contemplated by any governmental or regulatory authority or threatened by others.</w:t>
      </w:r>
    </w:p>
    <w:p>
      <w:pPr>
        <w:spacing w:after="0" w:line="212" w:lineRule="exact"/>
        <w:rPr>
          <w:rFonts w:ascii="Arial" w:cs="Arial" w:eastAsia="Arial" w:hAnsi="Arial"/>
          <w:sz w:val="18"/>
          <w:szCs w:val="18"/>
          <w:color w:val="auto"/>
        </w:rPr>
      </w:pPr>
    </w:p>
    <w:p>
      <w:pPr>
        <w:ind w:left="-20" w:right="40" w:firstLine="656"/>
        <w:spacing w:after="0" w:line="251" w:lineRule="auto"/>
        <w:tabs>
          <w:tab w:leader="none" w:pos="1156"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PricewaterhouseCoopers, LLP, who have certified certain financial statements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are independent public accountants with respect to the Company and its subsidiaries within the applicable rules and regulations adopted by the Commission and the Public Company Accounting Oversight Board (United States) and as required by the Securities Act.</w:t>
      </w:r>
    </w:p>
    <w:p>
      <w:pPr>
        <w:spacing w:after="0" w:line="201" w:lineRule="exact"/>
        <w:rPr>
          <w:rFonts w:ascii="Arial" w:cs="Arial" w:eastAsia="Arial" w:hAnsi="Arial"/>
          <w:sz w:val="18"/>
          <w:szCs w:val="18"/>
          <w:color w:val="auto"/>
        </w:rPr>
      </w:pPr>
    </w:p>
    <w:p>
      <w:pPr>
        <w:ind w:left="-20" w:right="100" w:firstLine="656"/>
        <w:spacing w:after="0" w:line="264" w:lineRule="auto"/>
        <w:tabs>
          <w:tab w:leader="none" w:pos="1116"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Investment Company Act. </w:t>
      </w:r>
      <w:r>
        <w:rPr>
          <w:rFonts w:ascii="Arial" w:cs="Arial" w:eastAsia="Arial" w:hAnsi="Arial"/>
          <w:sz w:val="17"/>
          <w:szCs w:val="17"/>
          <w:color w:val="auto"/>
        </w:rPr>
        <w:t>Neither the Company nor any of the Guarantors is, and after giving effect to the offering and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and the application of the proceeds thereof as described in each of the Time of Sale Information and the Offering Memorandum, none of them will be, an “investment company” or an entity “controlled” by an “investment company” within the meaning of the Investment Company Act of 1940, as amended, and the rules and regulations of the Commission thereunder (collectively,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193" w:lineRule="exact"/>
        <w:rPr>
          <w:rFonts w:ascii="Arial" w:cs="Arial" w:eastAsia="Arial" w:hAnsi="Arial"/>
          <w:sz w:val="17"/>
          <w:szCs w:val="17"/>
          <w:color w:val="auto"/>
        </w:rPr>
      </w:pPr>
    </w:p>
    <w:p>
      <w:pPr>
        <w:ind w:left="-20" w:firstLine="656"/>
        <w:spacing w:after="0" w:line="242" w:lineRule="auto"/>
        <w:tabs>
          <w:tab w:leader="none" w:pos="1146"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Title to Real and Personal Property. </w:t>
      </w:r>
      <w:r>
        <w:rPr>
          <w:rFonts w:ascii="Arial" w:cs="Arial" w:eastAsia="Arial" w:hAnsi="Arial"/>
          <w:sz w:val="18"/>
          <w:szCs w:val="18"/>
          <w:color w:val="auto"/>
        </w:rPr>
        <w:t>The Company and its subsidiaries have good and marketable title in fee simple to, or have</w:t>
      </w:r>
      <w:r>
        <w:rPr>
          <w:rFonts w:ascii="Arial" w:cs="Arial" w:eastAsia="Arial" w:hAnsi="Arial"/>
          <w:sz w:val="18"/>
          <w:szCs w:val="18"/>
          <w:i w:val="1"/>
          <w:iCs w:val="1"/>
          <w:color w:val="auto"/>
        </w:rPr>
        <w:t xml:space="preserve"> </w:t>
      </w:r>
      <w:r>
        <w:rPr>
          <w:rFonts w:ascii="Arial" w:cs="Arial" w:eastAsia="Arial" w:hAnsi="Arial"/>
          <w:sz w:val="18"/>
          <w:szCs w:val="18"/>
          <w:color w:val="auto"/>
        </w:rPr>
        <w:t>valid rights to lease or otherwise use, all items of real, personal and intangible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212" w:lineRule="exact"/>
        <w:rPr>
          <w:rFonts w:ascii="Arial" w:cs="Arial" w:eastAsia="Arial" w:hAnsi="Arial"/>
          <w:sz w:val="18"/>
          <w:szCs w:val="18"/>
          <w:color w:val="auto"/>
        </w:rPr>
      </w:pPr>
    </w:p>
    <w:p>
      <w:pPr>
        <w:ind w:left="-20" w:right="40" w:firstLine="656"/>
        <w:spacing w:after="0" w:line="239" w:lineRule="auto"/>
        <w:tabs>
          <w:tab w:leader="none" w:pos="1106"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The Company and its subsidiaries own or possess adequate rights to use all patents, patent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service marks, trade names, trademark registrations, service mark registrations, copyrights, licenses, know-how (including trade secrets and other unpatented and/or unpatentable proprietary or confidential information, systems or procedures), and other intellectual property necessary for the conduct of their respective businesses, except where the failure to own or possess such rights could not be reasonably expected, individually or in the aggregate, to have a Material Adverse Effect; and the conduct of their respective businesses will not infringe or conflict in any material respect with any such rights of others, and the Company and its subsidiaries have not received any notice of any claim of infringement or conflict with any such rights of others that could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5" w:name="page106"/>
    <w:bookmarkEnd w:id="105"/>
    <w:p>
      <w:pPr>
        <w:ind w:left="1180" w:hanging="524"/>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Cyber Security; Data Protection</w:t>
      </w:r>
      <w:r>
        <w:rPr>
          <w:rFonts w:ascii="Arial" w:cs="Arial" w:eastAsia="Arial" w:hAnsi="Arial"/>
          <w:sz w:val="18"/>
          <w:szCs w:val="18"/>
          <w:color w:val="auto"/>
        </w:rPr>
        <w:t>. Except as would not be expected to have a Material Adverse Effect, either individually or in the</w:t>
      </w:r>
    </w:p>
    <w:p>
      <w:pPr>
        <w:spacing w:after="0" w:line="14" w:lineRule="exact"/>
        <w:rPr>
          <w:rFonts w:ascii="Arial" w:cs="Arial" w:eastAsia="Arial" w:hAnsi="Arial"/>
          <w:sz w:val="18"/>
          <w:szCs w:val="18"/>
          <w:color w:val="auto"/>
        </w:rPr>
      </w:pPr>
    </w:p>
    <w:p>
      <w:pPr>
        <w:ind w:right="100"/>
        <w:spacing w:after="0" w:line="236" w:lineRule="auto"/>
        <w:rPr>
          <w:rFonts w:ascii="Arial" w:cs="Arial" w:eastAsia="Arial" w:hAnsi="Arial"/>
          <w:sz w:val="18"/>
          <w:szCs w:val="18"/>
          <w:color w:val="auto"/>
        </w:rPr>
      </w:pPr>
      <w:r>
        <w:rPr>
          <w:rFonts w:ascii="Arial" w:cs="Arial" w:eastAsia="Arial" w:hAnsi="Arial"/>
          <w:sz w:val="18"/>
          <w:szCs w:val="18"/>
          <w:color w:val="auto"/>
        </w:rPr>
        <w:t>aggregate: (i) the Company and its subsidiaries have implemented and maintained commercially reasonable policies and procedures, consistent with industry standards, to maintain and protect the integrity, continuous operation, redundancy and security of all information technology assets and equipment, computers, systems, networks, hardware, software, web-sites, applications, and databases (collectively “</w:t>
      </w:r>
      <w:r>
        <w:rPr>
          <w:rFonts w:ascii="Arial" w:cs="Arial" w:eastAsia="Arial" w:hAnsi="Arial"/>
          <w:sz w:val="18"/>
          <w:szCs w:val="18"/>
          <w:u w:val="single" w:color="auto"/>
          <w:color w:val="auto"/>
        </w:rPr>
        <w:t>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Systems</w:t>
      </w:r>
      <w:r>
        <w:rPr>
          <w:rFonts w:ascii="Arial" w:cs="Arial" w:eastAsia="Arial" w:hAnsi="Arial"/>
          <w:sz w:val="18"/>
          <w:szCs w:val="18"/>
          <w:color w:val="auto"/>
        </w:rPr>
        <w:t>”) used in connection with their businesses (and all data therein), and there have been no breaches, violations, outages or unauthorized uses of or accesses to same; (ii) the Company and its subsidiaries are in compliance with all current (and have taken all necessary actions to comply with all pending) applicable laws, statutes, judgments, orders, rules, regulations and directives of any court, arbitrator or governmental or regulatory authority, and their own posted policies and contractual obligations relating to the privacy and security of IT Systems used in connection with their businesses (and the data therein).</w:t>
      </w:r>
    </w:p>
    <w:p>
      <w:pPr>
        <w:spacing w:after="0" w:line="217" w:lineRule="exact"/>
        <w:rPr>
          <w:rFonts w:ascii="Arial" w:cs="Arial" w:eastAsia="Arial" w:hAnsi="Arial"/>
          <w:sz w:val="18"/>
          <w:szCs w:val="18"/>
          <w:color w:val="auto"/>
        </w:rPr>
      </w:pPr>
    </w:p>
    <w:p>
      <w:pPr>
        <w:ind w:right="140" w:firstLine="656"/>
        <w:spacing w:after="0" w:line="245" w:lineRule="auto"/>
        <w:tabs>
          <w:tab w:leader="none" w:pos="1166"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on the one hand, and the directors, officers, stockholders, customers, suppliers or other affiliates of the Company or any of its subsidiaries, on the other, that would be required by the Securities Act to be described in a registration statement on Form S-1 to be filed with the Commission and that is not so described in each of the Time of Sale Information and the Offering Memorandum.</w:t>
      </w:r>
    </w:p>
    <w:p>
      <w:pPr>
        <w:spacing w:after="0" w:line="208" w:lineRule="exact"/>
        <w:rPr>
          <w:rFonts w:ascii="Arial" w:cs="Arial" w:eastAsia="Arial" w:hAnsi="Arial"/>
          <w:sz w:val="18"/>
          <w:szCs w:val="18"/>
          <w:color w:val="auto"/>
        </w:rPr>
      </w:pPr>
    </w:p>
    <w:p>
      <w:pPr>
        <w:ind w:right="120" w:firstLine="656"/>
        <w:spacing w:after="0" w:line="245" w:lineRule="auto"/>
        <w:tabs>
          <w:tab w:leader="none" w:pos="1206"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Company and its subsidiaries have paid all material federal, state, local and foreign taxes and filed all U.S.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material tax returns required to be paid or filed through the date hereof; and except as otherwise disclosed in each of the Time of Sale Information and the Offering Memorandum, there is no material tax deficiency that has been, or could reasonably be expected to be, asserted against the Company or any of its subsidiaries or any of their respective properties or assets.</w:t>
      </w:r>
    </w:p>
    <w:p>
      <w:pPr>
        <w:spacing w:after="0" w:line="208" w:lineRule="exact"/>
        <w:rPr>
          <w:rFonts w:ascii="Arial" w:cs="Arial" w:eastAsia="Arial" w:hAnsi="Arial"/>
          <w:sz w:val="18"/>
          <w:szCs w:val="18"/>
          <w:color w:val="auto"/>
        </w:rPr>
      </w:pPr>
    </w:p>
    <w:p>
      <w:pPr>
        <w:ind w:firstLine="656"/>
        <w:spacing w:after="0" w:line="239" w:lineRule="auto"/>
        <w:tabs>
          <w:tab w:leader="none" w:pos="1166"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Licenses and Permits. </w:t>
      </w:r>
      <w:r>
        <w:rPr>
          <w:rFonts w:ascii="Arial" w:cs="Arial" w:eastAsia="Arial" w:hAnsi="Arial"/>
          <w:sz w:val="18"/>
          <w:szCs w:val="18"/>
          <w:color w:val="auto"/>
        </w:rPr>
        <w:t>The Company and its subsidiaries possess all licenses, certificates, permits and other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Time of Sale Information and the Offering Memorandum, except where the failure to possess or make the same would not, individually or in the aggregate, have a Material Adverse Effect; and except as described in each of the Time of Sale Information and the Offering Memorandum, neither the Company nor any of its subsidiaries has received notice of any revocation or modification of any such license, certificate, permit or authorization or has any reason to believe that any such license, sub-license, certificate, permit or authorization will not be renewed in the ordinary course.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06" w:name="page107"/>
    <w:bookmarkEnd w:id="106"/>
    <w:p>
      <w:pPr>
        <w:ind w:left="-20" w:firstLine="656"/>
        <w:spacing w:after="0" w:line="241"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and each of the Guarantors, is contemplated or threatened and neither the Company nor any Guarantor is aware of any existing or imminent labor disturbance by, or dispute with, the employees of any of the Company’s or any of the Company’s subsidiaries’ principal suppliers, contractors or customers, in each case except as would not have a Material Adverse Effect. Neither the Company nor any of its subsidiaries has received any notice of cancellation or termination with respect to any collective bargaining agreement to which it is a party.</w:t>
      </w:r>
    </w:p>
    <w:p>
      <w:pPr>
        <w:spacing w:after="0" w:line="212" w:lineRule="exact"/>
        <w:rPr>
          <w:rFonts w:ascii="Arial" w:cs="Arial" w:eastAsia="Arial" w:hAnsi="Arial"/>
          <w:sz w:val="18"/>
          <w:szCs w:val="18"/>
          <w:color w:val="auto"/>
        </w:rPr>
      </w:pPr>
    </w:p>
    <w:p>
      <w:pPr>
        <w:ind w:left="-20" w:right="20" w:firstLine="656"/>
        <w:spacing w:after="0" w:line="236"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Certain Environmental Matters</w:t>
      </w:r>
      <w:r>
        <w:rPr>
          <w:rFonts w:ascii="Arial" w:cs="Arial" w:eastAsia="Arial" w:hAnsi="Arial"/>
          <w:sz w:val="18"/>
          <w:szCs w:val="18"/>
          <w:color w:val="auto"/>
        </w:rPr>
        <w:t>. (i) The Company and its subsidiaries (x) are, and at all prior times were, in compliance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applicable federal, state, local and foreign laws rules, regulations, requirements, decisions and orders relating to the protection of human health or safety, the environment, natural resources, hazardous or toxic substances or wastes, pollutants or contaminants (collectively, “Environmental Laws”);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failure to comply with, or failure to receive required permits, licenses or approvals, or cost or liability as would not, individually or in the aggregate, have a Material Adverse Effect and (iii) except as described in each of the Time of Sale Information and the Prospectus, (x) there are no proceedings that are pending, or that are known to be contemplated, against the Company or any of its subsidiaries under any Environmental Laws, including those in which a governmental entity is also a party, that individually or in the aggregate, if determined adversely to the Company or any of its subsidiaries, could reasonably be expected to have a Material Adverse Effect,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and its subsidiaries anticipates material capital expenditures relating to any Environmental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7" w:name="page108"/>
    <w:bookmarkEnd w:id="107"/>
    <w:p>
      <w:pPr>
        <w:ind w:left="-20" w:firstLine="656"/>
        <w:spacing w:after="0" w:line="236" w:lineRule="auto"/>
        <w:tabs>
          <w:tab w:leader="none" w:pos="1256"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ERISA. </w:t>
      </w:r>
      <w:r>
        <w:rPr>
          <w:rFonts w:ascii="Arial" w:cs="Arial" w:eastAsia="Arial" w:hAnsi="Arial"/>
          <w:sz w:val="18"/>
          <w:szCs w:val="18"/>
          <w:color w:val="auto"/>
        </w:rPr>
        <w:t>(i) Each employee benefit plan, within the meaning of Section 3(3) of the Employee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other than those events as to which the notice period referred to in Section 4043(a) of ERISA has been waived) has occurred or is reasonably expected to occur; (vi) each Plan that is intended to be qualified under Section 401(a) of the Code is so qualified, and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(viii) hereof, as would not, individually 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8" w:name="page109"/>
    <w:bookmarkEnd w:id="108"/>
    <w:p>
      <w:pPr>
        <w:ind w:left="-20" w:right="40" w:firstLine="656"/>
        <w:spacing w:after="0"/>
        <w:tabs>
          <w:tab w:leader="none" w:pos="130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Except as described in each of the Time of Sale Information and the Offering Memorandum,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213" w:lineRule="exact"/>
        <w:rPr>
          <w:rFonts w:ascii="Arial" w:cs="Arial" w:eastAsia="Arial" w:hAnsi="Arial"/>
          <w:sz w:val="18"/>
          <w:szCs w:val="18"/>
          <w:color w:val="auto"/>
        </w:rPr>
      </w:pPr>
    </w:p>
    <w:p>
      <w:pPr>
        <w:ind w:left="-20" w:right="120" w:firstLine="656"/>
        <w:spacing w:after="0" w:line="237" w:lineRule="auto"/>
        <w:tabs>
          <w:tab w:leader="none" w:pos="123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Accounting Controls. </w:t>
      </w:r>
      <w:r>
        <w:rPr>
          <w:rFonts w:ascii="Arial" w:cs="Arial" w:eastAsia="Arial" w:hAnsi="Arial"/>
          <w:sz w:val="18"/>
          <w:szCs w:val="18"/>
          <w:color w:val="auto"/>
        </w:rPr>
        <w:t>Except as described in each of the Time of Sale Information and the Offering Memorandum,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Except as described in each of the Time of Sale Information and the Offering Memorandum,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each of the Preliminary Offering Memorandum, the Time of Sale Information and the Offering Memorandum is prepared in accordance with the Commission’s rules and guidelines applicable thereto. Except as disclosed in each of the Time of Sale Information and the Offering Memorandum, there are no material weaknesses or significant deficiencies in the Company’s internal controls.</w:t>
      </w:r>
    </w:p>
    <w:p>
      <w:pPr>
        <w:spacing w:after="0" w:line="217" w:lineRule="exact"/>
        <w:rPr>
          <w:rFonts w:ascii="Arial" w:cs="Arial" w:eastAsia="Arial" w:hAnsi="Arial"/>
          <w:sz w:val="18"/>
          <w:szCs w:val="18"/>
          <w:color w:val="auto"/>
        </w:rPr>
      </w:pPr>
    </w:p>
    <w:p>
      <w:pPr>
        <w:ind w:left="-20" w:firstLine="656"/>
        <w:spacing w:after="0" w:line="241" w:lineRule="auto"/>
        <w:tabs>
          <w:tab w:leader="none" w:pos="125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its subsidiaries have insurance covering their respective properties, operations,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which insurance is in amounts and insures against such losses and risks as are, in the reasonable judgment of the Company, adequate to protect the Company and its subsidiaries and their respective businesses; and the Company and its subsidiaries have no reason to believe that they will not be able to renew their existing insurance coverage as and when such coverage expires or to obtain similar coverage at reasonable cost from similar insurers as may be necessary to continue its business at a cost that would not, individually 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9" w:name="page110"/>
    <w:bookmarkEnd w:id="109"/>
    <w:p>
      <w:pPr>
        <w:ind w:left="-20" w:right="20" w:firstLine="656"/>
        <w:spacing w:after="0" w:line="237" w:lineRule="auto"/>
        <w:tabs>
          <w:tab w:leader="none" w:pos="1256"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Company nor any of its subsidiaries, nor any director, officer or employee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its subsidiaries nor, to the knowledge of the Company and each of the Guarantors,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policies and procedures designed to promote and ensure compliance with all applicable anti-bribery and anti-corruption laws.</w:t>
      </w:r>
    </w:p>
    <w:p>
      <w:pPr>
        <w:spacing w:after="0" w:line="220" w:lineRule="exact"/>
        <w:rPr>
          <w:rFonts w:ascii="Arial" w:cs="Arial" w:eastAsia="Arial" w:hAnsi="Arial"/>
          <w:sz w:val="18"/>
          <w:szCs w:val="18"/>
          <w:color w:val="auto"/>
        </w:rPr>
      </w:pPr>
    </w:p>
    <w:p>
      <w:pPr>
        <w:ind w:left="-20" w:right="120" w:firstLine="656"/>
        <w:spacing w:after="0" w:line="256" w:lineRule="auto"/>
        <w:tabs>
          <w:tab w:leader="none" w:pos="1153"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or any of the Guarantors, threatened.</w:t>
      </w:r>
    </w:p>
    <w:p>
      <w:pPr>
        <w:spacing w:after="0" w:line="201" w:lineRule="exact"/>
        <w:rPr>
          <w:rFonts w:ascii="Arial" w:cs="Arial" w:eastAsia="Arial" w:hAnsi="Arial"/>
          <w:sz w:val="17"/>
          <w:szCs w:val="17"/>
          <w:color w:val="auto"/>
        </w:rPr>
      </w:pPr>
    </w:p>
    <w:p>
      <w:pPr>
        <w:ind w:left="-20" w:firstLine="656"/>
        <w:spacing w:after="0" w:line="237" w:lineRule="auto"/>
        <w:tabs>
          <w:tab w:leader="none" w:pos="1256"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No Conflicts with Sanctions Laws</w:t>
      </w:r>
      <w:r>
        <w:rPr>
          <w:rFonts w:ascii="Arial" w:cs="Arial" w:eastAsia="Arial" w:hAnsi="Arial"/>
          <w:sz w:val="18"/>
          <w:szCs w:val="18"/>
          <w:color w:val="auto"/>
        </w:rPr>
        <w:t>. Neither the Company nor any of its subsidiaries, nor, to the knowledge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Guarantors, any director, officer,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and including, without limitation, the designation as a “specially designated national” or “blocked person”), the United Nations Security Council (“</w:t>
      </w:r>
      <w:r>
        <w:rPr>
          <w:rFonts w:ascii="Arial" w:cs="Arial" w:eastAsia="Arial" w:hAnsi="Arial"/>
          <w:sz w:val="18"/>
          <w:szCs w:val="18"/>
          <w:u w:val="single" w:color="auto"/>
          <w:color w:val="auto"/>
        </w:rPr>
        <w:t>UNSC</w:t>
      </w:r>
      <w:r>
        <w:rPr>
          <w:rFonts w:ascii="Arial" w:cs="Arial" w:eastAsia="Arial" w:hAnsi="Arial"/>
          <w:sz w:val="18"/>
          <w:szCs w:val="18"/>
          <w:color w:val="auto"/>
        </w:rPr>
        <w:t>”),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 is the Company, any of its subsidiaries or any of the Guarantors located, organized or resident in a country or territory that is the subject or target of Sanctions, including, without limitation, Cuba, Iran, North Korea, Syria and Crimea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0" w:right="259" w:bottom="1440" w:gutter="0" w:footer="0" w:header="0"/>
        </w:sectPr>
      </w:pPr>
    </w:p>
    <w:bookmarkStart w:id="110" w:name="page111"/>
    <w:bookmarkEnd w:id="110"/>
    <w:p>
      <w:pPr>
        <w:ind w:left="-20" w:firstLine="656"/>
        <w:spacing w:after="0" w:line="238" w:lineRule="auto"/>
        <w:tabs>
          <w:tab w:leader="none" w:pos="1256"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Solvency</w:t>
      </w:r>
      <w:r>
        <w:rPr>
          <w:rFonts w:ascii="Arial" w:cs="Arial" w:eastAsia="Arial" w:hAnsi="Arial"/>
          <w:sz w:val="18"/>
          <w:szCs w:val="18"/>
          <w:color w:val="auto"/>
        </w:rPr>
        <w:t>. On and immediately after the Closing Date, the Company and each Guarantor (after giving effect to the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 of the Securities, the issuance of the Guarantees and the other transactions related thereto as described in each of the Time of Sale Information and the Offering Memorandum) will be Solvent. As used in this paragraph, the term “</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 particular date and entity, that on such date (i) the fair value (and present fair saleable value) of the assets of such entity is not less than the total amount required to pay the probable liability of such entity on its total existing debts and liabilities (including contingent liabilities) as they become absolute and matured; (ii) such entity is able to realize upon its assets and pay its debts and other liabilities, contingent obligations and commitments as they mature and become due in the normal course of business; (iii) assuming consummation of the issuance and sale of the Securities and the issuance of the Guarantees as contemplated by this Agreement, the Time of Sale Information and the Offering Memorandum, such entity does not have, intend to incur or believe that it will incur debts or liabilities beyond its ability to pay as such debts and liabilities mature; (iv) such entity is not engaged in any business or transaction, and does not propose to engage in any business or transaction, for which its property would constitute unreasonably small capital; and (v) such entity is not a defendant in any civil action that would result in a judgment that such entity is or would become unable to satisfy.</w:t>
      </w:r>
    </w:p>
    <w:p>
      <w:pPr>
        <w:spacing w:after="0" w:line="211" w:lineRule="exact"/>
        <w:rPr>
          <w:rFonts w:ascii="Arial" w:cs="Arial" w:eastAsia="Arial" w:hAnsi="Arial"/>
          <w:sz w:val="18"/>
          <w:szCs w:val="18"/>
          <w:color w:val="auto"/>
        </w:rPr>
      </w:pPr>
    </w:p>
    <w:p>
      <w:pPr>
        <w:ind w:left="-20" w:right="40" w:firstLine="656"/>
        <w:spacing w:after="0" w:line="241" w:lineRule="auto"/>
        <w:tabs>
          <w:tab w:leader="none" w:pos="1136"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on the Closing Date, except in each case (a) as described in each of the Time of Sale Information and the Offering Memorandum, or (b) that will be permitted by the Indenture.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11" w:name="page112"/>
    <w:bookmarkEnd w:id="111"/>
    <w:p>
      <w:pPr>
        <w:ind w:left="-60" w:right="140" w:firstLine="656"/>
        <w:spacing w:after="0" w:line="251" w:lineRule="auto"/>
        <w:tabs>
          <w:tab w:leader="none" w:pos="109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 (other than this Agreement) that would give rise to a valid claim against any of them or any Initial Purchaser for a brokerage commission, finder’s fee or like payment in connection with the offering and sale of the Securities.</w:t>
      </w:r>
    </w:p>
    <w:p>
      <w:pPr>
        <w:spacing w:after="0" w:line="202" w:lineRule="exact"/>
        <w:rPr>
          <w:rFonts w:ascii="Arial" w:cs="Arial" w:eastAsia="Arial" w:hAnsi="Arial"/>
          <w:sz w:val="18"/>
          <w:szCs w:val="18"/>
          <w:color w:val="auto"/>
        </w:rPr>
      </w:pPr>
    </w:p>
    <w:p>
      <w:pPr>
        <w:ind w:left="-60" w:right="100" w:firstLine="656"/>
        <w:spacing w:after="0" w:line="242" w:lineRule="auto"/>
        <w:tabs>
          <w:tab w:leader="none" w:pos="119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Rule 144A Eligibility. </w:t>
      </w:r>
      <w:r>
        <w:rPr>
          <w:rFonts w:ascii="Arial" w:cs="Arial" w:eastAsia="Arial" w:hAnsi="Arial"/>
          <w:sz w:val="18"/>
          <w:szCs w:val="18"/>
          <w:color w:val="auto"/>
        </w:rPr>
        <w:t>On the Closing Date, the Securities will not be of the same class as securities listed on a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registered under Section 6 of the Exchange Act or quoted in an automated inter-dealer quotation system; and each of the Preliminary Offering Memorandum and the Offering Memorandum, as of its respective date, contains or will contain all the information that, if requested by a prospective purchaser of the Securities, would be required to be provided to such prospective purchaser pursuant to Rule 144A(d)(4) under the Securities Act.</w:t>
      </w:r>
    </w:p>
    <w:p>
      <w:pPr>
        <w:spacing w:after="0" w:line="212" w:lineRule="exact"/>
        <w:rPr>
          <w:rFonts w:ascii="Arial" w:cs="Arial" w:eastAsia="Arial" w:hAnsi="Arial"/>
          <w:sz w:val="18"/>
          <w:szCs w:val="18"/>
          <w:color w:val="auto"/>
        </w:rPr>
      </w:pPr>
    </w:p>
    <w:p>
      <w:pPr>
        <w:ind w:left="-60" w:right="20" w:firstLine="656"/>
        <w:spacing w:after="0" w:line="251" w:lineRule="auto"/>
        <w:tabs>
          <w:tab w:leader="none" w:pos="109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No Integration. </w:t>
      </w:r>
      <w:r>
        <w:rPr>
          <w:rFonts w:ascii="Arial" w:cs="Arial" w:eastAsia="Arial" w:hAnsi="Arial"/>
          <w:sz w:val="18"/>
          <w:szCs w:val="18"/>
          <w:color w:val="auto"/>
        </w:rPr>
        <w:t>Neither the Company nor any of its affiliates (as defined in Rule 501(b) of Regulation D) has, directly or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any agent, sold, offered for sale, solicited offers to buy or otherwise negotiated in respect of, any security (as defined in the Securities Act), that is or will be integrated with the sale of the Securities in a manner that would require registration of the Securities under the Securities Act.</w:t>
      </w:r>
    </w:p>
    <w:p>
      <w:pPr>
        <w:spacing w:after="0" w:line="201" w:lineRule="exact"/>
        <w:rPr>
          <w:rFonts w:ascii="Arial" w:cs="Arial" w:eastAsia="Arial" w:hAnsi="Arial"/>
          <w:sz w:val="18"/>
          <w:szCs w:val="18"/>
          <w:color w:val="auto"/>
        </w:rPr>
      </w:pPr>
    </w:p>
    <w:p>
      <w:pPr>
        <w:ind w:left="-60" w:firstLine="656"/>
        <w:spacing w:after="0" w:line="241" w:lineRule="auto"/>
        <w:tabs>
          <w:tab w:leader="none" w:pos="131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No General Solicitation or Directed Selling Efforts. </w:t>
      </w:r>
      <w:r>
        <w:rPr>
          <w:rFonts w:ascii="Arial" w:cs="Arial" w:eastAsia="Arial" w:hAnsi="Arial"/>
          <w:sz w:val="18"/>
          <w:szCs w:val="18"/>
          <w:color w:val="auto"/>
        </w:rPr>
        <w:t>None of the Company or any of its affiliates or any other person acting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or their behalf (other than the Initial Purchasers, as to which no representation is made) has (i) solicited offers for, or offered or sold, the Securities by means of any form of general solicitation or general advertising within the meaning of Rule 502(c) of Regulation D or in any manner involving a public offering within the meaning of Section 4(a)(2) of the Securities Act or (ii) engaged in any directed selling efforts within the meaning of Regulation S under the Securities Act (“</w:t>
      </w:r>
      <w:r>
        <w:rPr>
          <w:rFonts w:ascii="Arial" w:cs="Arial" w:eastAsia="Arial" w:hAnsi="Arial"/>
          <w:sz w:val="18"/>
          <w:szCs w:val="18"/>
          <w:u w:val="single" w:color="auto"/>
          <w:color w:val="auto"/>
        </w:rPr>
        <w:t>Regulation S</w:t>
      </w:r>
      <w:r>
        <w:rPr>
          <w:rFonts w:ascii="Arial" w:cs="Arial" w:eastAsia="Arial" w:hAnsi="Arial"/>
          <w:sz w:val="18"/>
          <w:szCs w:val="18"/>
          <w:color w:val="auto"/>
        </w:rPr>
        <w:t>”), and all such persons have complied with the offering restrictions requirement of Regulation S.</w:t>
      </w:r>
    </w:p>
    <w:p>
      <w:pPr>
        <w:spacing w:after="0" w:line="211" w:lineRule="exact"/>
        <w:rPr>
          <w:rFonts w:ascii="Arial" w:cs="Arial" w:eastAsia="Arial" w:hAnsi="Arial"/>
          <w:sz w:val="18"/>
          <w:szCs w:val="18"/>
          <w:color w:val="auto"/>
        </w:rPr>
      </w:pPr>
    </w:p>
    <w:p>
      <w:pPr>
        <w:ind w:left="-60" w:right="120" w:firstLine="656"/>
        <w:spacing w:after="0" w:line="242" w:lineRule="auto"/>
        <w:tabs>
          <w:tab w:leader="none" w:pos="121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Securities Law Exemptions. </w:t>
      </w:r>
      <w:r>
        <w:rPr>
          <w:rFonts w:ascii="Arial" w:cs="Arial" w:eastAsia="Arial" w:hAnsi="Arial"/>
          <w:sz w:val="18"/>
          <w:szCs w:val="18"/>
          <w:color w:val="auto"/>
        </w:rPr>
        <w:t>Assuming the accuracy of the representations and warranties of the Initial Purchasers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1(b) (including Annex C hereto) and their compliance with their agreements set forth therein, it is not necessary, in connection with the issuance and sale of the Securities to the Initial Purchasers and the offer, resale and delivery of the Securities by the Initial Purchasers in the manner contemplated by this Agreement, the Time of Sale Information and the Offering Memorandum, to register the Securities under the Securities Act or to qualify the Indenture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31750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120" w:right="279" w:bottom="1440" w:gutter="0" w:footer="0" w:header="0"/>
        </w:sectPr>
      </w:pPr>
    </w:p>
    <w:bookmarkStart w:id="112" w:name="page113"/>
    <w:bookmarkEnd w:id="112"/>
    <w:p>
      <w:pPr>
        <w:ind w:left="-20" w:right="20" w:firstLine="656"/>
        <w:spacing w:after="0" w:line="268" w:lineRule="auto"/>
        <w:tabs>
          <w:tab w:leader="none" w:pos="125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any of the Guarantors has taken,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reasonably be expected to cause or result in any stabilization or manipulation of the price of the Securities.</w:t>
      </w:r>
    </w:p>
    <w:p>
      <w:pPr>
        <w:spacing w:after="0" w:line="187" w:lineRule="exact"/>
        <w:rPr>
          <w:rFonts w:ascii="Arial" w:cs="Arial" w:eastAsia="Arial" w:hAnsi="Arial"/>
          <w:sz w:val="18"/>
          <w:szCs w:val="18"/>
          <w:color w:val="auto"/>
        </w:rPr>
      </w:pPr>
    </w:p>
    <w:p>
      <w:pPr>
        <w:ind w:left="-20" w:right="180" w:firstLine="656"/>
        <w:spacing w:after="0" w:line="251" w:lineRule="auto"/>
        <w:tabs>
          <w:tab w:leader="none" w:pos="125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Securities nor the application of the proceeds thereof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described in each of the Time of Sale Information and the Offering Memorandum will violate Regulation T, U or X of the Board of Governors of the Federal Reserve System or any other regulation of such Board of Governors.</w:t>
      </w:r>
    </w:p>
    <w:p>
      <w:pPr>
        <w:spacing w:after="0" w:line="201" w:lineRule="exact"/>
        <w:rPr>
          <w:rFonts w:ascii="Arial" w:cs="Arial" w:eastAsia="Arial" w:hAnsi="Arial"/>
          <w:sz w:val="18"/>
          <w:szCs w:val="18"/>
          <w:color w:val="auto"/>
        </w:rPr>
      </w:pPr>
    </w:p>
    <w:p>
      <w:pPr>
        <w:ind w:left="-20" w:right="300" w:firstLine="656"/>
        <w:spacing w:after="0" w:line="251" w:lineRule="auto"/>
        <w:tabs>
          <w:tab w:leader="none" w:pos="125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21E of the Exchange Act) included or incorporated by reference in any of the Time of Sale Information or the Offering Memorandum has been made or reaffirmed without a reasonable basis or has been disclosed other than in good faith.</w:t>
      </w:r>
    </w:p>
    <w:p>
      <w:pPr>
        <w:spacing w:after="0" w:line="201" w:lineRule="exact"/>
        <w:rPr>
          <w:rFonts w:ascii="Arial" w:cs="Arial" w:eastAsia="Arial" w:hAnsi="Arial"/>
          <w:sz w:val="18"/>
          <w:szCs w:val="18"/>
          <w:color w:val="auto"/>
        </w:rPr>
      </w:pPr>
    </w:p>
    <w:p>
      <w:pPr>
        <w:ind w:left="-20" w:right="60" w:firstLine="656"/>
        <w:spacing w:after="0" w:line="251" w:lineRule="auto"/>
        <w:tabs>
          <w:tab w:leader="none" w:pos="117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Statistical and Market Data</w:t>
      </w:r>
      <w:r>
        <w:rPr>
          <w:rFonts w:ascii="Arial" w:cs="Arial" w:eastAsia="Arial" w:hAnsi="Arial"/>
          <w:sz w:val="18"/>
          <w:szCs w:val="18"/>
          <w:color w:val="auto"/>
        </w:rPr>
        <w:t>. Nothing has come to the attention of the Company or any Guarantor that has caused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Guarantor to believe that the statistical and market-related data included or incorporated by reference in each of the Time of Sale Information and the Offering Memorandum is not based on or derived from sources that are reliable and accurate in all material respects.</w:t>
      </w:r>
    </w:p>
    <w:p>
      <w:pPr>
        <w:spacing w:after="0" w:line="201" w:lineRule="exact"/>
        <w:rPr>
          <w:rFonts w:ascii="Arial" w:cs="Arial" w:eastAsia="Arial" w:hAnsi="Arial"/>
          <w:sz w:val="18"/>
          <w:szCs w:val="18"/>
          <w:color w:val="auto"/>
        </w:rPr>
      </w:pPr>
    </w:p>
    <w:p>
      <w:pPr>
        <w:ind w:left="-20" w:firstLine="656"/>
        <w:spacing w:after="0" w:line="245" w:lineRule="auto"/>
        <w:tabs>
          <w:tab w:leader="none" w:pos="123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any of the Company’s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their capacities as such, to comply with any provision of the Sarbanes-Oxley Act of 2002, as amended,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226" w:lineRule="exact"/>
        <w:rPr>
          <w:sz w:val="20"/>
          <w:szCs w:val="20"/>
          <w:color w:val="auto"/>
        </w:rPr>
      </w:pPr>
    </w:p>
    <w:p>
      <w:pPr>
        <w:ind w:left="-20" w:right="140" w:firstLine="656"/>
        <w:spacing w:after="0" w:line="246" w:lineRule="auto"/>
        <w:tabs>
          <w:tab w:leader="none" w:pos="108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 and the Guarantors</w:t>
      </w:r>
      <w:r>
        <w:rPr>
          <w:rFonts w:ascii="Arial" w:cs="Arial" w:eastAsia="Arial" w:hAnsi="Arial"/>
          <w:sz w:val="18"/>
          <w:szCs w:val="18"/>
          <w:color w:val="auto"/>
        </w:rPr>
        <w:t>. The Company and the Guarantors jointly and severally covenant and agree with each Initial Purchaser that:</w:t>
      </w:r>
    </w:p>
    <w:p>
      <w:pPr>
        <w:spacing w:after="0" w:line="206" w:lineRule="exact"/>
        <w:rPr>
          <w:sz w:val="20"/>
          <w:szCs w:val="20"/>
          <w:color w:val="auto"/>
        </w:rPr>
      </w:pPr>
    </w:p>
    <w:p>
      <w:pPr>
        <w:ind w:left="-20" w:right="360" w:firstLine="656"/>
        <w:spacing w:after="0" w:line="251" w:lineRule="auto"/>
        <w:tabs>
          <w:tab w:leader="none" w:pos="1156"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without charge, to the Initial Purchasers as many copies of the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Memorandum, any other Time of Sale Information, any Issuer Written Communication and the Offering Memorandum (including all amendments and supplements thereto) as the Representative may reasonably request.</w:t>
      </w:r>
    </w:p>
    <w:p>
      <w:pPr>
        <w:spacing w:after="0" w:line="201" w:lineRule="exact"/>
        <w:rPr>
          <w:rFonts w:ascii="Arial" w:cs="Arial" w:eastAsia="Arial" w:hAnsi="Arial"/>
          <w:sz w:val="18"/>
          <w:szCs w:val="18"/>
          <w:color w:val="auto"/>
        </w:rPr>
      </w:pPr>
    </w:p>
    <w:p>
      <w:pPr>
        <w:ind w:left="-20" w:right="80" w:firstLine="656"/>
        <w:spacing w:after="0" w:line="241" w:lineRule="auto"/>
        <w:tabs>
          <w:tab w:leader="none" w:pos="1156"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Offering Memorandum, Amendments or Supplements. </w:t>
      </w:r>
      <w:r>
        <w:rPr>
          <w:rFonts w:ascii="Arial" w:cs="Arial" w:eastAsia="Arial" w:hAnsi="Arial"/>
          <w:sz w:val="18"/>
          <w:szCs w:val="18"/>
          <w:color w:val="auto"/>
        </w:rPr>
        <w:t>Before finalizing the Offering Memorandum or making or distributing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or supplement to any of the Time of Sale Information or the Offering Memorandum or filing with the Commission any document that will be incorporated by reference therein, the Company will furnish to the Representative and counsel for the Initial Purchasers a copy of the proposed Offering Memorandum or such amendment or supplement or document to be incorporated by reference therein for review, and, except where required by law, will not distribute any such proposed Offering Memorandum, amendment or supplement or file any such document with the Commission to which the Representative reasonably objects.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13" w:name="page114"/>
    <w:bookmarkEnd w:id="113"/>
    <w:p>
      <w:pPr>
        <w:ind w:left="-80" w:right="180" w:firstLine="656"/>
        <w:spacing w:after="0" w:line="246" w:lineRule="auto"/>
        <w:tabs>
          <w:tab w:leader="none" w:pos="1086"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Additional Written Communications. </w:t>
      </w:r>
      <w:r>
        <w:rPr>
          <w:rFonts w:ascii="Arial" w:cs="Arial" w:eastAsia="Arial" w:hAnsi="Arial"/>
          <w:sz w:val="18"/>
          <w:szCs w:val="18"/>
          <w:color w:val="auto"/>
        </w:rPr>
        <w:t>Before making, preparing, using, authorizing, approving or referring to any Issuer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the Company and the Guarantors will furnish to the Representative and counsel for the Initial Purchasers a copy of such written communication for review and, except where required by law, will not make, prepare, use, authorize, approve or refer to any such written communication to which the Representative reasonably objects.</w:t>
      </w:r>
    </w:p>
    <w:p>
      <w:pPr>
        <w:spacing w:after="0" w:line="205" w:lineRule="exact"/>
        <w:rPr>
          <w:rFonts w:ascii="Arial" w:cs="Arial" w:eastAsia="Arial" w:hAnsi="Arial"/>
          <w:sz w:val="18"/>
          <w:szCs w:val="18"/>
          <w:color w:val="auto"/>
        </w:rPr>
      </w:pPr>
    </w:p>
    <w:p>
      <w:pPr>
        <w:ind w:left="-80" w:firstLine="656"/>
        <w:spacing w:after="0" w:line="238" w:lineRule="auto"/>
        <w:tabs>
          <w:tab w:leader="none" w:pos="1096"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 </w:t>
      </w:r>
      <w:r>
        <w:rPr>
          <w:rFonts w:ascii="Arial" w:cs="Arial" w:eastAsia="Arial" w:hAnsi="Arial"/>
          <w:sz w:val="18"/>
          <w:szCs w:val="18"/>
          <w:color w:val="auto"/>
        </w:rPr>
        <w:t>The Company will advise the Representative promptly, and confirm such advice in writing, (i)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by any governmental or regulatory authority of any order preventing or suspending the use of any of the Time of Sale Information, any Issuer Written Communication or the Offering Memorandum or the initiation or threatening of any proceeding for that purpose; (ii) of the occurrence of any event at any time prior to the completion of the initial offering of the Securities as a result of which any of the Time of Sale Information, any Issuer Written Communication or the Offering Memorandum as then amended or supplemented would include any untrue statement of a material fact or omit to state a material fact necessary in order to make the statements therein, in the light of the circumstances existing when such Time of Sale Information, Issuer Written Communication or the Offering Memorandum is delivered to a purchaser, not misleading; and (iii)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preventing or suspending the use of any of the Time of Sale Information, any Issuer Written Communication or the Offering Memorandum or suspending any such qualification of the Securities and, if any such order is issued, will obtain as soon as possible the withdrawal thereof.</w:t>
      </w:r>
    </w:p>
    <w:p>
      <w:pPr>
        <w:spacing w:after="0" w:line="210" w:lineRule="exact"/>
        <w:rPr>
          <w:rFonts w:ascii="Arial" w:cs="Arial" w:eastAsia="Arial" w:hAnsi="Arial"/>
          <w:sz w:val="18"/>
          <w:szCs w:val="18"/>
          <w:color w:val="auto"/>
        </w:rPr>
      </w:pPr>
    </w:p>
    <w:p>
      <w:pPr>
        <w:ind w:left="-80" w:right="80" w:firstLine="656"/>
        <w:spacing w:after="0" w:line="239" w:lineRule="auto"/>
        <w:tabs>
          <w:tab w:leader="none" w:pos="1096"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Time of Sale Information. </w:t>
      </w:r>
      <w:r>
        <w:rPr>
          <w:rFonts w:ascii="Arial" w:cs="Arial" w:eastAsia="Arial" w:hAnsi="Arial"/>
          <w:sz w:val="18"/>
          <w:szCs w:val="18"/>
          <w:color w:val="auto"/>
        </w:rPr>
        <w:t>If at any time prior to the Closing Date (i) any event shall occur or condition shall exist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Initial Purchasers thereof and forthwith prepare and, subject to paragraph (b) above, furnish to the Initial Purchasers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114" w:name="page115"/>
    <w:bookmarkEnd w:id="114"/>
    <w:p>
      <w:pPr>
        <w:ind w:left="-20" w:firstLine="656"/>
        <w:spacing w:after="0" w:line="239" w:lineRule="auto"/>
        <w:tabs>
          <w:tab w:leader="none" w:pos="110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Ongoing Compliance. </w:t>
      </w:r>
      <w:r>
        <w:rPr>
          <w:rFonts w:ascii="Arial" w:cs="Arial" w:eastAsia="Arial" w:hAnsi="Arial"/>
          <w:sz w:val="18"/>
          <w:szCs w:val="18"/>
          <w:color w:val="auto"/>
        </w:rPr>
        <w:t>If at any time prior to the completion of the initial offering of the Securities (i) any event shall occur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such amendments or supplements to the Offering Memorandum (or any document to be filed with the Commission and incorporated by reference therein) as may be necessary so that the statements in the Offering Memorandum as so amended or supplemented (including such document to be incorporated by reference therein) will not, in the light of the circumstances existing when the Offering Memorandum is delivered to a purchaser, be misleading or so that the Offering Memorandum will comply with law.</w:t>
      </w:r>
    </w:p>
    <w:p>
      <w:pPr>
        <w:spacing w:after="0" w:line="212" w:lineRule="exact"/>
        <w:rPr>
          <w:rFonts w:ascii="Arial" w:cs="Arial" w:eastAsia="Arial" w:hAnsi="Arial"/>
          <w:sz w:val="18"/>
          <w:szCs w:val="18"/>
          <w:color w:val="auto"/>
        </w:rPr>
      </w:pPr>
    </w:p>
    <w:p>
      <w:pPr>
        <w:ind w:left="-20" w:right="140" w:firstLine="656"/>
        <w:spacing w:after="0" w:line="241" w:lineRule="auto"/>
        <w:tabs>
          <w:tab w:leader="none" w:pos="115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qualify the Securities for offer and sale under the securities or Blue Sky laws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jurisdictions as the Representative shall reasonably request and will continue such qualifications in effect so long as required for the offering and resale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the Guarantors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211" w:lineRule="exact"/>
        <w:rPr>
          <w:rFonts w:ascii="Arial" w:cs="Arial" w:eastAsia="Arial" w:hAnsi="Arial"/>
          <w:sz w:val="18"/>
          <w:szCs w:val="18"/>
          <w:color w:val="auto"/>
        </w:rPr>
      </w:pPr>
    </w:p>
    <w:p>
      <w:pPr>
        <w:jc w:val="both"/>
        <w:ind w:left="-20" w:right="280" w:firstLine="656"/>
        <w:spacing w:after="0" w:line="251" w:lineRule="auto"/>
        <w:tabs>
          <w:tab w:leader="none" w:pos="115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date that is 60 days after the date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each of the Guarantors will not, without the prior written consent of the Representative, offer, sell, contract to sell or otherwise dispose of any debt securities issued or guaranteed by the Company or any of the Guarantors and having a tenor of more than one year.</w:t>
      </w:r>
    </w:p>
    <w:p>
      <w:pPr>
        <w:spacing w:after="0" w:line="201" w:lineRule="exact"/>
        <w:rPr>
          <w:rFonts w:ascii="Arial" w:cs="Arial" w:eastAsia="Arial" w:hAnsi="Arial"/>
          <w:sz w:val="18"/>
          <w:szCs w:val="18"/>
          <w:color w:val="auto"/>
        </w:rPr>
      </w:pPr>
    </w:p>
    <w:p>
      <w:pPr>
        <w:ind w:left="-20" w:right="240" w:firstLine="656"/>
        <w:spacing w:after="0" w:line="267" w:lineRule="auto"/>
        <w:tabs>
          <w:tab w:leader="none" w:pos="109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Sale Information and the Offering Memorandum under the heading “Use of proceeds.”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15" w:name="page116"/>
    <w:bookmarkEnd w:id="115"/>
    <w:p>
      <w:pPr>
        <w:ind w:left="1120" w:hanging="464"/>
        <w:spacing w:after="0"/>
        <w:tabs>
          <w:tab w:leader="none" w:pos="1120" w:val="left"/>
        </w:tabs>
        <w:numPr>
          <w:ilvl w:val="1"/>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Supplying Information. </w:t>
      </w:r>
      <w:r>
        <w:rPr>
          <w:rFonts w:ascii="Arial" w:cs="Arial" w:eastAsia="Arial" w:hAnsi="Arial"/>
          <w:sz w:val="18"/>
          <w:szCs w:val="18"/>
          <w:color w:val="auto"/>
        </w:rPr>
        <w:t>While the Securities remain outstanding and are “restricted securities” within the meaning of Rule 144(a)</w:t>
      </w:r>
    </w:p>
    <w:p>
      <w:pPr>
        <w:spacing w:after="0" w:line="14" w:lineRule="exact"/>
        <w:rPr>
          <w:rFonts w:ascii="Arial" w:cs="Arial" w:eastAsia="Arial" w:hAnsi="Arial"/>
          <w:sz w:val="18"/>
          <w:szCs w:val="18"/>
          <w:color w:val="auto"/>
        </w:rPr>
      </w:pPr>
    </w:p>
    <w:p>
      <w:pPr>
        <w:ind w:right="340" w:firstLine="8"/>
        <w:spacing w:after="0" w:line="239" w:lineRule="auto"/>
        <w:tabs>
          <w:tab w:leader="none" w:pos="2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under the Securities Act, the Company and each of the Guarantors will, during any period in which the Company is not subject to and in compliance with Section 13 or 15(d) of the Exchange Act, furnish to holders of the Securities and prospective purchasers of the Securities designated by such holders, upon the request of such holders or such prospective purchasers, the information required to be delivered pursuant to Rule 144A(d)(4) under the Securities Act.</w:t>
      </w:r>
    </w:p>
    <w:p>
      <w:pPr>
        <w:spacing w:after="0" w:line="210" w:lineRule="exact"/>
        <w:rPr>
          <w:rFonts w:ascii="Arial" w:cs="Arial" w:eastAsia="Arial" w:hAnsi="Arial"/>
          <w:sz w:val="18"/>
          <w:szCs w:val="18"/>
          <w:color w:val="auto"/>
        </w:rPr>
      </w:pPr>
    </w:p>
    <w:p>
      <w:pPr>
        <w:ind w:left="1180" w:hanging="524"/>
        <w:spacing w:after="0"/>
        <w:tabs>
          <w:tab w:leader="none" w:pos="118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assist the Initial Purchasers in arranging for the Securities to be eligible for clearance and settlement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through DTC.</w:t>
      </w:r>
    </w:p>
    <w:p>
      <w:pPr>
        <w:spacing w:after="0" w:line="220" w:lineRule="exact"/>
        <w:rPr>
          <w:rFonts w:ascii="Arial" w:cs="Arial" w:eastAsia="Arial" w:hAnsi="Arial"/>
          <w:sz w:val="18"/>
          <w:szCs w:val="18"/>
          <w:color w:val="auto"/>
        </w:rPr>
      </w:pPr>
    </w:p>
    <w:p>
      <w:pPr>
        <w:ind w:firstLine="656"/>
        <w:spacing w:after="0" w:line="251" w:lineRule="auto"/>
        <w:tabs>
          <w:tab w:leader="none" w:pos="1116"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No Resales by the Company. </w:t>
      </w:r>
      <w:r>
        <w:rPr>
          <w:rFonts w:ascii="Arial" w:cs="Arial" w:eastAsia="Arial" w:hAnsi="Arial"/>
          <w:sz w:val="18"/>
          <w:szCs w:val="18"/>
          <w:color w:val="auto"/>
        </w:rPr>
        <w:t>Prior to the one year anniversary of the Closing Date, the Company will not, and will not permit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affiliates (as defined in Rule 144 under the Securities Act) to, resell any of the Securities that have been acquired by any of them, except for Securities purchased by the Company or any of its affiliates and resold in a transaction registered under the Securities Act.</w:t>
      </w:r>
    </w:p>
    <w:p>
      <w:pPr>
        <w:spacing w:after="0" w:line="201" w:lineRule="exact"/>
        <w:rPr>
          <w:rFonts w:ascii="Arial" w:cs="Arial" w:eastAsia="Arial" w:hAnsi="Arial"/>
          <w:sz w:val="18"/>
          <w:szCs w:val="18"/>
          <w:color w:val="auto"/>
        </w:rPr>
      </w:pPr>
    </w:p>
    <w:p>
      <w:pPr>
        <w:ind w:right="80" w:firstLine="656"/>
        <w:spacing w:after="0" w:line="251" w:lineRule="auto"/>
        <w:tabs>
          <w:tab w:leader="none" w:pos="1226"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No Integration. </w:t>
      </w:r>
      <w:r>
        <w:rPr>
          <w:rFonts w:ascii="Arial" w:cs="Arial" w:eastAsia="Arial" w:hAnsi="Arial"/>
          <w:sz w:val="18"/>
          <w:szCs w:val="18"/>
          <w:color w:val="auto"/>
        </w:rPr>
        <w:t>Neither the Company nor any of its affiliates (as defined in Rule 501(b) of Regulation D) will, directly or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any agent, sell, offer for sale, solicit offers to buy or otherwise negotiate in respect of, any security (as defined in the Securities Act), that is or will be integrated with the sale of the Securities in a manner that would require registration of the Securities under the Securities Act.</w:t>
      </w:r>
    </w:p>
    <w:p>
      <w:pPr>
        <w:spacing w:after="0" w:line="201" w:lineRule="exact"/>
        <w:rPr>
          <w:rFonts w:ascii="Arial" w:cs="Arial" w:eastAsia="Arial" w:hAnsi="Arial"/>
          <w:sz w:val="18"/>
          <w:szCs w:val="18"/>
          <w:color w:val="auto"/>
        </w:rPr>
      </w:pPr>
    </w:p>
    <w:p>
      <w:pPr>
        <w:ind w:right="60" w:firstLine="656"/>
        <w:spacing w:after="0" w:line="242" w:lineRule="auto"/>
        <w:tabs>
          <w:tab w:leader="none" w:pos="1176"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No General Solicitation or Directed Selling Efforts. </w:t>
      </w:r>
      <w:r>
        <w:rPr>
          <w:rFonts w:ascii="Arial" w:cs="Arial" w:eastAsia="Arial" w:hAnsi="Arial"/>
          <w:sz w:val="18"/>
          <w:szCs w:val="18"/>
          <w:color w:val="auto"/>
        </w:rPr>
        <w:t>None of the Company or any of its affiliates or any other person acting on its</w:t>
      </w:r>
      <w:r>
        <w:rPr>
          <w:rFonts w:ascii="Arial" w:cs="Arial" w:eastAsia="Arial" w:hAnsi="Arial"/>
          <w:sz w:val="18"/>
          <w:szCs w:val="18"/>
          <w:i w:val="1"/>
          <w:iCs w:val="1"/>
          <w:color w:val="auto"/>
        </w:rPr>
        <w:t xml:space="preserve"> </w:t>
      </w:r>
      <w:r>
        <w:rPr>
          <w:rFonts w:ascii="Arial" w:cs="Arial" w:eastAsia="Arial" w:hAnsi="Arial"/>
          <w:sz w:val="18"/>
          <w:szCs w:val="18"/>
          <w:color w:val="auto"/>
        </w:rPr>
        <w:t>or their behalf (other than the Initial Purchasers, as to which no covenant is given) will (i) solicit offers for, or offer or sell, the Securities by means of any form of general solicitation or general advertising within the meaning of Rule 502(c) of Regulation D or in any manner involving a public offering within the meaning of Section 4(a)(2) of the Securities Act or (ii) engage in any directed selling efforts within the meaning of Regulation S, and all such persons will comply with the offering restrictions requirement of Regulation S.</w:t>
      </w:r>
    </w:p>
    <w:p>
      <w:pPr>
        <w:spacing w:after="0" w:line="212" w:lineRule="exact"/>
        <w:rPr>
          <w:rFonts w:ascii="Arial" w:cs="Arial" w:eastAsia="Arial" w:hAnsi="Arial"/>
          <w:sz w:val="18"/>
          <w:szCs w:val="18"/>
          <w:color w:val="auto"/>
        </w:rPr>
      </w:pPr>
    </w:p>
    <w:p>
      <w:pPr>
        <w:ind w:right="240" w:firstLine="656"/>
        <w:spacing w:after="0" w:line="267" w:lineRule="auto"/>
        <w:tabs>
          <w:tab w:leader="none" w:pos="1176"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any of the Guarantors will take,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reasonably be expected to cause or result in any stabilization or manipulation of the price of the Securities.</w:t>
      </w:r>
    </w:p>
    <w:p>
      <w:pPr>
        <w:spacing w:after="0" w:line="206" w:lineRule="exact"/>
        <w:rPr>
          <w:sz w:val="20"/>
          <w:szCs w:val="20"/>
          <w:color w:val="auto"/>
        </w:rPr>
      </w:pPr>
    </w:p>
    <w:p>
      <w:pPr>
        <w:ind w:right="60" w:firstLine="656"/>
        <w:spacing w:after="0" w:line="236" w:lineRule="auto"/>
        <w:tabs>
          <w:tab w:leader="none" w:pos="110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Initial Purchasers</w:t>
      </w:r>
      <w:r>
        <w:rPr>
          <w:rFonts w:ascii="Arial" w:cs="Arial" w:eastAsia="Arial" w:hAnsi="Arial"/>
          <w:sz w:val="18"/>
          <w:szCs w:val="18"/>
          <w:color w:val="auto"/>
        </w:rPr>
        <w:t>. Each Initial Purchaser hereby represents and agrees that it has not and will not use, authorize use of, refer to, or participate in the planning for use of, any written communication that constitutes an offer to sell or the solicitation of an offer to buy the Securities other than (i) the Preliminary Offering Memorandum and the Offering Memorandum, (ii) any written communication that contains either (a) no “issuer information” (as defined in Rule 433(h)(2) under the Securities Act) or (b) “issuer information” that was included (including through incorporation by reference) in the Time of Sale Information or the Offering Memorandum, (iii) any written communication listed on Annex A or prepared pursuant to Section 4(c) (including any electronic road show) above, (iv) any written communication prepared by such Initial Purchaser and approved by the Company and the Representative in advance in writing or (v) any written communication relating to or that contains the terms of the Securities and/or other information that was included (including through incorporation by reference) in the Time of Sale Information or the Offering Memorandum.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16" w:name="page117"/>
    <w:bookmarkEnd w:id="116"/>
    <w:p>
      <w:pPr>
        <w:ind w:left="-8" w:right="100" w:firstLine="656"/>
        <w:spacing w:after="0"/>
        <w:tabs>
          <w:tab w:leader="none" w:pos="109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Conditions of Initial Purchasers’ Obligations.</w:t>
      </w:r>
      <w:r>
        <w:rPr>
          <w:rFonts w:ascii="Arial" w:cs="Arial" w:eastAsia="Arial" w:hAnsi="Arial"/>
          <w:sz w:val="18"/>
          <w:szCs w:val="18"/>
          <w:color w:val="auto"/>
        </w:rPr>
        <w:t xml:space="preserve"> The obligation of each Initial Purchaser to purchase Securities on the Closing Date as provided herein is subject to the performance by the Company and each of the Guarantors of their respective covenants and other obligations hereunder and to the following additional conditions:</w:t>
      </w:r>
    </w:p>
    <w:p>
      <w:pPr>
        <w:spacing w:after="0" w:line="211" w:lineRule="exact"/>
        <w:rPr>
          <w:sz w:val="20"/>
          <w:szCs w:val="20"/>
          <w:color w:val="auto"/>
        </w:rPr>
      </w:pPr>
    </w:p>
    <w:p>
      <w:pPr>
        <w:ind w:left="-8" w:right="180" w:firstLine="656"/>
        <w:spacing w:after="0" w:line="251" w:lineRule="auto"/>
        <w:tabs>
          <w:tab w:leader="none" w:pos="1168"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Guarantors contained herein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true and correct on the date hereof and on and as of the Closing Date; and the statements of the Company, the Guarantors and their respective officers made in any certificates delivered pursuant to this Agreement shall be true and correct on and as of the Closing Date.</w:t>
      </w:r>
    </w:p>
    <w:p>
      <w:pPr>
        <w:spacing w:after="0" w:line="201" w:lineRule="exact"/>
        <w:rPr>
          <w:rFonts w:ascii="Arial" w:cs="Arial" w:eastAsia="Arial" w:hAnsi="Arial"/>
          <w:sz w:val="18"/>
          <w:szCs w:val="18"/>
          <w:color w:val="auto"/>
        </w:rPr>
      </w:pPr>
    </w:p>
    <w:p>
      <w:pPr>
        <w:ind w:left="-8" w:right="100" w:firstLine="656"/>
        <w:spacing w:after="0" w:line="241" w:lineRule="auto"/>
        <w:tabs>
          <w:tab w:leader="none" w:pos="1168"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w:t>
      </w:r>
      <w:r>
        <w:rPr>
          <w:rFonts w:ascii="Arial" w:cs="Arial" w:eastAsia="Arial" w:hAnsi="Arial"/>
          <w:sz w:val="18"/>
          <w:szCs w:val="18"/>
          <w:i w:val="1"/>
          <w:iCs w:val="1"/>
          <w:color w:val="auto"/>
        </w:rPr>
        <w:t xml:space="preserve"> </w:t>
      </w:r>
      <w:r>
        <w:rPr>
          <w:rFonts w:ascii="Arial" w:cs="Arial" w:eastAsia="Arial" w:hAnsi="Arial"/>
          <w:sz w:val="18"/>
          <w:szCs w:val="18"/>
          <w:color w:val="auto"/>
        </w:rPr>
        <w:t>downgrading shall have occurred in the rating accorded the Securities or any other debt securities or preferred stock issued or guaranteed by the Company or any of its subsidiaries by any “nationally recognized statistical rating organization,” as such term is defined under Section 3(a)</w:t>
      </w:r>
    </w:p>
    <w:p>
      <w:pPr>
        <w:spacing w:after="0" w:line="2" w:lineRule="exact"/>
        <w:rPr>
          <w:rFonts w:ascii="Arial" w:cs="Arial" w:eastAsia="Arial" w:hAnsi="Arial"/>
          <w:sz w:val="18"/>
          <w:szCs w:val="18"/>
          <w:color w:val="auto"/>
        </w:rPr>
      </w:pPr>
    </w:p>
    <w:p>
      <w:pPr>
        <w:ind w:left="-8" w:right="340" w:firstLine="8"/>
        <w:spacing w:after="0"/>
        <w:tabs>
          <w:tab w:leader="none" w:pos="3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211" w:lineRule="exact"/>
        <w:rPr>
          <w:rFonts w:ascii="Arial" w:cs="Arial" w:eastAsia="Arial" w:hAnsi="Arial"/>
          <w:sz w:val="18"/>
          <w:szCs w:val="18"/>
          <w:color w:val="auto"/>
        </w:rPr>
      </w:pPr>
    </w:p>
    <w:p>
      <w:pPr>
        <w:ind w:left="-8" w:right="20" w:firstLine="656"/>
        <w:spacing w:after="0" w:line="242" w:lineRule="auto"/>
        <w:tabs>
          <w:tab w:leader="none" w:pos="1158"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3(e) hereof shall have occurred or shall exist,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event or condition is not described in each of the Time of Sale Information (excluding any amendment or supplement thereto) and the Offering Memorandum (excluding any amendment or supplement thereto) the effect of which in the judgment of the Representative makes it impracticable or inadvisable to proceed with the offering, sale or delivery of the Securities on the terms and in the manner contemplated by this Agreement, the Time of Sale Information and the Offering Memorandum.</w:t>
      </w:r>
    </w:p>
    <w:p>
      <w:pPr>
        <w:spacing w:after="0" w:line="212" w:lineRule="exact"/>
        <w:rPr>
          <w:rFonts w:ascii="Arial" w:cs="Arial" w:eastAsia="Arial" w:hAnsi="Arial"/>
          <w:sz w:val="18"/>
          <w:szCs w:val="18"/>
          <w:color w:val="auto"/>
        </w:rPr>
      </w:pPr>
    </w:p>
    <w:p>
      <w:pPr>
        <w:ind w:left="-8" w:firstLine="656"/>
        <w:spacing w:after="0"/>
        <w:tabs>
          <w:tab w:leader="none" w:pos="1168"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Representative shall have received on and as of the Closing Date a certificate of an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of each Guarantor who has specific knowledge of the Company’s or such Guarantor’s financial matters and is satisfactory to the Representative (i) confirming that such officer has carefully reviewed the Time of Sale Information and the Offering Memorandum and, to the knowledge of such officer, the representations set forth in Sections 3(a) and 3(b) hereof are true and correct, (ii) confirming that the other representations and warranties of the Company and the Guarantors in this Agreement are true and correct and that the Company and the Guarantors have complied with all agreements and satisfied all conditions on their part to be performed or satisfied hereunder at or prior to the Closing Date and (iii) to the effect set forth in paragraphs (b) and (c) above.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40" w:right="259" w:bottom="1440" w:gutter="0" w:footer="0" w:header="0"/>
        </w:sectPr>
      </w:pPr>
    </w:p>
    <w:bookmarkStart w:id="117" w:name="page118"/>
    <w:bookmarkEnd w:id="117"/>
    <w:p>
      <w:pPr>
        <w:ind w:left="-20" w:firstLine="656"/>
        <w:spacing w:after="0" w:line="241" w:lineRule="auto"/>
        <w:tabs>
          <w:tab w:leader="none" w:pos="115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Comfort Letters. </w:t>
      </w:r>
      <w:r>
        <w:rPr>
          <w:rFonts w:ascii="Arial" w:cs="Arial" w:eastAsia="Arial" w:hAnsi="Arial"/>
          <w:sz w:val="18"/>
          <w:szCs w:val="18"/>
          <w:color w:val="auto"/>
        </w:rPr>
        <w:t>On the date of this Agreement and on the Closing Date, PricewaterhouseCoopers, LLP, shall have furnished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Representative, at the request 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delivered on the Closing Date shall use a “cut-off” date no more than three business days prior to the Closing Date.</w:t>
      </w:r>
    </w:p>
    <w:p>
      <w:pPr>
        <w:spacing w:after="0" w:line="212" w:lineRule="exact"/>
        <w:rPr>
          <w:rFonts w:ascii="Arial" w:cs="Arial" w:eastAsia="Arial" w:hAnsi="Arial"/>
          <w:sz w:val="18"/>
          <w:szCs w:val="18"/>
          <w:color w:val="auto"/>
        </w:rPr>
      </w:pPr>
    </w:p>
    <w:p>
      <w:pPr>
        <w:ind w:left="-20" w:right="100" w:firstLine="656"/>
        <w:spacing w:after="0" w:line="245" w:lineRule="auto"/>
        <w:tabs>
          <w:tab w:leader="none" w:pos="110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Cravath, Swaine &amp; Moore LLP,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 at the request of the Company, a written opinion and a 10b-5 statement, dated the Closing Date and addressed to the Initial Purchasers, in form and substance reasonably satisfactory to the Representative, to the effect set forth in Annex D hereto.</w:t>
      </w:r>
    </w:p>
    <w:p>
      <w:pPr>
        <w:spacing w:after="0" w:line="208" w:lineRule="exact"/>
        <w:rPr>
          <w:rFonts w:ascii="Arial" w:cs="Arial" w:eastAsia="Arial" w:hAnsi="Arial"/>
          <w:sz w:val="18"/>
          <w:szCs w:val="18"/>
          <w:color w:val="auto"/>
        </w:rPr>
      </w:pPr>
    </w:p>
    <w:p>
      <w:pPr>
        <w:jc w:val="both"/>
        <w:ind w:left="-20" w:right="300" w:firstLine="656"/>
        <w:spacing w:after="0" w:line="245" w:lineRule="auto"/>
        <w:tabs>
          <w:tab w:leader="none" w:pos="115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Initial Purchasers. </w:t>
      </w:r>
      <w:r>
        <w:rPr>
          <w:rFonts w:ascii="Arial" w:cs="Arial" w:eastAsia="Arial" w:hAnsi="Arial"/>
          <w:sz w:val="18"/>
          <w:szCs w:val="18"/>
          <w:color w:val="auto"/>
        </w:rPr>
        <w:t>The Representative shall have received on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an opinion and 10b-5 statement, addressed to the Initial Purchasers, of Simpson Thacher &amp; Bartlett LLP, counsel for the Initial Purchasers, with respect to such matters as the Representative may reasonably request, and such counsel shall have received such documents and information as they may reasonably request to enable them to pass upon such matters.</w:t>
      </w:r>
    </w:p>
    <w:p>
      <w:pPr>
        <w:spacing w:after="0" w:line="226" w:lineRule="exact"/>
        <w:rPr>
          <w:rFonts w:ascii="Arial" w:cs="Arial" w:eastAsia="Arial" w:hAnsi="Arial"/>
          <w:sz w:val="18"/>
          <w:szCs w:val="18"/>
          <w:color w:val="auto"/>
        </w:rPr>
      </w:pPr>
    </w:p>
    <w:p>
      <w:pPr>
        <w:ind w:left="-20" w:right="240" w:firstLine="656"/>
        <w:spacing w:after="0"/>
        <w:tabs>
          <w:tab w:leader="none" w:pos="115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Opinion of Florida Counsel for the Company. Latham, Shuker, Eden &amp; Beaudine, LLP, Florida counsel for the Company, shall have furnished to the Representative, at the request of the Company, a written opinion, dated the Closing Date and addressed to the Initial Purchasers, in form and substance reasonably satisfactory to the Representative, to the effect set forth in Annex E hereto.</w:t>
      </w:r>
    </w:p>
    <w:p>
      <w:pPr>
        <w:spacing w:after="0" w:line="211" w:lineRule="exact"/>
        <w:rPr>
          <w:rFonts w:ascii="Arial" w:cs="Arial" w:eastAsia="Arial" w:hAnsi="Arial"/>
          <w:sz w:val="18"/>
          <w:szCs w:val="18"/>
          <w:color w:val="auto"/>
        </w:rPr>
      </w:pPr>
    </w:p>
    <w:p>
      <w:pPr>
        <w:ind w:left="-20" w:right="60" w:firstLine="656"/>
        <w:spacing w:after="0" w:line="245" w:lineRule="auto"/>
        <w:tabs>
          <w:tab w:leader="none" w:pos="109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0" w:right="259" w:bottom="1440" w:gutter="0" w:footer="0" w:header="0"/>
        </w:sectPr>
      </w:pPr>
    </w:p>
    <w:bookmarkStart w:id="118" w:name="page119"/>
    <w:bookmarkEnd w:id="118"/>
    <w:p>
      <w:pPr>
        <w:ind w:right="140" w:firstLine="656"/>
        <w:spacing w:after="0" w:line="246" w:lineRule="auto"/>
        <w:tabs>
          <w:tab w:leader="none" w:pos="1116"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 shall have received on and as of the Closing Date satisfactory evidence of the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of the Company and its subsidiaries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205" w:lineRule="exact"/>
        <w:rPr>
          <w:rFonts w:ascii="Arial" w:cs="Arial" w:eastAsia="Arial" w:hAnsi="Arial"/>
          <w:sz w:val="18"/>
          <w:szCs w:val="18"/>
          <w:color w:val="auto"/>
        </w:rPr>
      </w:pPr>
    </w:p>
    <w:p>
      <w:pPr>
        <w:ind w:left="1180" w:hanging="524"/>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Securities shall be eligible for clearance and settlement through DTC.</w:t>
      </w:r>
    </w:p>
    <w:p>
      <w:pPr>
        <w:spacing w:after="0" w:line="238" w:lineRule="exact"/>
        <w:rPr>
          <w:rFonts w:ascii="Arial" w:cs="Arial" w:eastAsia="Arial" w:hAnsi="Arial"/>
          <w:sz w:val="18"/>
          <w:szCs w:val="18"/>
          <w:color w:val="auto"/>
        </w:rPr>
      </w:pPr>
    </w:p>
    <w:p>
      <w:pPr>
        <w:ind w:right="60" w:firstLine="656"/>
        <w:spacing w:after="0" w:line="251" w:lineRule="auto"/>
        <w:tabs>
          <w:tab w:leader="none" w:pos="1116"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Indenture and Securities</w:t>
      </w:r>
      <w:r>
        <w:rPr>
          <w:rFonts w:ascii="Arial" w:cs="Arial" w:eastAsia="Arial" w:hAnsi="Arial"/>
          <w:sz w:val="18"/>
          <w:szCs w:val="18"/>
          <w:color w:val="auto"/>
        </w:rPr>
        <w:t>. The Indenture shall have been duly executed and delivered by a duly authorized officer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each of the Guarantors and the Trustee, and the Securities shall have been duly executed and delivered by a duly authorized officer of the Company and duly authenticated by the Trustee.</w:t>
      </w:r>
    </w:p>
    <w:p>
      <w:pPr>
        <w:spacing w:after="0" w:line="201" w:lineRule="exact"/>
        <w:rPr>
          <w:rFonts w:ascii="Arial" w:cs="Arial" w:eastAsia="Arial" w:hAnsi="Arial"/>
          <w:sz w:val="18"/>
          <w:szCs w:val="18"/>
          <w:color w:val="auto"/>
        </w:rPr>
      </w:pPr>
    </w:p>
    <w:p>
      <w:pPr>
        <w:ind w:right="920" w:firstLine="656"/>
        <w:spacing w:after="0" w:line="267" w:lineRule="auto"/>
        <w:tabs>
          <w:tab w:leader="none" w:pos="1226"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and the Guarantors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such further certificates and documents as the Representative may reasonably request.</w:t>
      </w:r>
    </w:p>
    <w:p>
      <w:pPr>
        <w:spacing w:after="0" w:line="206"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224" w:lineRule="exact"/>
        <w:rPr>
          <w:sz w:val="20"/>
          <w:szCs w:val="20"/>
          <w:color w:val="auto"/>
        </w:rPr>
      </w:pPr>
    </w:p>
    <w:p>
      <w:pPr>
        <w:ind w:left="1120" w:hanging="464"/>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1" w:lineRule="exact"/>
        <w:rPr>
          <w:sz w:val="20"/>
          <w:szCs w:val="20"/>
          <w:color w:val="auto"/>
        </w:rPr>
      </w:pPr>
    </w:p>
    <w:p>
      <w:pPr>
        <w:ind w:firstLine="656"/>
        <w:spacing w:after="0" w:line="238" w:lineRule="auto"/>
        <w:tabs>
          <w:tab w:leader="none" w:pos="1176"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Initial Purchasers. </w:t>
      </w:r>
      <w:r>
        <w:rPr>
          <w:rFonts w:ascii="Arial" w:cs="Arial" w:eastAsia="Arial" w:hAnsi="Arial"/>
          <w:sz w:val="18"/>
          <w:szCs w:val="18"/>
          <w:color w:val="auto"/>
        </w:rPr>
        <w:t>The Company and each of the Guarantors jointly and severally agree to indemnify and</w:t>
      </w:r>
      <w:r>
        <w:rPr>
          <w:rFonts w:ascii="Arial" w:cs="Arial" w:eastAsia="Arial" w:hAnsi="Arial"/>
          <w:sz w:val="18"/>
          <w:szCs w:val="18"/>
          <w:i w:val="1"/>
          <w:iCs w:val="1"/>
          <w:color w:val="auto"/>
        </w:rPr>
        <w:t xml:space="preserve"> </w:t>
      </w:r>
      <w:r>
        <w:rPr>
          <w:rFonts w:ascii="Arial" w:cs="Arial" w:eastAsia="Arial" w:hAnsi="Arial"/>
          <w:sz w:val="18"/>
          <w:szCs w:val="18"/>
          <w:color w:val="auto"/>
        </w:rPr>
        <w:t>hold harmless each Initial Purchaser, its affiliates, directors and officers and each person, if any, who controls such Initial Purchaser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any untrue statement or alleged untrue statement of a material fact contained in the Preliminary Offering Memorandum, any of the other Time of Sale Information, any Issuer Written Communication or the Offering Memorandum (or any amendment or supplement thereto)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9" w:name="page120"/>
    <w:bookmarkEnd w:id="119"/>
    <w:p>
      <w:pPr>
        <w:ind w:left="-20" w:right="40" w:firstLine="656"/>
        <w:spacing w:after="0" w:line="238" w:lineRule="auto"/>
        <w:tabs>
          <w:tab w:leader="none" w:pos="115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Company and the Guarantors. </w:t>
      </w:r>
      <w:r>
        <w:rPr>
          <w:rFonts w:ascii="Arial" w:cs="Arial" w:eastAsia="Arial" w:hAnsi="Arial"/>
          <w:sz w:val="18"/>
          <w:szCs w:val="18"/>
          <w:color w:val="auto"/>
        </w:rPr>
        <w:t>Each Initial Purchaser agrees, severally and not jointly, to indemnify and</w:t>
      </w:r>
      <w:r>
        <w:rPr>
          <w:rFonts w:ascii="Arial" w:cs="Arial" w:eastAsia="Arial" w:hAnsi="Arial"/>
          <w:sz w:val="18"/>
          <w:szCs w:val="18"/>
          <w:i w:val="1"/>
          <w:iCs w:val="1"/>
          <w:color w:val="auto"/>
        </w:rPr>
        <w:t xml:space="preserve"> </w:t>
      </w:r>
      <w:r>
        <w:rPr>
          <w:rFonts w:ascii="Arial" w:cs="Arial" w:eastAsia="Arial" w:hAnsi="Arial"/>
          <w:sz w:val="18"/>
          <w:szCs w:val="18"/>
          <w:color w:val="auto"/>
        </w:rPr>
        <w:t>hold harmless the Company, each of the Guarantors, each of their respective directors and officers and each person, if any, who controls the Company or any of the Guarantors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Preliminary Offering Memorandum, any of the other Time of Sale Information, any Issuer Written Communication or the Offering Memorandum (or any amendment or supplement thereto), it being understood and agreed that the only such information consists of the following paragraphs in the Preliminary Offering Memorandum and the Offering Memorandum: the information contained in the third and fourth sentences of the seventh paragraph and the entirety of the ninth paragraph under the heading “Plan of distribution.”</w:t>
      </w:r>
    </w:p>
    <w:p>
      <w:pPr>
        <w:spacing w:after="0" w:line="217" w:lineRule="exact"/>
        <w:rPr>
          <w:rFonts w:ascii="Arial" w:cs="Arial" w:eastAsia="Arial" w:hAnsi="Arial"/>
          <w:sz w:val="18"/>
          <w:szCs w:val="18"/>
          <w:color w:val="auto"/>
        </w:rPr>
      </w:pPr>
    </w:p>
    <w:p>
      <w:pPr>
        <w:ind w:left="-20" w:firstLine="656"/>
        <w:spacing w:after="0" w:line="236" w:lineRule="auto"/>
        <w:tabs>
          <w:tab w:leader="none" w:pos="114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Notice and Procedures. </w:t>
      </w:r>
      <w:r>
        <w:rPr>
          <w:rFonts w:ascii="Arial" w:cs="Arial" w:eastAsia="Arial" w:hAnsi="Arial"/>
          <w:sz w:val="18"/>
          <w:szCs w:val="18"/>
          <w:color w:val="auto"/>
        </w:rPr>
        <w:t>If any suit, action, proceeding (including any governmental or regulatory investigation), claim or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brought or asserted against any person in respect of which indemnification may be sought pursuant to either paragraph (a) or (b) above, such person (the “</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promptly notify the person against whom such indemnification may be sought (the “Indemnifying Person”)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Initial Purchaser, its affiliates, directors and officers and any control persons of such Initial Purchaser shall be designated in writing by J.P. Morgan Securities LLC and any such separate firm for the Company, the Guarantors, their respective directors and officers and any control persons of the Company and the Guarantors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20" w:name="page121"/>
    <w:bookmarkEnd w:id="120"/>
    <w:p>
      <w:pPr>
        <w:ind w:left="-20" w:firstLine="656"/>
        <w:spacing w:after="0" w:line="237" w:lineRule="auto"/>
        <w:tabs>
          <w:tab w:leader="none" w:pos="115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w:t>
      </w:r>
      <w:r>
        <w:rPr>
          <w:rFonts w:ascii="Arial" w:cs="Arial" w:eastAsia="Arial" w:hAnsi="Arial"/>
          <w:sz w:val="18"/>
          <w:szCs w:val="18"/>
          <w:color w:val="auto"/>
        </w:rPr>
        <w:t>If the indemnification provided for in paragraph (a) or (b) above is unavailable to an Indemnified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on the one hand and the Initial Purchasers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Guarantors on the one hand and the Initial Purchasers on the other in connection with the statements or omissions that resulted in such losses, claims, damages or liabilities, as well as any other relevant equitable considerations. The relative benefits received by the Company and the Guarantors on the one hand and the Initial Purchasers on the other shall be deemed to be in the same respective proportions as the net proceeds (before deducting expenses) received by the Company from the sale of the Securities and the total discounts and commissions received by the Initial Purchasers in connection therewith, as provided in this Agreement, bear to the aggregate offering price of the Securities. The relative fault of the Company and the Guarantors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any Guarantor or by the Initial Purchasers and the parties’ relative intent, knowledge, access to information and opportunity to correct or prevent such statement or omission.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21" w:name="page122"/>
    <w:bookmarkEnd w:id="121"/>
    <w:p>
      <w:pPr>
        <w:ind w:left="-40" w:firstLine="656"/>
        <w:spacing w:after="0" w:line="238" w:lineRule="auto"/>
        <w:tabs>
          <w:tab w:leader="none" w:pos="1136"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Liability. </w:t>
      </w:r>
      <w:r>
        <w:rPr>
          <w:rFonts w:ascii="Arial" w:cs="Arial" w:eastAsia="Arial" w:hAnsi="Arial"/>
          <w:sz w:val="18"/>
          <w:szCs w:val="18"/>
          <w:color w:val="auto"/>
        </w:rPr>
        <w:t>The Company, the Guarantors and the Initial Purchasers agree that it would not be just and equitable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contribution pursuant to this Section 7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Initial Purchaser be required to contribute any amount in excess of the amount by which the total discounts and commissions received by such Initial Purchaser with respect to the offering of the Securities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this Section 7 are several in proportion to their respective purchase obligations hereunder and not joint.</w:t>
      </w:r>
    </w:p>
    <w:p>
      <w:pPr>
        <w:spacing w:after="0" w:line="212" w:lineRule="exact"/>
        <w:rPr>
          <w:rFonts w:ascii="Arial" w:cs="Arial" w:eastAsia="Arial" w:hAnsi="Arial"/>
          <w:sz w:val="18"/>
          <w:szCs w:val="18"/>
          <w:color w:val="auto"/>
        </w:rPr>
      </w:pPr>
    </w:p>
    <w:p>
      <w:pPr>
        <w:ind w:left="-40" w:firstLine="656"/>
        <w:spacing w:after="0" w:line="267" w:lineRule="auto"/>
        <w:tabs>
          <w:tab w:leader="none" w:pos="1086"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otherwise be available to any Indemnified Person at law or in equity.</w:t>
      </w:r>
    </w:p>
    <w:p>
      <w:pPr>
        <w:spacing w:after="0" w:line="206" w:lineRule="exact"/>
        <w:rPr>
          <w:sz w:val="20"/>
          <w:szCs w:val="20"/>
          <w:color w:val="auto"/>
        </w:rPr>
      </w:pPr>
    </w:p>
    <w:p>
      <w:pPr>
        <w:ind w:left="1080" w:hanging="46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38" w:lineRule="exact"/>
        <w:rPr>
          <w:rFonts w:ascii="Arial" w:cs="Arial" w:eastAsia="Arial" w:hAnsi="Arial"/>
          <w:sz w:val="18"/>
          <w:szCs w:val="18"/>
          <w:color w:val="auto"/>
        </w:rPr>
      </w:pPr>
    </w:p>
    <w:p>
      <w:pPr>
        <w:ind w:left="-40" w:right="120" w:firstLine="656"/>
        <w:spacing w:after="0" w:line="236" w:lineRule="auto"/>
        <w:tabs>
          <w:tab w:leader="none" w:pos="106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or any of the Guarantors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terms and in the manner contemplated by this Agreement, the Time of Sale Information and the Offering Memorandum.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20" w:right="279" w:bottom="1440" w:gutter="0" w:footer="0" w:header="0"/>
        </w:sectPr>
      </w:pPr>
    </w:p>
    <w:bookmarkStart w:id="122" w:name="page123"/>
    <w:bookmarkEnd w:id="122"/>
    <w:p>
      <w:pPr>
        <w:ind w:left="1200" w:hanging="564"/>
        <w:spacing w:after="0"/>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Defaulting Initial Purchaser</w:t>
      </w:r>
      <w:r>
        <w:rPr>
          <w:rFonts w:ascii="Arial" w:cs="Arial" w:eastAsia="Arial" w:hAnsi="Arial"/>
          <w:sz w:val="18"/>
          <w:szCs w:val="18"/>
          <w:color w:val="auto"/>
        </w:rPr>
        <w:t>.</w:t>
      </w:r>
    </w:p>
    <w:p>
      <w:pPr>
        <w:spacing w:after="0" w:line="238" w:lineRule="exact"/>
        <w:rPr>
          <w:sz w:val="20"/>
          <w:szCs w:val="20"/>
          <w:color w:val="auto"/>
        </w:rPr>
      </w:pPr>
    </w:p>
    <w:p>
      <w:pPr>
        <w:ind w:left="-20" w:firstLine="656"/>
        <w:spacing w:after="0" w:line="204" w:lineRule="exact"/>
        <w:tabs>
          <w:tab w:leader="none" w:pos="115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on the Closing Date, any Initial Purchaser defaults on its obligation to purchase the Securities that it has agreed to purchase hereunder, the non-defaulting Initial Purchasers may in their discretion arrange for the purchase of such Securities by other persons satisfactory to the Company on the terms contained in this Agreement. If, within 36 hours after any such default by any Initial Purchaser, the non-defaulting Initial Purchasers do not arrange for the purchase of such Securities, then the Company shall be entitled to a further period of 36 hours within which to procure other persons satisfactory to the non-defaulting Initial Purchasers to purchase such Securities on such terms. If other persons become obligated or agree to purchase the Securities of a defaulting Initial Purchaser, either the non</w:t>
      </w:r>
      <w:r>
        <w:rPr>
          <w:rFonts w:ascii="MS PGothic" w:cs="MS PGothic" w:eastAsia="MS PGothic" w:hAnsi="MS PGothic"/>
          <w:sz w:val="18"/>
          <w:szCs w:val="18"/>
          <w:color w:val="auto"/>
        </w:rPr>
        <w:t>‑</w:t>
      </w:r>
      <w:r>
        <w:rPr>
          <w:rFonts w:ascii="Arial" w:cs="Arial" w:eastAsia="Arial" w:hAnsi="Arial"/>
          <w:sz w:val="18"/>
          <w:szCs w:val="18"/>
          <w:color w:val="auto"/>
        </w:rPr>
        <w:t>defaulting Initial Purchasers or the Company may postpone the Closing Date for up to five full business days in order to effect any changes that in the opinion of counsel for the Company or counsel for the Initial Purchasers may be necessary in the Time of Sale Information, the Offering Memorandum or in any other document or arrangement, and the Company agrees to promptly prepare any amendment or supplement to the Time of Sale Information or the Offering Memorandum that effects any such changes. As used in this Agreement, the term “Initial Purchaser” includes, for all purposes of this Agreement unless the context otherwise requires, any person not listed in Schedule 1 hereto that, pursuant to this Section 10, purchases Securities that a defaulting Initial Purchaser agreed but failed to purchase.</w:t>
      </w:r>
    </w:p>
    <w:p>
      <w:pPr>
        <w:spacing w:after="0" w:line="231" w:lineRule="exact"/>
        <w:rPr>
          <w:rFonts w:ascii="Arial" w:cs="Arial" w:eastAsia="Arial" w:hAnsi="Arial"/>
          <w:sz w:val="18"/>
          <w:szCs w:val="18"/>
          <w:color w:val="auto"/>
        </w:rPr>
      </w:pPr>
    </w:p>
    <w:p>
      <w:pPr>
        <w:ind w:left="-20" w:right="120" w:firstLine="656"/>
        <w:spacing w:after="0" w:line="237" w:lineRule="auto"/>
        <w:tabs>
          <w:tab w:leader="none" w:pos="115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Initial Purchaser to purchase the principal amount of Securities that such Initial Purchaser agreed to purchase hereunder plus such Initial Purchaser’s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Initial Purchaser agreed to purchase hereunder) of the Securities of such defaulting Initial Purchaser or Initial Purchasers for which such arrangements have not been made.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40" w:right="239" w:bottom="1440" w:gutter="0" w:footer="0" w:header="0"/>
        </w:sectPr>
      </w:pPr>
    </w:p>
    <w:bookmarkStart w:id="123" w:name="page124"/>
    <w:bookmarkEnd w:id="123"/>
    <w:p>
      <w:pPr>
        <w:ind w:left="-8" w:right="100" w:firstLine="656"/>
        <w:spacing w:after="0" w:line="237" w:lineRule="auto"/>
        <w:tabs>
          <w:tab w:leader="none" w:pos="11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Initial Purchasers. Any termination of this Agreement pursuant to this Section 10 shall be without liability on the part of the Company or the Guarantors, except that the Company and each of the Guarantors will continue to be liable for the payment of expenses as set forth in Section 11 hereof and except that the provisions of Section 7 hereof shall not terminate and shall remain in effect.</w:t>
      </w:r>
    </w:p>
    <w:p>
      <w:pPr>
        <w:spacing w:after="0" w:line="229" w:lineRule="exact"/>
        <w:rPr>
          <w:rFonts w:ascii="Arial" w:cs="Arial" w:eastAsia="Arial" w:hAnsi="Arial"/>
          <w:sz w:val="18"/>
          <w:szCs w:val="18"/>
          <w:color w:val="auto"/>
        </w:rPr>
      </w:pPr>
    </w:p>
    <w:p>
      <w:pPr>
        <w:ind w:left="-8" w:right="180" w:firstLine="656"/>
        <w:spacing w:after="0" w:line="246"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Initial Purchaser of any liability it may have to the Company, the Guarantors or any non-defaulting Initial Purchaser for damages caused by its default.</w:t>
      </w:r>
    </w:p>
    <w:p>
      <w:pPr>
        <w:spacing w:after="0" w:line="206" w:lineRule="exact"/>
        <w:rPr>
          <w:sz w:val="20"/>
          <w:szCs w:val="20"/>
          <w:color w:val="auto"/>
        </w:rPr>
      </w:pPr>
    </w:p>
    <w:p>
      <w:pPr>
        <w:ind w:left="1212" w:hanging="564"/>
        <w:spacing w:after="0"/>
        <w:tabs>
          <w:tab w:leader="none" w:pos="121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57" w:lineRule="exact"/>
        <w:rPr>
          <w:sz w:val="20"/>
          <w:szCs w:val="20"/>
          <w:color w:val="auto"/>
        </w:rPr>
      </w:pPr>
    </w:p>
    <w:p>
      <w:pPr>
        <w:ind w:left="-8" w:firstLine="656"/>
        <w:spacing w:after="0" w:line="234" w:lineRule="auto"/>
        <w:tabs>
          <w:tab w:leader="none" w:pos="116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Whether or not the transactions contemplated by this Agreement are consummated or this Agreement is terminated, the Company and each of the Guarantors jointly and severally agree to pay or cause to be paid all costs and expenses incident to the performance of their respective obligations hereunder, including without limitation, (i) the costs incident to the authorization, issuance, sale, preparation and delivery of the Securities and any taxes payable in that connection; (ii) the costs incident to the preparation and printing of the Preliminary Offering Memorandum, any other Time of Sale Information, any Issuer Written Communication and the Offering Memorandum (including any amendment or supplement thereto) and the distribution thereof; (iii) the costs of reproducing and distributing each of the Transaction Documents; (iv) the fees and expenses of the Company’s and the Guarantors’ counsel and independent accountants; (v) the fees and expenses incurred in connection with the registration or qualification and determination of eligibility for investment of the Securities under the laws of such jurisdictions as the Representative may designate and the preparation, printing and distribution of a Blue Sky Memorandum (including the related fees and expenses of counsel for the Initial Purchasers); (vi) any fees charged by rating agencies for rating the Securities;</w:t>
      </w:r>
    </w:p>
    <w:p>
      <w:pPr>
        <w:spacing w:after="0" w:line="7" w:lineRule="exact"/>
        <w:rPr>
          <w:rFonts w:ascii="Arial" w:cs="Arial" w:eastAsia="Arial" w:hAnsi="Arial"/>
          <w:sz w:val="18"/>
          <w:szCs w:val="18"/>
          <w:color w:val="auto"/>
        </w:rPr>
      </w:pPr>
    </w:p>
    <w:p>
      <w:pPr>
        <w:jc w:val="both"/>
        <w:ind w:left="-8" w:firstLine="8"/>
        <w:spacing w:after="0" w:line="239" w:lineRule="auto"/>
        <w:tabs>
          <w:tab w:leader="none" w:pos="3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fees and expenses of the Trustee and any paying agent (including related fees and expenses of any counsel to such parties); (viii) all expenses and application fees incurred in connection with the approval of the Securities for book-entry transfer by DTC; and (ix) all expenses incurred by the Company in connection with any “road show” presentation to potential investors (including 50% of the expense of any chartered aircraft jointly used).</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40" w:right="259" w:bottom="1440" w:gutter="0" w:footer="0" w:header="0"/>
        </w:sectPr>
      </w:pPr>
    </w:p>
    <w:bookmarkStart w:id="124" w:name="page125"/>
    <w:bookmarkEnd w:id="124"/>
    <w:p>
      <w:pPr>
        <w:ind w:left="-20" w:firstLine="656"/>
        <w:spacing w:after="0" w:line="238" w:lineRule="auto"/>
        <w:tabs>
          <w:tab w:leader="none" w:pos="115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(ii) the Company for any reason fails to tender the Securities for delivery to the Initial Purchasers or (iii) the Initial Purchasers decline to purchase the Securities for any reason permitted under this Agreement, the Company and each of the Guarantors jointly and severally agree to reimburse the Initial Purchasers for all out-of-pocket costs and expenses (including the fees and expenses of their counsel) reasonably incurred by the Initial Purchasers in connection with this Agreement and the offering contemplated hereby.</w:t>
      </w:r>
    </w:p>
    <w:p>
      <w:pPr>
        <w:spacing w:after="0" w:line="229" w:lineRule="exact"/>
        <w:rPr>
          <w:sz w:val="20"/>
          <w:szCs w:val="20"/>
          <w:color w:val="auto"/>
        </w:rPr>
      </w:pPr>
    </w:p>
    <w:p>
      <w:pPr>
        <w:ind w:left="-20" w:right="140" w:firstLine="656"/>
        <w:spacing w:after="0" w:line="238" w:lineRule="auto"/>
        <w:tabs>
          <w:tab w:leader="none" w:pos="118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Initial Purchaser referred to in Section 7 hereof. Nothing in this Agreement is intended or shall be construed to give any other person any legal or equitable right, remedy or claim under or in respect of this Agreement or any provision contained herein. No purchaser of Securities from any Initial Purchaser shall be deemed to be a successor merely by reason of such purchase.</w:t>
      </w:r>
    </w:p>
    <w:p>
      <w:pPr>
        <w:spacing w:after="0" w:line="229" w:lineRule="exact"/>
        <w:rPr>
          <w:rFonts w:ascii="Arial" w:cs="Arial" w:eastAsia="Arial" w:hAnsi="Arial"/>
          <w:sz w:val="18"/>
          <w:szCs w:val="18"/>
          <w:color w:val="auto"/>
        </w:rPr>
      </w:pPr>
    </w:p>
    <w:p>
      <w:pPr>
        <w:ind w:left="-20" w:right="100" w:firstLine="656"/>
        <w:spacing w:after="0" w:line="238" w:lineRule="auto"/>
        <w:tabs>
          <w:tab w:leader="none" w:pos="118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the Guarantors and the Initial Purchasers contained in this Agreement or made by or on behalf of the Company, the Guarantors or the Initial Purchasers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Guarantors or the Initial Purchasers.</w:t>
      </w:r>
    </w:p>
    <w:p>
      <w:pPr>
        <w:spacing w:after="0" w:line="229" w:lineRule="exact"/>
        <w:rPr>
          <w:rFonts w:ascii="Arial" w:cs="Arial" w:eastAsia="Arial" w:hAnsi="Arial"/>
          <w:sz w:val="18"/>
          <w:szCs w:val="18"/>
          <w:color w:val="auto"/>
        </w:rPr>
      </w:pPr>
    </w:p>
    <w:p>
      <w:pPr>
        <w:ind w:left="-20" w:right="20" w:firstLine="656"/>
        <w:spacing w:after="0" w:line="238" w:lineRule="auto"/>
        <w:tabs>
          <w:tab w:leader="none" w:pos="118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405 under the Securities Act; (b)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banks are permitted or required to be closed in New York City; (c)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set forth in Rule 405 under the Securities Act; (d) 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collectively means the Securities Exchange Act of 1934, as amended, and the rules and regulations of the Commission thereunder; and (e) the term “</w:t>
      </w:r>
      <w:r>
        <w:rPr>
          <w:rFonts w:ascii="Arial" w:cs="Arial" w:eastAsia="Arial" w:hAnsi="Arial"/>
          <w:sz w:val="18"/>
          <w:szCs w:val="18"/>
          <w:u w:val="single" w:color="auto"/>
          <w:color w:val="auto"/>
        </w:rPr>
        <w:t>written communication</w:t>
      </w:r>
      <w:r>
        <w:rPr>
          <w:rFonts w:ascii="Arial" w:cs="Arial" w:eastAsia="Arial" w:hAnsi="Arial"/>
          <w:sz w:val="18"/>
          <w:szCs w:val="18"/>
          <w:color w:val="auto"/>
        </w:rPr>
        <w:t>” has the meaning set forth in Rule 405 under the Securities Act.</w:t>
      </w:r>
    </w:p>
    <w:p>
      <w:pPr>
        <w:spacing w:after="0" w:line="229" w:lineRule="exact"/>
        <w:rPr>
          <w:rFonts w:ascii="Arial" w:cs="Arial" w:eastAsia="Arial" w:hAnsi="Arial"/>
          <w:sz w:val="18"/>
          <w:szCs w:val="18"/>
          <w:color w:val="auto"/>
        </w:rPr>
      </w:pPr>
    </w:p>
    <w:p>
      <w:pPr>
        <w:ind w:left="-20" w:firstLine="656"/>
        <w:spacing w:after="0" w:line="239" w:lineRule="auto"/>
        <w:tabs>
          <w:tab w:leader="none" w:pos="118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228" w:lineRule="exact"/>
        <w:rPr>
          <w:rFonts w:ascii="Arial" w:cs="Arial" w:eastAsia="Arial" w:hAnsi="Arial"/>
          <w:sz w:val="18"/>
          <w:szCs w:val="18"/>
          <w:color w:val="auto"/>
        </w:rPr>
      </w:pPr>
    </w:p>
    <w:p>
      <w:pPr>
        <w:ind w:left="1200" w:hanging="564"/>
        <w:spacing w:after="0"/>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40" w:right="259" w:bottom="1440" w:gutter="0" w:footer="0" w:header="0"/>
        </w:sectPr>
      </w:pPr>
    </w:p>
    <w:bookmarkStart w:id="125" w:name="page126"/>
    <w:bookmarkEnd w:id="125"/>
    <w:p>
      <w:pPr>
        <w:ind w:left="-20" w:right="80" w:firstLine="656"/>
        <w:spacing w:after="0" w:line="268" w:lineRule="auto"/>
        <w:tabs>
          <w:tab w:leader="none" w:pos="115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 </w:t>
      </w:r>
      <w:r>
        <w:rPr>
          <w:rFonts w:ascii="Arial" w:cs="Arial" w:eastAsia="Arial" w:hAnsi="Arial"/>
          <w:sz w:val="18"/>
          <w:szCs w:val="18"/>
          <w:color w:val="auto"/>
        </w:rPr>
        <w:t>Any action by the Initial Purchasers hereunder may be taken by J.P. Morgan Securities LLC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the Initial Purchasers, and any such action taken by J.P. Morgan Securities LLC shall be binding upon the Initial Purchasers.</w:t>
      </w:r>
    </w:p>
    <w:p>
      <w:pPr>
        <w:spacing w:after="0" w:line="187" w:lineRule="exact"/>
        <w:rPr>
          <w:rFonts w:ascii="Arial" w:cs="Arial" w:eastAsia="Arial" w:hAnsi="Arial"/>
          <w:sz w:val="18"/>
          <w:szCs w:val="18"/>
          <w:color w:val="auto"/>
        </w:rPr>
      </w:pPr>
    </w:p>
    <w:p>
      <w:pPr>
        <w:ind w:left="-20" w:firstLine="656"/>
        <w:spacing w:after="0" w:line="242" w:lineRule="auto"/>
        <w:tabs>
          <w:tab w:leader="none" w:pos="115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transmitted and confirmed by any standard form of telecommunication. Notices to the Initial Purchasers shall be given to the Representative c/o J.P. Morgan Securities LLC, 383 Madison Avenue, New York, New York 10179 (fax: 212-270-1063); Attention: Jay Droogan. Notices to the Company and the Guarantors shall be given to them at Graham Holdings Company, 1300 North 17th Street, 17th Floor, Arlington, Virginia 22209 (fax: 703-345-6545; email: Nicole.Maddrey@ghco.com); Attention: Nicole M. Maddrey.</w:t>
      </w:r>
    </w:p>
    <w:p>
      <w:pPr>
        <w:spacing w:after="0" w:line="212" w:lineRule="exact"/>
        <w:rPr>
          <w:rFonts w:ascii="Arial" w:cs="Arial" w:eastAsia="Arial" w:hAnsi="Arial"/>
          <w:sz w:val="18"/>
          <w:szCs w:val="18"/>
          <w:color w:val="auto"/>
        </w:rPr>
      </w:pPr>
    </w:p>
    <w:p>
      <w:pPr>
        <w:ind w:left="-20" w:right="540" w:firstLine="656"/>
        <w:spacing w:after="0" w:line="267" w:lineRule="auto"/>
        <w:tabs>
          <w:tab w:leader="none" w:pos="114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laws of the State of New York.</w:t>
      </w:r>
    </w:p>
    <w:p>
      <w:pPr>
        <w:spacing w:after="0" w:line="187" w:lineRule="exact"/>
        <w:rPr>
          <w:rFonts w:ascii="Arial" w:cs="Arial" w:eastAsia="Arial" w:hAnsi="Arial"/>
          <w:sz w:val="18"/>
          <w:szCs w:val="18"/>
          <w:color w:val="auto"/>
        </w:rPr>
      </w:pPr>
    </w:p>
    <w:p>
      <w:pPr>
        <w:ind w:left="-20" w:right="100" w:firstLine="656"/>
        <w:spacing w:after="0"/>
        <w:tabs>
          <w:tab w:leader="none" w:pos="115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Company and each of the Guarantors hereby submit to the exclusive jurisdiction of the U.S.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and New York state courts in the Borough of Manhattan in The City of New York in any suit or proceeding arising out of or relating to this Agreement or the transactions contemplated hereby. The Company and each of the Guarantors waive any objection which it may now or hereafter have to the laying of venue of any such suit or proceeding in such courts. Each of the Company and each of the Guarantors agrees that final judgment in any such suit, action or proceeding brought in such court shall be conclusive and binding upon the Company and each Guarantor, as applicable, and may be enforced in any court to the jurisdiction of which Company and each Guarantor, as applicable, is subject by a suit upon such judgment.</w:t>
      </w:r>
    </w:p>
    <w:p>
      <w:pPr>
        <w:spacing w:after="0" w:line="212" w:lineRule="exact"/>
        <w:rPr>
          <w:rFonts w:ascii="Arial" w:cs="Arial" w:eastAsia="Arial" w:hAnsi="Arial"/>
          <w:sz w:val="18"/>
          <w:szCs w:val="18"/>
          <w:color w:val="auto"/>
        </w:rPr>
      </w:pPr>
    </w:p>
    <w:p>
      <w:pPr>
        <w:ind w:left="-20" w:right="100" w:firstLine="656"/>
        <w:spacing w:after="0" w:line="267" w:lineRule="auto"/>
        <w:tabs>
          <w:tab w:leader="none" w:pos="115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this Agreement.</w:t>
      </w:r>
    </w:p>
    <w:p>
      <w:pPr>
        <w:spacing w:after="0" w:line="187" w:lineRule="exact"/>
        <w:rPr>
          <w:rFonts w:ascii="Arial" w:cs="Arial" w:eastAsia="Arial" w:hAnsi="Arial"/>
          <w:sz w:val="18"/>
          <w:szCs w:val="18"/>
          <w:color w:val="auto"/>
        </w:rPr>
      </w:pPr>
    </w:p>
    <w:p>
      <w:pPr>
        <w:ind w:left="-20" w:firstLine="656"/>
        <w:spacing w:after="0" w:line="267" w:lineRule="auto"/>
        <w:tabs>
          <w:tab w:leader="none" w:pos="110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counterparts (which may include counterparts delivered by any standard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each of which shall be an original and all of which together shall constitute one and the same instrument.</w:t>
      </w:r>
    </w:p>
    <w:p>
      <w:pPr>
        <w:spacing w:after="0" w:line="187" w:lineRule="exact"/>
        <w:rPr>
          <w:rFonts w:ascii="Arial" w:cs="Arial" w:eastAsia="Arial" w:hAnsi="Arial"/>
          <w:sz w:val="18"/>
          <w:szCs w:val="18"/>
          <w:color w:val="auto"/>
        </w:rPr>
      </w:pPr>
    </w:p>
    <w:p>
      <w:pPr>
        <w:ind w:left="-20" w:right="440" w:firstLine="656"/>
        <w:spacing w:after="0" w:line="267" w:lineRule="auto"/>
        <w:tabs>
          <w:tab w:leader="none" w:pos="115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w:t>
      </w:r>
      <w:r>
        <w:rPr>
          <w:rFonts w:ascii="Arial" w:cs="Arial" w:eastAsia="Arial" w:hAnsi="Arial"/>
          <w:sz w:val="18"/>
          <w:szCs w:val="18"/>
          <w:i w:val="1"/>
          <w:iCs w:val="1"/>
          <w:color w:val="auto"/>
        </w:rPr>
        <w:t xml:space="preserve"> </w:t>
      </w:r>
      <w:r>
        <w:rPr>
          <w:rFonts w:ascii="Arial" w:cs="Arial" w:eastAsia="Arial" w:hAnsi="Arial"/>
          <w:sz w:val="18"/>
          <w:szCs w:val="18"/>
          <w:color w:val="auto"/>
        </w:rPr>
        <w:t>departure therefrom, shall in any event be effective unless the same shall be in writing and signed by the parties hereto.</w:t>
      </w:r>
    </w:p>
    <w:p>
      <w:pPr>
        <w:spacing w:after="0" w:line="214" w:lineRule="exact"/>
        <w:rPr>
          <w:rFonts w:ascii="Arial" w:cs="Arial" w:eastAsia="Arial" w:hAnsi="Arial"/>
          <w:sz w:val="18"/>
          <w:szCs w:val="18"/>
          <w:color w:val="auto"/>
        </w:rPr>
      </w:pPr>
    </w:p>
    <w:p>
      <w:pPr>
        <w:ind w:left="-20" w:right="220" w:firstLine="656"/>
        <w:spacing w:after="0" w:line="235" w:lineRule="auto"/>
        <w:tabs>
          <w:tab w:leader="none" w:pos="1200" w:val="left"/>
        </w:tabs>
        <w:numPr>
          <w:ilvl w:val="0"/>
          <w:numId w:val="186"/>
        </w:numPr>
        <w:rPr>
          <w:rFonts w:ascii="Arial" w:cs="Arial" w:eastAsia="Arial" w:hAnsi="Arial"/>
          <w:sz w:val="22"/>
          <w:szCs w:val="22"/>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or interpretation of,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0" w:right="259" w:bottom="1440" w:gutter="0" w:footer="0" w:header="0"/>
        </w:sectPr>
      </w:pPr>
    </w:p>
    <w:bookmarkStart w:id="126" w:name="page127"/>
    <w:bookmarkEnd w:id="126"/>
    <w:p>
      <w:pPr>
        <w:ind w:right="100" w:firstLine="648"/>
        <w:spacing w:after="0" w:line="238" w:lineRule="auto"/>
        <w:rPr>
          <w:sz w:val="20"/>
          <w:szCs w:val="20"/>
          <w:color w:val="auto"/>
        </w:rPr>
      </w:pPr>
      <w:r>
        <w:rPr>
          <w:rFonts w:ascii="Arial" w:cs="Arial" w:eastAsia="Arial" w:hAnsi="Arial"/>
          <w:sz w:val="22"/>
          <w:szCs w:val="22"/>
          <w:color w:val="auto"/>
        </w:rPr>
        <w:t>If the foregoing is in accordance with your understanding, please indicate your acceptance of this Agreement by signing in the space provided below.</w:t>
      </w: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Very truly yours,</w:t>
      </w:r>
    </w:p>
    <w:p>
      <w:pPr>
        <w:spacing w:after="0" w:line="17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Wallace R. Cooney</w:t>
      </w:r>
    </w:p>
    <w:tbl>
      <w:tblPr>
        <w:tblLayout w:type="fixed"/>
        <w:tblInd w:w="58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Wallace R. Cooney</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Senior Vice President-Finance, Chief</w:t>
            </w:r>
          </w:p>
        </w:tc>
      </w:tr>
      <w:tr>
        <w:trPr>
          <w:trHeight w:val="217"/>
        </w:trPr>
        <w:tc>
          <w:tcPr>
            <w:tcW w:w="6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MEDIA GROUP,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586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MEDIA GROUP, HOUSTON,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586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MEDIA GROUP, MICHIGAN,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0" w:type="dxa"/>
        <w:tblCellMar>
          <w:top w:w="0" w:type="dxa"/>
          <w:left w:w="0" w:type="dxa"/>
          <w:bottom w:w="0" w:type="dxa"/>
          <w:right w:w="0" w:type="dxa"/>
        </w:tblCellMar>
      </w:tblPr>
      <w:tr>
        <w:trPr>
          <w:trHeight w:val="222"/>
        </w:trPr>
        <w:tc>
          <w:tcPr>
            <w:tcW w:w="586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c>
          <w:tcPr>
            <w:tcW w:w="1340" w:type="dxa"/>
            <w:vAlign w:val="bottom"/>
          </w:tcPr>
          <w:p>
            <w:pPr>
              <w:spacing w:after="0"/>
              <w:rPr>
                <w:sz w:val="19"/>
                <w:szCs w:val="19"/>
                <w:color w:val="auto"/>
              </w:rPr>
            </w:pPr>
          </w:p>
        </w:tc>
      </w:tr>
      <w:tr>
        <w:trPr>
          <w:trHeight w:val="217"/>
        </w:trPr>
        <w:tc>
          <w:tcPr>
            <w:tcW w:w="58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c>
          <w:tcPr>
            <w:tcW w:w="1340" w:type="dxa"/>
            <w:vAlign w:val="bottom"/>
          </w:tcPr>
          <w:p>
            <w:pPr>
              <w:spacing w:after="0"/>
              <w:rPr>
                <w:sz w:val="18"/>
                <w:szCs w:val="18"/>
                <w:color w:val="auto"/>
              </w:rPr>
            </w:pPr>
          </w:p>
        </w:tc>
      </w:tr>
      <w:tr>
        <w:trPr>
          <w:trHeight w:val="785"/>
        </w:trPr>
        <w:tc>
          <w:tcPr>
            <w:tcW w:w="5860" w:type="dxa"/>
            <w:vAlign w:val="bottom"/>
          </w:tcPr>
          <w:p>
            <w:pPr>
              <w:jc w:val="right"/>
              <w:spacing w:after="0"/>
              <w:rPr>
                <w:sz w:val="20"/>
                <w:szCs w:val="20"/>
                <w:color w:val="auto"/>
              </w:rPr>
            </w:pPr>
            <w:r>
              <w:rPr>
                <w:rFonts w:ascii="Arial" w:cs="Arial" w:eastAsia="Arial" w:hAnsi="Arial"/>
                <w:sz w:val="14"/>
                <w:szCs w:val="14"/>
                <w:color w:val="auto"/>
              </w:rPr>
              <w:t>31</w:t>
            </w: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
        </w:trPr>
        <w:tc>
          <w:tcPr>
            <w:tcW w:w="5860" w:type="dxa"/>
            <w:vAlign w:val="bottom"/>
            <w:tcBorders>
              <w:bottom w:val="single" w:sz="8" w:color="BFBFBF"/>
            </w:tcBorders>
          </w:tcPr>
          <w:p>
            <w:pPr>
              <w:spacing w:after="0"/>
              <w:rPr>
                <w:sz w:val="4"/>
                <w:szCs w:val="4"/>
                <w:color w:val="auto"/>
              </w:rPr>
            </w:pPr>
          </w:p>
        </w:tc>
        <w:tc>
          <w:tcPr>
            <w:tcW w:w="640" w:type="dxa"/>
            <w:vAlign w:val="bottom"/>
            <w:tcBorders>
              <w:bottom w:val="single" w:sz="8" w:color="BFBFBF"/>
            </w:tcBorders>
          </w:tcPr>
          <w:p>
            <w:pPr>
              <w:spacing w:after="0"/>
              <w:rPr>
                <w:sz w:val="4"/>
                <w:szCs w:val="4"/>
                <w:color w:val="auto"/>
              </w:rPr>
            </w:pPr>
          </w:p>
        </w:tc>
        <w:tc>
          <w:tcPr>
            <w:tcW w:w="3580" w:type="dxa"/>
            <w:vAlign w:val="bottom"/>
            <w:tcBorders>
              <w:bottom w:val="single" w:sz="8" w:color="BFBFBF"/>
            </w:tcBorders>
          </w:tcPr>
          <w:p>
            <w:pPr>
              <w:spacing w:after="0"/>
              <w:rPr>
                <w:sz w:val="4"/>
                <w:szCs w:val="4"/>
                <w:color w:val="auto"/>
              </w:rPr>
            </w:pPr>
          </w:p>
        </w:tc>
        <w:tc>
          <w:tcPr>
            <w:tcW w:w="13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19" w:right="239" w:bottom="1440" w:gutter="0" w:footer="0" w:header="0"/>
        </w:sectPr>
      </w:pPr>
    </w:p>
    <w:bookmarkStart w:id="127" w:name="page128"/>
    <w:bookmarkEnd w:id="127"/>
    <w:p>
      <w:pPr>
        <w:ind w:left="5540"/>
        <w:spacing w:after="0"/>
        <w:rPr>
          <w:sz w:val="20"/>
          <w:szCs w:val="20"/>
          <w:color w:val="auto"/>
        </w:rPr>
      </w:pPr>
      <w:r>
        <w:rPr>
          <w:rFonts w:ascii="Arial" w:cs="Arial" w:eastAsia="Arial" w:hAnsi="Arial"/>
          <w:sz w:val="18"/>
          <w:szCs w:val="18"/>
          <w:b w:val="1"/>
          <w:bCs w:val="1"/>
          <w:color w:val="auto"/>
        </w:rPr>
        <w:t>GRAHAM MEDIA GROUP, ORLANDO,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586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MEDIA GROUP, SAN ANTONIO,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586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GRAHAM MEDIA GROUP, FLORIDA,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Heidi I. Schmid Whiting</w:t>
      </w:r>
    </w:p>
    <w:tbl>
      <w:tblPr>
        <w:tblLayout w:type="fixed"/>
        <w:tblInd w:w="586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Heidi I. Schmid Whiting</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KAPLAN, INC.</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Matthew C. Seelye</w:t>
      </w:r>
    </w:p>
    <w:tbl>
      <w:tblPr>
        <w:tblLayout w:type="fixed"/>
        <w:tblInd w:w="0" w:type="dxa"/>
        <w:tblCellMar>
          <w:top w:w="0" w:type="dxa"/>
          <w:left w:w="0" w:type="dxa"/>
          <w:bottom w:w="0" w:type="dxa"/>
          <w:right w:w="0" w:type="dxa"/>
        </w:tblCellMar>
      </w:tblPr>
      <w:tr>
        <w:trPr>
          <w:trHeight w:val="222"/>
        </w:trPr>
        <w:tc>
          <w:tcPr>
            <w:tcW w:w="588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Matthew C. Seelye</w:t>
            </w:r>
          </w:p>
        </w:tc>
        <w:tc>
          <w:tcPr>
            <w:tcW w:w="1340" w:type="dxa"/>
            <w:vAlign w:val="bottom"/>
          </w:tcPr>
          <w:p>
            <w:pPr>
              <w:spacing w:after="0"/>
              <w:rPr>
                <w:sz w:val="19"/>
                <w:szCs w:val="19"/>
                <w:color w:val="auto"/>
              </w:rPr>
            </w:pPr>
          </w:p>
        </w:tc>
      </w:tr>
      <w:tr>
        <w:trPr>
          <w:trHeight w:val="203"/>
        </w:trPr>
        <w:tc>
          <w:tcPr>
            <w:tcW w:w="588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Chief Financial</w:t>
            </w:r>
          </w:p>
        </w:tc>
        <w:tc>
          <w:tcPr>
            <w:tcW w:w="1340" w:type="dxa"/>
            <w:vAlign w:val="bottom"/>
          </w:tcPr>
          <w:p>
            <w:pPr>
              <w:spacing w:after="0"/>
              <w:rPr>
                <w:sz w:val="17"/>
                <w:szCs w:val="17"/>
                <w:color w:val="auto"/>
              </w:rPr>
            </w:pPr>
          </w:p>
        </w:tc>
      </w:tr>
      <w:tr>
        <w:trPr>
          <w:trHeight w:val="217"/>
        </w:trPr>
        <w:tc>
          <w:tcPr>
            <w:tcW w:w="5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Officer and Treasurer</w:t>
            </w:r>
          </w:p>
        </w:tc>
        <w:tc>
          <w:tcPr>
            <w:tcW w:w="1340" w:type="dxa"/>
            <w:vAlign w:val="bottom"/>
          </w:tcPr>
          <w:p>
            <w:pPr>
              <w:spacing w:after="0"/>
              <w:rPr>
                <w:sz w:val="18"/>
                <w:szCs w:val="18"/>
                <w:color w:val="auto"/>
              </w:rPr>
            </w:pPr>
          </w:p>
        </w:tc>
      </w:tr>
      <w:tr>
        <w:trPr>
          <w:trHeight w:val="785"/>
        </w:trPr>
        <w:tc>
          <w:tcPr>
            <w:tcW w:w="588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
        </w:trPr>
        <w:tc>
          <w:tcPr>
            <w:tcW w:w="5880" w:type="dxa"/>
            <w:vAlign w:val="bottom"/>
            <w:tcBorders>
              <w:bottom w:val="single" w:sz="8" w:color="BFBFBF"/>
            </w:tcBorders>
          </w:tcPr>
          <w:p>
            <w:pPr>
              <w:spacing w:after="0"/>
              <w:rPr>
                <w:sz w:val="4"/>
                <w:szCs w:val="4"/>
                <w:color w:val="auto"/>
              </w:rPr>
            </w:pPr>
          </w:p>
        </w:tc>
        <w:tc>
          <w:tcPr>
            <w:tcW w:w="640" w:type="dxa"/>
            <w:vAlign w:val="bottom"/>
            <w:tcBorders>
              <w:bottom w:val="single" w:sz="8" w:color="BFBFBF"/>
            </w:tcBorders>
          </w:tcPr>
          <w:p>
            <w:pPr>
              <w:spacing w:after="0"/>
              <w:rPr>
                <w:sz w:val="4"/>
                <w:szCs w:val="4"/>
                <w:color w:val="auto"/>
              </w:rPr>
            </w:pPr>
          </w:p>
        </w:tc>
        <w:tc>
          <w:tcPr>
            <w:tcW w:w="3560" w:type="dxa"/>
            <w:vAlign w:val="bottom"/>
            <w:tcBorders>
              <w:bottom w:val="single" w:sz="8" w:color="BFBFBF"/>
            </w:tcBorders>
          </w:tcPr>
          <w:p>
            <w:pPr>
              <w:spacing w:after="0"/>
              <w:rPr>
                <w:sz w:val="4"/>
                <w:szCs w:val="4"/>
                <w:color w:val="auto"/>
              </w:rPr>
            </w:pPr>
          </w:p>
        </w:tc>
        <w:tc>
          <w:tcPr>
            <w:tcW w:w="13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60" w:right="239" w:bottom="1440" w:gutter="0" w:footer="0" w:header="0"/>
        </w:sectPr>
      </w:pPr>
    </w:p>
    <w:bookmarkStart w:id="128" w:name="page129"/>
    <w:bookmarkEnd w:id="128"/>
    <w:p>
      <w:pPr>
        <w:ind w:left="4340"/>
        <w:spacing w:after="0"/>
        <w:rPr>
          <w:sz w:val="20"/>
          <w:szCs w:val="20"/>
          <w:color w:val="auto"/>
        </w:rPr>
      </w:pPr>
      <w:r>
        <w:rPr>
          <w:rFonts w:ascii="Arial" w:cs="Arial" w:eastAsia="Arial" w:hAnsi="Arial"/>
          <w:sz w:val="18"/>
          <w:szCs w:val="18"/>
          <w:b w:val="1"/>
          <w:bCs w:val="1"/>
          <w:color w:val="auto"/>
        </w:rPr>
        <w:t>KAPLAN INTERNATIONAL NORTH AMERICA, LLC</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Ashley Pomonis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wp:posOffset>
            </wp:positionV>
            <wp:extent cx="266700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12" w:lineRule="exact"/>
        <w:rPr>
          <w:sz w:val="20"/>
          <w:szCs w:val="20"/>
          <w:color w:val="auto"/>
        </w:rPr>
      </w:pPr>
    </w:p>
    <w:p>
      <w:pPr>
        <w:ind w:left="4680"/>
        <w:spacing w:after="0"/>
        <w:tabs>
          <w:tab w:leader="none" w:pos="5400" w:val="left"/>
        </w:tabs>
        <w:rPr>
          <w:sz w:val="20"/>
          <w:szCs w:val="20"/>
          <w:color w:val="auto"/>
        </w:rPr>
      </w:pPr>
      <w:r>
        <w:rPr>
          <w:rFonts w:ascii="Arial" w:cs="Arial" w:eastAsia="Arial" w:hAnsi="Arial"/>
          <w:sz w:val="18"/>
          <w:szCs w:val="18"/>
          <w:color w:val="auto"/>
        </w:rPr>
        <w:t>Name:</w:t>
        <w:tab/>
        <w:t>Ashley Pomonis</w:t>
      </w:r>
    </w:p>
    <w:p>
      <w:pPr>
        <w:ind w:left="468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IOWA COLLEGE ACQUISITIONS, LLC</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David Adams</w:t>
      </w:r>
    </w:p>
    <w:tbl>
      <w:tblPr>
        <w:tblLayout w:type="fixed"/>
        <w:tblInd w:w="46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Adams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Vice President, General Counsel and</w:t>
            </w:r>
          </w:p>
        </w:tc>
      </w:tr>
      <w:tr>
        <w:trPr>
          <w:trHeight w:val="217"/>
        </w:trPr>
        <w:tc>
          <w:tcPr>
            <w:tcW w:w="6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GROUP DEKKO HOLDINGS, INC.</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David Burnworth</w:t>
      </w:r>
    </w:p>
    <w:tbl>
      <w:tblPr>
        <w:tblLayout w:type="fixed"/>
        <w:tblInd w:w="46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Burnworth</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GROUP DEKKO, INC.</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David Burnworth</w:t>
      </w:r>
    </w:p>
    <w:tbl>
      <w:tblPr>
        <w:tblLayout w:type="fixed"/>
        <w:tblInd w:w="46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Burnworth</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FRTW HOLDINGS, LLC</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Barry W.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wp:posOffset>
            </wp:positionV>
            <wp:extent cx="26670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12" w:lineRule="exact"/>
        <w:rPr>
          <w:sz w:val="20"/>
          <w:szCs w:val="20"/>
          <w:color w:val="auto"/>
        </w:rPr>
      </w:pPr>
    </w:p>
    <w:p>
      <w:pPr>
        <w:ind w:left="4680"/>
        <w:spacing w:after="0"/>
        <w:tabs>
          <w:tab w:leader="none" w:pos="5400" w:val="left"/>
        </w:tabs>
        <w:rPr>
          <w:sz w:val="20"/>
          <w:szCs w:val="20"/>
          <w:color w:val="auto"/>
        </w:rPr>
      </w:pPr>
      <w:r>
        <w:rPr>
          <w:rFonts w:ascii="Arial" w:cs="Arial" w:eastAsia="Arial" w:hAnsi="Arial"/>
          <w:sz w:val="18"/>
          <w:szCs w:val="18"/>
          <w:color w:val="auto"/>
        </w:rPr>
        <w:t>Name:</w:t>
        <w:tab/>
        <w:t>Barry W. Holden</w:t>
      </w:r>
    </w:p>
    <w:p>
      <w:pPr>
        <w:ind w:left="468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29" w:name="page130"/>
    <w:bookmarkEnd w:id="129"/>
    <w:p>
      <w:pPr>
        <w:ind w:left="4340"/>
        <w:spacing w:after="0"/>
        <w:rPr>
          <w:sz w:val="20"/>
          <w:szCs w:val="20"/>
          <w:color w:val="auto"/>
        </w:rPr>
      </w:pPr>
      <w:r>
        <w:rPr>
          <w:rFonts w:ascii="Arial" w:cs="Arial" w:eastAsia="Arial" w:hAnsi="Arial"/>
          <w:sz w:val="18"/>
          <w:szCs w:val="18"/>
          <w:b w:val="1"/>
          <w:bCs w:val="1"/>
          <w:color w:val="auto"/>
        </w:rPr>
        <w:t>DF INSTITUTE, LLC</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David Adams</w:t>
      </w:r>
    </w:p>
    <w:tbl>
      <w:tblPr>
        <w:tblLayout w:type="fixed"/>
        <w:tblInd w:w="46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Adams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Vice President, General Counsel and</w:t>
            </w:r>
          </w:p>
        </w:tc>
      </w:tr>
      <w:tr>
        <w:trPr>
          <w:trHeight w:val="217"/>
        </w:trPr>
        <w:tc>
          <w:tcPr>
            <w:tcW w:w="6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Accepted: As of the date first written above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itself and on behalf of the</w:t>
      </w:r>
    </w:p>
    <w:p>
      <w:pPr>
        <w:ind w:left="60"/>
        <w:spacing w:after="0" w:line="234" w:lineRule="auto"/>
        <w:rPr>
          <w:sz w:val="20"/>
          <w:szCs w:val="20"/>
          <w:color w:val="auto"/>
        </w:rPr>
      </w:pPr>
      <w:r>
        <w:rPr>
          <w:rFonts w:ascii="Arial" w:cs="Arial" w:eastAsia="Arial" w:hAnsi="Arial"/>
          <w:sz w:val="18"/>
          <w:szCs w:val="18"/>
          <w:color w:val="auto"/>
        </w:rPr>
        <w:t>several Initial Purchasers listed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Schedule 1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Lorna Hajdini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-1905</wp:posOffset>
            </wp:positionV>
            <wp:extent cx="190373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03730" cy="1714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Schedule 1</w:t>
            </w:r>
          </w:p>
        </w:tc>
      </w:tr>
      <w:tr>
        <w:trPr>
          <w:trHeight w:val="94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Initial Purchaser</w:t>
            </w:r>
          </w:p>
        </w:tc>
        <w:tc>
          <w:tcPr>
            <w:tcW w:w="2160" w:type="dxa"/>
            <w:vAlign w:val="bottom"/>
            <w:gridSpan w:val="4"/>
          </w:tcPr>
          <w:p>
            <w:pPr>
              <w:spacing w:after="0"/>
              <w:rPr>
                <w:sz w:val="20"/>
                <w:szCs w:val="20"/>
                <w:color w:val="auto"/>
              </w:rPr>
            </w:pPr>
            <w:r>
              <w:rPr>
                <w:rFonts w:ascii="Arial" w:cs="Arial" w:eastAsia="Arial" w:hAnsi="Arial"/>
                <w:sz w:val="18"/>
                <w:szCs w:val="18"/>
                <w:b w:val="1"/>
                <w:bCs w:val="1"/>
                <w:color w:val="auto"/>
              </w:rPr>
              <w:t>Principal Amount</w:t>
            </w: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3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120,000,000</w:t>
            </w: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Wells Fargo Securities, LLC</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120,000,000</w:t>
            </w: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HSBC Securities (USA) Inc.</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49,400,000</w:t>
            </w:r>
          </w:p>
        </w:tc>
        <w:tc>
          <w:tcPr>
            <w:tcW w:w="5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640"/>
              <w:spacing w:after="0" w:line="203" w:lineRule="exact"/>
              <w:rPr>
                <w:sz w:val="20"/>
                <w:szCs w:val="20"/>
                <w:color w:val="auto"/>
              </w:rPr>
            </w:pPr>
            <w:r>
              <w:rPr>
                <w:rFonts w:ascii="Arial" w:cs="Arial" w:eastAsia="Arial" w:hAnsi="Arial"/>
                <w:sz w:val="18"/>
                <w:szCs w:val="18"/>
                <w:color w:val="auto"/>
              </w:rPr>
              <w:t>Incorporated</w:t>
            </w:r>
          </w:p>
        </w:tc>
        <w:tc>
          <w:tcPr>
            <w:tcW w:w="3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49,400,000</w:t>
            </w: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PNC Capital Markets LLC</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42,400,000</w:t>
            </w: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BNY Mellon Capital Markets, LLC</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18,800,000</w:t>
            </w: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400,000,000</w:t>
            </w:r>
          </w:p>
        </w:tc>
        <w:tc>
          <w:tcPr>
            <w:tcW w:w="5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31750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820" w:top="59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u w:val="single" w:color="auto"/>
          <w:color w:val="auto"/>
        </w:rPr>
        <w:t>Schedule 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Florida,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Houston,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Michigan,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Orlando,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San Antonio,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Kaplan,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DF Institute,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Iowa College Acquisition,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North America,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Group Dekko Holdings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Group Dekko,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FRTW Holdings LLC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Significant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Kaplan,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Iowa College Acquisition, LLC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ANNEX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Time of Sale Information</w:t>
      </w:r>
    </w:p>
    <w:p>
      <w:pPr>
        <w:spacing w:after="0" w:line="261"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Term sheet containing the terms of the Securities, substantially in the form of 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ANNEX B</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Pricing Term Sheet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Pricing Term Sheet, dated May 24, 2018</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Preliminary Offering Memorandum dated May 21, 2018</w:t>
      </w:r>
    </w:p>
    <w:p>
      <w:pPr>
        <w:jc w:val="right"/>
        <w:spacing w:after="0"/>
        <w:rPr>
          <w:sz w:val="20"/>
          <w:szCs w:val="20"/>
          <w:color w:val="auto"/>
        </w:rPr>
      </w:pPr>
      <w:r>
        <w:rPr>
          <w:rFonts w:ascii="Arial" w:cs="Arial" w:eastAsia="Arial" w:hAnsi="Arial"/>
          <w:sz w:val="18"/>
          <w:szCs w:val="18"/>
          <w:b w:val="1"/>
          <w:bCs w:val="1"/>
          <w:color w:val="auto"/>
        </w:rPr>
        <w:t>Strictly Confidential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55"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This pricing term sheet is qualified in its entirety by reference to the Preliminary Offering Memorandum (the “Preliminary Offering Memorandum”). The information in this pricing term sheet supplements the Preliminary Offering Memorandum and updates and supersedes the information in the Preliminary Offering Memorandum to the extent it is inconsistent with the information in the Preliminary Offering Memorandum. Terms used and not defined herein have the meanings assigned in the Preliminary Offering Memorandum.</w:t>
      </w:r>
    </w:p>
    <w:p>
      <w:pPr>
        <w:spacing w:after="0" w:line="23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notes have not been registered under the Securities Act of 1933, as amended, or the securities laws of any other jurisdiction. The notes may not be offered or sold in the United States or to U.S. persons (as defined in Regulation S) except in transactions exempt from, or not subject to, the registration requirements of the Securities Act. Accordingly, the notes are being offered only to (1) “qualified institutional buyers” as defined in Rule 144A under the Securities Act and (2) outside the United States to non-U.S. persons in compliance with Regulation S under the Securities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20"/>
                <w:szCs w:val="20"/>
                <w:color w:val="auto"/>
              </w:rPr>
            </w:pPr>
            <w:r>
              <w:rPr>
                <w:rFonts w:ascii="Arial" w:cs="Arial" w:eastAsia="Arial" w:hAnsi="Arial"/>
                <w:sz w:val="18"/>
                <w:szCs w:val="18"/>
                <w:color w:val="auto"/>
              </w:rPr>
              <w:t>Issuer:</w:t>
            </w:r>
          </w:p>
        </w:tc>
        <w:tc>
          <w:tcPr>
            <w:tcW w:w="6860" w:type="dxa"/>
            <w:vAlign w:val="bottom"/>
            <w:gridSpan w:val="2"/>
          </w:tcPr>
          <w:p>
            <w:pPr>
              <w:spacing w:after="0"/>
              <w:rPr>
                <w:sz w:val="20"/>
                <w:szCs w:val="20"/>
                <w:color w:val="auto"/>
              </w:rPr>
            </w:pPr>
            <w:r>
              <w:rPr>
                <w:rFonts w:ascii="Arial" w:cs="Arial" w:eastAsia="Arial" w:hAnsi="Arial"/>
                <w:sz w:val="18"/>
                <w:szCs w:val="18"/>
                <w:color w:val="auto"/>
              </w:rPr>
              <w:t>Graham Holdings Company</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Security Description:</w:t>
            </w:r>
          </w:p>
        </w:tc>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Senior unsecured notes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Distribution:</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144A/RegS for life</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Size:</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$400,000,000</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Gross Proceeds:</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$400,000,000</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Maturity:</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June 1, 2026</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Coupon:</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5.750%</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Issue Price:</w:t>
            </w:r>
          </w:p>
        </w:tc>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100.000% of face amount</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Yield to Maturity:</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5.750%</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Spread to Benchmark Treasury:</w:t>
            </w: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+278 basis points</w:t>
            </w:r>
          </w:p>
        </w:tc>
        <w:tc>
          <w:tcPr>
            <w:tcW w:w="52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Benchmark Treasury:</w:t>
            </w:r>
          </w:p>
        </w:tc>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UST 2.000% due November 15, 2026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Interest Payment Dates:</w:t>
            </w:r>
          </w:p>
        </w:tc>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June 1 and December 1, commencing December 1, 2018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Equity Clawback:</w:t>
            </w:r>
          </w:p>
        </w:tc>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Up to 40% at 105.750% prior to June 1, 2021</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Optional Redemption:</w:t>
            </w:r>
          </w:p>
        </w:tc>
        <w:tc>
          <w:tcPr>
            <w:tcW w:w="6860" w:type="dxa"/>
            <w:vAlign w:val="bottom"/>
            <w:gridSpan w:val="2"/>
          </w:tcPr>
          <w:p>
            <w:pPr>
              <w:spacing w:after="0"/>
              <w:rPr>
                <w:sz w:val="20"/>
                <w:szCs w:val="20"/>
                <w:color w:val="auto"/>
              </w:rPr>
            </w:pPr>
            <w:r>
              <w:rPr>
                <w:rFonts w:ascii="Arial" w:cs="Arial" w:eastAsia="Arial" w:hAnsi="Arial"/>
                <w:sz w:val="18"/>
                <w:szCs w:val="18"/>
                <w:color w:val="auto"/>
              </w:rPr>
              <w:t>Make-whole call @ T+50 bps prior to June 1, 2021, then:</w:t>
            </w:r>
          </w:p>
        </w:tc>
      </w:tr>
      <w:tr>
        <w:trPr>
          <w:trHeight w:val="426"/>
        </w:trPr>
        <w:tc>
          <w:tcPr>
            <w:tcW w:w="456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On or after:</w:t>
            </w:r>
          </w:p>
        </w:tc>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Price:</w:t>
            </w:r>
          </w:p>
        </w:tc>
      </w:tr>
      <w:tr>
        <w:trPr>
          <w:trHeight w:val="202"/>
        </w:trPr>
        <w:tc>
          <w:tcPr>
            <w:tcW w:w="456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June 1, 2021</w:t>
            </w:r>
          </w:p>
        </w:tc>
        <w:tc>
          <w:tcPr>
            <w:tcW w:w="5220" w:type="dxa"/>
            <w:vAlign w:val="bottom"/>
          </w:tcPr>
          <w:p>
            <w:pPr>
              <w:ind w:left="200"/>
              <w:spacing w:after="0" w:line="201" w:lineRule="exact"/>
              <w:rPr>
                <w:sz w:val="20"/>
                <w:szCs w:val="20"/>
                <w:color w:val="auto"/>
              </w:rPr>
            </w:pPr>
            <w:r>
              <w:rPr>
                <w:rFonts w:ascii="Arial" w:cs="Arial" w:eastAsia="Arial" w:hAnsi="Arial"/>
                <w:sz w:val="18"/>
                <w:szCs w:val="18"/>
                <w:color w:val="auto"/>
              </w:rPr>
              <w:t>104.313%</w:t>
            </w:r>
          </w:p>
        </w:tc>
      </w:tr>
      <w:tr>
        <w:trPr>
          <w:trHeight w:val="203"/>
        </w:trPr>
        <w:tc>
          <w:tcPr>
            <w:tcW w:w="45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June 1, 2022</w:t>
            </w:r>
          </w:p>
        </w:tc>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102.875%</w:t>
            </w:r>
          </w:p>
        </w:tc>
      </w:tr>
      <w:tr>
        <w:trPr>
          <w:trHeight w:val="203"/>
        </w:trPr>
        <w:tc>
          <w:tcPr>
            <w:tcW w:w="45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June 1, 2023</w:t>
            </w:r>
          </w:p>
        </w:tc>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101.438%</w:t>
            </w:r>
          </w:p>
        </w:tc>
      </w:tr>
      <w:tr>
        <w:trPr>
          <w:trHeight w:val="203"/>
        </w:trPr>
        <w:tc>
          <w:tcPr>
            <w:tcW w:w="45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June 1, 2024 and</w:t>
            </w:r>
          </w:p>
        </w:tc>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100.000%</w:t>
            </w:r>
          </w:p>
        </w:tc>
      </w:tr>
      <w:tr>
        <w:trPr>
          <w:trHeight w:val="217"/>
        </w:trPr>
        <w:tc>
          <w:tcPr>
            <w:tcW w:w="45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220" w:type="dxa"/>
            <w:vAlign w:val="bottom"/>
          </w:tcPr>
          <w:p>
            <w:pPr>
              <w:spacing w:after="0"/>
              <w:rPr>
                <w:sz w:val="18"/>
                <w:szCs w:val="18"/>
                <w:color w:val="auto"/>
              </w:rPr>
            </w:pPr>
          </w:p>
        </w:tc>
      </w:tr>
    </w:tbl>
    <w:p>
      <w:pPr>
        <w:spacing w:after="0" w:line="188" w:lineRule="exact"/>
        <w:rPr>
          <w:sz w:val="20"/>
          <w:szCs w:val="20"/>
          <w:color w:val="auto"/>
        </w:rPr>
      </w:pPr>
    </w:p>
    <w:p>
      <w:pPr>
        <w:sectPr>
          <w:pgSz w:w="11900" w:h="16838" w:orient="portrait"/>
          <w:cols w:equalWidth="0" w:num="1">
            <w:col w:w="11420"/>
          </w:cols>
          <w:pgMar w:left="240" w:top="140" w:right="239" w:bottom="1440" w:gutter="0" w:footer="0" w:header="0"/>
        </w:sectPr>
      </w:pPr>
    </w:p>
    <w:p>
      <w:pPr>
        <w:ind w:left="40"/>
        <w:spacing w:after="0"/>
        <w:rPr>
          <w:sz w:val="20"/>
          <w:szCs w:val="20"/>
          <w:color w:val="auto"/>
        </w:rPr>
      </w:pPr>
      <w:r>
        <w:rPr>
          <w:rFonts w:ascii="Arial" w:cs="Arial" w:eastAsia="Arial" w:hAnsi="Arial"/>
          <w:sz w:val="17"/>
          <w:szCs w:val="17"/>
          <w:color w:val="auto"/>
        </w:rPr>
        <w:t>Change of control triggering event: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20" w:lineRule="exact"/>
        <w:rPr>
          <w:sz w:val="20"/>
          <w:szCs w:val="20"/>
          <w:color w:val="auto"/>
        </w:rPr>
      </w:pPr>
      <w:r>
        <w:rPr>
          <w:sz w:val="20"/>
          <w:szCs w:val="20"/>
          <w:color w:val="auto"/>
        </w:rPr>
        <w:br w:type="column"/>
      </w:r>
    </w:p>
    <w:p>
      <w:pPr>
        <w:ind w:right="1960"/>
        <w:spacing w:after="0" w:line="246" w:lineRule="auto"/>
        <w:rPr>
          <w:sz w:val="20"/>
          <w:szCs w:val="20"/>
          <w:color w:val="auto"/>
        </w:rPr>
      </w:pPr>
      <w:r>
        <w:rPr>
          <w:rFonts w:ascii="Arial" w:cs="Arial" w:eastAsia="Arial" w:hAnsi="Arial"/>
          <w:sz w:val="18"/>
          <w:szCs w:val="18"/>
          <w:color w:val="auto"/>
        </w:rPr>
        <w:t>Putable at 101% of principal plus accrued and unpaid interest May 24, 2018</w:t>
      </w:r>
    </w:p>
    <w:p>
      <w:pPr>
        <w:spacing w:after="0" w:line="200" w:lineRule="exact"/>
        <w:rPr>
          <w:sz w:val="20"/>
          <w:szCs w:val="20"/>
          <w:color w:val="auto"/>
        </w:rPr>
      </w:pPr>
    </w:p>
    <w:p>
      <w:pPr>
        <w:sectPr>
          <w:pgSz w:w="11900" w:h="16838" w:orient="portrait"/>
          <w:cols w:equalWidth="0" w:num="2">
            <w:col w:w="3840" w:space="720"/>
            <w:col w:w="6860"/>
          </w:cols>
          <w:pgMar w:left="240" w:top="140" w:right="2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136" w:name="page137"/>
    <w:bookmarkEnd w:id="136"/>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234" w:lineRule="auto"/>
        <w:rPr>
          <w:sz w:val="20"/>
          <w:szCs w:val="20"/>
          <w:color w:val="auto"/>
        </w:rPr>
      </w:pPr>
      <w:r>
        <w:rPr>
          <w:rFonts w:ascii="Arial" w:cs="Arial" w:eastAsia="Arial" w:hAnsi="Arial"/>
          <w:sz w:val="18"/>
          <w:szCs w:val="18"/>
          <w:color w:val="auto"/>
        </w:rPr>
        <w:t>ISIN:</w:t>
      </w:r>
    </w:p>
    <w:p>
      <w:pPr>
        <w:spacing w:after="0" w:line="235" w:lineRule="auto"/>
        <w:rPr>
          <w:sz w:val="20"/>
          <w:szCs w:val="20"/>
          <w:color w:val="auto"/>
        </w:rPr>
      </w:pPr>
      <w:r>
        <w:rPr>
          <w:rFonts w:ascii="Arial" w:cs="Arial" w:eastAsia="Arial" w:hAnsi="Arial"/>
          <w:sz w:val="18"/>
          <w:szCs w:val="18"/>
          <w:color w:val="auto"/>
        </w:rPr>
        <w:t>Denominations/Multiple: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T+3; May 30, 2018. It is expected that delivery of the notes will be made against</w:t>
      </w:r>
    </w:p>
    <w:p>
      <w:pPr>
        <w:spacing w:after="0" w:line="234" w:lineRule="auto"/>
        <w:rPr>
          <w:sz w:val="20"/>
          <w:szCs w:val="20"/>
          <w:color w:val="auto"/>
        </w:rPr>
      </w:pPr>
      <w:r>
        <w:rPr>
          <w:rFonts w:ascii="Arial" w:cs="Arial" w:eastAsia="Arial" w:hAnsi="Arial"/>
          <w:sz w:val="18"/>
          <w:szCs w:val="18"/>
          <w:color w:val="auto"/>
        </w:rPr>
        <w:t>payment therefor on or about May 30, 2018, which is the third business day following</w:t>
      </w:r>
    </w:p>
    <w:p>
      <w:pPr>
        <w:spacing w:after="0" w:line="235" w:lineRule="auto"/>
        <w:rPr>
          <w:sz w:val="20"/>
          <w:szCs w:val="20"/>
          <w:color w:val="auto"/>
        </w:rPr>
      </w:pPr>
      <w:r>
        <w:rPr>
          <w:rFonts w:ascii="Arial" w:cs="Arial" w:eastAsia="Arial" w:hAnsi="Arial"/>
          <w:sz w:val="18"/>
          <w:szCs w:val="18"/>
          <w:color w:val="auto"/>
        </w:rPr>
        <w:t>the date hereof (such settlement cycle being referred to as “T+3”). Under Rule 15c6-1</w:t>
      </w:r>
    </w:p>
    <w:p>
      <w:pPr>
        <w:spacing w:after="0" w:line="235" w:lineRule="auto"/>
        <w:rPr>
          <w:sz w:val="20"/>
          <w:szCs w:val="20"/>
          <w:color w:val="auto"/>
        </w:rPr>
      </w:pPr>
      <w:r>
        <w:rPr>
          <w:rFonts w:ascii="Arial" w:cs="Arial" w:eastAsia="Arial" w:hAnsi="Arial"/>
          <w:sz w:val="18"/>
          <w:szCs w:val="18"/>
          <w:color w:val="auto"/>
        </w:rPr>
        <w:t>under the Exchange Act, trades in the secondary market generally are required to</w:t>
      </w:r>
    </w:p>
    <w:p>
      <w:pPr>
        <w:spacing w:after="0" w:line="235" w:lineRule="auto"/>
        <w:rPr>
          <w:sz w:val="20"/>
          <w:szCs w:val="20"/>
          <w:color w:val="auto"/>
        </w:rPr>
      </w:pPr>
      <w:r>
        <w:rPr>
          <w:rFonts w:ascii="Arial" w:cs="Arial" w:eastAsia="Arial" w:hAnsi="Arial"/>
          <w:sz w:val="18"/>
          <w:szCs w:val="18"/>
          <w:color w:val="auto"/>
        </w:rPr>
        <w:t>settle in two business days unless the parties to any such trade expressly agree</w:t>
      </w:r>
    </w:p>
    <w:p>
      <w:pPr>
        <w:spacing w:after="0" w:line="235" w:lineRule="auto"/>
        <w:rPr>
          <w:sz w:val="20"/>
          <w:szCs w:val="20"/>
          <w:color w:val="auto"/>
        </w:rPr>
      </w:pPr>
      <w:r>
        <w:rPr>
          <w:rFonts w:ascii="Arial" w:cs="Arial" w:eastAsia="Arial" w:hAnsi="Arial"/>
          <w:sz w:val="18"/>
          <w:szCs w:val="18"/>
          <w:color w:val="auto"/>
        </w:rPr>
        <w:t>otherwise. Accordingly, purchasers who wish to trade the notes on any date prior to</w:t>
      </w:r>
    </w:p>
    <w:p>
      <w:pPr>
        <w:spacing w:after="0" w:line="235" w:lineRule="auto"/>
        <w:rPr>
          <w:sz w:val="20"/>
          <w:szCs w:val="20"/>
          <w:color w:val="auto"/>
        </w:rPr>
      </w:pPr>
      <w:r>
        <w:rPr>
          <w:rFonts w:ascii="Arial" w:cs="Arial" w:eastAsia="Arial" w:hAnsi="Arial"/>
          <w:sz w:val="18"/>
          <w:szCs w:val="18"/>
          <w:color w:val="auto"/>
        </w:rPr>
        <w:t>the second business day before delivery thereof will be required, by virtue of the fact</w:t>
      </w:r>
    </w:p>
    <w:p>
      <w:pPr>
        <w:spacing w:after="0"/>
        <w:rPr>
          <w:sz w:val="20"/>
          <w:szCs w:val="20"/>
          <w:color w:val="auto"/>
        </w:rPr>
      </w:pPr>
      <w:r>
        <w:rPr>
          <w:rFonts w:ascii="Arial" w:cs="Arial" w:eastAsia="Arial" w:hAnsi="Arial"/>
          <w:sz w:val="17"/>
          <w:szCs w:val="17"/>
          <w:color w:val="auto"/>
        </w:rPr>
        <w:t>that the notes initially will settle in T+3, to specify an alternative settlement cycle at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time of any such trade to prevent a failed settlement. Purchasers of the notes who</w:t>
      </w:r>
    </w:p>
    <w:p>
      <w:pPr>
        <w:spacing w:after="0" w:line="234" w:lineRule="auto"/>
        <w:rPr>
          <w:sz w:val="20"/>
          <w:szCs w:val="20"/>
          <w:color w:val="auto"/>
        </w:rPr>
      </w:pPr>
      <w:r>
        <w:rPr>
          <w:rFonts w:ascii="Arial" w:cs="Arial" w:eastAsia="Arial" w:hAnsi="Arial"/>
          <w:sz w:val="18"/>
          <w:szCs w:val="18"/>
          <w:color w:val="auto"/>
        </w:rPr>
        <w:t>wish to trade the notes on any date prior to the second business day before delivery</w:t>
      </w:r>
    </w:p>
    <w:p>
      <w:pPr>
        <w:spacing w:after="0" w:line="235" w:lineRule="auto"/>
        <w:rPr>
          <w:sz w:val="20"/>
          <w:szCs w:val="20"/>
          <w:color w:val="auto"/>
        </w:rPr>
      </w:pPr>
      <w:r>
        <w:rPr>
          <w:rFonts w:ascii="Arial" w:cs="Arial" w:eastAsia="Arial" w:hAnsi="Arial"/>
          <w:sz w:val="18"/>
          <w:szCs w:val="18"/>
          <w:color w:val="auto"/>
        </w:rPr>
        <w:t>thereof should consult their own advisors.</w:t>
      </w:r>
    </w:p>
    <w:p>
      <w:pPr>
        <w:spacing w:after="0" w:line="235" w:lineRule="auto"/>
        <w:rPr>
          <w:sz w:val="20"/>
          <w:szCs w:val="20"/>
          <w:color w:val="auto"/>
        </w:rPr>
      </w:pPr>
      <w:r>
        <w:rPr>
          <w:rFonts w:ascii="Arial" w:cs="Arial" w:eastAsia="Arial" w:hAnsi="Arial"/>
          <w:sz w:val="18"/>
          <w:szCs w:val="18"/>
          <w:color w:val="auto"/>
        </w:rPr>
        <w:t>384637AA2 (144A) / U3824RAA3 (Reg S)</w:t>
      </w:r>
    </w:p>
    <w:p>
      <w:pPr>
        <w:spacing w:after="0" w:line="235" w:lineRule="auto"/>
        <w:rPr>
          <w:sz w:val="20"/>
          <w:szCs w:val="20"/>
          <w:color w:val="auto"/>
        </w:rPr>
      </w:pPr>
      <w:r>
        <w:rPr>
          <w:rFonts w:ascii="Arial" w:cs="Arial" w:eastAsia="Arial" w:hAnsi="Arial"/>
          <w:sz w:val="18"/>
          <w:szCs w:val="18"/>
          <w:color w:val="auto"/>
        </w:rPr>
        <w:t>US384637AA23 (144A) / USU3824RAA33 (Reg S)</w:t>
      </w:r>
    </w:p>
    <w:p>
      <w:pPr>
        <w:spacing w:after="0" w:line="235" w:lineRule="auto"/>
        <w:rPr>
          <w:sz w:val="20"/>
          <w:szCs w:val="20"/>
          <w:color w:val="auto"/>
        </w:rPr>
      </w:pPr>
      <w:r>
        <w:rPr>
          <w:rFonts w:ascii="Arial" w:cs="Arial" w:eastAsia="Arial" w:hAnsi="Arial"/>
          <w:sz w:val="18"/>
          <w:szCs w:val="18"/>
          <w:color w:val="auto"/>
        </w:rPr>
        <w:t>2,000 x 1,000</w:t>
      </w:r>
    </w:p>
    <w:p>
      <w:pPr>
        <w:spacing w:after="0" w:line="235" w:lineRule="auto"/>
        <w:rPr>
          <w:sz w:val="20"/>
          <w:szCs w:val="20"/>
          <w:color w:val="auto"/>
        </w:rPr>
      </w:pPr>
      <w:r>
        <w:rPr>
          <w:rFonts w:ascii="Arial" w:cs="Arial" w:eastAsia="Arial" w:hAnsi="Arial"/>
          <w:sz w:val="18"/>
          <w:szCs w:val="18"/>
          <w:color w:val="auto"/>
        </w:rPr>
        <w:t>J.P. Morgan Securities LLC</w:t>
      </w:r>
    </w:p>
    <w:p>
      <w:pPr>
        <w:spacing w:after="0" w:line="235" w:lineRule="auto"/>
        <w:rPr>
          <w:sz w:val="20"/>
          <w:szCs w:val="20"/>
          <w:color w:val="auto"/>
        </w:rPr>
      </w:pPr>
      <w:r>
        <w:rPr>
          <w:rFonts w:ascii="Arial" w:cs="Arial" w:eastAsia="Arial" w:hAnsi="Arial"/>
          <w:sz w:val="18"/>
          <w:szCs w:val="18"/>
          <w:color w:val="auto"/>
        </w:rPr>
        <w:t>Wells Fargo Securities, LLC</w:t>
      </w:r>
    </w:p>
    <w:p>
      <w:pPr>
        <w:spacing w:after="0" w:line="235" w:lineRule="auto"/>
        <w:rPr>
          <w:sz w:val="20"/>
          <w:szCs w:val="20"/>
          <w:color w:val="auto"/>
        </w:rPr>
      </w:pPr>
      <w:r>
        <w:rPr>
          <w:rFonts w:ascii="Arial" w:cs="Arial" w:eastAsia="Arial" w:hAnsi="Arial"/>
          <w:sz w:val="18"/>
          <w:szCs w:val="18"/>
          <w:color w:val="auto"/>
        </w:rPr>
        <w:t>HSBC Securities (USA) Inc.</w:t>
      </w:r>
    </w:p>
    <w:p>
      <w:pPr>
        <w:spacing w:after="0" w:line="235" w:lineRule="auto"/>
        <w:rPr>
          <w:sz w:val="20"/>
          <w:szCs w:val="20"/>
          <w:color w:val="auto"/>
        </w:rPr>
      </w:pPr>
      <w:r>
        <w:rPr>
          <w:rFonts w:ascii="Arial" w:cs="Arial" w:eastAsia="Arial" w:hAnsi="Arial"/>
          <w:sz w:val="18"/>
          <w:szCs w:val="18"/>
          <w:color w:val="auto"/>
        </w:rPr>
        <w:t>Merrill Lynch, Pierce, Fenner &amp; Smith</w:t>
      </w:r>
    </w:p>
    <w:p>
      <w:pPr>
        <w:ind w:left="640"/>
        <w:spacing w:after="0" w:line="234" w:lineRule="auto"/>
        <w:rPr>
          <w:sz w:val="20"/>
          <w:szCs w:val="20"/>
          <w:color w:val="auto"/>
        </w:rPr>
      </w:pPr>
      <w:r>
        <w:rPr>
          <w:rFonts w:ascii="Arial" w:cs="Arial" w:eastAsia="Arial" w:hAnsi="Arial"/>
          <w:sz w:val="18"/>
          <w:szCs w:val="18"/>
          <w:color w:val="auto"/>
        </w:rPr>
        <w:t>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198" w:lineRule="exact"/>
        <w:rPr>
          <w:sz w:val="20"/>
          <w:szCs w:val="20"/>
          <w:color w:val="auto"/>
        </w:rPr>
      </w:pPr>
    </w:p>
    <w:p>
      <w:pPr>
        <w:sectPr>
          <w:pgSz w:w="11900" w:h="16838" w:orient="portrait"/>
          <w:cols w:equalWidth="0" w:num="2">
            <w:col w:w="3840" w:space="720"/>
            <w:col w:w="6840"/>
          </w:cols>
          <w:pgMar w:left="240" w:top="377" w:right="259" w:bottom="1440" w:gutter="0" w:footer="0" w:header="0"/>
        </w:sectPr>
      </w:pPr>
    </w:p>
    <w:p>
      <w:pPr>
        <w:spacing w:after="0"/>
        <w:rPr>
          <w:sz w:val="20"/>
          <w:szCs w:val="20"/>
          <w:color w:val="auto"/>
        </w:rPr>
      </w:pPr>
      <w:r>
        <w:rPr>
          <w:rFonts w:ascii="Arial" w:cs="Arial" w:eastAsia="Arial" w:hAnsi="Arial"/>
          <w:sz w:val="18"/>
          <w:szCs w:val="18"/>
          <w:color w:val="auto"/>
        </w:rPr>
        <w:t>Co-Manager: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BNY Mellon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347980</wp:posOffset>
            </wp:positionV>
            <wp:extent cx="10890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840" w:space="720"/>
            <w:col w:w="6840"/>
          </w:cols>
          <w:pgMar w:left="240" w:top="37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color w:val="auto"/>
        </w:rPr>
        <w:t>This material is confidential and is for your information only and is not intended to be used by anyone other than you. This information does not purport to be a complete description of these notes or the offering. Please refer to the Preliminary Offering Memorandum for a complete description.</w:t>
      </w:r>
    </w:p>
    <w:p>
      <w:pPr>
        <w:spacing w:after="0" w:line="19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This communication is being distributed in the United States solely to Qualified Institutional Buyers, as defined in Rule 144A under the Securities Act of 1933, as amended, and outside the United States solely to Non-U.S. persons as defined under Regulation S.</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This communication does not constitute an offer to sell or the solicitation of an offer to buy any securities in any jurisdiction to any person to whom it is unlawful to make such offer or solicitation in such jurisdiction.</w:t>
      </w:r>
    </w:p>
    <w:p>
      <w:pPr>
        <w:spacing w:after="0" w:line="20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77" w:right="25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color w:val="auto"/>
        </w:rPr>
        <w:t>ANNEX C</w:t>
      </w: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Arial" w:cs="Arial" w:eastAsia="Arial" w:hAnsi="Arial"/>
          <w:sz w:val="18"/>
          <w:szCs w:val="18"/>
          <w:b w:val="1"/>
          <w:bCs w:val="1"/>
          <w:u w:val="single" w:color="auto"/>
          <w:color w:val="auto"/>
        </w:rPr>
        <w:t>Restrictions on Offers and Sales Outside the United States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offers and sales of Securities outside the United States:</w:t>
      </w:r>
    </w:p>
    <w:p>
      <w:pPr>
        <w:spacing w:after="0" w:line="239" w:lineRule="exact"/>
        <w:rPr>
          <w:sz w:val="20"/>
          <w:szCs w:val="20"/>
          <w:color w:val="auto"/>
        </w:rPr>
      </w:pPr>
    </w:p>
    <w:p>
      <w:pPr>
        <w:ind w:right="500" w:firstLine="656"/>
        <w:spacing w:after="0"/>
        <w:tabs>
          <w:tab w:leader="none" w:pos="117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Initial Purchaser acknowledges that the Securities have not been registered under the Securities Act and may not be offered or sold within the United States or to, or for the account or benefit of, U.S. persons except pursuant to an exemption from, or in transactions not subject to, the registration requirements of the Securities Act.</w:t>
      </w:r>
    </w:p>
    <w:p>
      <w:pPr>
        <w:spacing w:after="0" w:line="229" w:lineRule="exact"/>
        <w:rPr>
          <w:rFonts w:ascii="Arial" w:cs="Arial" w:eastAsia="Arial" w:hAnsi="Arial"/>
          <w:sz w:val="18"/>
          <w:szCs w:val="18"/>
          <w:color w:val="auto"/>
        </w:rPr>
      </w:pPr>
    </w:p>
    <w:p>
      <w:pPr>
        <w:ind w:left="1180" w:hanging="524"/>
        <w:spacing w:after="0"/>
        <w:tabs>
          <w:tab w:leader="none" w:pos="1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warrants and agrees that:</w:t>
      </w:r>
    </w:p>
    <w:p>
      <w:pPr>
        <w:spacing w:after="0" w:line="238" w:lineRule="exact"/>
        <w:rPr>
          <w:rFonts w:ascii="Arial" w:cs="Arial" w:eastAsia="Arial" w:hAnsi="Arial"/>
          <w:sz w:val="18"/>
          <w:szCs w:val="18"/>
          <w:color w:val="auto"/>
        </w:rPr>
      </w:pPr>
    </w:p>
    <w:p>
      <w:pPr>
        <w:ind w:left="660" w:right="360" w:firstLine="645"/>
        <w:spacing w:after="0" w:line="239" w:lineRule="auto"/>
        <w:tabs>
          <w:tab w:leader="none" w:pos="177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Initial Purchaser has offered and sold the Securities, and will offer and sell the Securities, (A) as part of their distribution at any time and (B) otherwise until 40 days after the later of the commencement of the offering of the Securities and the Closing Date, only in accordance with Regulation S under the Securities Act (“</w:t>
      </w:r>
      <w:r>
        <w:rPr>
          <w:rFonts w:ascii="Arial" w:cs="Arial" w:eastAsia="Arial" w:hAnsi="Arial"/>
          <w:sz w:val="18"/>
          <w:szCs w:val="18"/>
          <w:u w:val="single" w:color="auto"/>
          <w:color w:val="auto"/>
        </w:rPr>
        <w:t>Regulation S</w:t>
      </w:r>
      <w:r>
        <w:rPr>
          <w:rFonts w:ascii="Arial" w:cs="Arial" w:eastAsia="Arial" w:hAnsi="Arial"/>
          <w:sz w:val="18"/>
          <w:szCs w:val="18"/>
          <w:color w:val="auto"/>
        </w:rPr>
        <w:t>”) or Rule 144A or any other available exemption from registration under the Securities Act.</w:t>
      </w:r>
    </w:p>
    <w:p>
      <w:pPr>
        <w:spacing w:after="0" w:line="228" w:lineRule="exact"/>
        <w:rPr>
          <w:rFonts w:ascii="Arial" w:cs="Arial" w:eastAsia="Arial" w:hAnsi="Arial"/>
          <w:sz w:val="18"/>
          <w:szCs w:val="18"/>
          <w:color w:val="auto"/>
        </w:rPr>
      </w:pPr>
    </w:p>
    <w:p>
      <w:pPr>
        <w:ind w:left="660" w:right="140" w:firstLine="645"/>
        <w:spacing w:after="0"/>
        <w:tabs>
          <w:tab w:leader="none" w:pos="181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None of such Initial Purchaser or any of its affiliates or any other person acting on its or their behalf has engaged or will engage in any directed selling efforts with respect to the Securities, and all such persons have complied and will comply with the offering restrictions requirement of Regulation S.</w:t>
      </w:r>
    </w:p>
    <w:p>
      <w:pPr>
        <w:spacing w:after="0" w:line="229" w:lineRule="exact"/>
        <w:rPr>
          <w:rFonts w:ascii="Arial" w:cs="Arial" w:eastAsia="Arial" w:hAnsi="Arial"/>
          <w:sz w:val="18"/>
          <w:szCs w:val="18"/>
          <w:color w:val="auto"/>
        </w:rPr>
      </w:pPr>
    </w:p>
    <w:p>
      <w:pPr>
        <w:ind w:left="660" w:right="40" w:firstLine="645"/>
        <w:spacing w:after="0"/>
        <w:tabs>
          <w:tab w:leader="none" w:pos="185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At or prior to the confirmation of sale of any Securities sold in reliance on Regulation S, such Initial Purchaser will have sent to each distributor, dealer or other person receiving a selling concession, fee or other remuneration that purchases Securities from it during the distribution compliance period a confirmation or notice to substantially the following effect:</w:t>
      </w:r>
    </w:p>
    <w:p>
      <w:pPr>
        <w:spacing w:after="0" w:line="230" w:lineRule="exact"/>
        <w:rPr>
          <w:sz w:val="20"/>
          <w:szCs w:val="20"/>
          <w:color w:val="auto"/>
        </w:rPr>
      </w:pPr>
    </w:p>
    <w:p>
      <w:pPr>
        <w:jc w:val="both"/>
        <w:ind w:left="1300"/>
        <w:spacing w:after="0" w:line="238" w:lineRule="auto"/>
        <w:rPr>
          <w:sz w:val="20"/>
          <w:szCs w:val="20"/>
          <w:color w:val="auto"/>
        </w:rPr>
      </w:pPr>
      <w:r>
        <w:rPr>
          <w:rFonts w:ascii="Arial" w:cs="Arial" w:eastAsia="Arial" w:hAnsi="Arial"/>
          <w:sz w:val="18"/>
          <w:szCs w:val="18"/>
          <w:color w:val="auto"/>
        </w:rPr>
        <w:t>The Securities covered hereby have not been registered under the U.S.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may not be offered or sold within the United States or to, or for the account or benefit of, U.S. persons (i) as part of their distribution at any time or (ii) otherwise until 40 days after the later of the commencement of the offering of the Securities and the date of original issuance of the Securities, except in accordance with Regulation S or Rule 144A or any other available exemption from registration under the Securities Act. Terms used above have the meanings given to them by Regulation 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8" w:name="page139"/>
    <w:bookmarkEnd w:id="138"/>
    <w:p>
      <w:pPr>
        <w:ind w:left="660" w:firstLine="645"/>
        <w:spacing w:after="0" w:line="246" w:lineRule="auto"/>
        <w:tabs>
          <w:tab w:leader="none" w:pos="186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Initial Purchaser has not and will not enter into any contractual arrangement with any distributor with respect to the distribution of the Securities, except with its affiliates or with the prior written consent of the Company.</w:t>
      </w:r>
    </w:p>
    <w:p>
      <w:pPr>
        <w:spacing w:after="0" w:line="224"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Terms used in paragraph (a) and this paragraph (b) and not otherwise defined in this Agreement have the meanings given to them by Regulation S.</w:t>
      </w:r>
    </w:p>
    <w:p>
      <w:pPr>
        <w:spacing w:after="0" w:line="224" w:lineRule="exact"/>
        <w:rPr>
          <w:sz w:val="20"/>
          <w:szCs w:val="20"/>
          <w:color w:val="auto"/>
        </w:rPr>
      </w:pPr>
    </w:p>
    <w:p>
      <w:pPr>
        <w:ind w:firstLine="656"/>
        <w:spacing w:after="0" w:line="239" w:lineRule="auto"/>
        <w:tabs>
          <w:tab w:leader="none" w:pos="116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Initial Purchaser acknowledges that no action has been or will be taken by the Company that would permit a public offering of the Securities, or possession or distribution of any of the Time of Sale Information, the Offering Memorandum, any Issuer Written Communication or any other offering or publicity material relating to the Securities, in any country or jurisdiction where action for that purpose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ANNEX D</w:t>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Form of Opinion and 10b-5 Letter of Counsel for the Company and the Guarantors</w:t>
      </w:r>
    </w:p>
    <w:p>
      <w:pPr>
        <w:spacing w:after="0" w:line="24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Attached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8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ANNEX E</w:t>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Form of Opinion of Florida Counsel for the Company and the Guarantors</w:t>
      </w:r>
    </w:p>
    <w:p>
      <w:pPr>
        <w:spacing w:after="0" w:line="25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Attached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44</w:t>
      </w:r>
    </w:p>
    <w:sectPr>
      <w:pgSz w:w="11900" w:h="16838" w:orient="portrait"/>
      <w:cols w:equalWidth="0" w:num="1">
        <w:col w:w="10220"/>
      </w:cols>
      <w:pgMar w:left="14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1)"/>
      <w:numFmt w:val="decimal"/>
      <w:start w:val="1"/>
    </w:lvl>
  </w:abstractNum>
  <w:abstractNum w:abstractNumId="2">
    <w:nsid w:val="5FB8370B"/>
    <w:multiLevelType w:val="hybridMultilevel"/>
    <w:lvl w:ilvl="0">
      <w:lvlJc w:val="left"/>
      <w:lvlText w:val="(%1)"/>
      <w:numFmt w:val="decimal"/>
      <w:start w:val="1"/>
    </w:lvl>
  </w:abstractNum>
  <w:abstractNum w:abstractNumId="3">
    <w:nsid w:val="50801EE1"/>
    <w:multiLevelType w:val="hybridMultilevel"/>
    <w:lvl w:ilvl="0">
      <w:lvlJc w:val="left"/>
      <w:lvlText w:val="(%1)"/>
      <w:numFmt w:val="decimal"/>
      <w:start w:val="1"/>
    </w:lvl>
  </w:abstractNum>
  <w:abstractNum w:abstractNumId="4">
    <w:nsid w:val="488AC1A"/>
    <w:multiLevelType w:val="hybridMultilevel"/>
    <w:lvl w:ilvl="0">
      <w:lvlJc w:val="left"/>
      <w:lvlText w:val="(%1)"/>
      <w:numFmt w:val="decimal"/>
      <w:start w:val="2"/>
    </w:lvl>
  </w:abstractNum>
  <w:abstractNum w:abstractNumId="5">
    <w:nsid w:val="5FB8011C"/>
    <w:multiLevelType w:val="hybridMultilevel"/>
    <w:lvl w:ilvl="0">
      <w:lvlJc w:val="left"/>
      <w:lvlText w:val="(%1)"/>
      <w:numFmt w:val="lowerLetter"/>
      <w:start w:val="1"/>
    </w:lvl>
  </w:abstractNum>
  <w:abstractNum w:abstractNumId="6">
    <w:nsid w:val="6AA78F7F"/>
    <w:multiLevelType w:val="hybridMultilevel"/>
    <w:lvl w:ilvl="0">
      <w:lvlJc w:val="left"/>
      <w:lvlText w:val="(%1)"/>
      <w:numFmt w:val="decimal"/>
      <w:start w:val="1"/>
    </w:lvl>
  </w:abstractNum>
  <w:abstractNum w:abstractNumId="7">
    <w:nsid w:val="7672BD23"/>
    <w:multiLevelType w:val="hybridMultilevel"/>
    <w:lvl w:ilvl="0">
      <w:lvlJc w:val="left"/>
      <w:lvlText w:val="(%1)"/>
      <w:numFmt w:val="decimal"/>
      <w:start w:val="2"/>
    </w:lvl>
    <w:lvl w:ilvl="1">
      <w:lvlJc w:val="left"/>
      <w:lvlText w:val="(%2)"/>
      <w:numFmt w:val="lowerLetter"/>
      <w:start w:val="1"/>
    </w:lvl>
  </w:abstractNum>
  <w:abstractNum w:abstractNumId="8">
    <w:nsid w:val="6FC75AF8"/>
    <w:multiLevelType w:val="hybridMultilevel"/>
    <w:lvl w:ilvl="0">
      <w:lvlJc w:val="left"/>
      <w:lvlText w:val="(%1)"/>
      <w:numFmt w:val="decimal"/>
      <w:start w:val="1"/>
    </w:lvl>
  </w:abstractNum>
  <w:abstractNum w:abstractNumId="9">
    <w:nsid w:val="6A5F7029"/>
    <w:multiLevelType w:val="hybridMultilevel"/>
    <w:lvl w:ilvl="0">
      <w:lvlJc w:val="left"/>
      <w:lvlText w:val="(%1)"/>
      <w:numFmt w:val="decimal"/>
      <w:start w:val="5"/>
    </w:lvl>
    <w:lvl w:ilvl="1">
      <w:lvlJc w:val="left"/>
      <w:lvlText w:val="(%2)"/>
      <w:numFmt w:val="lowerLetter"/>
      <w:start w:val="1"/>
    </w:lvl>
  </w:abstractNum>
  <w:abstractNum w:abstractNumId="10">
    <w:nsid w:val="7D5E18F8"/>
    <w:multiLevelType w:val="hybridMultilevel"/>
    <w:lvl w:ilvl="0">
      <w:lvlJc w:val="left"/>
      <w:lvlText w:val="(%1)"/>
      <w:numFmt w:val="lowerLetter"/>
      <w:start w:val="1"/>
    </w:lvl>
  </w:abstractNum>
  <w:abstractNum w:abstractNumId="11">
    <w:nsid w:val="5F3534A4"/>
    <w:multiLevelType w:val="hybridMultilevel"/>
    <w:lvl w:ilvl="0">
      <w:lvlJc w:val="left"/>
      <w:lvlText w:val="(%1)"/>
      <w:numFmt w:val="lowerLetter"/>
      <w:start w:val="1"/>
    </w:lvl>
  </w:abstractNum>
  <w:abstractNum w:abstractNumId="12">
    <w:nsid w:val="73A1821B"/>
    <w:multiLevelType w:val="hybridMultilevel"/>
    <w:lvl w:ilvl="0">
      <w:lvlJc w:val="left"/>
      <w:lvlText w:val="(%1)"/>
      <w:numFmt w:val="lowerLetter"/>
      <w:start w:val="2"/>
    </w:lvl>
  </w:abstractNum>
  <w:abstractNum w:abstractNumId="13">
    <w:nsid w:val="7DE67713"/>
    <w:multiLevelType w:val="hybridMultilevel"/>
    <w:lvl w:ilvl="0">
      <w:lvlJc w:val="left"/>
      <w:lvlText w:val="(%1)"/>
      <w:numFmt w:val="lowerLetter"/>
      <w:start w:val="7"/>
    </w:lvl>
  </w:abstractNum>
  <w:abstractNum w:abstractNumId="14">
    <w:nsid w:val="555C55B5"/>
    <w:multiLevelType w:val="hybridMultilevel"/>
    <w:lvl w:ilvl="0">
      <w:lvlJc w:val="left"/>
      <w:lvlText w:val="(%1)"/>
      <w:numFmt w:val="lowerLetter"/>
      <w:start w:val="1"/>
    </w:lvl>
  </w:abstractNum>
  <w:abstractNum w:abstractNumId="15">
    <w:nsid w:val="3FA62ACA"/>
    <w:multiLevelType w:val="hybridMultilevel"/>
    <w:lvl w:ilvl="0">
      <w:lvlJc w:val="left"/>
      <w:lvlText w:val="(%1)"/>
      <w:numFmt w:val="lowerLetter"/>
      <w:start w:val="2"/>
    </w:lvl>
  </w:abstractNum>
  <w:abstractNum w:abstractNumId="16">
    <w:nsid w:val="14FCE74E"/>
    <w:multiLevelType w:val="hybridMultilevel"/>
    <w:lvl w:ilvl="0">
      <w:lvlJc w:val="left"/>
      <w:lvlText w:val="(%1)"/>
      <w:numFmt w:val="lowerLetter"/>
      <w:start w:val="1"/>
    </w:lvl>
  </w:abstractNum>
  <w:abstractNum w:abstractNumId="17">
    <w:nsid w:val="6A3DD3E8"/>
    <w:multiLevelType w:val="hybridMultilevel"/>
    <w:lvl w:ilvl="0">
      <w:lvlJc w:val="left"/>
      <w:lvlText w:val="(%1)"/>
      <w:numFmt w:val="lowerLetter"/>
      <w:start w:val="1"/>
    </w:lvl>
  </w:abstractNum>
  <w:abstractNum w:abstractNumId="18">
    <w:nsid w:val="71C91298"/>
    <w:multiLevelType w:val="hybridMultilevel"/>
    <w:lvl w:ilvl="0">
      <w:lvlJc w:val="left"/>
      <w:lvlText w:val="(%1)"/>
      <w:numFmt w:val="lowerLetter"/>
      <w:start w:val="2"/>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1"/>
    </w:lvl>
  </w:abstractNum>
  <w:abstractNum w:abstractNumId="21">
    <w:nsid w:val="1FBFE8E0"/>
    <w:multiLevelType w:val="hybridMultilevel"/>
    <w:lvl w:ilvl="0">
      <w:lvlJc w:val="left"/>
      <w:lvlText w:val="(%1)"/>
      <w:numFmt w:val="lowerLetter"/>
      <w:start w:val="1"/>
    </w:lvl>
  </w:abstractNum>
  <w:abstractNum w:abstractNumId="22">
    <w:nsid w:val="5092CA79"/>
    <w:multiLevelType w:val="hybridMultilevel"/>
    <w:lvl w:ilvl="0">
      <w:lvlJc w:val="left"/>
      <w:lvlText w:val="(%1)"/>
      <w:numFmt w:val="lowerLetter"/>
      <w:start w:val="1"/>
    </w:lvl>
  </w:abstractNum>
  <w:abstractNum w:abstractNumId="23">
    <w:nsid w:val="1D545C4D"/>
    <w:multiLevelType w:val="hybridMultilevel"/>
    <w:lvl w:ilvl="0">
      <w:lvlJc w:val="left"/>
      <w:lvlText w:val="(%1)"/>
      <w:numFmt w:val="lowerLetter"/>
      <w:start w:val="1"/>
    </w:lvl>
  </w:abstractNum>
  <w:abstractNum w:abstractNumId="24">
    <w:nsid w:val="59ADEA3D"/>
    <w:multiLevelType w:val="hybridMultilevel"/>
    <w:lvl w:ilvl="0">
      <w:lvlJc w:val="left"/>
      <w:lvlText w:val="(%1)"/>
      <w:numFmt w:val="decimal"/>
      <w:start w:val="1"/>
    </w:lvl>
  </w:abstractNum>
  <w:abstractNum w:abstractNumId="25">
    <w:nsid w:val="288F1A34"/>
    <w:multiLevelType w:val="hybridMultilevel"/>
    <w:lvl w:ilvl="0">
      <w:lvlJc w:val="left"/>
      <w:lvlText w:val="(%1)"/>
      <w:numFmt w:val="lowerLetter"/>
      <w:start w:val="3"/>
    </w:lvl>
  </w:abstractNum>
  <w:abstractNum w:abstractNumId="26">
    <w:nsid w:val="2A155DBC"/>
    <w:multiLevelType w:val="hybridMultilevel"/>
    <w:lvl w:ilvl="0">
      <w:lvlJc w:val="left"/>
      <w:lvlText w:val="(%1)"/>
      <w:numFmt w:val="lowerLetter"/>
      <w:start w:val="5"/>
    </w:lvl>
  </w:abstractNum>
  <w:abstractNum w:abstractNumId="27">
    <w:nsid w:val="1D9F6E5F"/>
    <w:multiLevelType w:val="hybridMultilevel"/>
    <w:lvl w:ilvl="0">
      <w:lvlJc w:val="left"/>
      <w:lvlText w:val="(%1)"/>
      <w:numFmt w:val="lowerLetter"/>
      <w:start w:val="1"/>
    </w:lvl>
  </w:abstractNum>
  <w:abstractNum w:abstractNumId="28">
    <w:nsid w:val="97E1B4E"/>
    <w:multiLevelType w:val="hybridMultilevel"/>
    <w:lvl w:ilvl="0">
      <w:lvlJc w:val="left"/>
      <w:lvlText w:val="(%1)"/>
      <w:numFmt w:val="lowerLetter"/>
      <w:start w:val="1"/>
    </w:lvl>
  </w:abstractNum>
  <w:abstractNum w:abstractNumId="29">
    <w:nsid w:val="51088277"/>
    <w:multiLevelType w:val="hybridMultilevel"/>
    <w:lvl w:ilvl="0">
      <w:lvlJc w:val="left"/>
      <w:lvlText w:val="(%1)"/>
      <w:numFmt w:val="lowerLetter"/>
      <w:start w:val="5"/>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1"/>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1)"/>
      <w:numFmt w:val="decimal"/>
      <w:start w:val="10"/>
    </w:lvl>
    <w:lvl w:ilvl="1">
      <w:lvlJc w:val="left"/>
      <w:lvlText w:val="(%2)"/>
      <w:numFmt w:val="lowerLetter"/>
      <w:start w:val="3"/>
    </w:lvl>
  </w:abstractNum>
  <w:abstractNum w:abstractNumId="34">
    <w:nsid w:val="23D86AAC"/>
    <w:multiLevelType w:val="hybridMultilevel"/>
    <w:lvl w:ilvl="0">
      <w:lvlJc w:val="left"/>
      <w:lvlText w:val="(%1)"/>
      <w:numFmt w:val="lowerLetter"/>
      <w:start w:val="1"/>
    </w:lvl>
  </w:abstractNum>
  <w:abstractNum w:abstractNumId="35">
    <w:nsid w:val="45E6D486"/>
    <w:multiLevelType w:val="hybridMultilevel"/>
    <w:lvl w:ilvl="0">
      <w:lvlJc w:val="left"/>
      <w:lvlText w:val="(%1)"/>
      <w:numFmt w:val="lowerLetter"/>
      <w:start w:val="4"/>
    </w:lvl>
  </w:abstractNum>
  <w:abstractNum w:abstractNumId="36">
    <w:nsid w:val="5C10FE21"/>
    <w:multiLevelType w:val="hybridMultilevel"/>
    <w:lvl w:ilvl="0">
      <w:lvlJc w:val="left"/>
      <w:lvlText w:val="(%1)"/>
      <w:numFmt w:val="decimal"/>
      <w:start w:val="1"/>
    </w:lvl>
  </w:abstractNum>
  <w:abstractNum w:abstractNumId="37">
    <w:nsid w:val="E7FFA2B"/>
    <w:multiLevelType w:val="hybridMultilevel"/>
    <w:lvl w:ilvl="0">
      <w:lvlJc w:val="left"/>
      <w:lvlText w:val="(%1)"/>
      <w:numFmt w:val="lowerLetter"/>
      <w:start w:val="1"/>
    </w:lvl>
  </w:abstractNum>
  <w:abstractNum w:abstractNumId="38">
    <w:nsid w:val="3C5991AA"/>
    <w:multiLevelType w:val="hybridMultilevel"/>
    <w:lvl w:ilvl="0">
      <w:lvlJc w:val="left"/>
      <w:lvlText w:val="(%1)"/>
      <w:numFmt w:val="decimal"/>
      <w:start w:val="1"/>
    </w:lvl>
  </w:abstractNum>
  <w:abstractNum w:abstractNumId="39">
    <w:nsid w:val="4BD8591A"/>
    <w:multiLevelType w:val="hybridMultilevel"/>
    <w:lvl w:ilvl="0">
      <w:lvlJc w:val="left"/>
      <w:lvlText w:val="(%1)"/>
      <w:numFmt w:val="decimal"/>
      <w:start w:val="2"/>
    </w:lvl>
  </w:abstractNum>
  <w:abstractNum w:abstractNumId="40">
    <w:nsid w:val="78DF6A55"/>
    <w:multiLevelType w:val="hybridMultilevel"/>
    <w:lvl w:ilvl="0">
      <w:lvlJc w:val="left"/>
      <w:lvlText w:val="(%1)"/>
      <w:numFmt w:val="lowerLetter"/>
      <w:start w:val="2"/>
    </w:lvl>
  </w:abstractNum>
  <w:abstractNum w:abstractNumId="41">
    <w:nsid w:val="39B7AAA2"/>
    <w:multiLevelType w:val="hybridMultilevel"/>
    <w:lvl w:ilvl="0">
      <w:lvlJc w:val="left"/>
      <w:lvlText w:val="(%1)"/>
      <w:numFmt w:val="lowerLetter"/>
      <w:start w:val="1"/>
    </w:lvl>
  </w:abstractNum>
  <w:abstractNum w:abstractNumId="42">
    <w:nsid w:val="2B0D8DBE"/>
    <w:multiLevelType w:val="hybridMultilevel"/>
    <w:lvl w:ilvl="0">
      <w:lvlJc w:val="left"/>
      <w:lvlText w:val="(%1)"/>
      <w:numFmt w:val="lowerLetter"/>
      <w:start w:val="1"/>
    </w:lvl>
  </w:abstractNum>
  <w:abstractNum w:abstractNumId="43">
    <w:nsid w:val="6C80EC70"/>
    <w:multiLevelType w:val="hybridMultilevel"/>
    <w:lvl w:ilvl="0">
      <w:lvlJc w:val="left"/>
      <w:lvlText w:val="(%1)"/>
      <w:numFmt w:val="decimal"/>
      <w:start w:val="1"/>
    </w:lvl>
  </w:abstractNum>
  <w:abstractNum w:abstractNumId="44">
    <w:nsid w:val="379E21B5"/>
    <w:multiLevelType w:val="hybridMultilevel"/>
    <w:lvl w:ilvl="0">
      <w:lvlJc w:val="left"/>
      <w:lvlText w:val="(%1)"/>
      <w:numFmt w:val="lowerLetter"/>
      <w:start w:val="2"/>
    </w:lvl>
  </w:abstractNum>
  <w:abstractNum w:abstractNumId="45">
    <w:nsid w:val="69E373"/>
    <w:multiLevelType w:val="hybridMultilevel"/>
    <w:lvl w:ilvl="0">
      <w:lvlJc w:val="left"/>
      <w:lvlText w:val="(%1)"/>
      <w:numFmt w:val="decimal"/>
      <w:start w:val="1"/>
    </w:lvl>
  </w:abstractNum>
  <w:abstractNum w:abstractNumId="46">
    <w:nsid w:val="2C27173B"/>
    <w:multiLevelType w:val="hybridMultilevel"/>
    <w:lvl w:ilvl="0">
      <w:lvlJc w:val="left"/>
      <w:lvlText w:val="(%1)"/>
      <w:numFmt w:val="decimal"/>
      <w:start w:val="2"/>
    </w:lvl>
  </w:abstractNum>
  <w:abstractNum w:abstractNumId="47">
    <w:nsid w:val="4C9B0904"/>
    <w:multiLevelType w:val="hybridMultilevel"/>
    <w:lvl w:ilvl="0">
      <w:lvlJc w:val="left"/>
      <w:lvlText w:val="(%1)"/>
      <w:numFmt w:val="lowerLetter"/>
      <w:start w:val="3"/>
    </w:lvl>
  </w:abstractNum>
  <w:abstractNum w:abstractNumId="48">
    <w:nsid w:val="6AA7B75C"/>
    <w:multiLevelType w:val="hybridMultilevel"/>
    <w:lvl w:ilvl="0">
      <w:lvlJc w:val="left"/>
      <w:lvlText w:val="(%1)"/>
      <w:numFmt w:val="lowerLetter"/>
      <w:start w:val="1"/>
    </w:lvl>
  </w:abstractNum>
  <w:abstractNum w:abstractNumId="49">
    <w:nsid w:val="1DF029D3"/>
    <w:multiLevelType w:val="hybridMultilevel"/>
    <w:lvl w:ilvl="0">
      <w:lvlJc w:val="left"/>
      <w:lvlText w:val="(%1)"/>
      <w:numFmt w:val="lowerLetter"/>
      <w:start w:val="8"/>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decimal"/>
      <w:start w:val="1"/>
    </w:lvl>
  </w:abstractNum>
  <w:abstractNum w:abstractNumId="52">
    <w:nsid w:val="3DB012B3"/>
    <w:multiLevelType w:val="hybridMultilevel"/>
    <w:lvl w:ilvl="0">
      <w:lvlJc w:val="left"/>
      <w:lvlText w:val="(%1)"/>
      <w:numFmt w:val="lowerLetter"/>
      <w:start w:val="4"/>
    </w:lvl>
  </w:abstractNum>
  <w:abstractNum w:abstractNumId="53">
    <w:nsid w:val="2708C9AF"/>
    <w:multiLevelType w:val="hybridMultilevel"/>
    <w:lvl w:ilvl="0">
      <w:lvlJc w:val="left"/>
      <w:lvlText w:val="(%1)"/>
      <w:numFmt w:val="decimal"/>
      <w:start w:val="1"/>
    </w:lvl>
  </w:abstractNum>
  <w:abstractNum w:abstractNumId="54">
    <w:nsid w:val="5B25ACE2"/>
    <w:multiLevelType w:val="hybridMultilevel"/>
    <w:lvl w:ilvl="0">
      <w:lvlJc w:val="left"/>
      <w:lvlText w:val="(%1)"/>
      <w:numFmt w:val="decimal"/>
      <w:start w:val="1"/>
    </w:lvl>
  </w:abstractNum>
  <w:abstractNum w:abstractNumId="55">
    <w:nsid w:val="175DFCF0"/>
    <w:multiLevelType w:val="hybridMultilevel"/>
    <w:lvl w:ilvl="0">
      <w:lvlJc w:val="left"/>
      <w:lvlText w:val="(%1)"/>
      <w:numFmt w:val="decimal"/>
      <w:start w:val="4"/>
    </w:lvl>
  </w:abstractNum>
  <w:abstractNum w:abstractNumId="56">
    <w:nsid w:val="4F97E3E4"/>
    <w:multiLevelType w:val="hybridMultilevel"/>
    <w:lvl w:ilvl="0">
      <w:lvlJc w:val="left"/>
      <w:lvlText w:val="(%1)"/>
      <w:numFmt w:val="decimal"/>
      <w:start w:val="5"/>
    </w:lvl>
  </w:abstractNum>
  <w:abstractNum w:abstractNumId="57">
    <w:nsid w:val="53B0A9E"/>
    <w:multiLevelType w:val="hybridMultilevel"/>
    <w:lvl w:ilvl="0">
      <w:lvlJc w:val="left"/>
      <w:lvlText w:val="(%1)"/>
      <w:numFmt w:val="decimal"/>
      <w:start w:val="1"/>
    </w:lvl>
  </w:abstractNum>
  <w:abstractNum w:abstractNumId="58">
    <w:nsid w:val="34FD6B4F"/>
    <w:multiLevelType w:val="hybridMultilevel"/>
    <w:lvl w:ilvl="0">
      <w:lvlJc w:val="left"/>
      <w:lvlText w:val="(%1)"/>
      <w:numFmt w:val="decimal"/>
      <w:start w:val="2"/>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decimal"/>
      <w:start w:val="1"/>
    </w:lvl>
  </w:abstractNum>
  <w:abstractNum w:abstractNumId="61">
    <w:nsid w:val="519E3149"/>
    <w:multiLevelType w:val="hybridMultilevel"/>
    <w:lvl w:ilvl="0">
      <w:lvlJc w:val="left"/>
      <w:lvlText w:val="(%1)"/>
      <w:numFmt w:val="lowerLetter"/>
      <w:start w:val="3"/>
    </w:lvl>
  </w:abstractNum>
  <w:abstractNum w:abstractNumId="62">
    <w:nsid w:val="2C6E4AFD"/>
    <w:multiLevelType w:val="hybridMultilevel"/>
    <w:lvl w:ilvl="0">
      <w:lvlJc w:val="left"/>
      <w:lvlText w:val="(%1)"/>
      <w:numFmt w:val="decimal"/>
      <w:start w:val="1"/>
    </w:lvl>
  </w:abstractNum>
  <w:abstractNum w:abstractNumId="63">
    <w:nsid w:val="17A1B582"/>
    <w:multiLevelType w:val="hybridMultilevel"/>
    <w:lvl w:ilvl="0">
      <w:lvlJc w:val="left"/>
      <w:lvlText w:val="(%1)"/>
      <w:numFmt w:val="lowerLetter"/>
      <w:start w:val="4"/>
    </w:lvl>
  </w:abstractNum>
  <w:abstractNum w:abstractNumId="64">
    <w:nsid w:val="4DF72E4E"/>
    <w:multiLevelType w:val="hybridMultilevel"/>
    <w:lvl w:ilvl="0">
      <w:lvlJc w:val="left"/>
      <w:lvlText w:val="(%1)"/>
      <w:numFmt w:val="lowerLetter"/>
      <w:start w:val="1"/>
    </w:lvl>
  </w:abstractNum>
  <w:abstractNum w:abstractNumId="65">
    <w:nsid w:val="5046B5A9"/>
    <w:multiLevelType w:val="hybridMultilevel"/>
    <w:lvl w:ilvl="0">
      <w:lvlJc w:val="left"/>
      <w:lvlText w:val="(%1)"/>
      <w:numFmt w:val="lowerLetter"/>
      <w:start w:val="6"/>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Letter"/>
      <w:start w:val="1"/>
    </w:lvl>
  </w:abstractNum>
  <w:abstractNum w:abstractNumId="68">
    <w:nsid w:val="5EC6AFD4"/>
    <w:multiLevelType w:val="hybridMultilevel"/>
    <w:lvl w:ilvl="0">
      <w:lvlJc w:val="left"/>
      <w:lvlText w:val="(%1)"/>
      <w:numFmt w:val="decimal"/>
      <w:start w:val="1"/>
    </w:lvl>
  </w:abstractNum>
  <w:abstractNum w:abstractNumId="69">
    <w:nsid w:val="19E21BB2"/>
    <w:multiLevelType w:val="hybridMultilevel"/>
    <w:lvl w:ilvl="0">
      <w:lvlJc w:val="left"/>
      <w:lvlText w:val="(%1)"/>
      <w:numFmt w:val="decimal"/>
      <w:start w:val="3"/>
    </w:lvl>
  </w:abstractNum>
  <w:abstractNum w:abstractNumId="70">
    <w:nsid w:val="75E0858A"/>
    <w:multiLevelType w:val="hybridMultilevel"/>
    <w:lvl w:ilvl="0">
      <w:lvlJc w:val="left"/>
      <w:lvlText w:val="(%1)"/>
      <w:numFmt w:val="lowerLetter"/>
      <w:start w:val="2"/>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decimal"/>
      <w:start w:val="1"/>
    </w:lvl>
  </w:abstractNum>
  <w:abstractNum w:abstractNumId="73">
    <w:nsid w:val="20EE1348"/>
    <w:multiLevelType w:val="hybridMultilevel"/>
    <w:lvl w:ilvl="0">
      <w:lvlJc w:val="left"/>
      <w:lvlText w:val="(%1)"/>
      <w:numFmt w:val="lowerLetter"/>
      <w:start w:val="2"/>
    </w:lvl>
  </w:abstractNum>
  <w:abstractNum w:abstractNumId="74">
    <w:nsid w:val="4427069A"/>
    <w:multiLevelType w:val="hybridMultilevel"/>
    <w:lvl w:ilvl="0">
      <w:lvlJc w:val="left"/>
      <w:lvlText w:val="(%1)"/>
      <w:numFmt w:val="lowerLetter"/>
      <w:start w:val="3"/>
    </w:lvl>
  </w:abstractNum>
  <w:abstractNum w:abstractNumId="75">
    <w:nsid w:val="B37E80A"/>
    <w:multiLevelType w:val="hybridMultilevel"/>
    <w:lvl w:ilvl="0">
      <w:lvlJc w:val="left"/>
      <w:lvlText w:val="(%1)"/>
      <w:numFmt w:val="lowerLetter"/>
      <w:start w:val="1"/>
    </w:lvl>
  </w:abstractNum>
  <w:abstractNum w:abstractNumId="76">
    <w:nsid w:val="2157F6BC"/>
    <w:multiLevelType w:val="hybridMultilevel"/>
    <w:lvl w:ilvl="0">
      <w:lvlJc w:val="left"/>
      <w:lvlText w:val="(%1)"/>
      <w:numFmt w:val="decimal"/>
      <w:start w:val="1"/>
    </w:lvl>
    <w:lvl w:ilvl="1">
      <w:lvlJc w:val="left"/>
      <w:lvlText w:val="(%2)"/>
      <w:numFmt w:val="upperLetter"/>
      <w:start w:val="1"/>
    </w:lvl>
  </w:abstractNum>
  <w:abstractNum w:abstractNumId="77">
    <w:nsid w:val="704E1DD5"/>
    <w:multiLevelType w:val="hybridMultilevel"/>
    <w:lvl w:ilvl="0">
      <w:lvlJc w:val="left"/>
      <w:lvlText w:val="(%1)"/>
      <w:numFmt w:val="decimal"/>
      <w:start w:val="3"/>
    </w:lvl>
  </w:abstractNum>
  <w:abstractNum w:abstractNumId="78">
    <w:nsid w:val="57D2F10E"/>
    <w:multiLevelType w:val="hybridMultilevel"/>
    <w:lvl w:ilvl="0">
      <w:lvlJc w:val="left"/>
      <w:lvlText w:val="(%1)"/>
      <w:numFmt w:val="lowerLetter"/>
      <w:start w:val="1"/>
    </w:lvl>
  </w:abstractNum>
  <w:abstractNum w:abstractNumId="79">
    <w:nsid w:val="BFFAE18"/>
    <w:multiLevelType w:val="hybridMultilevel"/>
    <w:lvl w:ilvl="0">
      <w:lvlJc w:val="left"/>
      <w:lvlText w:val="(%1)"/>
      <w:numFmt w:val="lowerLetter"/>
      <w:start w:val="3"/>
    </w:lvl>
  </w:abstractNum>
  <w:abstractNum w:abstractNumId="80">
    <w:nsid w:val="E3E47A8"/>
    <w:multiLevelType w:val="hybridMultilevel"/>
    <w:lvl w:ilvl="0">
      <w:lvlJc w:val="left"/>
      <w:lvlText w:val="(%1)"/>
      <w:numFmt w:val="lowerLetter"/>
      <w:start w:val="1"/>
    </w:lvl>
  </w:abstractNum>
  <w:abstractNum w:abstractNumId="81">
    <w:nsid w:val="2E48F044"/>
    <w:multiLevelType w:val="hybridMultilevel"/>
    <w:lvl w:ilvl="0">
      <w:lvlJc w:val="left"/>
      <w:lvlText w:val="(%1)"/>
      <w:numFmt w:val="decimal"/>
      <w:start w:val="1"/>
    </w:lvl>
  </w:abstractNum>
  <w:abstractNum w:abstractNumId="82">
    <w:nsid w:val="49D0FEAC"/>
    <w:multiLevelType w:val="hybridMultilevel"/>
    <w:lvl w:ilvl="0">
      <w:lvlJc w:val="left"/>
      <w:lvlText w:val="%1"/>
      <w:numFmt w:val="lowerLetter"/>
      <w:start w:val="1"/>
    </w:lvl>
    <w:lvl w:ilvl="1">
      <w:lvlJc w:val="left"/>
      <w:lvlText w:val="(%2)"/>
      <w:numFmt w:val="decimal"/>
      <w:start w:val="3"/>
    </w:lvl>
  </w:abstractNum>
  <w:abstractNum w:abstractNumId="83">
    <w:nsid w:val="4BEE5A5B"/>
    <w:multiLevelType w:val="hybridMultilevel"/>
    <w:lvl w:ilvl="0">
      <w:lvlJc w:val="left"/>
      <w:lvlText w:val="(%1)"/>
      <w:numFmt w:val="lowerLetter"/>
      <w:start w:val="1"/>
    </w:lvl>
    <w:lvl w:ilvl="1">
      <w:lvlJc w:val="left"/>
      <w:lvlText w:val="(%2)"/>
      <w:numFmt w:val="decimal"/>
      <w:start w:val="9"/>
    </w:lvl>
  </w:abstractNum>
  <w:abstractNum w:abstractNumId="84">
    <w:nsid w:val="5551B9F3"/>
    <w:multiLevelType w:val="hybridMultilevel"/>
    <w:lvl w:ilvl="0">
      <w:lvlJc w:val="left"/>
      <w:lvlText w:val="(%1)"/>
      <w:numFmt w:val="lowerLetter"/>
      <w:start w:val="1"/>
    </w:lvl>
  </w:abstractNum>
  <w:abstractNum w:abstractNumId="85">
    <w:nsid w:val="24F6AB8E"/>
    <w:multiLevelType w:val="hybridMultilevel"/>
    <w:lvl w:ilvl="0">
      <w:lvlJc w:val="left"/>
      <w:lvlText w:val="(%1)"/>
      <w:numFmt w:val="decimal"/>
      <w:start w:val="1"/>
    </w:lvl>
  </w:abstractNum>
  <w:abstractNum w:abstractNumId="86">
    <w:nsid w:val="634C574C"/>
    <w:multiLevelType w:val="hybridMultilevel"/>
    <w:lvl w:ilvl="0">
      <w:lvlJc w:val="left"/>
      <w:lvlText w:val="(%1)"/>
      <w:numFmt w:val="decimal"/>
      <w:start w:val="4"/>
    </w:lvl>
  </w:abstractNum>
  <w:abstractNum w:abstractNumId="87">
    <w:nsid w:val="24E99DD7"/>
    <w:multiLevelType w:val="hybridMultilevel"/>
    <w:lvl w:ilvl="0">
      <w:lvlJc w:val="left"/>
      <w:lvlText w:val="(%1)"/>
      <w:numFmt w:val="lowerLetter"/>
      <w:start w:val="1"/>
    </w:lvl>
  </w:abstractNum>
  <w:abstractNum w:abstractNumId="88">
    <w:nsid w:val="2A31B62D"/>
    <w:multiLevelType w:val="hybridMultilevel"/>
    <w:lvl w:ilvl="0">
      <w:lvlJc w:val="left"/>
      <w:lvlText w:val="(%1)"/>
      <w:numFmt w:val="lowerLetter"/>
      <w:start w:val="1"/>
    </w:lvl>
  </w:abstractNum>
  <w:abstractNum w:abstractNumId="89">
    <w:nsid w:val="1849C29B"/>
    <w:multiLevelType w:val="hybridMultilevel"/>
    <w:lvl w:ilvl="0">
      <w:lvlJc w:val="left"/>
      <w:lvlText w:val="(%1)"/>
      <w:numFmt w:val="lowerLetter"/>
      <w:start w:val="1"/>
    </w:lvl>
  </w:abstractNum>
  <w:abstractNum w:abstractNumId="90">
    <w:nsid w:val="7DFF9D09"/>
    <w:multiLevelType w:val="hybridMultilevel"/>
    <w:lvl w:ilvl="0">
      <w:lvlJc w:val="left"/>
      <w:lvlText w:val="(%1)"/>
      <w:numFmt w:val="lowerLetter"/>
      <w:start w:val="1"/>
    </w:lvl>
  </w:abstractNum>
  <w:abstractNum w:abstractNumId="91">
    <w:nsid w:val="754342"/>
    <w:multiLevelType w:val="hybridMultilevel"/>
    <w:lvl w:ilvl="0">
      <w:lvlJc w:val="left"/>
      <w:lvlText w:val="(%1)"/>
      <w:numFmt w:val="lowerLetter"/>
      <w:start w:val="3"/>
    </w:lvl>
  </w:abstractNum>
  <w:abstractNum w:abstractNumId="92">
    <w:nsid w:val="69E7F3E5"/>
    <w:multiLevelType w:val="hybridMultilevel"/>
    <w:lvl w:ilvl="0">
      <w:lvlJc w:val="left"/>
      <w:lvlText w:val="(%1)"/>
      <w:numFmt w:val="lowerLetter"/>
      <w:start w:val="1"/>
    </w:lvl>
  </w:abstractNum>
  <w:abstractNum w:abstractNumId="93">
    <w:nsid w:val="2A6DE806"/>
    <w:multiLevelType w:val="hybridMultilevel"/>
    <w:lvl w:ilvl="0">
      <w:lvlJc w:val="left"/>
      <w:lvlText w:val="(%1)"/>
      <w:numFmt w:val="lowerLetter"/>
      <w:start w:val="1"/>
    </w:lvl>
  </w:abstractNum>
  <w:abstractNum w:abstractNumId="94">
    <w:nsid w:val="1816F8C4"/>
    <w:multiLevelType w:val="hybridMultilevel"/>
    <w:lvl w:ilvl="0">
      <w:lvlJc w:val="left"/>
      <w:lvlText w:val="(%1)"/>
      <w:numFmt w:val="decimal"/>
      <w:start w:val="1"/>
    </w:lvl>
    <w:lvl w:ilvl="1">
      <w:lvlJc w:val="left"/>
      <w:lvlText w:val="(%2)"/>
      <w:numFmt w:val="lowerLetter"/>
      <w:start w:val="2"/>
    </w:lvl>
  </w:abstractNum>
  <w:abstractNum w:abstractNumId="95">
    <w:nsid w:val="37DF2233"/>
    <w:multiLevelType w:val="hybridMultilevel"/>
    <w:lvl w:ilvl="0">
      <w:lvlJc w:val="left"/>
      <w:lvlText w:val="(%1)"/>
      <w:numFmt w:val="lowerLetter"/>
      <w:start w:val="1"/>
    </w:lvl>
  </w:abstractNum>
  <w:abstractNum w:abstractNumId="96">
    <w:nsid w:val="7AB49DAF"/>
    <w:multiLevelType w:val="hybridMultilevel"/>
    <w:lvl w:ilvl="0">
      <w:lvlJc w:val="left"/>
      <w:lvlText w:val="(%1)"/>
      <w:numFmt w:val="decimal"/>
      <w:start w:val="1"/>
    </w:lvl>
  </w:abstractNum>
  <w:abstractNum w:abstractNumId="97">
    <w:nsid w:val="759F82C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98">
    <w:nsid w:val="61E74EA3"/>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99">
    <w:nsid w:val="597B4D84"/>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00">
    <w:nsid w:val="F819E7F"/>
    <w:multiLevelType w:val="hybridMultilevel"/>
    <w:lvl w:ilvl="0">
      <w:lvlJc w:val="left"/>
      <w:lvlText w:val="(%1)"/>
      <w:numFmt w:val="lowerLetter"/>
      <w:start w:val="1"/>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lowerLetter"/>
      <w:start w:val="2"/>
    </w:lvl>
  </w:abstractNum>
  <w:abstractNum w:abstractNumId="103">
    <w:nsid w:val="631B64D4"/>
    <w:multiLevelType w:val="hybridMultilevel"/>
    <w:lvl w:ilvl="0">
      <w:lvlJc w:val="left"/>
      <w:lvlText w:val="(%1)"/>
      <w:numFmt w:val="lowerLetter"/>
      <w:start w:val="6"/>
    </w:lvl>
  </w:abstractNum>
  <w:abstractNum w:abstractNumId="104">
    <w:nsid w:val="78B5E776"/>
    <w:multiLevelType w:val="hybridMultilevel"/>
    <w:lvl w:ilvl="0">
      <w:lvlJc w:val="left"/>
      <w:lvlText w:val="(%1)"/>
      <w:numFmt w:val="decimal"/>
      <w:start w:val="1"/>
    </w:lvl>
  </w:abstractNum>
  <w:abstractNum w:abstractNumId="105">
    <w:nsid w:val="75486E47"/>
    <w:multiLevelType w:val="hybridMultilevel"/>
    <w:lvl w:ilvl="0">
      <w:lvlJc w:val="left"/>
      <w:lvlText w:val="(%1)"/>
      <w:numFmt w:val="decimal"/>
      <w:start w:val="1"/>
    </w:lvl>
  </w:abstractNum>
  <w:abstractNum w:abstractNumId="106">
    <w:nsid w:val="6E534CDE"/>
    <w:multiLevelType w:val="hybridMultilevel"/>
    <w:lvl w:ilvl="0">
      <w:lvlJc w:val="left"/>
      <w:lvlText w:val="(%1)"/>
      <w:numFmt w:val="decimal"/>
      <w:start w:val="2"/>
    </w:lvl>
  </w:abstractNum>
  <w:abstractNum w:abstractNumId="107">
    <w:nsid w:val="1A0DDE32"/>
    <w:multiLevelType w:val="hybridMultilevel"/>
    <w:lvl w:ilvl="0">
      <w:lvlJc w:val="left"/>
      <w:lvlText w:val="(%1)"/>
      <w:numFmt w:val="lowerLetter"/>
      <w:start w:val="1"/>
    </w:lvl>
  </w:abstractNum>
  <w:abstractNum w:abstractNumId="108">
    <w:nsid w:val="65968C1C"/>
    <w:multiLevelType w:val="hybridMultilevel"/>
    <w:lvl w:ilvl="0">
      <w:lvlJc w:val="left"/>
      <w:lvlText w:val="(%1)"/>
      <w:numFmt w:val="lowerLetter"/>
      <w:start w:val="1"/>
    </w:lvl>
  </w:abstractNum>
  <w:abstractNum w:abstractNumId="109">
    <w:nsid w:val="46263DEC"/>
    <w:multiLevelType w:val="hybridMultilevel"/>
    <w:lvl w:ilvl="0">
      <w:lvlJc w:val="left"/>
      <w:lvlText w:val="(%1)"/>
      <w:numFmt w:val="lowerLetter"/>
      <w:start w:val="4"/>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Roman"/>
      <w:start w:val="1"/>
    </w:lvl>
  </w:abstractNum>
  <w:abstractNum w:abstractNumId="112">
    <w:nsid w:val="746F2E30"/>
    <w:multiLevelType w:val="hybridMultilevel"/>
    <w:lvl w:ilvl="0">
      <w:lvlJc w:val="left"/>
      <w:lvlText w:val="(%1)"/>
      <w:numFmt w:val="decimal"/>
      <w:start w:val="1"/>
    </w:lvl>
  </w:abstractNum>
  <w:abstractNum w:abstractNumId="113">
    <w:nsid w:val="6FDE8AF6"/>
    <w:multiLevelType w:val="hybridMultilevel"/>
    <w:lvl w:ilvl="0">
      <w:lvlJc w:val="left"/>
      <w:lvlText w:val="(%1)"/>
      <w:numFmt w:val="lowerLetter"/>
      <w:start w:val="2"/>
    </w:lvl>
  </w:abstractNum>
  <w:abstractNum w:abstractNumId="114">
    <w:nsid w:val="3FC32E20"/>
    <w:multiLevelType w:val="hybridMultilevel"/>
    <w:lvl w:ilvl="0">
      <w:lvlJc w:val="left"/>
      <w:lvlText w:val="(%1)"/>
      <w:numFmt w:val="lowerRoman"/>
      <w:start w:val="1"/>
    </w:lvl>
  </w:abstractNum>
  <w:abstractNum w:abstractNumId="115">
    <w:nsid w:val="49C0E823"/>
    <w:multiLevelType w:val="hybridMultilevel"/>
    <w:lvl w:ilvl="0">
      <w:lvlJc w:val="left"/>
      <w:lvlText w:val="(%1)"/>
      <w:numFmt w:val="lowerLetter"/>
      <w:start w:val="3"/>
    </w:lvl>
  </w:abstractNum>
  <w:abstractNum w:abstractNumId="116">
    <w:nsid w:val="14D53685"/>
    <w:multiLevelType w:val="hybridMultilevel"/>
    <w:lvl w:ilvl="0">
      <w:lvlJc w:val="left"/>
      <w:lvlText w:val="(%1)"/>
      <w:numFmt w:val="lowerRoman"/>
      <w:start w:val="1"/>
    </w:lvl>
  </w:abstractNum>
  <w:abstractNum w:abstractNumId="117">
    <w:nsid w:val="230F856C"/>
    <w:multiLevelType w:val="hybridMultilevel"/>
    <w:lvl w:ilvl="0">
      <w:lvlJc w:val="left"/>
      <w:lvlText w:val="(%1)"/>
      <w:numFmt w:val="lowerLetter"/>
      <w:start w:val="4"/>
    </w:lvl>
  </w:abstractNum>
  <w:abstractNum w:abstractNumId="118">
    <w:nsid w:val="6EAA85FB"/>
    <w:multiLevelType w:val="hybridMultilevel"/>
    <w:lvl w:ilvl="0">
      <w:lvlJc w:val="left"/>
      <w:lvlText w:val="(%1)"/>
      <w:numFmt w:val="lowerRoman"/>
      <w:start w:val="1"/>
    </w:lvl>
  </w:abstractNum>
  <w:abstractNum w:abstractNumId="119">
    <w:nsid w:val="3F06ECB2"/>
    <w:multiLevelType w:val="hybridMultilevel"/>
    <w:lvl w:ilvl="0">
      <w:lvlJc w:val="left"/>
      <w:lvlText w:val="(%1)"/>
      <w:numFmt w:val="lowerRoman"/>
      <w:start w:val="3"/>
    </w:lvl>
  </w:abstractNum>
  <w:abstractNum w:abstractNumId="120">
    <w:nsid w:val="3B594807"/>
    <w:multiLevelType w:val="hybridMultilevel"/>
    <w:lvl w:ilvl="0">
      <w:lvlJc w:val="left"/>
      <w:lvlText w:val="(%1)"/>
      <w:numFmt w:val="lowerLetter"/>
      <w:start w:val="5"/>
    </w:lvl>
  </w:abstractNum>
  <w:abstractNum w:abstractNumId="121">
    <w:nsid w:val="6CAA2304"/>
    <w:multiLevelType w:val="hybridMultilevel"/>
    <w:lvl w:ilvl="0">
      <w:lvlJc w:val="left"/>
      <w:lvlText w:val="(%1)"/>
      <w:numFmt w:val="lowerRoman"/>
      <w:start w:val="1"/>
    </w:lvl>
  </w:abstractNum>
  <w:abstractNum w:abstractNumId="122">
    <w:nsid w:val="3F7C2FF4"/>
    <w:multiLevelType w:val="hybridMultilevel"/>
    <w:lvl w:ilvl="0">
      <w:lvlJc w:val="left"/>
      <w:lvlText w:val="(%1)"/>
      <w:numFmt w:val="decimal"/>
      <w:start w:val="3"/>
    </w:lvl>
    <w:lvl w:ilvl="1">
      <w:lvlJc w:val="left"/>
      <w:lvlText w:val="(%2)"/>
      <w:numFmt w:val="lowerRoman"/>
      <w:start w:val="2"/>
    </w:lvl>
  </w:abstractNum>
  <w:abstractNum w:abstractNumId="123">
    <w:nsid w:val="25413BEC"/>
    <w:multiLevelType w:val="hybridMultilevel"/>
    <w:lvl w:ilvl="0">
      <w:lvlJc w:val="left"/>
      <w:lvlText w:val="(%1)"/>
      <w:numFmt w:val="lowerRoman"/>
      <w:start w:val="3"/>
    </w:lvl>
  </w:abstractNum>
  <w:abstractNum w:abstractNumId="124">
    <w:nsid w:val="17180B0B"/>
    <w:multiLevelType w:val="hybridMultilevel"/>
    <w:lvl w:ilvl="0">
      <w:lvlJc w:val="left"/>
      <w:lvlText w:val="(%1)"/>
      <w:numFmt w:val="lowerLetter"/>
      <w:start w:val="6"/>
    </w:lvl>
  </w:abstractNum>
  <w:abstractNum w:abstractNumId="125">
    <w:nsid w:val="579328B9"/>
    <w:multiLevelType w:val="hybridMultilevel"/>
    <w:lvl w:ilvl="0">
      <w:lvlJc w:val="left"/>
      <w:lvlText w:val="(%1)"/>
      <w:numFmt w:val="lowerRoman"/>
      <w:start w:val="1"/>
    </w:lvl>
  </w:abstractNum>
  <w:abstractNum w:abstractNumId="126">
    <w:nsid w:val="5D205E20"/>
    <w:multiLevelType w:val="hybridMultilevel"/>
    <w:lvl w:ilvl="0">
      <w:lvlJc w:val="left"/>
      <w:lvlText w:val="(%1)"/>
      <w:numFmt w:val="lowerLetter"/>
      <w:start w:val="8"/>
    </w:lvl>
  </w:abstractNum>
  <w:abstractNum w:abstractNumId="127">
    <w:nsid w:val="11CCA8BA"/>
    <w:multiLevelType w:val="hybridMultilevel"/>
    <w:lvl w:ilvl="0">
      <w:lvlJc w:val="left"/>
      <w:lvlText w:val="(%1)"/>
      <w:numFmt w:val="lowerRoman"/>
      <w:start w:val="2"/>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1)"/>
      <w:numFmt w:val="lowerLetter"/>
      <w:start w:val="4"/>
    </w:lvl>
  </w:abstractNum>
  <w:abstractNum w:abstractNumId="130">
    <w:nsid w:val="6B47F63E"/>
    <w:multiLevelType w:val="hybridMultilevel"/>
    <w:lvl w:ilvl="0">
      <w:lvlJc w:val="left"/>
      <w:lvlText w:val="%1."/>
      <w:numFmt w:val="decimal"/>
      <w:start w:val="1"/>
    </w:lvl>
  </w:abstractNum>
  <w:abstractNum w:abstractNumId="131">
    <w:nsid w:val="5CB44A05"/>
    <w:multiLevelType w:val="hybridMultilevel"/>
    <w:lvl w:ilvl="0">
      <w:lvlJc w:val="left"/>
      <w:lvlText w:val="%1."/>
      <w:numFmt w:val="decimal"/>
      <w:start w:val="5"/>
    </w:lvl>
  </w:abstractNum>
  <w:abstractNum w:abstractNumId="132">
    <w:nsid w:val="16CF80F1"/>
    <w:multiLevelType w:val="hybridMultilevel"/>
    <w:lvl w:ilvl="0">
      <w:lvlJc w:val="left"/>
      <w:lvlText w:val="(%1)"/>
      <w:numFmt w:val="upperLetter"/>
      <w:start w:val="9"/>
    </w:lvl>
  </w:abstractNum>
  <w:abstractNum w:abstractNumId="133">
    <w:nsid w:val="1C695DEC"/>
    <w:multiLevelType w:val="hybridMultilevel"/>
    <w:lvl w:ilvl="0">
      <w:lvlJc w:val="left"/>
      <w:lvlText w:val="£"/>
      <w:numFmt w:val="bullet"/>
      <w:start w:val="1"/>
    </w:lvl>
  </w:abstractNum>
  <w:abstractNum w:abstractNumId="134">
    <w:nsid w:val="3FCFAED9"/>
    <w:multiLevelType w:val="hybridMultilevel"/>
    <w:lvl w:ilvl="0">
      <w:lvlJc w:val="left"/>
      <w:lvlText w:val="(%1)"/>
      <w:numFmt w:val="decimal"/>
      <w:start w:val="1"/>
    </w:lvl>
  </w:abstractNum>
  <w:abstractNum w:abstractNumId="135">
    <w:nsid w:val="F856867"/>
    <w:multiLevelType w:val="hybridMultilevel"/>
    <w:lvl w:ilvl="0">
      <w:lvlJc w:val="left"/>
      <w:lvlText w:val="£"/>
      <w:numFmt w:val="bullet"/>
      <w:start w:val="1"/>
    </w:lvl>
  </w:abstractNum>
  <w:abstractNum w:abstractNumId="136">
    <w:nsid w:val="11B1CC33"/>
    <w:multiLevelType w:val="hybridMultilevel"/>
    <w:lvl w:ilvl="0">
      <w:lvlJc w:val="left"/>
      <w:lvlText w:val="%1."/>
      <w:numFmt w:val="decimal"/>
      <w:start w:val="1"/>
    </w:lvl>
  </w:abstractNum>
  <w:abstractNum w:abstractNumId="137">
    <w:nsid w:val="2E22FBB7"/>
    <w:multiLevelType w:val="hybridMultilevel"/>
    <w:lvl w:ilvl="0">
      <w:lvlJc w:val="left"/>
      <w:lvlText w:val="%1."/>
      <w:numFmt w:val="decimal"/>
      <w:start w:val="6"/>
    </w:lvl>
  </w:abstractNum>
  <w:abstractNum w:abstractNumId="138">
    <w:nsid w:val="29934699"/>
    <w:multiLevelType w:val="hybridMultilevel"/>
    <w:lvl w:ilvl="0">
      <w:lvlJc w:val="left"/>
      <w:lvlText w:val="%1."/>
      <w:numFmt w:val="decimal"/>
      <w:start w:val="1"/>
    </w:lvl>
  </w:abstractNum>
  <w:abstractNum w:abstractNumId="139">
    <w:nsid w:val="77485850"/>
    <w:multiLevelType w:val="hybridMultilevel"/>
    <w:lvl w:ilvl="0">
      <w:lvlJc w:val="left"/>
      <w:lvlText w:val="%1."/>
      <w:numFmt w:val="decimal"/>
      <w:start w:val="2"/>
    </w:lvl>
  </w:abstractNum>
  <w:abstractNum w:abstractNumId="140">
    <w:nsid w:val="744939A3"/>
    <w:multiLevelType w:val="hybridMultilevel"/>
    <w:lvl w:ilvl="0">
      <w:lvlJc w:val="left"/>
      <w:lvlText w:val="(%1)"/>
      <w:numFmt w:val="lowerLetter"/>
      <w:start w:val="1"/>
    </w:lvl>
  </w:abstractNum>
  <w:abstractNum w:abstractNumId="141">
    <w:nsid w:val="4FA0D2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6B1D2C1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3">
    <w:nsid w:val="68B867D3"/>
    <w:multiLevelType w:val="hybridMultilevel"/>
    <w:lvl w:ilvl="0">
      <w:lvlJc w:val="left"/>
      <w:lvlText w:val="(%1)"/>
      <w:numFmt w:val="lowerLetter"/>
      <w:start w:val="7"/>
    </w:lvl>
  </w:abstractNum>
  <w:abstractNum w:abstractNumId="144">
    <w:nsid w:val="3F7F5DD9"/>
    <w:multiLevelType w:val="hybridMultilevel"/>
    <w:lvl w:ilvl="0">
      <w:lvlJc w:val="left"/>
      <w:lvlText w:val="%1."/>
      <w:numFmt w:val="decimal"/>
      <w:start w:val="3"/>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lowerLetter"/>
      <w:start w:val="2"/>
    </w:lvl>
  </w:abstractNum>
  <w:abstractNum w:abstractNumId="147">
    <w:nsid w:val="5454945E"/>
    <w:multiLevelType w:val="hybridMultilevel"/>
    <w:lvl w:ilvl="0">
      <w:lvlJc w:val="left"/>
      <w:lvlText w:val="(%1)"/>
      <w:numFmt w:val="lowerLetter"/>
      <w:start w:val="5"/>
    </w:lvl>
  </w:abstractNum>
  <w:abstractNum w:abstractNumId="148">
    <w:nsid w:val="4DEFDFA0"/>
    <w:multiLevelType w:val="hybridMultilevel"/>
    <w:lvl w:ilvl="0">
      <w:lvlJc w:val="left"/>
      <w:lvlText w:val="(%1)"/>
      <w:numFmt w:val="lowerLetter"/>
      <w:start w:val="8"/>
    </w:lvl>
  </w:abstractNum>
  <w:abstractNum w:abstractNumId="149">
    <w:nsid w:val="2123D5F2"/>
    <w:multiLevelType w:val="hybridMultilevel"/>
    <w:lvl w:ilvl="0">
      <w:lvlJc w:val="left"/>
      <w:lvlText w:val="(%1)"/>
      <w:numFmt w:val="lowerLetter"/>
      <w:start w:val="13"/>
    </w:lvl>
  </w:abstractNum>
  <w:abstractNum w:abstractNumId="150">
    <w:nsid w:val="135B8110"/>
    <w:multiLevelType w:val="hybridMultilevel"/>
    <w:lvl w:ilvl="0">
      <w:lvlJc w:val="left"/>
      <w:lvlText w:val="(%1)"/>
      <w:numFmt w:val="lowerLetter"/>
      <w:start w:val="16"/>
    </w:lvl>
  </w:abstractNum>
  <w:abstractNum w:abstractNumId="151">
    <w:nsid w:val="94927A8"/>
    <w:multiLevelType w:val="hybridMultilevel"/>
    <w:lvl w:ilvl="0">
      <w:lvlJc w:val="left"/>
      <w:lvlText w:val="(%1)"/>
      <w:numFmt w:val="lowerLetter"/>
      <w:start w:val="21"/>
    </w:lvl>
  </w:abstractNum>
  <w:abstractNum w:abstractNumId="152">
    <w:nsid w:val="DCDF8F6"/>
    <w:multiLevelType w:val="hybridMultilevel"/>
    <w:lvl w:ilvl="0">
      <w:lvlJc w:val="left"/>
      <w:lvlText w:val="(%1)"/>
      <w:numFmt w:val="lowerLetter"/>
      <w:start w:val="25"/>
    </w:lvl>
  </w:abstractNum>
  <w:abstractNum w:abstractNumId="153">
    <w:nsid w:val="52D7B105"/>
    <w:multiLevelType w:val="hybridMultilevel"/>
    <w:lvl w:ilvl="0">
      <w:lvlJc w:val="left"/>
      <w:lvlText w:val="(%1)"/>
      <w:numFmt w:val="lowerLetter"/>
      <w:start w:val="27"/>
    </w:lvl>
  </w:abstractNum>
  <w:abstractNum w:abstractNumId="154">
    <w:nsid w:val="2E8A6394"/>
    <w:multiLevelType w:val="hybridMultilevel"/>
    <w:lvl w:ilvl="0">
      <w:lvlJc w:val="left"/>
      <w:lvlText w:val="(%1)"/>
      <w:numFmt w:val="lowerLetter"/>
      <w:start w:val="28"/>
    </w:lvl>
  </w:abstractNum>
  <w:abstractNum w:abstractNumId="155">
    <w:nsid w:val="24E60401"/>
    <w:multiLevelType w:val="hybridMultilevel"/>
    <w:lvl w:ilvl="0">
      <w:lvlJc w:val="left"/>
      <w:lvlText w:val="(%1)"/>
      <w:numFmt w:val="lowerLetter"/>
      <w:start w:val="31"/>
    </w:lvl>
  </w:abstractNum>
  <w:abstractNum w:abstractNumId="156">
    <w:nsid w:val="2A6AD9BE"/>
    <w:multiLevelType w:val="hybridMultilevel"/>
    <w:lvl w:ilvl="0">
      <w:lvlJc w:val="left"/>
      <w:lvlText w:val="(%1)"/>
      <w:numFmt w:val="lowerLetter"/>
      <w:start w:val="34"/>
    </w:lvl>
  </w:abstractNum>
  <w:abstractNum w:abstractNumId="157">
    <w:nsid w:val="BAAC1B4"/>
    <w:multiLevelType w:val="hybridMultilevel"/>
    <w:lvl w:ilvl="0">
      <w:lvlJc w:val="left"/>
      <w:lvlText w:val="(%1)"/>
      <w:numFmt w:val="lowerLetter"/>
      <w:start w:val="36"/>
    </w:lvl>
  </w:abstractNum>
  <w:abstractNum w:abstractNumId="158">
    <w:nsid w:val="36B2ACBC"/>
    <w:multiLevelType w:val="hybridMultilevel"/>
    <w:lvl w:ilvl="0">
      <w:lvlJc w:val="left"/>
      <w:lvlText w:val="(%1)"/>
      <w:numFmt w:val="lowerLetter"/>
      <w:start w:val="41"/>
    </w:lvl>
  </w:abstractNum>
  <w:abstractNum w:abstractNumId="159">
    <w:nsid w:val="779D8544"/>
    <w:multiLevelType w:val="hybridMultilevel"/>
    <w:lvl w:ilvl="0">
      <w:lvlJc w:val="left"/>
      <w:lvlText w:val="%1."/>
      <w:numFmt w:val="decimal"/>
      <w:start w:val="4"/>
    </w:lvl>
  </w:abstractNum>
  <w:abstractNum w:abstractNumId="160">
    <w:nsid w:val="4AB26E78"/>
    <w:multiLevelType w:val="hybridMultilevel"/>
    <w:lvl w:ilvl="0">
      <w:lvlJc w:val="left"/>
      <w:lvlText w:val="(%1)"/>
      <w:numFmt w:val="lowerLetter"/>
      <w:start w:val="1"/>
    </w:lvl>
  </w:abstractNum>
  <w:abstractNum w:abstractNumId="161">
    <w:nsid w:val="21FAA2FA"/>
    <w:multiLevelType w:val="hybridMultilevel"/>
    <w:lvl w:ilvl="0">
      <w:lvlJc w:val="left"/>
      <w:lvlText w:val="(%1)"/>
      <w:numFmt w:val="lowerLetter"/>
      <w:start w:val="3"/>
    </w:lvl>
  </w:abstractNum>
  <w:abstractNum w:abstractNumId="162">
    <w:nsid w:val="5451CF49"/>
    <w:multiLevelType w:val="hybridMultilevel"/>
    <w:lvl w:ilvl="0">
      <w:lvlJc w:val="left"/>
      <w:lvlText w:val="(%1)"/>
      <w:numFmt w:val="lowerLetter"/>
      <w:start w:val="6"/>
    </w:lvl>
  </w:abstractNum>
  <w:abstractNum w:abstractNumId="163">
    <w:nsid w:val="6181EF69"/>
    <w:multiLevelType w:val="hybridMultilevel"/>
    <w:lvl w:ilvl="0">
      <w:lvlJc w:val="left"/>
      <w:lvlText w:val="%1"/>
      <w:numFmt w:val="decimal"/>
      <w:start w:val="1"/>
    </w:lvl>
    <w:lvl w:ilvl="1">
      <w:lvlJc w:val="left"/>
      <w:lvlText w:val="(%2)"/>
      <w:numFmt w:val="lowerLetter"/>
      <w:start w:val="10"/>
    </w:lvl>
  </w:abstractNum>
  <w:abstractNum w:abstractNumId="164">
    <w:nsid w:val="3E6400E6"/>
    <w:multiLevelType w:val="hybridMultilevel"/>
    <w:lvl w:ilvl="0">
      <w:lvlJc w:val="left"/>
      <w:lvlText w:val="(%1)"/>
      <w:numFmt w:val="decimal"/>
      <w:start w:val="3"/>
    </w:lvl>
    <w:lvl w:ilvl="1">
      <w:lvlJc w:val="left"/>
      <w:lvlText w:val="(%2)"/>
      <w:numFmt w:val="lowerLetter"/>
      <w:start w:val="11"/>
    </w:lvl>
  </w:abstractNum>
  <w:abstractNum w:abstractNumId="165">
    <w:nsid w:val="14217E23"/>
    <w:multiLevelType w:val="hybridMultilevel"/>
    <w:lvl w:ilvl="0">
      <w:lvlJc w:val="left"/>
      <w:lvlText w:val="%1."/>
      <w:numFmt w:val="decimal"/>
      <w:start w:val="5"/>
    </w:lvl>
  </w:abstractNum>
  <w:abstractNum w:abstractNumId="166">
    <w:nsid w:val="710757D0"/>
    <w:multiLevelType w:val="hybridMultilevel"/>
    <w:lvl w:ilvl="0">
      <w:lvlJc w:val="left"/>
      <w:lvlText w:val="%1."/>
      <w:numFmt w:val="decimal"/>
      <w:start w:val="6"/>
    </w:lvl>
  </w:abstractNum>
  <w:abstractNum w:abstractNumId="167">
    <w:nsid w:val="5015CD1A"/>
    <w:multiLevelType w:val="hybridMultilevel"/>
    <w:lvl w:ilvl="0">
      <w:lvlJc w:val="left"/>
      <w:lvlText w:val="%1"/>
      <w:numFmt w:val="decimal"/>
      <w:start w:val="1"/>
    </w:lvl>
    <w:lvl w:ilvl="1">
      <w:lvlJc w:val="left"/>
      <w:lvlText w:val="(%2)"/>
      <w:numFmt w:val="lowerLetter"/>
      <w:start w:val="1"/>
    </w:lvl>
  </w:abstractNum>
  <w:abstractNum w:abstractNumId="168">
    <w:nsid w:val="424479DA"/>
    <w:multiLevelType w:val="hybridMultilevel"/>
    <w:lvl w:ilvl="0">
      <w:lvlJc w:val="left"/>
      <w:lvlText w:val="(%1)"/>
      <w:numFmt w:val="decimal"/>
      <w:start w:val="62"/>
    </w:lvl>
    <w:lvl w:ilvl="1">
      <w:lvlJc w:val="left"/>
      <w:lvlText w:val="(%2)"/>
      <w:numFmt w:val="lowerLetter"/>
      <w:start w:val="3"/>
    </w:lvl>
  </w:abstractNum>
  <w:abstractNum w:abstractNumId="169">
    <w:nsid w:val="1A9A9E69"/>
    <w:multiLevelType w:val="hybridMultilevel"/>
    <w:lvl w:ilvl="0">
      <w:lvlJc w:val="left"/>
      <w:lvlText w:val="(%1)"/>
      <w:numFmt w:val="lowerLetter"/>
      <w:start w:val="5"/>
    </w:lvl>
  </w:abstractNum>
  <w:abstractNum w:abstractNumId="170">
    <w:nsid w:val="475E256A"/>
    <w:multiLevelType w:val="hybridMultilevel"/>
    <w:lvl w:ilvl="0">
      <w:lvlJc w:val="left"/>
      <w:lvlText w:val="(%1)"/>
      <w:numFmt w:val="lowerLetter"/>
      <w:start w:val="10"/>
    </w:lvl>
  </w:abstractNum>
  <w:abstractNum w:abstractNumId="171">
    <w:nsid w:val="368DB37E"/>
    <w:multiLevelType w:val="hybridMultilevel"/>
    <w:lvl w:ilvl="0">
      <w:lvlJc w:val="left"/>
      <w:lvlText w:val="%1."/>
      <w:numFmt w:val="decimal"/>
      <w:start w:val="7"/>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lowerLetter"/>
      <w:start w:val="2"/>
    </w:lvl>
  </w:abstractNum>
  <w:abstractNum w:abstractNumId="174">
    <w:nsid w:val="1F461B51"/>
    <w:multiLevelType w:val="hybridMultilevel"/>
    <w:lvl w:ilvl="0">
      <w:lvlJc w:val="left"/>
      <w:lvlText w:val="(%1)"/>
      <w:numFmt w:val="lowerLetter"/>
      <w:start w:val="4"/>
    </w:lvl>
  </w:abstractNum>
  <w:abstractNum w:abstractNumId="175">
    <w:nsid w:val="29BACF25"/>
    <w:multiLevelType w:val="hybridMultilevel"/>
    <w:lvl w:ilvl="0">
      <w:lvlJc w:val="left"/>
      <w:lvlText w:val="(%1)"/>
      <w:numFmt w:val="lowerLetter"/>
      <w:start w:val="5"/>
    </w:lvl>
  </w:abstractNum>
  <w:abstractNum w:abstractNumId="176">
    <w:nsid w:val="5D5BABB3"/>
    <w:multiLevelType w:val="hybridMultilevel"/>
    <w:lvl w:ilvl="0">
      <w:lvlJc w:val="left"/>
      <w:lvlText w:val="%1."/>
      <w:numFmt w:val="decimal"/>
      <w:start w:val="8"/>
    </w:lvl>
  </w:abstractNum>
  <w:abstractNum w:abstractNumId="177">
    <w:nsid w:val="51BF6B48"/>
    <w:multiLevelType w:val="hybridMultilevel"/>
    <w:lvl w:ilvl="0">
      <w:lvlJc w:val="left"/>
      <w:lvlText w:val="%1."/>
      <w:numFmt w:val="decimal"/>
      <w:start w:val="10"/>
    </w:lvl>
  </w:abstractNum>
  <w:abstractNum w:abstractNumId="178">
    <w:nsid w:val="7E0F6384"/>
    <w:multiLevelType w:val="hybridMultilevel"/>
    <w:lvl w:ilvl="0">
      <w:lvlJc w:val="left"/>
      <w:lvlText w:val="(%1)"/>
      <w:numFmt w:val="lowerLetter"/>
      <w:start w:val="1"/>
    </w:lvl>
  </w:abstractNum>
  <w:abstractNum w:abstractNumId="179">
    <w:nsid w:val="2B4B8B53"/>
    <w:multiLevelType w:val="hybridMultilevel"/>
    <w:lvl w:ilvl="0">
      <w:lvlJc w:val="left"/>
      <w:lvlText w:val="(%1)"/>
      <w:numFmt w:val="lowerLetter"/>
      <w:start w:val="3"/>
    </w:lvl>
  </w:abstractNum>
  <w:abstractNum w:abstractNumId="180">
    <w:nsid w:val="72E3413A"/>
    <w:multiLevelType w:val="hybridMultilevel"/>
    <w:lvl w:ilvl="0">
      <w:lvlJc w:val="left"/>
      <w:lvlText w:val="%1."/>
      <w:numFmt w:val="decimal"/>
      <w:start w:val="11"/>
    </w:lvl>
  </w:abstractNum>
  <w:abstractNum w:abstractNumId="181">
    <w:nsid w:val="116AE494"/>
    <w:multiLevelType w:val="hybridMultilevel"/>
    <w:lvl w:ilvl="0">
      <w:lvlJc w:val="left"/>
      <w:lvlText w:val="%1"/>
      <w:numFmt w:val="lowerRoman"/>
      <w:start w:val="1"/>
    </w:lvl>
    <w:lvl w:ilvl="1">
      <w:lvlJc w:val="left"/>
      <w:lvlText w:val="(%2)"/>
      <w:numFmt w:val="lowerLetter"/>
      <w:start w:val="1"/>
    </w:lvl>
  </w:abstractNum>
  <w:abstractNum w:abstractNumId="182">
    <w:nsid w:val="3494B2FB"/>
    <w:multiLevelType w:val="hybridMultilevel"/>
    <w:lvl w:ilvl="0">
      <w:lvlJc w:val="left"/>
      <w:lvlText w:val="(%1)"/>
      <w:numFmt w:val="lowerRoman"/>
      <w:start w:val="7"/>
    </w:lvl>
    <w:lvl w:ilvl="1">
      <w:lvlJc w:val="left"/>
      <w:lvlText w:val="%2"/>
      <w:numFmt w:val="lowerLetter"/>
      <w:start w:val="1"/>
    </w:lvl>
  </w:abstractNum>
  <w:abstractNum w:abstractNumId="183">
    <w:nsid w:val="B13A31"/>
    <w:multiLevelType w:val="hybridMultilevel"/>
    <w:lvl w:ilvl="0">
      <w:lvlJc w:val="left"/>
      <w:lvlText w:val="(%1)"/>
      <w:numFmt w:val="lowerLetter"/>
      <w:start w:val="2"/>
    </w:lvl>
  </w:abstractNum>
  <w:abstractNum w:abstractNumId="184">
    <w:nsid w:val="64429599"/>
    <w:multiLevelType w:val="hybridMultilevel"/>
    <w:lvl w:ilvl="0">
      <w:lvlJc w:val="left"/>
      <w:lvlText w:val="%1."/>
      <w:numFmt w:val="decimal"/>
      <w:start w:val="12"/>
    </w:lvl>
  </w:abstractNum>
  <w:abstractNum w:abstractNumId="185">
    <w:nsid w:val="631F1690"/>
    <w:multiLevelType w:val="hybridMultilevel"/>
    <w:lvl w:ilvl="0">
      <w:lvlJc w:val="left"/>
      <w:lvlText w:val="(%1)"/>
      <w:numFmt w:val="lowerLetter"/>
      <w:start w:val="1"/>
    </w:lvl>
  </w:abstractNum>
  <w:abstractNum w:abstractNumId="186">
    <w:nsid w:val="25973E32"/>
    <w:multiLevelType w:val="hybridMultilevel"/>
    <w:lvl w:ilvl="0">
      <w:lvlJc w:val="left"/>
      <w:lvlText w:val="%1."/>
      <w:numFmt w:val="decimal"/>
      <w:start w:val="1"/>
    </w:lvl>
  </w:abstractNum>
  <w:abstractNum w:abstractNumId="187">
    <w:nsid w:val="EAD6F57"/>
    <w:multiLevelType w:val="hybridMultilevel"/>
    <w:lvl w:ilvl="0">
      <w:lvlJc w:val="left"/>
      <w:lvlText w:val="(%1)"/>
      <w:numFmt w:val="lowerLetter"/>
      <w:start w:val="1"/>
    </w:lvl>
    <w:lvl w:ilvl="1">
      <w:lvlJc w:val="left"/>
      <w:lvlText w:val="(%2)"/>
      <w:numFmt w:val="lowerRoman"/>
      <w:start w:val="1"/>
    </w:lvl>
  </w:abstractNum>
  <w:abstractNum w:abstractNumId="188">
    <w:nsid w:val="6EC9D844"/>
    <w:multiLevelType w:val="hybridMultilevel"/>
    <w:lvl w:ilvl="0">
      <w:lvlJc w:val="left"/>
      <w:lvlText w:val="(%1)"/>
      <w:numFmt w:val="lowerRoman"/>
      <w:start w:val="4"/>
    </w:lvl>
  </w:abstractNum>
  <w:abstractNum w:abstractNumId="189">
    <w:nsid w:val="5C49EAE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2019-12-28T21:46:20Z</dcterms:created>
  <dcterms:modified xsi:type="dcterms:W3CDTF">2019-12-28T21:46:20Z</dcterms:modified>
</cp:coreProperties>
</file>