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209550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5, 2022</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04"/>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7"/>
                <w:szCs w:val="17"/>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7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49"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5.07 Submission of Matters to a Vote of Security Holders</w:t>
      </w:r>
    </w:p>
    <w:p>
      <w:pPr>
        <w:spacing w:after="0" w:line="200" w:lineRule="exact"/>
        <w:rPr>
          <w:sz w:val="20"/>
          <w:szCs w:val="20"/>
          <w:color w:val="auto"/>
        </w:rPr>
      </w:pPr>
    </w:p>
    <w:p>
      <w:pPr>
        <w:spacing w:after="0" w:line="209" w:lineRule="exact"/>
        <w:rPr>
          <w:sz w:val="20"/>
          <w:szCs w:val="20"/>
          <w:color w:val="auto"/>
        </w:rPr>
      </w:pPr>
    </w:p>
    <w:p>
      <w:pPr>
        <w:ind w:right="240" w:firstLine="200"/>
        <w:spacing w:after="0" w:line="235" w:lineRule="auto"/>
        <w:rPr>
          <w:sz w:val="20"/>
          <w:szCs w:val="20"/>
          <w:color w:val="auto"/>
        </w:rPr>
      </w:pPr>
      <w:r>
        <w:rPr>
          <w:rFonts w:ascii="Arial" w:cs="Arial" w:eastAsia="Arial" w:hAnsi="Arial"/>
          <w:sz w:val="18"/>
          <w:szCs w:val="18"/>
          <w:color w:val="auto"/>
        </w:rPr>
        <w:t>On May 5, 2022, Graham Holdings Company held its Annual Meeting of Stockholders. The following is a summary of the final voting results for each matter presented to stockholders.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stockholders elected the nine persons nominated as Directors of the Company as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60" w:type="dxa"/>
            <w:vAlign w:val="bottom"/>
          </w:tcPr>
          <w:p>
            <w:pPr>
              <w:spacing w:after="0"/>
              <w:rPr>
                <w:sz w:val="20"/>
                <w:szCs w:val="20"/>
                <w:color w:val="auto"/>
              </w:rPr>
            </w:pPr>
            <w:r>
              <w:rPr>
                <w:rFonts w:ascii="Arial" w:cs="Arial" w:eastAsia="Arial" w:hAnsi="Arial"/>
                <w:sz w:val="18"/>
                <w:szCs w:val="18"/>
                <w:color w:val="auto"/>
              </w:rPr>
              <w:t>Class A Common Stock Nominees</w:t>
            </w:r>
          </w:p>
        </w:tc>
        <w:tc>
          <w:tcPr>
            <w:tcW w:w="1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8"/>
        </w:trPr>
        <w:tc>
          <w:tcPr>
            <w:tcW w:w="3260" w:type="dxa"/>
            <w:vAlign w:val="bottom"/>
          </w:tcPr>
          <w:p>
            <w:pPr>
              <w:spacing w:after="0"/>
              <w:rPr>
                <w:sz w:val="24"/>
                <w:szCs w:val="24"/>
                <w:color w:val="auto"/>
              </w:rPr>
            </w:pPr>
          </w:p>
        </w:tc>
        <w:tc>
          <w:tcPr>
            <w:tcW w:w="1920" w:type="dxa"/>
            <w:vAlign w:val="bottom"/>
          </w:tcPr>
          <w:p>
            <w:pPr>
              <w:ind w:left="760"/>
              <w:spacing w:after="0"/>
              <w:rPr>
                <w:sz w:val="20"/>
                <w:szCs w:val="20"/>
                <w:color w:val="auto"/>
              </w:rPr>
            </w:pPr>
            <w:r>
              <w:rPr>
                <w:rFonts w:ascii="Arial" w:cs="Arial" w:eastAsia="Arial" w:hAnsi="Arial"/>
                <w:sz w:val="18"/>
                <w:szCs w:val="18"/>
                <w:color w:val="auto"/>
              </w:rPr>
              <w:t>For</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Withheld</w:t>
            </w:r>
          </w:p>
        </w:tc>
        <w:tc>
          <w:tcPr>
            <w:tcW w:w="1800" w:type="dxa"/>
            <w:vAlign w:val="bottom"/>
          </w:tcPr>
          <w:p>
            <w:pPr>
              <w:jc w:val="center"/>
              <w:ind w:left="11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Broker Non-Votes</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Thomas S. Gayner</w:t>
            </w:r>
          </w:p>
        </w:tc>
        <w:tc>
          <w:tcPr>
            <w:tcW w:w="192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Donald E. Graham</w:t>
            </w:r>
          </w:p>
        </w:tc>
        <w:tc>
          <w:tcPr>
            <w:tcW w:w="192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Timothy J. O'Shaughnessy</w:t>
            </w:r>
          </w:p>
        </w:tc>
        <w:tc>
          <w:tcPr>
            <w:tcW w:w="192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G. Richard Wagoner, Jr.</w:t>
            </w:r>
          </w:p>
        </w:tc>
        <w:tc>
          <w:tcPr>
            <w:tcW w:w="192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Katharine Weymouth</w:t>
            </w:r>
          </w:p>
        </w:tc>
        <w:tc>
          <w:tcPr>
            <w:tcW w:w="192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702"/>
        </w:trPr>
        <w:tc>
          <w:tcPr>
            <w:tcW w:w="3260" w:type="dxa"/>
            <w:vAlign w:val="bottom"/>
          </w:tcPr>
          <w:p>
            <w:pPr>
              <w:spacing w:after="0"/>
              <w:rPr>
                <w:sz w:val="20"/>
                <w:szCs w:val="20"/>
                <w:color w:val="auto"/>
              </w:rPr>
            </w:pPr>
            <w:r>
              <w:rPr>
                <w:rFonts w:ascii="Arial" w:cs="Arial" w:eastAsia="Arial" w:hAnsi="Arial"/>
                <w:sz w:val="18"/>
                <w:szCs w:val="18"/>
                <w:color w:val="auto"/>
              </w:rPr>
              <w:t>Class B Common Stock Nominees</w:t>
            </w:r>
          </w:p>
        </w:tc>
        <w:tc>
          <w:tcPr>
            <w:tcW w:w="1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05"/>
        </w:trPr>
        <w:tc>
          <w:tcPr>
            <w:tcW w:w="3260" w:type="dxa"/>
            <w:vAlign w:val="bottom"/>
          </w:tcPr>
          <w:p>
            <w:pPr>
              <w:spacing w:after="0"/>
              <w:rPr>
                <w:sz w:val="24"/>
                <w:szCs w:val="24"/>
                <w:color w:val="auto"/>
              </w:rPr>
            </w:pPr>
          </w:p>
        </w:tc>
        <w:tc>
          <w:tcPr>
            <w:tcW w:w="1920" w:type="dxa"/>
            <w:vAlign w:val="bottom"/>
          </w:tcPr>
          <w:p>
            <w:pPr>
              <w:ind w:left="760"/>
              <w:spacing w:after="0"/>
              <w:rPr>
                <w:sz w:val="20"/>
                <w:szCs w:val="20"/>
                <w:color w:val="auto"/>
              </w:rPr>
            </w:pPr>
            <w:r>
              <w:rPr>
                <w:rFonts w:ascii="Arial" w:cs="Arial" w:eastAsia="Arial" w:hAnsi="Arial"/>
                <w:sz w:val="18"/>
                <w:szCs w:val="18"/>
                <w:color w:val="auto"/>
              </w:rPr>
              <w:t>For</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Withheld</w:t>
            </w:r>
          </w:p>
        </w:tc>
        <w:tc>
          <w:tcPr>
            <w:tcW w:w="1800" w:type="dxa"/>
            <w:vAlign w:val="bottom"/>
          </w:tcPr>
          <w:p>
            <w:pPr>
              <w:jc w:val="center"/>
              <w:ind w:left="7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Broker Non-Votes</w:t>
            </w:r>
          </w:p>
        </w:tc>
      </w:tr>
      <w:tr>
        <w:trPr>
          <w:trHeight w:val="243"/>
        </w:trPr>
        <w:tc>
          <w:tcPr>
            <w:tcW w:w="3260" w:type="dxa"/>
            <w:vAlign w:val="bottom"/>
          </w:tcPr>
          <w:p>
            <w:pPr>
              <w:ind w:left="60"/>
              <w:spacing w:after="0"/>
              <w:rPr>
                <w:sz w:val="20"/>
                <w:szCs w:val="20"/>
                <w:color w:val="auto"/>
              </w:rPr>
            </w:pPr>
            <w:r>
              <w:rPr>
                <w:rFonts w:ascii="Arial" w:cs="Arial" w:eastAsia="Arial" w:hAnsi="Arial"/>
                <w:sz w:val="18"/>
                <w:szCs w:val="18"/>
                <w:color w:val="auto"/>
              </w:rPr>
              <w:t>Tony Allen</w:t>
            </w: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99"/>
              </w:rPr>
              <w:t>2,972,568</w:t>
            </w:r>
          </w:p>
        </w:tc>
        <w:tc>
          <w:tcPr>
            <w:tcW w:w="2020" w:type="dxa"/>
            <w:vAlign w:val="bottom"/>
          </w:tcPr>
          <w:p>
            <w:pPr>
              <w:jc w:val="center"/>
              <w:spacing w:after="0"/>
              <w:rPr>
                <w:sz w:val="20"/>
                <w:szCs w:val="20"/>
                <w:color w:val="auto"/>
              </w:rPr>
            </w:pPr>
            <w:r>
              <w:rPr>
                <w:rFonts w:ascii="Arial" w:cs="Arial" w:eastAsia="Arial" w:hAnsi="Arial"/>
                <w:sz w:val="18"/>
                <w:szCs w:val="18"/>
                <w:color w:val="auto"/>
              </w:rPr>
              <w:t>78,067</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w:t>
            </w:r>
          </w:p>
        </w:tc>
      </w:tr>
      <w:tr>
        <w:trPr>
          <w:trHeight w:val="243"/>
        </w:trPr>
        <w:tc>
          <w:tcPr>
            <w:tcW w:w="3260" w:type="dxa"/>
            <w:vAlign w:val="bottom"/>
          </w:tcPr>
          <w:p>
            <w:pPr>
              <w:ind w:left="60"/>
              <w:spacing w:after="0"/>
              <w:rPr>
                <w:sz w:val="20"/>
                <w:szCs w:val="20"/>
                <w:color w:val="auto"/>
              </w:rPr>
            </w:pPr>
            <w:r>
              <w:rPr>
                <w:rFonts w:ascii="Arial" w:cs="Arial" w:eastAsia="Arial" w:hAnsi="Arial"/>
                <w:sz w:val="18"/>
                <w:szCs w:val="18"/>
                <w:color w:val="auto"/>
              </w:rPr>
              <w:t>Christopher C. Davis</w:t>
            </w: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99"/>
              </w:rPr>
              <w:t>2,470,211</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580,424</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w:t>
            </w:r>
          </w:p>
        </w:tc>
      </w:tr>
      <w:tr>
        <w:trPr>
          <w:trHeight w:val="243"/>
        </w:trPr>
        <w:tc>
          <w:tcPr>
            <w:tcW w:w="3260" w:type="dxa"/>
            <w:vAlign w:val="bottom"/>
          </w:tcPr>
          <w:p>
            <w:pPr>
              <w:ind w:left="60"/>
              <w:spacing w:after="0"/>
              <w:rPr>
                <w:sz w:val="20"/>
                <w:szCs w:val="20"/>
                <w:color w:val="auto"/>
              </w:rPr>
            </w:pPr>
            <w:r>
              <w:rPr>
                <w:rFonts w:ascii="Arial" w:cs="Arial" w:eastAsia="Arial" w:hAnsi="Arial"/>
                <w:sz w:val="18"/>
                <w:szCs w:val="18"/>
                <w:color w:val="auto"/>
              </w:rPr>
              <w:t>Anne M. Mulcahy</w:t>
            </w: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99"/>
              </w:rPr>
              <w:t>2,797,234</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253,401</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Proposal 2: Vote to Approve the Company’s 2022 Incentive Compensation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Class A stockholders approved the Company’s 2022 Incentive Compensation Plan, as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ectPr>
          <w:pgSz w:w="11900" w:h="16838" w:orient="portrait"/>
          <w:cols w:equalWidth="0" w:num="1">
            <w:col w:w="10940"/>
          </w:cols>
          <w:pgMar w:left="320" w:top="1089" w:right="639" w:bottom="1440" w:gutter="0" w:footer="0" w:header="0"/>
        </w:sectPr>
      </w:pPr>
    </w:p>
    <w:p>
      <w:pPr>
        <w:spacing w:after="0" w:line="279"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For</w:t>
      </w:r>
    </w:p>
    <w:p>
      <w:pPr>
        <w:spacing w:after="0" w:line="3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964,001</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Against</w:t>
      </w:r>
    </w:p>
    <w:p>
      <w:pPr>
        <w:spacing w:after="0" w:line="48"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Abstain</w:t>
      </w:r>
    </w:p>
    <w:p>
      <w:pPr>
        <w:spacing w:after="0" w:line="4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3180"/>
        <w:spacing w:after="0"/>
        <w:rPr>
          <w:sz w:val="20"/>
          <w:szCs w:val="20"/>
          <w:color w:val="auto"/>
        </w:rPr>
      </w:pPr>
      <w:r>
        <w:rPr>
          <w:rFonts w:ascii="Arial" w:cs="Arial" w:eastAsia="Arial" w:hAnsi="Arial"/>
          <w:sz w:val="17"/>
          <w:szCs w:val="17"/>
          <w:color w:val="auto"/>
        </w:rPr>
        <w:t>Broker Non-Votes</w:t>
      </w:r>
    </w:p>
    <w:p>
      <w:pPr>
        <w:spacing w:after="0" w:line="48"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2000" w:space="720"/>
            <w:col w:w="1280" w:space="720"/>
            <w:col w:w="900" w:space="720"/>
            <w:col w:w="4600"/>
          </w:cols>
          <w:pgMar w:left="320" w:top="1089" w:right="63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Company’s Class B stockholders approved the Company’s 2022 Incentive Compensation Plan, as set forth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w:t>
      </w:r>
    </w:p>
    <w:p>
      <w:pPr>
        <w:sectPr>
          <w:pgSz w:w="11900" w:h="16838" w:orient="portrait"/>
          <w:cols w:equalWidth="0" w:num="1">
            <w:col w:w="10940"/>
          </w:cols>
          <w:pgMar w:left="320" w:top="1089" w:right="639" w:bottom="1440" w:gutter="0" w:footer="0" w:header="0"/>
          <w:type w:val="continuous"/>
        </w:sectPr>
      </w:pPr>
    </w:p>
    <w:p>
      <w:pPr>
        <w:spacing w:after="0" w:line="279"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For</w:t>
      </w:r>
    </w:p>
    <w:p>
      <w:pPr>
        <w:spacing w:after="0" w:line="36"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2,257,599</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Against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784,492</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Abstain</w:t>
      </w:r>
    </w:p>
    <w:p>
      <w:pPr>
        <w:spacing w:after="0" w:line="4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8,544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709295</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3180"/>
        <w:spacing w:after="0"/>
        <w:rPr>
          <w:sz w:val="20"/>
          <w:szCs w:val="20"/>
          <w:color w:val="auto"/>
        </w:rPr>
      </w:pPr>
      <w:r>
        <w:rPr>
          <w:rFonts w:ascii="Arial" w:cs="Arial" w:eastAsia="Arial" w:hAnsi="Arial"/>
          <w:sz w:val="17"/>
          <w:szCs w:val="17"/>
          <w:color w:val="auto"/>
        </w:rPr>
        <w:t>Broker Non-Votes</w:t>
      </w:r>
    </w:p>
    <w:p>
      <w:pPr>
        <w:spacing w:after="0" w:line="48"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1960" w:space="720"/>
            <w:col w:w="1320" w:space="720"/>
            <w:col w:w="900" w:space="720"/>
            <w:col w:w="4600"/>
          </w:cols>
          <w:pgMar w:left="320" w:top="1089"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89" w:right="6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Proposal 3: Advisory Vote to Approve 2021 Compensation Awarded to Named Executive Officers</w:t>
      </w:r>
    </w:p>
    <w:p>
      <w:pPr>
        <w:spacing w:after="0" w:line="22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Company’s Class A stockholders approved, on an advisory basis, the compensation paid to the Company’s named executive officers for 2021, as set forth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6"/>
              </w:rPr>
              <w:t>For</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Against</w:t>
            </w:r>
          </w:p>
        </w:tc>
        <w:tc>
          <w:tcPr>
            <w:tcW w:w="1420" w:type="dxa"/>
            <w:vAlign w:val="bottom"/>
          </w:tcPr>
          <w:p>
            <w:pPr>
              <w:jc w:val="center"/>
              <w:ind w:left="490"/>
              <w:spacing w:after="0"/>
              <w:rPr>
                <w:sz w:val="20"/>
                <w:szCs w:val="20"/>
                <w:color w:val="auto"/>
              </w:rPr>
            </w:pPr>
            <w:r>
              <w:rPr>
                <w:rFonts w:ascii="Arial" w:cs="Arial" w:eastAsia="Arial" w:hAnsi="Arial"/>
                <w:sz w:val="18"/>
                <w:szCs w:val="18"/>
                <w:color w:val="auto"/>
                <w:w w:val="99"/>
              </w:rPr>
              <w:t>Abstain</w:t>
            </w:r>
          </w:p>
        </w:tc>
        <w:tc>
          <w:tcPr>
            <w:tcW w:w="5800" w:type="dxa"/>
            <w:vAlign w:val="bottom"/>
            <w:gridSpan w:val="2"/>
          </w:tcPr>
          <w:p>
            <w:pPr>
              <w:jc w:val="center"/>
              <w:ind w:right="2580"/>
              <w:spacing w:after="0"/>
              <w:rPr>
                <w:sz w:val="20"/>
                <w:szCs w:val="20"/>
                <w:color w:val="auto"/>
              </w:rPr>
            </w:pPr>
            <w:r>
              <w:rPr>
                <w:rFonts w:ascii="Arial" w:cs="Arial" w:eastAsia="Arial" w:hAnsi="Arial"/>
                <w:sz w:val="18"/>
                <w:szCs w:val="18"/>
                <w:color w:val="auto"/>
                <w:w w:val="99"/>
              </w:rPr>
              <w:t>Broker Non-Votes</w:t>
            </w:r>
          </w:p>
        </w:tc>
      </w:tr>
      <w:tr>
        <w:trPr>
          <w:trHeight w:val="243"/>
        </w:trPr>
        <w:tc>
          <w:tcPr>
            <w:tcW w:w="2020" w:type="dxa"/>
            <w:vAlign w:val="bottom"/>
            <w:gridSpan w:val="2"/>
          </w:tcPr>
          <w:p>
            <w:pPr>
              <w:jc w:val="right"/>
              <w:ind w:right="590"/>
              <w:spacing w:after="0"/>
              <w:rPr>
                <w:sz w:val="20"/>
                <w:szCs w:val="20"/>
                <w:color w:val="auto"/>
              </w:rPr>
            </w:pPr>
            <w:r>
              <w:rPr>
                <w:rFonts w:ascii="Arial" w:cs="Arial" w:eastAsia="Arial" w:hAnsi="Arial"/>
                <w:sz w:val="18"/>
                <w:szCs w:val="18"/>
                <w:color w:val="auto"/>
              </w:rPr>
              <w:t>964,001</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ind w:left="470"/>
              <w:spacing w:after="0"/>
              <w:rPr>
                <w:sz w:val="20"/>
                <w:szCs w:val="20"/>
                <w:color w:val="auto"/>
              </w:rPr>
            </w:pPr>
            <w:r>
              <w:rPr>
                <w:rFonts w:ascii="Arial" w:cs="Arial" w:eastAsia="Arial" w:hAnsi="Arial"/>
                <w:sz w:val="18"/>
                <w:szCs w:val="18"/>
                <w:color w:val="auto"/>
                <w:w w:val="99"/>
              </w:rPr>
              <w:t>—</w:t>
            </w:r>
          </w:p>
        </w:tc>
        <w:tc>
          <w:tcPr>
            <w:tcW w:w="5800" w:type="dxa"/>
            <w:vAlign w:val="bottom"/>
            <w:gridSpan w:val="2"/>
          </w:tcPr>
          <w:p>
            <w:pPr>
              <w:jc w:val="center"/>
              <w:ind w:right="2580"/>
              <w:spacing w:after="0"/>
              <w:rPr>
                <w:sz w:val="20"/>
                <w:szCs w:val="20"/>
                <w:color w:val="auto"/>
              </w:rPr>
            </w:pPr>
            <w:r>
              <w:rPr>
                <w:rFonts w:ascii="Arial" w:cs="Arial" w:eastAsia="Arial" w:hAnsi="Arial"/>
                <w:sz w:val="18"/>
                <w:szCs w:val="18"/>
                <w:color w:val="auto"/>
                <w:w w:val="99"/>
              </w:rPr>
              <w:t>—</w:t>
            </w:r>
          </w:p>
        </w:tc>
      </w:tr>
      <w:tr>
        <w:trPr>
          <w:trHeight w:val="378"/>
        </w:trPr>
        <w:tc>
          <w:tcPr>
            <w:tcW w:w="4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780" w:type="dxa"/>
            <w:vAlign w:val="bottom"/>
          </w:tcPr>
          <w:p>
            <w:pPr>
              <w:jc w:val="right"/>
              <w:ind w:right="545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263"/>
        </w:trPr>
        <w:tc>
          <w:tcPr>
            <w:tcW w:w="40" w:type="dxa"/>
            <w:vAlign w:val="bottom"/>
            <w:tcBorders>
              <w:bottom w:val="single" w:sz="8" w:color="9A9A9A"/>
            </w:tcBorders>
          </w:tcPr>
          <w:p>
            <w:pPr>
              <w:spacing w:after="0"/>
              <w:rPr>
                <w:sz w:val="22"/>
                <w:szCs w:val="22"/>
                <w:color w:val="auto"/>
              </w:rPr>
            </w:pPr>
          </w:p>
        </w:tc>
        <w:tc>
          <w:tcPr>
            <w:tcW w:w="1980" w:type="dxa"/>
            <w:vAlign w:val="bottom"/>
            <w:tcBorders>
              <w:bottom w:val="single" w:sz="8" w:color="9A9A9A"/>
            </w:tcBorders>
          </w:tcPr>
          <w:p>
            <w:pPr>
              <w:spacing w:after="0"/>
              <w:rPr>
                <w:sz w:val="22"/>
                <w:szCs w:val="22"/>
                <w:color w:val="auto"/>
              </w:rPr>
            </w:pPr>
          </w:p>
        </w:tc>
        <w:tc>
          <w:tcPr>
            <w:tcW w:w="2000" w:type="dxa"/>
            <w:vAlign w:val="bottom"/>
            <w:tcBorders>
              <w:bottom w:val="single" w:sz="8" w:color="9A9A9A"/>
            </w:tcBorders>
          </w:tcPr>
          <w:p>
            <w:pPr>
              <w:spacing w:after="0"/>
              <w:rPr>
                <w:sz w:val="22"/>
                <w:szCs w:val="22"/>
                <w:color w:val="auto"/>
              </w:rPr>
            </w:pPr>
          </w:p>
        </w:tc>
        <w:tc>
          <w:tcPr>
            <w:tcW w:w="1420" w:type="dxa"/>
            <w:vAlign w:val="bottom"/>
            <w:tcBorders>
              <w:bottom w:val="single" w:sz="8" w:color="9A9A9A"/>
            </w:tcBorders>
          </w:tcPr>
          <w:p>
            <w:pPr>
              <w:spacing w:after="0"/>
              <w:rPr>
                <w:sz w:val="22"/>
                <w:szCs w:val="22"/>
                <w:color w:val="auto"/>
              </w:rPr>
            </w:pPr>
          </w:p>
        </w:tc>
        <w:tc>
          <w:tcPr>
            <w:tcW w:w="578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85" w:lineRule="exact"/>
        <w:rPr>
          <w:sz w:val="20"/>
          <w:szCs w:val="20"/>
          <w:color w:val="auto"/>
        </w:rPr>
      </w:pPr>
    </w:p>
    <w:p>
      <w:pPr>
        <w:jc w:val="right"/>
        <w:ind w:right="2019"/>
        <w:spacing w:after="0"/>
        <w:rPr>
          <w:sz w:val="20"/>
          <w:szCs w:val="20"/>
          <w:color w:val="auto"/>
        </w:rPr>
      </w:pP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563245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300" w:val="left"/>
        </w:tabs>
        <w:rPr>
          <w:sz w:val="20"/>
          <w:szCs w:val="20"/>
          <w:color w:val="auto"/>
        </w:rPr>
      </w:pPr>
      <w:r>
        <w:rPr>
          <w:rFonts w:ascii="Arial" w:cs="Arial" w:eastAsia="Arial" w:hAnsi="Arial"/>
          <w:sz w:val="18"/>
          <w:szCs w:val="18"/>
          <w:color w:val="auto"/>
        </w:rPr>
        <w:t>Date: May 6, 2022</w:t>
      </w:r>
      <w:r>
        <w:rPr>
          <w:sz w:val="20"/>
          <w:szCs w:val="20"/>
          <w:color w:val="auto"/>
        </w:rPr>
        <w:tab/>
      </w:r>
      <w:r>
        <w:rPr>
          <w:rFonts w:ascii="Arial" w:cs="Arial" w:eastAsia="Arial" w:hAnsi="Arial"/>
          <w:sz w:val="17"/>
          <w:szCs w:val="17"/>
          <w:color w:val="auto"/>
        </w:rPr>
        <w:t>/s/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Nicole M. Maddrey,</w:t>
      </w:r>
    </w:p>
    <w:p>
      <w:pPr>
        <w:jc w:val="center"/>
        <w:ind w:left="7120"/>
        <w:spacing w:after="0" w:line="219" w:lineRule="auto"/>
        <w:rPr>
          <w:sz w:val="20"/>
          <w:szCs w:val="20"/>
          <w:color w:val="auto"/>
        </w:rPr>
      </w:pPr>
      <w:r>
        <w:rPr>
          <w:rFonts w:ascii="Arial" w:cs="Arial" w:eastAsia="Arial" w:hAnsi="Arial"/>
          <w:sz w:val="18"/>
          <w:szCs w:val="18"/>
          <w:color w:val="auto"/>
        </w:rPr>
        <w:t>Senior Vice President, General Counsel,</w:t>
      </w:r>
    </w:p>
    <w:p>
      <w:pPr>
        <w:jc w:val="center"/>
        <w:ind w:left="71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sectPr>
      <w:pgSz w:w="11900" w:h="16838" w:orient="portrait"/>
      <w:cols w:equalWidth="0" w:num="1">
        <w:col w:w="11200"/>
      </w:cols>
      <w:pgMar w:left="320" w:top="10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2022-05-06T12:48:36Z</dcterms:created>
  <dcterms:modified xsi:type="dcterms:W3CDTF">2022-05-06T12:48:36Z</dcterms:modified>
</cp:coreProperties>
</file>