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599440</wp:posOffset>
            </wp:positionH>
            <wp:positionV relativeFrom="page">
              <wp:posOffset>1016000</wp:posOffset>
            </wp:positionV>
            <wp:extent cx="68046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4660" cy="8255"/>
                    </a:xfrm>
                    <a:prstGeom prst="rect">
                      <a:avLst/>
                    </a:prstGeom>
                    <a:noFill/>
                  </pic:spPr>
                </pic:pic>
              </a:graphicData>
            </a:graphic>
          </wp:anchor>
        </w:drawing>
        <w:drawing>
          <wp:anchor simplePos="0" relativeHeight="251657728" behindDoc="1" locked="0" layoutInCell="0" allowOverlap="1">
            <wp:simplePos x="0" y="0"/>
            <wp:positionH relativeFrom="page">
              <wp:posOffset>599440</wp:posOffset>
            </wp:positionH>
            <wp:positionV relativeFrom="page">
              <wp:posOffset>1040765</wp:posOffset>
            </wp:positionV>
            <wp:extent cx="68046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4660" cy="8255"/>
                    </a:xfrm>
                    <a:prstGeom prst="rect">
                      <a:avLst/>
                    </a:prstGeom>
                    <a:noFill/>
                  </pic:spPr>
                </pic:pic>
              </a:graphicData>
            </a:graphic>
          </wp:anchor>
        </w:drawing>
      </w:r>
    </w:p>
    <w:p>
      <w:pPr>
        <w:spacing w:after="0" w:line="225" w:lineRule="exact"/>
        <w:rPr>
          <w:sz w:val="24"/>
          <w:szCs w:val="24"/>
          <w:color w:val="auto"/>
        </w:rPr>
      </w:pPr>
    </w:p>
    <w:p>
      <w:pPr>
        <w:jc w:val="center"/>
        <w:ind w:left="620"/>
        <w:spacing w:after="0"/>
        <w:rPr>
          <w:sz w:val="20"/>
          <w:szCs w:val="20"/>
          <w:color w:val="auto"/>
        </w:rPr>
      </w:pPr>
      <w:r>
        <w:rPr>
          <w:rFonts w:ascii="Arial" w:cs="Arial" w:eastAsia="Arial" w:hAnsi="Arial"/>
          <w:sz w:val="28"/>
          <w:szCs w:val="28"/>
          <w:b w:val="1"/>
          <w:bCs w:val="1"/>
          <w:color w:val="auto"/>
        </w:rPr>
        <w:t>UNITED STATES</w:t>
      </w:r>
    </w:p>
    <w:p>
      <w:pPr>
        <w:spacing w:after="0" w:line="57" w:lineRule="exact"/>
        <w:rPr>
          <w:sz w:val="24"/>
          <w:szCs w:val="24"/>
          <w:color w:val="auto"/>
        </w:rPr>
      </w:pPr>
    </w:p>
    <w:p>
      <w:pPr>
        <w:jc w:val="center"/>
        <w:ind w:left="620"/>
        <w:spacing w:after="0"/>
        <w:rPr>
          <w:sz w:val="20"/>
          <w:szCs w:val="20"/>
          <w:color w:val="auto"/>
        </w:rPr>
      </w:pPr>
      <w:r>
        <w:rPr>
          <w:rFonts w:ascii="Arial" w:cs="Arial" w:eastAsia="Arial" w:hAnsi="Arial"/>
          <w:sz w:val="28"/>
          <w:szCs w:val="28"/>
          <w:b w:val="1"/>
          <w:bCs w:val="1"/>
          <w:color w:val="auto"/>
        </w:rPr>
        <w:t>SECURITIES AND EXCHANGE COMMISSION</w:t>
      </w:r>
    </w:p>
    <w:p>
      <w:pPr>
        <w:spacing w:after="0" w:line="183" w:lineRule="exact"/>
        <w:rPr>
          <w:sz w:val="24"/>
          <w:szCs w:val="24"/>
          <w:color w:val="auto"/>
        </w:rPr>
      </w:pPr>
    </w:p>
    <w:p>
      <w:pPr>
        <w:ind w:left="4387"/>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215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086"/>
        <w:spacing w:after="0"/>
        <w:rPr>
          <w:sz w:val="20"/>
          <w:szCs w:val="20"/>
          <w:color w:val="auto"/>
        </w:rPr>
      </w:pPr>
      <w:r>
        <w:rPr>
          <w:rFonts w:ascii="Arial" w:cs="Arial" w:eastAsia="Arial" w:hAnsi="Arial"/>
          <w:sz w:val="31"/>
          <w:szCs w:val="31"/>
          <w:b w:val="1"/>
          <w:bCs w:val="1"/>
          <w:color w:val="auto"/>
        </w:rPr>
        <w:t>FORM 11-K</w:t>
      </w:r>
    </w:p>
    <w:p>
      <w:pPr>
        <w:spacing w:after="0" w:line="175" w:lineRule="exact"/>
        <w:rPr>
          <w:sz w:val="24"/>
          <w:szCs w:val="24"/>
          <w:color w:val="auto"/>
        </w:rPr>
      </w:pPr>
    </w:p>
    <w:p>
      <w:pPr>
        <w:ind w:left="2087"/>
        <w:spacing w:after="0"/>
        <w:rPr>
          <w:sz w:val="20"/>
          <w:szCs w:val="20"/>
          <w:color w:val="auto"/>
        </w:rPr>
      </w:pPr>
      <w:r>
        <w:rPr>
          <w:rFonts w:ascii="Arial" w:cs="Arial" w:eastAsia="Arial" w:hAnsi="Arial"/>
          <w:sz w:val="21"/>
          <w:szCs w:val="21"/>
          <w:b w:val="1"/>
          <w:bCs w:val="1"/>
          <w:color w:val="auto"/>
        </w:rPr>
        <w:t>FOR ANNUAL REPORTS OF EMPLOYEE STOCK PURCHASE, SAVINGS</w:t>
      </w:r>
    </w:p>
    <w:p>
      <w:pPr>
        <w:spacing w:after="0" w:line="37" w:lineRule="exact"/>
        <w:rPr>
          <w:sz w:val="24"/>
          <w:szCs w:val="24"/>
          <w:color w:val="auto"/>
        </w:rPr>
      </w:pPr>
    </w:p>
    <w:p>
      <w:pPr>
        <w:ind w:left="2587"/>
        <w:spacing w:after="0"/>
        <w:rPr>
          <w:sz w:val="20"/>
          <w:szCs w:val="20"/>
          <w:color w:val="auto"/>
        </w:rPr>
      </w:pPr>
      <w:r>
        <w:rPr>
          <w:rFonts w:ascii="Arial" w:cs="Arial" w:eastAsia="Arial" w:hAnsi="Arial"/>
          <w:sz w:val="21"/>
          <w:szCs w:val="21"/>
          <w:b w:val="1"/>
          <w:bCs w:val="1"/>
          <w:color w:val="auto"/>
        </w:rPr>
        <w:t>AND SIMILAR PLANS PURSUANT TO SECTION 15(d) OF THE</w:t>
      </w:r>
    </w:p>
    <w:p>
      <w:pPr>
        <w:spacing w:after="0" w:line="4" w:lineRule="exact"/>
        <w:rPr>
          <w:sz w:val="24"/>
          <w:szCs w:val="24"/>
          <w:color w:val="auto"/>
        </w:rPr>
      </w:pPr>
    </w:p>
    <w:p>
      <w:pPr>
        <w:ind w:left="3687"/>
        <w:spacing w:after="0"/>
        <w:rPr>
          <w:sz w:val="20"/>
          <w:szCs w:val="20"/>
          <w:color w:val="auto"/>
        </w:rPr>
      </w:pPr>
      <w:r>
        <w:rPr>
          <w:rFonts w:ascii="Arial" w:cs="Arial" w:eastAsia="Arial" w:hAnsi="Arial"/>
          <w:sz w:val="21"/>
          <w:szCs w:val="21"/>
          <w:b w:val="1"/>
          <w:bCs w:val="1"/>
          <w:color w:val="auto"/>
        </w:rPr>
        <w:t>SECURITIES EXCHANGE ACT OF 1934</w:t>
      </w:r>
    </w:p>
    <w:p>
      <w:pPr>
        <w:spacing w:after="0" w:line="255" w:lineRule="exact"/>
        <w:rPr>
          <w:sz w:val="24"/>
          <w:szCs w:val="24"/>
          <w:color w:val="auto"/>
        </w:rPr>
      </w:pPr>
    </w:p>
    <w:p>
      <w:pPr>
        <w:ind w:left="487" w:hanging="487"/>
        <w:spacing w:after="0"/>
        <w:tabs>
          <w:tab w:leader="none" w:pos="487" w:val="left"/>
        </w:tabs>
        <w:numPr>
          <w:ilvl w:val="0"/>
          <w:numId w:val="1"/>
        </w:numPr>
        <w:rPr>
          <w:rFonts w:ascii="MS PGothic" w:cs="MS PGothic" w:eastAsia="MS PGothic" w:hAnsi="MS PGothic"/>
          <w:sz w:val="17"/>
          <w:szCs w:val="17"/>
          <w:color w:val="auto"/>
        </w:rPr>
      </w:pPr>
      <w:r>
        <w:rPr>
          <w:rFonts w:ascii="Arial" w:cs="Arial" w:eastAsia="Arial" w:hAnsi="Arial"/>
          <w:sz w:val="21"/>
          <w:szCs w:val="21"/>
          <w:b w:val="1"/>
          <w:bCs w:val="1"/>
          <w:color w:val="auto"/>
        </w:rPr>
        <w:t>Annual Report Pursuant To Section 15(d) of the Securities Exchange Act of 1934</w:t>
      </w:r>
    </w:p>
    <w:p>
      <w:pPr>
        <w:spacing w:after="0" w:line="366" w:lineRule="exact"/>
        <w:rPr>
          <w:sz w:val="24"/>
          <w:szCs w:val="24"/>
          <w:color w:val="auto"/>
        </w:rPr>
      </w:pPr>
    </w:p>
    <w:p>
      <w:pPr>
        <w:jc w:val="center"/>
        <w:ind w:right="-1086"/>
        <w:spacing w:after="0"/>
        <w:rPr>
          <w:sz w:val="20"/>
          <w:szCs w:val="20"/>
          <w:color w:val="auto"/>
        </w:rPr>
      </w:pPr>
      <w:r>
        <w:rPr>
          <w:rFonts w:ascii="Arial" w:cs="Arial" w:eastAsia="Arial" w:hAnsi="Arial"/>
          <w:sz w:val="21"/>
          <w:szCs w:val="21"/>
          <w:color w:val="auto"/>
        </w:rPr>
        <w:t>For the Fiscal Year Ended December 31, 2023</w:t>
      </w:r>
    </w:p>
    <w:p>
      <w:pPr>
        <w:spacing w:after="0" w:line="159" w:lineRule="exact"/>
        <w:rPr>
          <w:sz w:val="24"/>
          <w:szCs w:val="24"/>
          <w:color w:val="auto"/>
        </w:rPr>
      </w:pPr>
    </w:p>
    <w:p>
      <w:pPr>
        <w:jc w:val="center"/>
        <w:ind w:right="-1086"/>
        <w:spacing w:after="0"/>
        <w:rPr>
          <w:sz w:val="20"/>
          <w:szCs w:val="20"/>
          <w:color w:val="auto"/>
        </w:rPr>
      </w:pPr>
      <w:r>
        <w:rPr>
          <w:rFonts w:ascii="Arial" w:cs="Arial" w:eastAsia="Arial" w:hAnsi="Arial"/>
          <w:sz w:val="21"/>
          <w:szCs w:val="21"/>
          <w:b w:val="1"/>
          <w:bCs w:val="1"/>
          <w:color w:val="auto"/>
        </w:rPr>
        <w:t>or</w:t>
      </w:r>
    </w:p>
    <w:p>
      <w:pPr>
        <w:spacing w:after="0" w:line="283" w:lineRule="exact"/>
        <w:rPr>
          <w:sz w:val="24"/>
          <w:szCs w:val="24"/>
          <w:color w:val="auto"/>
        </w:rPr>
      </w:pPr>
    </w:p>
    <w:p>
      <w:pPr>
        <w:ind w:left="487" w:hanging="487"/>
        <w:spacing w:after="0"/>
        <w:tabs>
          <w:tab w:leader="none" w:pos="487" w:val="left"/>
        </w:tabs>
        <w:numPr>
          <w:ilvl w:val="0"/>
          <w:numId w:val="2"/>
        </w:numPr>
        <w:rPr>
          <w:rFonts w:ascii="MS PGothic" w:cs="MS PGothic" w:eastAsia="MS PGothic" w:hAnsi="MS PGothic"/>
          <w:sz w:val="34"/>
          <w:szCs w:val="34"/>
          <w:color w:val="auto"/>
          <w:vertAlign w:val="superscript"/>
        </w:rPr>
      </w:pPr>
      <w:r>
        <w:rPr>
          <w:rFonts w:ascii="Arial" w:cs="Arial" w:eastAsia="Arial" w:hAnsi="Arial"/>
          <w:sz w:val="21"/>
          <w:szCs w:val="21"/>
          <w:b w:val="1"/>
          <w:bCs w:val="1"/>
          <w:color w:val="auto"/>
        </w:rPr>
        <w:t>Transition Report Pursuant to Section 15(d) of the Securities Exchange Act of 1934</w:t>
      </w:r>
    </w:p>
    <w:p>
      <w:pPr>
        <w:spacing w:after="0" w:line="324" w:lineRule="exact"/>
        <w:rPr>
          <w:sz w:val="24"/>
          <w:szCs w:val="24"/>
          <w:color w:val="auto"/>
        </w:rPr>
      </w:pPr>
    </w:p>
    <w:p>
      <w:pPr>
        <w:ind w:left="3287"/>
        <w:spacing w:after="0"/>
        <w:rPr>
          <w:sz w:val="20"/>
          <w:szCs w:val="20"/>
          <w:color w:val="auto"/>
        </w:rPr>
      </w:pPr>
      <w:r>
        <w:rPr>
          <w:rFonts w:ascii="Arial" w:cs="Arial" w:eastAsia="Arial" w:hAnsi="Arial"/>
          <w:sz w:val="21"/>
          <w:szCs w:val="21"/>
          <w:color w:val="auto"/>
        </w:rPr>
        <w:t>For the transition period from _______ to _______</w:t>
      </w:r>
    </w:p>
    <w:p>
      <w:pPr>
        <w:spacing w:after="0" w:line="159" w:lineRule="exact"/>
        <w:rPr>
          <w:sz w:val="24"/>
          <w:szCs w:val="24"/>
          <w:color w:val="auto"/>
        </w:rPr>
      </w:pPr>
    </w:p>
    <w:p>
      <w:pPr>
        <w:ind w:left="3867"/>
        <w:spacing w:after="0"/>
        <w:rPr>
          <w:sz w:val="20"/>
          <w:szCs w:val="20"/>
          <w:color w:val="auto"/>
        </w:rPr>
      </w:pPr>
      <w:r>
        <w:rPr>
          <w:rFonts w:ascii="Arial" w:cs="Arial" w:eastAsia="Arial" w:hAnsi="Arial"/>
          <w:sz w:val="21"/>
          <w:szCs w:val="21"/>
          <w:b w:val="1"/>
          <w:bCs w:val="1"/>
          <w:color w:val="auto"/>
        </w:rPr>
        <w:t>Commission file number 001-06714</w:t>
      </w:r>
    </w:p>
    <w:p>
      <w:pPr>
        <w:spacing w:after="0" w:line="200" w:lineRule="exact"/>
        <w:rPr>
          <w:sz w:val="24"/>
          <w:szCs w:val="24"/>
          <w:color w:val="auto"/>
        </w:rPr>
      </w:pPr>
    </w:p>
    <w:p>
      <w:pPr>
        <w:spacing w:after="0" w:line="326" w:lineRule="exact"/>
        <w:rPr>
          <w:sz w:val="24"/>
          <w:szCs w:val="24"/>
          <w:color w:val="auto"/>
        </w:rPr>
      </w:pPr>
    </w:p>
    <w:p>
      <w:pPr>
        <w:ind w:left="1367"/>
        <w:spacing w:after="0"/>
        <w:rPr>
          <w:sz w:val="20"/>
          <w:szCs w:val="20"/>
          <w:color w:val="auto"/>
        </w:rPr>
      </w:pPr>
      <w:r>
        <w:rPr>
          <w:rFonts w:ascii="Arial" w:cs="Arial" w:eastAsia="Arial" w:hAnsi="Arial"/>
          <w:sz w:val="19"/>
          <w:szCs w:val="19"/>
          <w:color w:val="auto"/>
        </w:rPr>
        <w:t>A. Full title of the plan and the address of the plan, if different from that of the issuer named below:</w:t>
      </w:r>
    </w:p>
    <w:p>
      <w:pPr>
        <w:spacing w:after="0" w:line="288" w:lineRule="exact"/>
        <w:rPr>
          <w:sz w:val="24"/>
          <w:szCs w:val="24"/>
          <w:color w:val="auto"/>
        </w:rPr>
      </w:pPr>
    </w:p>
    <w:p>
      <w:pPr>
        <w:ind w:left="2367"/>
        <w:spacing w:after="0"/>
        <w:rPr>
          <w:sz w:val="20"/>
          <w:szCs w:val="20"/>
          <w:color w:val="auto"/>
        </w:rPr>
      </w:pPr>
      <w:r>
        <w:rPr>
          <w:rFonts w:ascii="Arial" w:cs="Arial" w:eastAsia="Arial" w:hAnsi="Arial"/>
          <w:sz w:val="28"/>
          <w:szCs w:val="28"/>
          <w:b w:val="1"/>
          <w:bCs w:val="1"/>
          <w:color w:val="auto"/>
        </w:rPr>
        <w:t>The Savings Plan for Graham Holdings Company</w:t>
      </w:r>
    </w:p>
    <w:p>
      <w:pPr>
        <w:spacing w:after="0" w:line="200" w:lineRule="exact"/>
        <w:rPr>
          <w:sz w:val="24"/>
          <w:szCs w:val="24"/>
          <w:color w:val="auto"/>
        </w:rPr>
      </w:pPr>
    </w:p>
    <w:p>
      <w:pPr>
        <w:spacing w:after="0" w:line="290" w:lineRule="exact"/>
        <w:rPr>
          <w:sz w:val="24"/>
          <w:szCs w:val="24"/>
          <w:color w:val="auto"/>
        </w:rPr>
      </w:pPr>
    </w:p>
    <w:p>
      <w:pPr>
        <w:jc w:val="center"/>
        <w:ind w:right="-846"/>
        <w:spacing w:after="0"/>
        <w:rPr>
          <w:sz w:val="20"/>
          <w:szCs w:val="20"/>
          <w:color w:val="auto"/>
        </w:rPr>
      </w:pPr>
      <w:r>
        <w:rPr>
          <w:rFonts w:ascii="Arial" w:cs="Arial" w:eastAsia="Arial" w:hAnsi="Arial"/>
          <w:sz w:val="18"/>
          <w:szCs w:val="18"/>
          <w:color w:val="auto"/>
        </w:rPr>
        <w:t>B. Name of issuer of the securities held pursuant to the plan and the address of its principal executive office:</w:t>
      </w:r>
    </w:p>
    <w:p>
      <w:pPr>
        <w:spacing w:after="0" w:line="252" w:lineRule="exact"/>
        <w:rPr>
          <w:sz w:val="24"/>
          <w:szCs w:val="24"/>
          <w:color w:val="auto"/>
        </w:rPr>
      </w:pPr>
    </w:p>
    <w:p>
      <w:pPr>
        <w:jc w:val="center"/>
        <w:ind w:right="-1086"/>
        <w:spacing w:after="0"/>
        <w:rPr>
          <w:sz w:val="20"/>
          <w:szCs w:val="20"/>
          <w:color w:val="auto"/>
        </w:rPr>
      </w:pPr>
      <w:r>
        <w:rPr>
          <w:rFonts w:ascii="Arial" w:cs="Arial" w:eastAsia="Arial" w:hAnsi="Arial"/>
          <w:sz w:val="21"/>
          <w:szCs w:val="21"/>
          <w:b w:val="1"/>
          <w:bCs w:val="1"/>
          <w:color w:val="auto"/>
        </w:rPr>
        <w:t>Graham Holdings Company</w:t>
      </w:r>
    </w:p>
    <w:p>
      <w:pPr>
        <w:jc w:val="center"/>
        <w:ind w:right="-1086"/>
        <w:spacing w:after="0" w:line="205" w:lineRule="auto"/>
        <w:rPr>
          <w:sz w:val="20"/>
          <w:szCs w:val="20"/>
          <w:color w:val="auto"/>
        </w:rPr>
      </w:pPr>
      <w:r>
        <w:rPr>
          <w:rFonts w:ascii="Arial" w:cs="Arial" w:eastAsia="Arial" w:hAnsi="Arial"/>
          <w:sz w:val="21"/>
          <w:szCs w:val="21"/>
          <w:b w:val="1"/>
          <w:bCs w:val="1"/>
          <w:color w:val="auto"/>
        </w:rPr>
        <w:t>1300 North 17th Street</w:t>
      </w:r>
    </w:p>
    <w:p>
      <w:pPr>
        <w:jc w:val="center"/>
        <w:ind w:right="-1086"/>
        <w:spacing w:after="0"/>
        <w:rPr>
          <w:sz w:val="20"/>
          <w:szCs w:val="20"/>
          <w:color w:val="auto"/>
        </w:rPr>
      </w:pPr>
      <w:r>
        <w:rPr>
          <w:rFonts w:ascii="Arial" w:cs="Arial" w:eastAsia="Arial" w:hAnsi="Arial"/>
          <w:sz w:val="21"/>
          <w:szCs w:val="21"/>
          <w:b w:val="1"/>
          <w:bCs w:val="1"/>
          <w:color w:val="auto"/>
        </w:rPr>
        <w:t>Arlington, Virginia 22209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227965</wp:posOffset>
            </wp:positionV>
            <wp:extent cx="7121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ectPr>
          <w:pgSz w:w="11900" w:h="16838" w:orient="portrait"/>
          <w:cols w:equalWidth="0" w:num="1">
            <w:col w:w="10106"/>
          </w:cols>
          <w:pgMar w:left="353" w:top="1440"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21"/>
          <w:szCs w:val="21"/>
          <w:b w:val="1"/>
          <w:bCs w:val="1"/>
          <w:color w:val="auto"/>
        </w:rPr>
        <w:t>THE SAVINGS PLAN FOR GRAHAM HOLDINGS COMPANY</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TABLE OF CONTENTS</w:t>
      </w:r>
    </w:p>
    <w:p>
      <w:pPr>
        <w:spacing w:after="0" w:line="399"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91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6"/>
          </w:tcPr>
          <w:p>
            <w:pPr>
              <w:ind w:left="1500"/>
              <w:spacing w:after="0"/>
              <w:rPr>
                <w:sz w:val="20"/>
                <w:szCs w:val="20"/>
                <w:color w:val="auto"/>
              </w:rPr>
            </w:pPr>
            <w:r>
              <w:rPr>
                <w:rFonts w:ascii="Arial" w:cs="Arial" w:eastAsia="Arial" w:hAnsi="Arial"/>
                <w:sz w:val="17"/>
                <w:szCs w:val="17"/>
                <w:b w:val="1"/>
                <w:bCs w:val="1"/>
                <w:color w:val="auto"/>
              </w:rPr>
              <w:t>Page</w:t>
            </w:r>
          </w:p>
        </w:tc>
      </w:tr>
      <w:tr>
        <w:trPr>
          <w:trHeight w:val="368"/>
        </w:trPr>
        <w:tc>
          <w:tcPr>
            <w:tcW w:w="9160" w:type="dxa"/>
            <w:vAlign w:val="bottom"/>
          </w:tcPr>
          <w:p>
            <w:pPr>
              <w:ind w:left="20"/>
              <w:spacing w:after="0"/>
              <w:rPr>
                <w:sz w:val="20"/>
                <w:szCs w:val="20"/>
                <w:color w:val="auto"/>
              </w:rPr>
            </w:pPr>
            <w:r>
              <w:rPr>
                <w:rFonts w:ascii="Arial" w:cs="Arial" w:eastAsia="Arial" w:hAnsi="Arial"/>
                <w:sz w:val="17"/>
                <w:szCs w:val="17"/>
                <w:color w:val="auto"/>
              </w:rPr>
              <w:t>Report of Independent Registered Public Accounting Firm</w:t>
            </w:r>
          </w:p>
        </w:tc>
        <w:tc>
          <w:tcPr>
            <w:tcW w:w="1740" w:type="dxa"/>
            <w:vAlign w:val="bottom"/>
            <w:gridSpan w:val="3"/>
          </w:tcPr>
          <w:p>
            <w:pPr>
              <w:jc w:val="center"/>
              <w:ind w:left="1554"/>
              <w:spacing w:after="0"/>
              <w:rPr>
                <w:sz w:val="20"/>
                <w:szCs w:val="20"/>
                <w:color w:val="auto"/>
              </w:rPr>
            </w:pPr>
            <w:r>
              <w:rPr>
                <w:rFonts w:ascii="Arial" w:cs="Arial" w:eastAsia="Arial" w:hAnsi="Arial"/>
                <w:sz w:val="17"/>
                <w:szCs w:val="17"/>
                <w:color w:val="0000FF"/>
              </w:rPr>
              <w:t>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35"/>
        </w:trPr>
        <w:tc>
          <w:tcPr>
            <w:tcW w:w="9160" w:type="dxa"/>
            <w:vAlign w:val="bottom"/>
          </w:tcPr>
          <w:p>
            <w:pPr>
              <w:ind w:left="20"/>
              <w:spacing w:after="0"/>
              <w:rPr>
                <w:sz w:val="20"/>
                <w:szCs w:val="20"/>
                <w:color w:val="auto"/>
              </w:rPr>
            </w:pPr>
            <w:r>
              <w:rPr>
                <w:rFonts w:ascii="Arial" w:cs="Arial" w:eastAsia="Arial" w:hAnsi="Arial"/>
                <w:sz w:val="17"/>
                <w:szCs w:val="17"/>
                <w:color w:val="auto"/>
              </w:rPr>
              <w:t>Financial Statements:</w:t>
            </w:r>
          </w:p>
        </w:tc>
        <w:tc>
          <w:tcPr>
            <w:tcW w:w="1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185"/>
        </w:trPr>
        <w:tc>
          <w:tcPr>
            <w:tcW w:w="9160" w:type="dxa"/>
            <w:vAlign w:val="bottom"/>
          </w:tcPr>
          <w:p>
            <w:pPr>
              <w:ind w:left="220"/>
              <w:spacing w:after="0" w:line="185" w:lineRule="exact"/>
              <w:rPr>
                <w:sz w:val="20"/>
                <w:szCs w:val="20"/>
                <w:color w:val="auto"/>
              </w:rPr>
            </w:pPr>
            <w:r>
              <w:rPr>
                <w:rFonts w:ascii="Arial" w:cs="Arial" w:eastAsia="Arial" w:hAnsi="Arial"/>
                <w:sz w:val="17"/>
                <w:szCs w:val="17"/>
                <w:color w:val="auto"/>
              </w:rPr>
              <w:t>Statements of Net Assets Available for Benefits as of December 31, 2023 and 2022</w:t>
            </w:r>
          </w:p>
        </w:tc>
        <w:tc>
          <w:tcPr>
            <w:tcW w:w="1640" w:type="dxa"/>
            <w:vAlign w:val="bottom"/>
            <w:gridSpan w:val="2"/>
          </w:tcPr>
          <w:p>
            <w:pPr>
              <w:spacing w:after="0"/>
              <w:rPr>
                <w:sz w:val="16"/>
                <w:szCs w:val="16"/>
                <w:color w:val="auto"/>
              </w:rPr>
            </w:pPr>
          </w:p>
        </w:tc>
        <w:tc>
          <w:tcPr>
            <w:tcW w:w="100" w:type="dxa"/>
            <w:vAlign w:val="bottom"/>
            <w:tcBorders>
              <w:bottom w:val="single" w:sz="8" w:color="0000FF"/>
            </w:tcBorders>
          </w:tcPr>
          <w:p>
            <w:pPr>
              <w:jc w:val="center"/>
              <w:spacing w:after="0" w:line="185" w:lineRule="exact"/>
              <w:rPr>
                <w:sz w:val="20"/>
                <w:szCs w:val="20"/>
                <w:color w:val="auto"/>
              </w:rPr>
            </w:pPr>
            <w:r>
              <w:rPr>
                <w:rFonts w:ascii="Arial" w:cs="Arial" w:eastAsia="Arial" w:hAnsi="Arial"/>
                <w:sz w:val="17"/>
                <w:szCs w:val="17"/>
                <w:color w:val="0000FF"/>
              </w:rPr>
              <w:t>2</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00"/>
        </w:trPr>
        <w:tc>
          <w:tcPr>
            <w:tcW w:w="9160" w:type="dxa"/>
            <w:vAlign w:val="bottom"/>
          </w:tcPr>
          <w:p>
            <w:pPr>
              <w:ind w:left="220"/>
              <w:spacing w:after="0"/>
              <w:rPr>
                <w:sz w:val="20"/>
                <w:szCs w:val="20"/>
                <w:color w:val="auto"/>
              </w:rPr>
            </w:pPr>
            <w:r>
              <w:rPr>
                <w:rFonts w:ascii="Arial" w:cs="Arial" w:eastAsia="Arial" w:hAnsi="Arial"/>
                <w:sz w:val="17"/>
                <w:szCs w:val="17"/>
                <w:color w:val="auto"/>
              </w:rPr>
              <w:t>Statement of Changes in Net Assets Available for Benefits for the year ended December 31, 2023</w:t>
            </w:r>
          </w:p>
        </w:tc>
        <w:tc>
          <w:tcPr>
            <w:tcW w:w="1640" w:type="dxa"/>
            <w:vAlign w:val="bottom"/>
            <w:gridSpan w:val="2"/>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rPr>
              <w:t>3</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25"/>
        </w:trPr>
        <w:tc>
          <w:tcPr>
            <w:tcW w:w="9160" w:type="dxa"/>
            <w:vAlign w:val="bottom"/>
          </w:tcPr>
          <w:p>
            <w:pPr>
              <w:ind w:left="220"/>
              <w:spacing w:after="0"/>
              <w:rPr>
                <w:sz w:val="20"/>
                <w:szCs w:val="20"/>
                <w:color w:val="auto"/>
              </w:rPr>
            </w:pPr>
            <w:r>
              <w:rPr>
                <w:rFonts w:ascii="Arial" w:cs="Arial" w:eastAsia="Arial" w:hAnsi="Arial"/>
                <w:sz w:val="17"/>
                <w:szCs w:val="17"/>
                <w:color w:val="auto"/>
              </w:rPr>
              <w:t>Notes to Financial Statements</w:t>
            </w:r>
          </w:p>
        </w:tc>
        <w:tc>
          <w:tcPr>
            <w:tcW w:w="1740" w:type="dxa"/>
            <w:vAlign w:val="bottom"/>
            <w:gridSpan w:val="3"/>
          </w:tcPr>
          <w:p>
            <w:pPr>
              <w:jc w:val="center"/>
              <w:ind w:left="1554"/>
              <w:spacing w:after="0"/>
              <w:rPr>
                <w:sz w:val="20"/>
                <w:szCs w:val="20"/>
                <w:color w:val="auto"/>
              </w:rPr>
            </w:pPr>
            <w:r>
              <w:rPr>
                <w:rFonts w:ascii="Arial" w:cs="Arial" w:eastAsia="Arial" w:hAnsi="Arial"/>
                <w:sz w:val="17"/>
                <w:szCs w:val="17"/>
                <w:color w:val="0000FF"/>
              </w:rPr>
              <w:t>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41"/>
        </w:trPr>
        <w:tc>
          <w:tcPr>
            <w:tcW w:w="9160" w:type="dxa"/>
            <w:vAlign w:val="bottom"/>
          </w:tcPr>
          <w:p>
            <w:pPr>
              <w:ind w:left="20"/>
              <w:spacing w:after="0"/>
              <w:rPr>
                <w:sz w:val="20"/>
                <w:szCs w:val="20"/>
                <w:color w:val="auto"/>
              </w:rPr>
            </w:pPr>
            <w:r>
              <w:rPr>
                <w:rFonts w:ascii="Arial" w:cs="Arial" w:eastAsia="Arial" w:hAnsi="Arial"/>
                <w:sz w:val="17"/>
                <w:szCs w:val="17"/>
                <w:color w:val="auto"/>
              </w:rPr>
              <w:t>Supplemental Schedule: *</w:t>
            </w:r>
          </w:p>
        </w:tc>
        <w:tc>
          <w:tcPr>
            <w:tcW w:w="1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30"/>
        </w:trPr>
        <w:tc>
          <w:tcPr>
            <w:tcW w:w="9160" w:type="dxa"/>
            <w:vAlign w:val="bottom"/>
          </w:tcPr>
          <w:p>
            <w:pPr>
              <w:ind w:left="220"/>
              <w:spacing w:after="0"/>
              <w:rPr>
                <w:sz w:val="20"/>
                <w:szCs w:val="20"/>
                <w:color w:val="auto"/>
              </w:rPr>
            </w:pPr>
            <w:r>
              <w:rPr>
                <w:rFonts w:ascii="Arial" w:cs="Arial" w:eastAsia="Arial" w:hAnsi="Arial"/>
                <w:sz w:val="17"/>
                <w:szCs w:val="17"/>
                <w:color w:val="auto"/>
              </w:rPr>
              <w:t>Schedule H, Part IV, Line 4i—Schedule of Assets (Held at End of Year)</w:t>
            </w:r>
          </w:p>
        </w:tc>
        <w:tc>
          <w:tcPr>
            <w:tcW w:w="1600" w:type="dxa"/>
            <w:vAlign w:val="bottom"/>
          </w:tcPr>
          <w:p>
            <w:pPr>
              <w:spacing w:after="0"/>
              <w:rPr>
                <w:sz w:val="20"/>
                <w:szCs w:val="20"/>
                <w:color w:val="auto"/>
              </w:rPr>
            </w:pPr>
          </w:p>
        </w:tc>
        <w:tc>
          <w:tcPr>
            <w:tcW w:w="200" w:type="dxa"/>
            <w:vAlign w:val="bottom"/>
            <w:tcBorders>
              <w:bottom w:val="single" w:sz="8" w:color="0000FF"/>
            </w:tcBorders>
            <w:gridSpan w:val="4"/>
          </w:tcPr>
          <w:p>
            <w:pPr>
              <w:jc w:val="center"/>
              <w:spacing w:after="0"/>
              <w:rPr>
                <w:sz w:val="20"/>
                <w:szCs w:val="20"/>
                <w:color w:val="auto"/>
              </w:rPr>
            </w:pPr>
            <w:r>
              <w:rPr>
                <w:rFonts w:ascii="Arial" w:cs="Arial" w:eastAsia="Arial" w:hAnsi="Arial"/>
                <w:sz w:val="17"/>
                <w:szCs w:val="17"/>
                <w:color w:val="0000FF"/>
              </w:rPr>
              <w:t>10</w:t>
            </w:r>
          </w:p>
        </w:tc>
        <w:tc>
          <w:tcPr>
            <w:tcW w:w="260" w:type="dxa"/>
            <w:vAlign w:val="bottom"/>
          </w:tcPr>
          <w:p>
            <w:pPr>
              <w:spacing w:after="0"/>
              <w:rPr>
                <w:sz w:val="20"/>
                <w:szCs w:val="20"/>
                <w:color w:val="auto"/>
              </w:rPr>
            </w:pPr>
          </w:p>
        </w:tc>
      </w:tr>
      <w:tr>
        <w:trPr>
          <w:trHeight w:val="225"/>
        </w:trPr>
        <w:tc>
          <w:tcPr>
            <w:tcW w:w="9160" w:type="dxa"/>
            <w:vAlign w:val="bottom"/>
          </w:tcPr>
          <w:p>
            <w:pPr>
              <w:ind w:left="20"/>
              <w:spacing w:after="0"/>
              <w:rPr>
                <w:sz w:val="20"/>
                <w:szCs w:val="20"/>
                <w:color w:val="auto"/>
              </w:rPr>
            </w:pPr>
            <w:r>
              <w:rPr>
                <w:rFonts w:ascii="Arial" w:cs="Arial" w:eastAsia="Arial" w:hAnsi="Arial"/>
                <w:sz w:val="17"/>
                <w:szCs w:val="17"/>
                <w:color w:val="auto"/>
              </w:rPr>
              <w:t>Index to Exhibits</w:t>
            </w:r>
          </w:p>
        </w:tc>
        <w:tc>
          <w:tcPr>
            <w:tcW w:w="1600" w:type="dxa"/>
            <w:vAlign w:val="bottom"/>
          </w:tcPr>
          <w:p>
            <w:pPr>
              <w:spacing w:after="0"/>
              <w:rPr>
                <w:sz w:val="19"/>
                <w:szCs w:val="19"/>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7"/>
                <w:szCs w:val="17"/>
                <w:color w:val="0000FF"/>
                <w:w w:val="94"/>
              </w:rPr>
              <w:t>11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25"/>
        </w:trPr>
        <w:tc>
          <w:tcPr>
            <w:tcW w:w="9160" w:type="dxa"/>
            <w:vAlign w:val="bottom"/>
          </w:tcPr>
          <w:p>
            <w:pPr>
              <w:ind w:left="20"/>
              <w:spacing w:after="0"/>
              <w:rPr>
                <w:sz w:val="20"/>
                <w:szCs w:val="20"/>
                <w:color w:val="auto"/>
              </w:rPr>
            </w:pPr>
            <w:r>
              <w:rPr>
                <w:rFonts w:ascii="Arial" w:cs="Arial" w:eastAsia="Arial" w:hAnsi="Arial"/>
                <w:sz w:val="17"/>
                <w:szCs w:val="17"/>
                <w:color w:val="auto"/>
              </w:rPr>
              <w:t>Signatures</w:t>
            </w:r>
          </w:p>
        </w:tc>
        <w:tc>
          <w:tcPr>
            <w:tcW w:w="1600" w:type="dxa"/>
            <w:vAlign w:val="bottom"/>
          </w:tcPr>
          <w:p>
            <w:pPr>
              <w:spacing w:after="0"/>
              <w:rPr>
                <w:sz w:val="19"/>
                <w:szCs w:val="19"/>
                <w:color w:val="auto"/>
              </w:rPr>
            </w:pPr>
          </w:p>
        </w:tc>
        <w:tc>
          <w:tcPr>
            <w:tcW w:w="200" w:type="dxa"/>
            <w:vAlign w:val="bottom"/>
            <w:tcBorders>
              <w:bottom w:val="single" w:sz="8" w:color="0000FF"/>
            </w:tcBorders>
            <w:gridSpan w:val="4"/>
          </w:tcPr>
          <w:p>
            <w:pPr>
              <w:jc w:val="center"/>
              <w:spacing w:after="0"/>
              <w:rPr>
                <w:sz w:val="20"/>
                <w:szCs w:val="20"/>
                <w:color w:val="auto"/>
              </w:rPr>
            </w:pPr>
            <w:r>
              <w:rPr>
                <w:rFonts w:ascii="Arial" w:cs="Arial" w:eastAsia="Arial" w:hAnsi="Arial"/>
                <w:sz w:val="17"/>
                <w:szCs w:val="17"/>
                <w:color w:val="0000FF"/>
              </w:rPr>
              <w:t>12</w:t>
            </w:r>
          </w:p>
        </w:tc>
        <w:tc>
          <w:tcPr>
            <w:tcW w:w="260" w:type="dxa"/>
            <w:vAlign w:val="bottom"/>
          </w:tcPr>
          <w:p>
            <w:pPr>
              <w:spacing w:after="0"/>
              <w:rPr>
                <w:sz w:val="19"/>
                <w:szCs w:val="19"/>
                <w:color w:val="auto"/>
              </w:rPr>
            </w:pPr>
          </w:p>
        </w:tc>
      </w:tr>
    </w:tbl>
    <w:p>
      <w:pPr>
        <w:spacing w:after="0" w:line="168" w:lineRule="exact"/>
        <w:rPr>
          <w:sz w:val="20"/>
          <w:szCs w:val="20"/>
          <w:color w:val="auto"/>
        </w:rPr>
      </w:pPr>
    </w:p>
    <w:p>
      <w:pPr>
        <w:ind w:left="2860"/>
        <w:spacing w:after="0"/>
        <w:rPr>
          <w:sz w:val="20"/>
          <w:szCs w:val="20"/>
          <w:color w:val="auto"/>
        </w:rPr>
      </w:pPr>
      <w:r>
        <w:rPr>
          <w:rFonts w:ascii="Arial" w:cs="Arial" w:eastAsia="Arial" w:hAnsi="Arial"/>
          <w:sz w:val="21"/>
          <w:szCs w:val="21"/>
          <w:color w:val="auto"/>
        </w:rPr>
        <w:t>________________________________________________</w:t>
      </w:r>
    </w:p>
    <w:p>
      <w:pPr>
        <w:spacing w:after="0" w:line="346" w:lineRule="exact"/>
        <w:rPr>
          <w:sz w:val="20"/>
          <w:szCs w:val="20"/>
          <w:color w:val="auto"/>
        </w:rPr>
      </w:pPr>
    </w:p>
    <w:p>
      <w:pPr>
        <w:ind w:right="100" w:firstLine="3"/>
        <w:spacing w:after="0" w:line="279" w:lineRule="auto"/>
        <w:tabs>
          <w:tab w:leader="none" w:pos="92" w:val="left"/>
        </w:tabs>
        <w:numPr>
          <w:ilvl w:val="0"/>
          <w:numId w:val="3"/>
        </w:numPr>
        <w:rPr>
          <w:rFonts w:ascii="Arial" w:cs="Arial" w:eastAsia="Arial" w:hAnsi="Arial"/>
          <w:sz w:val="14"/>
          <w:szCs w:val="14"/>
          <w:color w:val="auto"/>
        </w:rPr>
      </w:pPr>
      <w:r>
        <w:rPr>
          <w:rFonts w:ascii="Arial" w:cs="Arial" w:eastAsia="Arial" w:hAnsi="Arial"/>
          <w:sz w:val="14"/>
          <w:szCs w:val="14"/>
          <w:color w:val="auto"/>
        </w:rPr>
        <w:t>Other schedules required by Section 2520.103-10 of the Department of Labor’s Rules and Regulations for Reporting and Disclosure under the Employee Retirement Income Security Act of 1974 have been omitted because they are not applicable.</w:t>
      </w:r>
    </w:p>
    <w:p>
      <w:pPr>
        <w:sectPr>
          <w:pgSz w:w="11900" w:h="16838" w:orient="portrait"/>
          <w:cols w:equalWidth="0" w:num="1">
            <w:col w:w="11240"/>
          </w:cols>
          <w:pgMar w:left="320" w:top="837"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21"/>
          <w:szCs w:val="21"/>
          <w:b w:val="1"/>
          <w:bCs w:val="1"/>
          <w:color w:val="auto"/>
        </w:rPr>
        <w:t>REPORT OF INDEPENDENT REGISTERED PUBLIC ACCOUNTING FIRM</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color w:val="auto"/>
        </w:rPr>
        <w:t>To the Participants and Administrative Committee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Savings Plan for Graham Holdings Company</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Opinion on the Financial Statements</w:t>
      </w:r>
    </w:p>
    <w:p>
      <w:pPr>
        <w:spacing w:after="0" w:line="153"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We have audited the accompanying statements of net assets available for benefits of The Savings Plan for Graham Holdings Company (the Plan) as of December 31, 2023 and 2022, and the related statement of changes in net assets available for benefits for the year ended December 31,</w:t>
      </w:r>
    </w:p>
    <w:p>
      <w:pPr>
        <w:spacing w:after="0"/>
        <w:rPr>
          <w:sz w:val="20"/>
          <w:szCs w:val="20"/>
          <w:color w:val="auto"/>
        </w:rPr>
      </w:pPr>
      <w:r>
        <w:rPr>
          <w:rFonts w:ascii="Arial" w:cs="Arial" w:eastAsia="Arial" w:hAnsi="Arial"/>
          <w:sz w:val="17"/>
          <w:szCs w:val="17"/>
          <w:color w:val="auto"/>
        </w:rPr>
        <w:t>2023, and the related notes (collectively referred to as the financial statements). In our opinion, the financial statements present fairly, in all material</w:t>
      </w:r>
    </w:p>
    <w:p>
      <w:pPr>
        <w:ind w:right="140"/>
        <w:spacing w:after="0" w:line="239" w:lineRule="auto"/>
        <w:rPr>
          <w:sz w:val="20"/>
          <w:szCs w:val="20"/>
          <w:color w:val="auto"/>
        </w:rPr>
      </w:pPr>
      <w:r>
        <w:rPr>
          <w:rFonts w:ascii="Arial" w:cs="Arial" w:eastAsia="Arial" w:hAnsi="Arial"/>
          <w:sz w:val="17"/>
          <w:szCs w:val="17"/>
          <w:color w:val="auto"/>
        </w:rPr>
        <w:t>respects, the net assets available for benefits of the Plan as of December 31, 2023 and 2022, and the changes in net assets available for benefits for the year ended December 31, 2023, in conformity with accounting principles generally accepted in the United States of America.</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for Opinion</w:t>
      </w:r>
    </w:p>
    <w:p>
      <w:pPr>
        <w:spacing w:after="0" w:line="153" w:lineRule="exact"/>
        <w:rPr>
          <w:sz w:val="20"/>
          <w:szCs w:val="20"/>
          <w:color w:val="auto"/>
        </w:rPr>
      </w:pPr>
    </w:p>
    <w:p>
      <w:pPr>
        <w:ind w:right="160"/>
        <w:spacing w:after="0" w:line="239" w:lineRule="auto"/>
        <w:rPr>
          <w:sz w:val="20"/>
          <w:szCs w:val="20"/>
          <w:color w:val="auto"/>
        </w:rPr>
      </w:pPr>
      <w:r>
        <w:rPr>
          <w:rFonts w:ascii="Arial" w:cs="Arial" w:eastAsia="Arial" w:hAnsi="Arial"/>
          <w:sz w:val="17"/>
          <w:szCs w:val="17"/>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w:t>
      </w:r>
    </w:p>
    <w:p>
      <w:pPr>
        <w:spacing w:after="0" w:line="1" w:lineRule="exact"/>
        <w:rPr>
          <w:sz w:val="20"/>
          <w:szCs w:val="20"/>
          <w:color w:val="auto"/>
        </w:rPr>
      </w:pPr>
    </w:p>
    <w:p>
      <w:pPr>
        <w:ind w:right="160"/>
        <w:spacing w:after="0" w:line="239" w:lineRule="auto"/>
        <w:rPr>
          <w:sz w:val="20"/>
          <w:szCs w:val="20"/>
          <w:color w:val="auto"/>
        </w:rPr>
      </w:pPr>
      <w:r>
        <w:rPr>
          <w:rFonts w:ascii="Arial" w:cs="Arial" w:eastAsia="Arial" w:hAnsi="Arial"/>
          <w:sz w:val="17"/>
          <w:szCs w:val="17"/>
          <w:color w:val="auto"/>
        </w:rPr>
        <w:t>(PCAOB) and are required to be independent with respect to the Plan in accordance with the U.S. federal securities laws and the applicable rules and regulations of the Securities and Exchange Commission and the PCAOB.</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w:t>
      </w:r>
    </w:p>
    <w:p>
      <w:pPr>
        <w:spacing w:after="0" w:line="14" w:lineRule="exact"/>
        <w:rPr>
          <w:sz w:val="20"/>
          <w:szCs w:val="20"/>
          <w:color w:val="auto"/>
        </w:rPr>
      </w:pPr>
    </w:p>
    <w:p>
      <w:pPr>
        <w:ind w:right="260"/>
        <w:spacing w:after="0" w:line="230" w:lineRule="auto"/>
        <w:rPr>
          <w:sz w:val="20"/>
          <w:szCs w:val="20"/>
          <w:color w:val="auto"/>
        </w:rPr>
      </w:pPr>
      <w:r>
        <w:rPr>
          <w:rFonts w:ascii="Arial" w:cs="Arial" w:eastAsia="Arial" w:hAnsi="Arial"/>
          <w:sz w:val="17"/>
          <w:szCs w:val="17"/>
          <w:color w:val="auto"/>
        </w:rPr>
        <w:t>reasonable assurance about whether the financial statements are free of material misstatement, whether due to error or fraud. The Plan is not required to have, nor were we engaged to perform, an audit of its internal control over financial reporting. As part of our audit, we are required to</w:t>
      </w:r>
    </w:p>
    <w:p>
      <w:pPr>
        <w:ind w:right="420"/>
        <w:spacing w:after="0" w:line="255" w:lineRule="auto"/>
        <w:rPr>
          <w:sz w:val="20"/>
          <w:szCs w:val="20"/>
          <w:color w:val="auto"/>
        </w:rPr>
      </w:pPr>
      <w:r>
        <w:rPr>
          <w:rFonts w:ascii="Arial" w:cs="Arial" w:eastAsia="Arial" w:hAnsi="Arial"/>
          <w:sz w:val="17"/>
          <w:szCs w:val="17"/>
          <w:color w:val="auto"/>
        </w:rPr>
        <w:t>obtain an understanding of internal control over financial reporting, but not for the purpose of expressing an opinion on the effectiveness of the Plan’s internal control over financial reporting. Accordingly, we express no such opinion.</w:t>
      </w:r>
    </w:p>
    <w:p>
      <w:pPr>
        <w:spacing w:after="0" w:line="98"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w:t>
      </w:r>
    </w:p>
    <w:p>
      <w:pPr>
        <w:spacing w:after="0" w:line="1" w:lineRule="exact"/>
        <w:rPr>
          <w:sz w:val="20"/>
          <w:szCs w:val="20"/>
          <w:color w:val="auto"/>
        </w:rPr>
      </w:pPr>
    </w:p>
    <w:p>
      <w:pPr>
        <w:ind w:right="200"/>
        <w:spacing w:after="0" w:line="230" w:lineRule="auto"/>
        <w:rPr>
          <w:sz w:val="20"/>
          <w:szCs w:val="20"/>
          <w:color w:val="auto"/>
        </w:rPr>
      </w:pPr>
      <w:r>
        <w:rPr>
          <w:rFonts w:ascii="Arial" w:cs="Arial" w:eastAsia="Arial" w:hAnsi="Arial"/>
          <w:sz w:val="17"/>
          <w:szCs w:val="17"/>
          <w:color w:val="auto"/>
        </w:rPr>
        <w:t>disclosures in the financial statements. Our audits also included evaluating the accounting principles used and significant estimates made by management, as well as evaluating the overall presentation of the financial statements. We believe that our audit provides a reasonable basis for</w:t>
      </w:r>
    </w:p>
    <w:p>
      <w:pPr>
        <w:spacing w:after="0"/>
        <w:rPr>
          <w:sz w:val="20"/>
          <w:szCs w:val="20"/>
          <w:color w:val="auto"/>
        </w:rPr>
      </w:pPr>
      <w:r>
        <w:rPr>
          <w:rFonts w:ascii="Arial" w:cs="Arial" w:eastAsia="Arial" w:hAnsi="Arial"/>
          <w:sz w:val="17"/>
          <w:szCs w:val="17"/>
          <w:color w:val="auto"/>
        </w:rPr>
        <w:t>our opinion.</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Supplemental Information</w:t>
      </w:r>
    </w:p>
    <w:p>
      <w:pPr>
        <w:spacing w:after="0" w:line="153"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The supplemental information in the accompanying Schedule H, Part IV, Line 4i─Schedule of Assets (Held at End of Year) as of December 31, 2023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Plan’s auditor since 2007.</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color w:val="auto"/>
        </w:rPr>
        <w:t>/s/ Johnson Lambert LLP</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Vienna, Virginia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October 4, 2024</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20"/>
          </w:cols>
          <w:pgMar w:left="320" w:top="850" w:right="359" w:bottom="1440" w:gutter="0" w:footer="0" w:header="0"/>
        </w:sectPr>
      </w:pPr>
    </w:p>
    <w:bookmarkStart w:id="3" w:name="page4"/>
    <w:bookmarkEnd w:id="3"/>
    <w:p>
      <w:pPr>
        <w:ind w:left="2760"/>
        <w:spacing w:after="0"/>
        <w:rPr>
          <w:sz w:val="20"/>
          <w:szCs w:val="20"/>
          <w:color w:val="auto"/>
        </w:rPr>
      </w:pPr>
      <w:r>
        <w:rPr>
          <w:rFonts w:ascii="Arial" w:cs="Arial" w:eastAsia="Arial" w:hAnsi="Arial"/>
          <w:sz w:val="21"/>
          <w:szCs w:val="21"/>
          <w:b w:val="1"/>
          <w:bCs w:val="1"/>
          <w:color w:val="auto"/>
        </w:rPr>
        <w:t>THE SAVINGS PLAN FOR GRAHAM HOLDINGS COMPANY</w:t>
      </w:r>
    </w:p>
    <w:p>
      <w:pPr>
        <w:ind w:left="2700"/>
        <w:spacing w:after="0"/>
        <w:rPr>
          <w:sz w:val="20"/>
          <w:szCs w:val="20"/>
          <w:color w:val="auto"/>
        </w:rPr>
      </w:pPr>
      <w:r>
        <w:rPr>
          <w:rFonts w:ascii="Arial" w:cs="Arial" w:eastAsia="Arial" w:hAnsi="Arial"/>
          <w:sz w:val="21"/>
          <w:szCs w:val="21"/>
          <w:b w:val="1"/>
          <w:bCs w:val="1"/>
          <w:color w:val="auto"/>
        </w:rPr>
        <w:t>STATEMENTS OF NET ASSETS AVAILABLE FOR BENEFITS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40" w:type="dxa"/>
            <w:vAlign w:val="bottom"/>
            <w:tcBorders>
              <w:bottom w:val="single" w:sz="8" w:color="auto"/>
            </w:tcBorders>
          </w:tcPr>
          <w:p>
            <w:pPr>
              <w:spacing w:after="0"/>
              <w:rPr>
                <w:sz w:val="16"/>
                <w:szCs w:val="16"/>
                <w:color w:val="auto"/>
              </w:rPr>
            </w:pPr>
          </w:p>
        </w:tc>
      </w:tr>
      <w:tr>
        <w:trPr>
          <w:trHeight w:val="187"/>
        </w:trPr>
        <w:tc>
          <w:tcPr>
            <w:tcW w:w="80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5"/>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w w:val="96"/>
              </w:rPr>
              <w:t>2022</w:t>
            </w:r>
          </w:p>
        </w:tc>
      </w:tr>
      <w:tr>
        <w:trPr>
          <w:trHeight w:val="395"/>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4"/>
        </w:trPr>
        <w:tc>
          <w:tcPr>
            <w:tcW w:w="8040" w:type="dxa"/>
            <w:vAlign w:val="bottom"/>
          </w:tcPr>
          <w:p>
            <w:pPr>
              <w:ind w:left="20"/>
              <w:spacing w:after="0"/>
              <w:rPr>
                <w:sz w:val="20"/>
                <w:szCs w:val="20"/>
                <w:color w:val="auto"/>
              </w:rPr>
            </w:pPr>
            <w:r>
              <w:rPr>
                <w:rFonts w:ascii="Arial" w:cs="Arial" w:eastAsia="Arial" w:hAnsi="Arial"/>
                <w:sz w:val="16"/>
                <w:szCs w:val="16"/>
                <w:color w:val="auto"/>
              </w:rPr>
              <w:t>Plan interest in Graham Holdings Company Master Trust (Note 5)</w:t>
            </w:r>
          </w:p>
        </w:tc>
        <w:tc>
          <w:tcPr>
            <w:tcW w:w="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465,638,644</w:t>
            </w:r>
          </w:p>
        </w:tc>
        <w:tc>
          <w:tcPr>
            <w:tcW w:w="68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w w:val="94"/>
              </w:rPr>
              <w:t>407,635,060</w:t>
            </w:r>
          </w:p>
        </w:tc>
      </w:tr>
      <w:tr>
        <w:trPr>
          <w:trHeight w:val="200"/>
        </w:trPr>
        <w:tc>
          <w:tcPr>
            <w:tcW w:w="8040" w:type="dxa"/>
            <w:vAlign w:val="bottom"/>
          </w:tcPr>
          <w:p>
            <w:pPr>
              <w:ind w:left="220"/>
              <w:spacing w:after="0"/>
              <w:rPr>
                <w:sz w:val="20"/>
                <w:szCs w:val="20"/>
                <w:color w:val="auto"/>
              </w:rPr>
            </w:pPr>
            <w:r>
              <w:rPr>
                <w:rFonts w:ascii="Arial" w:cs="Arial" w:eastAsia="Arial" w:hAnsi="Arial"/>
                <w:sz w:val="16"/>
                <w:szCs w:val="16"/>
                <w:color w:val="auto"/>
              </w:rPr>
              <w:t>Total investments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465,638,644</w:t>
            </w:r>
          </w:p>
        </w:tc>
        <w:tc>
          <w:tcPr>
            <w:tcW w:w="6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w w:val="94"/>
              </w:rPr>
              <w:t>407,635,060</w:t>
            </w:r>
          </w:p>
        </w:tc>
      </w:tr>
      <w:tr>
        <w:trPr>
          <w:trHeight w:val="393"/>
        </w:trPr>
        <w:tc>
          <w:tcPr>
            <w:tcW w:w="8040" w:type="dxa"/>
            <w:vAlign w:val="bottom"/>
          </w:tcPr>
          <w:p>
            <w:pPr>
              <w:ind w:left="20"/>
              <w:spacing w:after="0"/>
              <w:rPr>
                <w:sz w:val="20"/>
                <w:szCs w:val="20"/>
                <w:color w:val="auto"/>
              </w:rPr>
            </w:pPr>
            <w:r>
              <w:rPr>
                <w:rFonts w:ascii="Arial" w:cs="Arial" w:eastAsia="Arial" w:hAnsi="Arial"/>
                <w:sz w:val="16"/>
                <w:szCs w:val="16"/>
                <w:color w:val="auto"/>
              </w:rPr>
              <w:t>Receivables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7"/>
        </w:trPr>
        <w:tc>
          <w:tcPr>
            <w:tcW w:w="8040" w:type="dxa"/>
            <w:vAlign w:val="bottom"/>
          </w:tcPr>
          <w:p>
            <w:pPr>
              <w:ind w:left="120"/>
              <w:spacing w:after="0"/>
              <w:rPr>
                <w:sz w:val="20"/>
                <w:szCs w:val="20"/>
                <w:color w:val="auto"/>
              </w:rPr>
            </w:pPr>
            <w:r>
              <w:rPr>
                <w:rFonts w:ascii="Arial" w:cs="Arial" w:eastAsia="Arial" w:hAnsi="Arial"/>
                <w:sz w:val="16"/>
                <w:szCs w:val="16"/>
                <w:color w:val="auto"/>
              </w:rPr>
              <w:t>Plan assets and notes receivable - Leaf Group Ltd. 401(k) Plan (Note 1)</w:t>
            </w:r>
          </w:p>
        </w:tc>
        <w:tc>
          <w:tcPr>
            <w:tcW w:w="360" w:type="dxa"/>
            <w:vAlign w:val="bottom"/>
          </w:tcPr>
          <w:p>
            <w:pPr>
              <w:spacing w:after="0"/>
              <w:rPr>
                <w:sz w:val="17"/>
                <w:szCs w:val="17"/>
                <w:color w:val="auto"/>
              </w:rPr>
            </w:pPr>
          </w:p>
        </w:tc>
        <w:tc>
          <w:tcPr>
            <w:tcW w:w="1200" w:type="dxa"/>
            <w:vAlign w:val="bottom"/>
          </w:tcPr>
          <w:p>
            <w:pPr>
              <w:jc w:val="right"/>
              <w:ind w:right="25"/>
              <w:spacing w:after="0"/>
              <w:rPr>
                <w:sz w:val="20"/>
                <w:szCs w:val="20"/>
                <w:color w:val="auto"/>
              </w:rPr>
            </w:pPr>
            <w:r>
              <w:rPr>
                <w:rFonts w:ascii="Arial" w:cs="Arial" w:eastAsia="Arial" w:hAnsi="Arial"/>
                <w:sz w:val="16"/>
                <w:szCs w:val="16"/>
                <w:color w:val="auto"/>
              </w:rPr>
              <w:t>39,384,784</w:t>
            </w:r>
          </w:p>
        </w:tc>
        <w:tc>
          <w:tcPr>
            <w:tcW w:w="6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040" w:type="dxa"/>
            <w:vAlign w:val="bottom"/>
          </w:tcPr>
          <w:p>
            <w:pPr>
              <w:ind w:left="120"/>
              <w:spacing w:after="0"/>
              <w:rPr>
                <w:sz w:val="20"/>
                <w:szCs w:val="20"/>
                <w:color w:val="auto"/>
              </w:rPr>
            </w:pPr>
            <w:r>
              <w:rPr>
                <w:rFonts w:ascii="Arial" w:cs="Arial" w:eastAsia="Arial" w:hAnsi="Arial"/>
                <w:sz w:val="16"/>
                <w:szCs w:val="16"/>
                <w:color w:val="auto"/>
              </w:rPr>
              <w:t>Notes receivable from participants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53,947</w:t>
            </w:r>
          </w:p>
        </w:tc>
        <w:tc>
          <w:tcPr>
            <w:tcW w:w="6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148,511</w:t>
            </w:r>
          </w:p>
        </w:tc>
      </w:tr>
      <w:tr>
        <w:trPr>
          <w:trHeight w:val="200"/>
        </w:trPr>
        <w:tc>
          <w:tcPr>
            <w:tcW w:w="8040" w:type="dxa"/>
            <w:vAlign w:val="bottom"/>
          </w:tcPr>
          <w:p>
            <w:pPr>
              <w:ind w:left="220"/>
              <w:spacing w:after="0"/>
              <w:rPr>
                <w:sz w:val="20"/>
                <w:szCs w:val="20"/>
                <w:color w:val="auto"/>
              </w:rPr>
            </w:pPr>
            <w:r>
              <w:rPr>
                <w:rFonts w:ascii="Arial" w:cs="Arial" w:eastAsia="Arial" w:hAnsi="Arial"/>
                <w:sz w:val="16"/>
                <w:szCs w:val="16"/>
                <w:color w:val="auto"/>
              </w:rPr>
              <w:t>Total receivables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39,438,731</w:t>
            </w:r>
          </w:p>
        </w:tc>
        <w:tc>
          <w:tcPr>
            <w:tcW w:w="6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148,511</w:t>
            </w:r>
          </w:p>
        </w:tc>
      </w:tr>
      <w:tr>
        <w:trPr>
          <w:trHeight w:val="188"/>
        </w:trPr>
        <w:tc>
          <w:tcPr>
            <w:tcW w:w="8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00"/>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Net assets available for benefits</w:t>
            </w:r>
          </w:p>
        </w:tc>
        <w:tc>
          <w:tcPr>
            <w:tcW w:w="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505,077,375</w:t>
            </w:r>
          </w:p>
        </w:tc>
        <w:tc>
          <w:tcPr>
            <w:tcW w:w="68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w w:val="94"/>
              </w:rPr>
              <w:t>407,783,571</w:t>
            </w:r>
          </w:p>
        </w:tc>
      </w:tr>
      <w:tr>
        <w:trPr>
          <w:trHeight w:val="20"/>
        </w:trPr>
        <w:tc>
          <w:tcPr>
            <w:tcW w:w="8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See the accompanying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20"/>
          </w:cols>
          <w:pgMar w:left="320" w:top="822" w:right="3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1"/>
          <w:szCs w:val="21"/>
          <w:b w:val="1"/>
          <w:bCs w:val="1"/>
          <w:color w:val="auto"/>
        </w:rPr>
        <w:t>THE SAVINGS PLAN FOR GRAHAM HOLDINGS COMPANY</w:t>
      </w:r>
    </w:p>
    <w:p>
      <w:pPr>
        <w:jc w:val="center"/>
        <w:ind w:right="-19"/>
        <w:spacing w:after="0"/>
        <w:rPr>
          <w:sz w:val="20"/>
          <w:szCs w:val="20"/>
          <w:color w:val="auto"/>
        </w:rPr>
      </w:pPr>
      <w:r>
        <w:rPr>
          <w:rFonts w:ascii="Arial" w:cs="Arial" w:eastAsia="Arial" w:hAnsi="Arial"/>
          <w:sz w:val="21"/>
          <w:szCs w:val="21"/>
          <w:b w:val="1"/>
          <w:bCs w:val="1"/>
          <w:color w:val="auto"/>
        </w:rPr>
        <w:t>STATEMENT OF CHANGES IN NET ASSETS AVAILABLE FOR BENEFITS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4"/>
                <w:szCs w:val="14"/>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Year Ended December</w:t>
            </w:r>
          </w:p>
        </w:tc>
      </w:tr>
      <w:tr>
        <w:trPr>
          <w:trHeight w:val="177"/>
        </w:trPr>
        <w:tc>
          <w:tcPr>
            <w:tcW w:w="96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31, 2023</w:t>
            </w:r>
          </w:p>
        </w:tc>
      </w:tr>
      <w:tr>
        <w:trPr>
          <w:trHeight w:val="394"/>
        </w:trPr>
        <w:tc>
          <w:tcPr>
            <w:tcW w:w="9680" w:type="dxa"/>
            <w:vAlign w:val="bottom"/>
          </w:tcPr>
          <w:p>
            <w:pPr>
              <w:ind w:left="20"/>
              <w:spacing w:after="0"/>
              <w:rPr>
                <w:sz w:val="20"/>
                <w:szCs w:val="20"/>
                <w:color w:val="auto"/>
              </w:rPr>
            </w:pPr>
            <w:r>
              <w:rPr>
                <w:rFonts w:ascii="Arial" w:cs="Arial" w:eastAsia="Arial" w:hAnsi="Arial"/>
                <w:sz w:val="16"/>
                <w:szCs w:val="16"/>
                <w:b w:val="1"/>
                <w:bCs w:val="1"/>
                <w:color w:val="auto"/>
              </w:rPr>
              <w:t>Investment income</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4"/>
        </w:trPr>
        <w:tc>
          <w:tcPr>
            <w:tcW w:w="9680" w:type="dxa"/>
            <w:vAlign w:val="bottom"/>
          </w:tcPr>
          <w:p>
            <w:pPr>
              <w:ind w:left="120"/>
              <w:spacing w:after="0"/>
              <w:rPr>
                <w:sz w:val="20"/>
                <w:szCs w:val="20"/>
                <w:color w:val="auto"/>
              </w:rPr>
            </w:pPr>
            <w:r>
              <w:rPr>
                <w:rFonts w:ascii="Arial" w:cs="Arial" w:eastAsia="Arial" w:hAnsi="Arial"/>
                <w:sz w:val="16"/>
                <w:szCs w:val="16"/>
                <w:color w:val="auto"/>
              </w:rPr>
              <w:t>Plan interest in investment income of the Graham Holdings Company Master Trust</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7"/>
        </w:trPr>
        <w:tc>
          <w:tcPr>
            <w:tcW w:w="9680" w:type="dxa"/>
            <w:vAlign w:val="bottom"/>
          </w:tcPr>
          <w:p>
            <w:pPr>
              <w:ind w:left="220"/>
              <w:spacing w:after="0"/>
              <w:rPr>
                <w:sz w:val="20"/>
                <w:szCs w:val="20"/>
                <w:color w:val="auto"/>
              </w:rPr>
            </w:pPr>
            <w:r>
              <w:rPr>
                <w:rFonts w:ascii="Arial" w:cs="Arial" w:eastAsia="Arial" w:hAnsi="Arial"/>
                <w:sz w:val="16"/>
                <w:szCs w:val="16"/>
                <w:color w:val="auto"/>
              </w:rPr>
              <w:t>Net appreciation in fair value of investments</w:t>
            </w:r>
          </w:p>
        </w:tc>
        <w:tc>
          <w:tcPr>
            <w:tcW w:w="300" w:type="dxa"/>
            <w:vAlign w:val="bottom"/>
          </w:tcPr>
          <w:p>
            <w:pPr>
              <w:jc w:val="right"/>
              <w:ind w:right="125"/>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61,252,451</w:t>
            </w:r>
          </w:p>
        </w:tc>
      </w:tr>
      <w:tr>
        <w:trPr>
          <w:trHeight w:val="207"/>
        </w:trPr>
        <w:tc>
          <w:tcPr>
            <w:tcW w:w="9680" w:type="dxa"/>
            <w:vAlign w:val="bottom"/>
          </w:tcPr>
          <w:p>
            <w:pPr>
              <w:ind w:left="220"/>
              <w:spacing w:after="0"/>
              <w:rPr>
                <w:sz w:val="20"/>
                <w:szCs w:val="20"/>
                <w:color w:val="auto"/>
              </w:rPr>
            </w:pPr>
            <w:r>
              <w:rPr>
                <w:rFonts w:ascii="Arial" w:cs="Arial" w:eastAsia="Arial" w:hAnsi="Arial"/>
                <w:sz w:val="16"/>
                <w:szCs w:val="16"/>
                <w:color w:val="auto"/>
              </w:rPr>
              <w:t>Interests and dividends</w:t>
            </w:r>
          </w:p>
        </w:tc>
        <w:tc>
          <w:tcPr>
            <w:tcW w:w="30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12,034,226</w:t>
            </w:r>
          </w:p>
        </w:tc>
      </w:tr>
      <w:tr>
        <w:trPr>
          <w:trHeight w:val="207"/>
        </w:trPr>
        <w:tc>
          <w:tcPr>
            <w:tcW w:w="9680" w:type="dxa"/>
            <w:vAlign w:val="bottom"/>
          </w:tcPr>
          <w:p>
            <w:pPr>
              <w:ind w:left="120"/>
              <w:spacing w:after="0"/>
              <w:rPr>
                <w:sz w:val="20"/>
                <w:szCs w:val="20"/>
                <w:color w:val="auto"/>
              </w:rPr>
            </w:pPr>
            <w:r>
              <w:rPr>
                <w:rFonts w:ascii="Arial" w:cs="Arial" w:eastAsia="Arial" w:hAnsi="Arial"/>
                <w:sz w:val="16"/>
                <w:szCs w:val="16"/>
                <w:color w:val="auto"/>
              </w:rPr>
              <w:t>Interest income - notes receivable</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5,216</w:t>
            </w:r>
          </w:p>
        </w:tc>
      </w:tr>
      <w:tr>
        <w:trPr>
          <w:trHeight w:val="200"/>
        </w:trPr>
        <w:tc>
          <w:tcPr>
            <w:tcW w:w="9680" w:type="dxa"/>
            <w:vAlign w:val="bottom"/>
          </w:tcPr>
          <w:p>
            <w:pPr>
              <w:ind w:left="340"/>
              <w:spacing w:after="0"/>
              <w:rPr>
                <w:sz w:val="20"/>
                <w:szCs w:val="20"/>
                <w:color w:val="auto"/>
              </w:rPr>
            </w:pPr>
            <w:r>
              <w:rPr>
                <w:rFonts w:ascii="Arial" w:cs="Arial" w:eastAsia="Arial" w:hAnsi="Arial"/>
                <w:sz w:val="16"/>
                <w:szCs w:val="16"/>
                <w:color w:val="auto"/>
              </w:rPr>
              <w:t>Total investment income</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73,291,893</w:t>
            </w:r>
          </w:p>
        </w:tc>
      </w:tr>
      <w:tr>
        <w:trPr>
          <w:trHeight w:val="396"/>
        </w:trPr>
        <w:tc>
          <w:tcPr>
            <w:tcW w:w="9680" w:type="dxa"/>
            <w:vAlign w:val="bottom"/>
          </w:tcPr>
          <w:p>
            <w:pPr>
              <w:ind w:left="20"/>
              <w:spacing w:after="0"/>
              <w:rPr>
                <w:sz w:val="20"/>
                <w:szCs w:val="20"/>
                <w:color w:val="auto"/>
              </w:rPr>
            </w:pPr>
            <w:r>
              <w:rPr>
                <w:rFonts w:ascii="Arial" w:cs="Arial" w:eastAsia="Arial" w:hAnsi="Arial"/>
                <w:sz w:val="16"/>
                <w:szCs w:val="16"/>
                <w:b w:val="1"/>
                <w:bCs w:val="1"/>
                <w:color w:val="auto"/>
              </w:rPr>
              <w:t>Contributions</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4"/>
        </w:trPr>
        <w:tc>
          <w:tcPr>
            <w:tcW w:w="9680" w:type="dxa"/>
            <w:vAlign w:val="bottom"/>
          </w:tcPr>
          <w:p>
            <w:pPr>
              <w:ind w:left="120"/>
              <w:spacing w:after="0"/>
              <w:rPr>
                <w:sz w:val="20"/>
                <w:szCs w:val="20"/>
                <w:color w:val="auto"/>
              </w:rPr>
            </w:pPr>
            <w:r>
              <w:rPr>
                <w:rFonts w:ascii="Arial" w:cs="Arial" w:eastAsia="Arial" w:hAnsi="Arial"/>
                <w:sz w:val="16"/>
                <w:szCs w:val="16"/>
                <w:color w:val="auto"/>
              </w:rPr>
              <w:t>Participant</w:t>
            </w:r>
          </w:p>
        </w:tc>
        <w:tc>
          <w:tcPr>
            <w:tcW w:w="30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13,532,245</w:t>
            </w:r>
          </w:p>
        </w:tc>
      </w:tr>
      <w:tr>
        <w:trPr>
          <w:trHeight w:val="207"/>
        </w:trPr>
        <w:tc>
          <w:tcPr>
            <w:tcW w:w="9680" w:type="dxa"/>
            <w:vAlign w:val="bottom"/>
          </w:tcPr>
          <w:p>
            <w:pPr>
              <w:ind w:left="120"/>
              <w:spacing w:after="0"/>
              <w:rPr>
                <w:sz w:val="20"/>
                <w:szCs w:val="20"/>
                <w:color w:val="auto"/>
              </w:rPr>
            </w:pPr>
            <w:r>
              <w:rPr>
                <w:rFonts w:ascii="Arial" w:cs="Arial" w:eastAsia="Arial" w:hAnsi="Arial"/>
                <w:sz w:val="16"/>
                <w:szCs w:val="16"/>
                <w:color w:val="auto"/>
              </w:rPr>
              <w:t>Employer</w:t>
            </w:r>
          </w:p>
        </w:tc>
        <w:tc>
          <w:tcPr>
            <w:tcW w:w="30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1,379,240</w:t>
            </w:r>
          </w:p>
        </w:tc>
      </w:tr>
      <w:tr>
        <w:trPr>
          <w:trHeight w:val="207"/>
        </w:trPr>
        <w:tc>
          <w:tcPr>
            <w:tcW w:w="9680" w:type="dxa"/>
            <w:vAlign w:val="bottom"/>
          </w:tcPr>
          <w:p>
            <w:pPr>
              <w:ind w:left="120"/>
              <w:spacing w:after="0"/>
              <w:rPr>
                <w:sz w:val="20"/>
                <w:szCs w:val="20"/>
                <w:color w:val="auto"/>
              </w:rPr>
            </w:pPr>
            <w:r>
              <w:rPr>
                <w:rFonts w:ascii="Arial" w:cs="Arial" w:eastAsia="Arial" w:hAnsi="Arial"/>
                <w:sz w:val="16"/>
                <w:szCs w:val="16"/>
                <w:color w:val="auto"/>
              </w:rPr>
              <w:t>Rollovers</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2,204,744</w:t>
            </w:r>
          </w:p>
        </w:tc>
      </w:tr>
      <w:tr>
        <w:trPr>
          <w:trHeight w:val="200"/>
        </w:trPr>
        <w:tc>
          <w:tcPr>
            <w:tcW w:w="9680" w:type="dxa"/>
            <w:vAlign w:val="bottom"/>
          </w:tcPr>
          <w:p>
            <w:pPr>
              <w:ind w:left="340"/>
              <w:spacing w:after="0"/>
              <w:rPr>
                <w:sz w:val="20"/>
                <w:szCs w:val="20"/>
                <w:color w:val="auto"/>
              </w:rPr>
            </w:pPr>
            <w:r>
              <w:rPr>
                <w:rFonts w:ascii="Arial" w:cs="Arial" w:eastAsia="Arial" w:hAnsi="Arial"/>
                <w:sz w:val="16"/>
                <w:szCs w:val="16"/>
                <w:color w:val="auto"/>
              </w:rPr>
              <w:t>Total contributions</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17,116,229</w:t>
            </w:r>
          </w:p>
        </w:tc>
      </w:tr>
      <w:tr>
        <w:trPr>
          <w:trHeight w:val="396"/>
        </w:trPr>
        <w:tc>
          <w:tcPr>
            <w:tcW w:w="9680" w:type="dxa"/>
            <w:vAlign w:val="bottom"/>
          </w:tcPr>
          <w:p>
            <w:pPr>
              <w:ind w:left="20"/>
              <w:spacing w:after="0"/>
              <w:rPr>
                <w:sz w:val="20"/>
                <w:szCs w:val="20"/>
                <w:color w:val="auto"/>
              </w:rPr>
            </w:pPr>
            <w:r>
              <w:rPr>
                <w:rFonts w:ascii="Arial" w:cs="Arial" w:eastAsia="Arial" w:hAnsi="Arial"/>
                <w:sz w:val="16"/>
                <w:szCs w:val="16"/>
                <w:b w:val="1"/>
                <w:bCs w:val="1"/>
                <w:color w:val="auto"/>
              </w:rPr>
              <w:t>Deductions</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4"/>
        </w:trPr>
        <w:tc>
          <w:tcPr>
            <w:tcW w:w="9680" w:type="dxa"/>
            <w:vAlign w:val="bottom"/>
          </w:tcPr>
          <w:p>
            <w:pPr>
              <w:ind w:left="120"/>
              <w:spacing w:after="0"/>
              <w:rPr>
                <w:sz w:val="20"/>
                <w:szCs w:val="20"/>
                <w:color w:val="auto"/>
              </w:rPr>
            </w:pPr>
            <w:r>
              <w:rPr>
                <w:rFonts w:ascii="Arial" w:cs="Arial" w:eastAsia="Arial" w:hAnsi="Arial"/>
                <w:sz w:val="16"/>
                <w:szCs w:val="16"/>
                <w:color w:val="auto"/>
              </w:rPr>
              <w:t>Benefits paid to participants</w:t>
            </w: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(36,033,565)</w:t>
            </w:r>
          </w:p>
        </w:tc>
      </w:tr>
      <w:tr>
        <w:trPr>
          <w:trHeight w:val="207"/>
        </w:trPr>
        <w:tc>
          <w:tcPr>
            <w:tcW w:w="9680" w:type="dxa"/>
            <w:vAlign w:val="bottom"/>
          </w:tcPr>
          <w:p>
            <w:pPr>
              <w:ind w:left="120"/>
              <w:spacing w:after="0"/>
              <w:rPr>
                <w:sz w:val="20"/>
                <w:szCs w:val="20"/>
                <w:color w:val="auto"/>
              </w:rPr>
            </w:pPr>
            <w:r>
              <w:rPr>
                <w:rFonts w:ascii="Arial" w:cs="Arial" w:eastAsia="Arial" w:hAnsi="Arial"/>
                <w:sz w:val="16"/>
                <w:szCs w:val="16"/>
                <w:color w:val="auto"/>
              </w:rPr>
              <w:t>Other deductions</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(378,592)</w:t>
            </w:r>
          </w:p>
        </w:tc>
      </w:tr>
      <w:tr>
        <w:trPr>
          <w:trHeight w:val="200"/>
        </w:trPr>
        <w:tc>
          <w:tcPr>
            <w:tcW w:w="9680" w:type="dxa"/>
            <w:vAlign w:val="bottom"/>
          </w:tcPr>
          <w:p>
            <w:pPr>
              <w:ind w:left="340"/>
              <w:spacing w:after="0"/>
              <w:rPr>
                <w:sz w:val="20"/>
                <w:szCs w:val="20"/>
                <w:color w:val="auto"/>
              </w:rPr>
            </w:pPr>
            <w:r>
              <w:rPr>
                <w:rFonts w:ascii="Arial" w:cs="Arial" w:eastAsia="Arial" w:hAnsi="Arial"/>
                <w:sz w:val="16"/>
                <w:szCs w:val="16"/>
                <w:color w:val="auto"/>
              </w:rPr>
              <w:t>Total deductions</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(36,412,157)</w:t>
            </w:r>
          </w:p>
        </w:tc>
      </w:tr>
      <w:tr>
        <w:trPr>
          <w:trHeight w:val="393"/>
        </w:trPr>
        <w:tc>
          <w:tcPr>
            <w:tcW w:w="9680" w:type="dxa"/>
            <w:vAlign w:val="bottom"/>
          </w:tcPr>
          <w:p>
            <w:pPr>
              <w:ind w:left="340"/>
              <w:spacing w:after="0"/>
              <w:rPr>
                <w:sz w:val="20"/>
                <w:szCs w:val="20"/>
                <w:color w:val="auto"/>
              </w:rPr>
            </w:pPr>
            <w:r>
              <w:rPr>
                <w:rFonts w:ascii="Arial" w:cs="Arial" w:eastAsia="Arial" w:hAnsi="Arial"/>
                <w:sz w:val="16"/>
                <w:szCs w:val="16"/>
                <w:color w:val="auto"/>
              </w:rPr>
              <w:t>Net increase</w:t>
            </w:r>
          </w:p>
        </w:tc>
        <w:tc>
          <w:tcPr>
            <w:tcW w:w="300" w:type="dxa"/>
            <w:vAlign w:val="bottom"/>
          </w:tcPr>
          <w:p>
            <w:pPr>
              <w:spacing w:after="0"/>
              <w:rPr>
                <w:sz w:val="24"/>
                <w:szCs w:val="24"/>
                <w:color w:val="auto"/>
              </w:rPr>
            </w:pP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53,995,965</w:t>
            </w:r>
          </w:p>
        </w:tc>
      </w:tr>
      <w:tr>
        <w:trPr>
          <w:trHeight w:val="421"/>
        </w:trPr>
        <w:tc>
          <w:tcPr>
            <w:tcW w:w="9680" w:type="dxa"/>
            <w:vAlign w:val="bottom"/>
          </w:tcPr>
          <w:p>
            <w:pPr>
              <w:ind w:left="20"/>
              <w:spacing w:after="0"/>
              <w:rPr>
                <w:sz w:val="20"/>
                <w:szCs w:val="20"/>
                <w:color w:val="auto"/>
              </w:rPr>
            </w:pPr>
            <w:r>
              <w:rPr>
                <w:rFonts w:ascii="Arial" w:cs="Arial" w:eastAsia="Arial" w:hAnsi="Arial"/>
                <w:sz w:val="16"/>
                <w:szCs w:val="16"/>
                <w:b w:val="1"/>
                <w:bCs w:val="1"/>
                <w:color w:val="auto"/>
              </w:rPr>
              <w:t>Asset transfers in from other plans (Note 1)</w:t>
            </w:r>
          </w:p>
        </w:tc>
        <w:tc>
          <w:tcPr>
            <w:tcW w:w="300" w:type="dxa"/>
            <w:vAlign w:val="bottom"/>
          </w:tcPr>
          <w:p>
            <w:pPr>
              <w:spacing w:after="0"/>
              <w:rPr>
                <w:sz w:val="24"/>
                <w:szCs w:val="24"/>
                <w:color w:val="auto"/>
              </w:rPr>
            </w:pP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43,297,839</w:t>
            </w:r>
          </w:p>
        </w:tc>
      </w:tr>
      <w:tr>
        <w:trPr>
          <w:trHeight w:val="408"/>
        </w:trPr>
        <w:tc>
          <w:tcPr>
            <w:tcW w:w="9680" w:type="dxa"/>
            <w:vAlign w:val="bottom"/>
          </w:tcPr>
          <w:p>
            <w:pPr>
              <w:ind w:left="20"/>
              <w:spacing w:after="0"/>
              <w:rPr>
                <w:sz w:val="20"/>
                <w:szCs w:val="20"/>
                <w:color w:val="auto"/>
              </w:rPr>
            </w:pPr>
            <w:r>
              <w:rPr>
                <w:rFonts w:ascii="Arial" w:cs="Arial" w:eastAsia="Arial" w:hAnsi="Arial"/>
                <w:sz w:val="16"/>
                <w:szCs w:val="16"/>
                <w:b w:val="1"/>
                <w:bCs w:val="1"/>
                <w:color w:val="auto"/>
              </w:rPr>
              <w:t>Net assets available for benefits</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5"/>
        </w:trPr>
        <w:tc>
          <w:tcPr>
            <w:tcW w:w="9680" w:type="dxa"/>
            <w:vAlign w:val="bottom"/>
          </w:tcPr>
          <w:p>
            <w:pPr>
              <w:ind w:left="120"/>
              <w:spacing w:after="0"/>
              <w:rPr>
                <w:sz w:val="20"/>
                <w:szCs w:val="20"/>
                <w:color w:val="auto"/>
              </w:rPr>
            </w:pPr>
            <w:r>
              <w:rPr>
                <w:rFonts w:ascii="Arial" w:cs="Arial" w:eastAsia="Arial" w:hAnsi="Arial"/>
                <w:sz w:val="16"/>
                <w:szCs w:val="16"/>
                <w:color w:val="auto"/>
              </w:rPr>
              <w:t>Beginning of year</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407,783,571</w:t>
            </w:r>
          </w:p>
        </w:tc>
      </w:tr>
      <w:tr>
        <w:trPr>
          <w:trHeight w:val="200"/>
        </w:trPr>
        <w:tc>
          <w:tcPr>
            <w:tcW w:w="9680" w:type="dxa"/>
            <w:vAlign w:val="bottom"/>
          </w:tcPr>
          <w:p>
            <w:pPr>
              <w:ind w:left="120"/>
              <w:spacing w:after="0"/>
              <w:rPr>
                <w:sz w:val="20"/>
                <w:szCs w:val="20"/>
                <w:color w:val="auto"/>
              </w:rPr>
            </w:pPr>
            <w:r>
              <w:rPr>
                <w:rFonts w:ascii="Arial" w:cs="Arial" w:eastAsia="Arial" w:hAnsi="Arial"/>
                <w:sz w:val="16"/>
                <w:szCs w:val="16"/>
                <w:color w:val="auto"/>
              </w:rPr>
              <w:t>End of year</w:t>
            </w:r>
          </w:p>
        </w:tc>
        <w:tc>
          <w:tcPr>
            <w:tcW w:w="300" w:type="dxa"/>
            <w:vAlign w:val="bottom"/>
            <w:tcBorders>
              <w:bottom w:val="single" w:sz="8" w:color="auto"/>
            </w:tcBorders>
          </w:tcPr>
          <w:p>
            <w:pPr>
              <w:jc w:val="right"/>
              <w:ind w:right="125"/>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505,077,375</w:t>
            </w:r>
          </w:p>
        </w:tc>
      </w:tr>
      <w:tr>
        <w:trPr>
          <w:trHeight w:val="20"/>
        </w:trPr>
        <w:tc>
          <w:tcPr>
            <w:tcW w:w="9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See the accompanying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20"/>
          </w:cols>
          <w:pgMar w:left="320" w:top="822" w:right="359" w:bottom="1440" w:gutter="0" w:footer="0" w:header="0"/>
        </w:sectPr>
      </w:pPr>
    </w:p>
    <w:bookmarkStart w:id="5" w:name="page6"/>
    <w:bookmarkEnd w:id="5"/>
    <w:p>
      <w:pPr>
        <w:jc w:val="center"/>
        <w:spacing w:after="0"/>
        <w:rPr>
          <w:sz w:val="20"/>
          <w:szCs w:val="20"/>
          <w:color w:val="auto"/>
        </w:rPr>
      </w:pPr>
      <w:r>
        <w:rPr>
          <w:rFonts w:ascii="Arial" w:cs="Arial" w:eastAsia="Arial" w:hAnsi="Arial"/>
          <w:sz w:val="21"/>
          <w:szCs w:val="21"/>
          <w:b w:val="1"/>
          <w:bCs w:val="1"/>
          <w:color w:val="auto"/>
        </w:rPr>
        <w:t>THE SAVINGS PLAN FOR GRAHAM HOLDINGS COMPANY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FINANCIAL STATEMENTS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 DESCRIPTION OF PLAN</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description of The Savings Plan for Graham Holdings Company (the Plan) provides only general information. Participants should refer</w:t>
      </w:r>
    </w:p>
    <w:p>
      <w:pPr>
        <w:spacing w:after="0" w:line="14" w:lineRule="exact"/>
        <w:rPr>
          <w:sz w:val="20"/>
          <w:szCs w:val="20"/>
          <w:color w:val="auto"/>
        </w:rPr>
      </w:pPr>
    </w:p>
    <w:p>
      <w:pPr>
        <w:ind w:right="720"/>
        <w:spacing w:after="0" w:line="239" w:lineRule="auto"/>
        <w:rPr>
          <w:sz w:val="20"/>
          <w:szCs w:val="20"/>
          <w:color w:val="auto"/>
        </w:rPr>
      </w:pPr>
      <w:r>
        <w:rPr>
          <w:rFonts w:ascii="Arial" w:cs="Arial" w:eastAsia="Arial" w:hAnsi="Arial"/>
          <w:sz w:val="17"/>
          <w:szCs w:val="17"/>
          <w:color w:val="auto"/>
        </w:rPr>
        <w:t>to the Plan document for a more comprehensive description of the Plan’s provisions. The Plan is subject to the provisions of the Employee Retirement Income Security Act of 1974, as amended (ERISA).</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42"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auto"/>
        </w:rPr>
        <w:t>The Plan is a defined contribution plan permitting eligible employees of Graham Holdings Company (the Company), and participating subsidiaries to participate upon hire. The Company is the Plan Sponsor. Eligible employees must affirmatively elect to participate in the Plan. In general, eligible</w:t>
      </w:r>
    </w:p>
    <w:p>
      <w:pPr>
        <w:spacing w:after="0" w:line="1" w:lineRule="exact"/>
        <w:rPr>
          <w:sz w:val="20"/>
          <w:szCs w:val="20"/>
          <w:color w:val="auto"/>
        </w:rPr>
      </w:pPr>
    </w:p>
    <w:p>
      <w:pPr>
        <w:ind w:right="20"/>
        <w:spacing w:after="0" w:line="230" w:lineRule="auto"/>
        <w:rPr>
          <w:sz w:val="20"/>
          <w:szCs w:val="20"/>
          <w:color w:val="auto"/>
        </w:rPr>
      </w:pPr>
      <w:r>
        <w:rPr>
          <w:rFonts w:ascii="Arial" w:cs="Arial" w:eastAsia="Arial" w:hAnsi="Arial"/>
          <w:sz w:val="17"/>
          <w:szCs w:val="17"/>
          <w:color w:val="auto"/>
        </w:rPr>
        <w:t>employees who have completed 1,000 or more hours of service in a period of twelve consecutive months (Eligibility Year of Service) are eligible to receive a Company Matching Contribution. Effective January 1, 2022, employees of Graham Holding Company (GHC – Corporate) are immediately</w:t>
      </w:r>
    </w:p>
    <w:p>
      <w:pPr>
        <w:spacing w:after="0"/>
        <w:rPr>
          <w:sz w:val="20"/>
          <w:szCs w:val="20"/>
          <w:color w:val="auto"/>
        </w:rPr>
      </w:pPr>
      <w:r>
        <w:rPr>
          <w:rFonts w:ascii="Arial" w:cs="Arial" w:eastAsia="Arial" w:hAnsi="Arial"/>
          <w:sz w:val="17"/>
          <w:szCs w:val="17"/>
          <w:color w:val="auto"/>
        </w:rPr>
        <w:t>eligible at hire for a Company Matching Contribution.</w:t>
      </w:r>
    </w:p>
    <w:p>
      <w:pPr>
        <w:spacing w:after="0" w:line="137" w:lineRule="exact"/>
        <w:rPr>
          <w:sz w:val="20"/>
          <w:szCs w:val="20"/>
          <w:color w:val="auto"/>
        </w:rPr>
      </w:pPr>
    </w:p>
    <w:p>
      <w:pPr>
        <w:ind w:right="600"/>
        <w:spacing w:after="0" w:line="239" w:lineRule="auto"/>
        <w:rPr>
          <w:sz w:val="20"/>
          <w:szCs w:val="20"/>
          <w:color w:val="auto"/>
        </w:rPr>
      </w:pPr>
      <w:r>
        <w:rPr>
          <w:rFonts w:ascii="Arial" w:cs="Arial" w:eastAsia="Arial" w:hAnsi="Arial"/>
          <w:sz w:val="17"/>
          <w:szCs w:val="17"/>
          <w:color w:val="auto"/>
        </w:rPr>
        <w:t>The Plan is administered by The GHC Committee (the Plan Administrator), whose members are appointed by the Plan Sponsor. Vanguard Fiduciary Trust Company (VFTC) is the Plan’s Trustee. The Plan entered into a Master Trust Agreement with VFTC to establish the Graham</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Holdings Company Master Trust (Master Trust) effective January 1, 2021.</w:t>
      </w:r>
    </w:p>
    <w:p>
      <w:pPr>
        <w:spacing w:after="0" w:line="137"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During 2023 and 2022, the Plan Administrator adopted amendments to the Plan, which are not expected to affect the Plan’s qualified status under ERISA. Substantially all of these amendments became effective in 2023. The Plan was restated in 2016 and the Summary Plan Description was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revised on January 1, 2023, and restated again in January 1, 2024.</w:t>
      </w:r>
    </w:p>
    <w:p>
      <w:pPr>
        <w:spacing w:after="0" w:line="137" w:lineRule="exact"/>
        <w:rPr>
          <w:sz w:val="20"/>
          <w:szCs w:val="20"/>
          <w:color w:val="auto"/>
        </w:rPr>
      </w:pPr>
    </w:p>
    <w:p>
      <w:pPr>
        <w:ind w:right="340"/>
        <w:spacing w:after="0" w:line="259" w:lineRule="auto"/>
        <w:rPr>
          <w:sz w:val="20"/>
          <w:szCs w:val="20"/>
          <w:color w:val="auto"/>
        </w:rPr>
      </w:pPr>
      <w:r>
        <w:rPr>
          <w:rFonts w:ascii="Arial" w:cs="Arial" w:eastAsia="Arial" w:hAnsi="Arial"/>
          <w:sz w:val="17"/>
          <w:szCs w:val="17"/>
          <w:color w:val="auto"/>
        </w:rPr>
        <w:t>Effective January 1, 2023, Framebridge, Inc. became a participating employer in the Plan. Assets from their prior plan amounting to $3,913,055 were transferred and received into the Plan in January 2023.</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Effective in 2023, CarCareToGo changed its company name to Roda.</w:t>
      </w:r>
    </w:p>
    <w:p>
      <w:pPr>
        <w:spacing w:after="0" w:line="153"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Effective June 20, 2023, Pinna separated from Graham Holdings Company. As of June 21, 2023, Pinna was no longer a Participating Employer of the Plan. This transaction did not involve a transfer of assets out of the Plan. Participants with deferred account balances can take a distribution per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Plan's provisions.</w:t>
      </w:r>
    </w:p>
    <w:p>
      <w:pPr>
        <w:spacing w:after="0" w:line="137" w:lineRule="exact"/>
        <w:rPr>
          <w:sz w:val="20"/>
          <w:szCs w:val="20"/>
          <w:color w:val="auto"/>
        </w:rPr>
      </w:pPr>
    </w:p>
    <w:p>
      <w:pPr>
        <w:ind w:right="220"/>
        <w:spacing w:after="0" w:line="239" w:lineRule="auto"/>
        <w:rPr>
          <w:sz w:val="20"/>
          <w:szCs w:val="20"/>
          <w:color w:val="auto"/>
        </w:rPr>
      </w:pPr>
      <w:r>
        <w:rPr>
          <w:rFonts w:ascii="Arial" w:cs="Arial" w:eastAsia="Arial" w:hAnsi="Arial"/>
          <w:sz w:val="17"/>
          <w:szCs w:val="17"/>
          <w:color w:val="auto"/>
        </w:rPr>
        <w:t>On December 29, 2023, the Leaf Group Ltd 401(k) Plan was merged into the Plan. Plan assets amounting to $39,062,411 were transferred from Fidelity Investments on December 29, 2023 to the trustee of the Plan, VFTC, and received on January 2, 2024. The transferred plan assets were</w:t>
      </w:r>
    </w:p>
    <w:p>
      <w:pPr>
        <w:spacing w:after="0"/>
        <w:rPr>
          <w:sz w:val="20"/>
          <w:szCs w:val="20"/>
          <w:color w:val="auto"/>
        </w:rPr>
      </w:pPr>
      <w:r>
        <w:rPr>
          <w:rFonts w:ascii="Arial" w:cs="Arial" w:eastAsia="Arial" w:hAnsi="Arial"/>
          <w:sz w:val="17"/>
          <w:szCs w:val="17"/>
          <w:color w:val="auto"/>
        </w:rPr>
        <w:t>invested in the Plan’s Qualified Default Investment Alternative (QDIA) on January 5, 2024. Notes receivable from participants in the amount of</w:t>
      </w:r>
    </w:p>
    <w:p>
      <w:pPr>
        <w:ind w:right="280"/>
        <w:spacing w:after="0" w:line="239" w:lineRule="auto"/>
        <w:rPr>
          <w:sz w:val="20"/>
          <w:szCs w:val="20"/>
          <w:color w:val="auto"/>
        </w:rPr>
      </w:pPr>
      <w:r>
        <w:rPr>
          <w:rFonts w:ascii="Arial" w:cs="Arial" w:eastAsia="Arial" w:hAnsi="Arial"/>
          <w:sz w:val="17"/>
          <w:szCs w:val="17"/>
          <w:color w:val="auto"/>
        </w:rPr>
        <w:t>$322,373 were also transferred to the trustee of the Plan. Following the merger, the Plan was amended to admit Leaf Group Ltd. (also known as World of Good Brands, or WGB), Saatchi Online, Inc. and Society6, LLC as participating employers in the Plan effective January 1, 2024.</w:t>
      </w:r>
    </w:p>
    <w:p>
      <w:pPr>
        <w:spacing w:after="0" w:line="124" w:lineRule="exact"/>
        <w:rPr>
          <w:sz w:val="20"/>
          <w:szCs w:val="20"/>
          <w:color w:val="auto"/>
        </w:rPr>
      </w:pPr>
    </w:p>
    <w:p>
      <w:pPr>
        <w:ind w:right="480"/>
        <w:spacing w:after="0" w:line="275" w:lineRule="auto"/>
        <w:rPr>
          <w:sz w:val="20"/>
          <w:szCs w:val="20"/>
          <w:color w:val="auto"/>
        </w:rPr>
      </w:pPr>
      <w:r>
        <w:rPr>
          <w:rFonts w:ascii="Arial" w:cs="Arial" w:eastAsia="Arial" w:hAnsi="Arial"/>
          <w:sz w:val="17"/>
          <w:szCs w:val="17"/>
          <w:color w:val="auto"/>
        </w:rPr>
        <w:t>All investments are participant directed. In 2023, employee contributions may be directed to any of the investment options except the Graham Holdings Company Stock Fund and only employer contributions may be invested in the Graham Holdings Company Stock Fund.</w:t>
      </w:r>
    </w:p>
    <w:p>
      <w:pPr>
        <w:spacing w:after="0" w:line="82" w:lineRule="exact"/>
        <w:rPr>
          <w:sz w:val="20"/>
          <w:szCs w:val="20"/>
          <w:color w:val="auto"/>
        </w:rPr>
      </w:pPr>
    </w:p>
    <w:p>
      <w:pPr>
        <w:ind w:right="220"/>
        <w:spacing w:after="0" w:line="247" w:lineRule="auto"/>
        <w:rPr>
          <w:sz w:val="20"/>
          <w:szCs w:val="20"/>
          <w:color w:val="auto"/>
        </w:rPr>
      </w:pPr>
      <w:r>
        <w:rPr>
          <w:rFonts w:ascii="Arial" w:cs="Arial" w:eastAsia="Arial" w:hAnsi="Arial"/>
          <w:sz w:val="17"/>
          <w:szCs w:val="17"/>
          <w:color w:val="auto"/>
        </w:rPr>
        <w:t>In addition, contributions to the Berkshire Hathaway Stock Fund may not exceed 25% of a participant’s own contributions or 25% of the employer contributions to a participant’s account. Exchanges into the Berkshire Hathaway Stock Fund from any other fund(s) may be made only if the</w:t>
      </w:r>
    </w:p>
    <w:p>
      <w:pPr>
        <w:spacing w:after="0" w:line="1" w:lineRule="exact"/>
        <w:rPr>
          <w:sz w:val="20"/>
          <w:szCs w:val="20"/>
          <w:color w:val="auto"/>
        </w:rPr>
      </w:pPr>
    </w:p>
    <w:p>
      <w:pPr>
        <w:ind w:right="520"/>
        <w:spacing w:after="0" w:line="239" w:lineRule="auto"/>
        <w:rPr>
          <w:sz w:val="20"/>
          <w:szCs w:val="20"/>
          <w:color w:val="auto"/>
        </w:rPr>
      </w:pPr>
      <w:r>
        <w:rPr>
          <w:rFonts w:ascii="Arial" w:cs="Arial" w:eastAsia="Arial" w:hAnsi="Arial"/>
          <w:sz w:val="17"/>
          <w:szCs w:val="17"/>
          <w:color w:val="auto"/>
        </w:rPr>
        <w:t>resulting investment in the Berkshire Hathaway Stock Fund immediately following the exchange is no more than 25% of the participant’s total account balance.</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Contributions</w:t>
      </w:r>
    </w:p>
    <w:p>
      <w:pPr>
        <w:spacing w:after="0" w:line="155"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Each year, participants may contribute a percentage of pre-tax annual eligible compensation to the Plan at rates specified in the Plan. The total pre-tax contribution, however, is subject to dollar limitations set forth by the Internal Revenue Code ($22,500 in 2023). Participants may also contribute</w:t>
      </w:r>
    </w:p>
    <w:p>
      <w:pPr>
        <w:spacing w:after="0" w:line="1" w:lineRule="exact"/>
        <w:rPr>
          <w:sz w:val="20"/>
          <w:szCs w:val="20"/>
          <w:color w:val="auto"/>
        </w:rPr>
      </w:pPr>
    </w:p>
    <w:p>
      <w:pPr>
        <w:ind w:right="280"/>
        <w:spacing w:after="0" w:line="239" w:lineRule="auto"/>
        <w:rPr>
          <w:sz w:val="20"/>
          <w:szCs w:val="20"/>
          <w:color w:val="auto"/>
        </w:rPr>
      </w:pPr>
      <w:r>
        <w:rPr>
          <w:rFonts w:ascii="Arial" w:cs="Arial" w:eastAsia="Arial" w:hAnsi="Arial"/>
          <w:sz w:val="17"/>
          <w:szCs w:val="17"/>
          <w:color w:val="auto"/>
        </w:rPr>
        <w:t>a percentage of after-tax annual eligible compensation to the Plan at rates established by the Plan Administrator. Eligible participants in the Plan receive Company Matching Contributions equal to 100% of their pre-tax and after-tax contributions up to 1% of their base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850"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color w:val="auto"/>
        </w:rPr>
        <w:t>salary. Clyde’s Restaurant Group (Clyde’s) may make a discretionary Company Matching Contribution for its participating employees equal to a</w:t>
      </w:r>
    </w:p>
    <w:p>
      <w:pPr>
        <w:spacing w:after="0" w:line="14" w:lineRule="exact"/>
        <w:rPr>
          <w:sz w:val="20"/>
          <w:szCs w:val="20"/>
          <w:color w:val="auto"/>
        </w:rPr>
      </w:pPr>
    </w:p>
    <w:p>
      <w:pPr>
        <w:ind w:right="100"/>
        <w:spacing w:after="0" w:line="230" w:lineRule="auto"/>
        <w:rPr>
          <w:sz w:val="20"/>
          <w:szCs w:val="20"/>
          <w:color w:val="auto"/>
        </w:rPr>
      </w:pPr>
      <w:r>
        <w:rPr>
          <w:rFonts w:ascii="Arial" w:cs="Arial" w:eastAsia="Arial" w:hAnsi="Arial"/>
          <w:sz w:val="17"/>
          <w:szCs w:val="17"/>
          <w:color w:val="auto"/>
        </w:rPr>
        <w:t>percentage (to be determined at the discretion of Clyde’s) of the employees’ pre-tax contributions not in excess of a percentage (to be determined at the discretion of Clyde’s) of the employee’s compensation. The parameters of this discretionary contribution, and whether it will be made, will be</w:t>
      </w:r>
    </w:p>
    <w:p>
      <w:pPr>
        <w:spacing w:after="0"/>
        <w:rPr>
          <w:sz w:val="20"/>
          <w:szCs w:val="20"/>
          <w:color w:val="auto"/>
        </w:rPr>
      </w:pPr>
      <w:r>
        <w:rPr>
          <w:rFonts w:ascii="Arial" w:cs="Arial" w:eastAsia="Arial" w:hAnsi="Arial"/>
          <w:sz w:val="17"/>
          <w:szCs w:val="17"/>
          <w:color w:val="auto"/>
        </w:rPr>
        <w:t>communicated to participants on an annual basis.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Participant Accounts</w:t>
      </w:r>
    </w:p>
    <w:p>
      <w:pPr>
        <w:spacing w:after="0" w:line="142" w:lineRule="exact"/>
        <w:rPr>
          <w:sz w:val="20"/>
          <w:szCs w:val="20"/>
          <w:color w:val="auto"/>
        </w:rPr>
      </w:pPr>
    </w:p>
    <w:p>
      <w:pPr>
        <w:ind w:right="440"/>
        <w:spacing w:after="0" w:line="275" w:lineRule="auto"/>
        <w:rPr>
          <w:sz w:val="20"/>
          <w:szCs w:val="20"/>
          <w:color w:val="auto"/>
        </w:rPr>
      </w:pPr>
      <w:r>
        <w:rPr>
          <w:rFonts w:ascii="Arial" w:cs="Arial" w:eastAsia="Arial" w:hAnsi="Arial"/>
          <w:sz w:val="17"/>
          <w:szCs w:val="17"/>
          <w:color w:val="auto"/>
        </w:rPr>
        <w:t>Each participant’s account is credited with his/her contributions, the Company contributions, if any, and an allocation of the investment income (losses). Allocations are based on participant earnings or account balances, as defined.</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Receivable from Participants</w:t>
      </w:r>
    </w:p>
    <w:p>
      <w:pPr>
        <w:spacing w:after="0" w:line="142" w:lineRule="exact"/>
        <w:rPr>
          <w:sz w:val="20"/>
          <w:szCs w:val="20"/>
          <w:color w:val="auto"/>
        </w:rPr>
      </w:pPr>
    </w:p>
    <w:p>
      <w:pPr>
        <w:ind w:right="360"/>
        <w:spacing w:after="0" w:line="275" w:lineRule="auto"/>
        <w:rPr>
          <w:sz w:val="20"/>
          <w:szCs w:val="20"/>
          <w:color w:val="auto"/>
        </w:rPr>
      </w:pPr>
      <w:r>
        <w:rPr>
          <w:rFonts w:ascii="Arial" w:cs="Arial" w:eastAsia="Arial" w:hAnsi="Arial"/>
          <w:sz w:val="17"/>
          <w:szCs w:val="17"/>
          <w:color w:val="auto"/>
        </w:rPr>
        <w:t>In 2023, the Plan does not permit participants to borrow from their accounts; therefore, loans are not granted. On occasion as a result of a plan merger or rollovers received, participant loans are transferred to the Plan and are administered in accordance with their terms.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Vesting</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Upon enrollment in the Plan, participants are fully vested at all times in all amounts held in their accounts.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Plan Expenses</w:t>
      </w:r>
    </w:p>
    <w:p>
      <w:pPr>
        <w:spacing w:after="0" w:line="155"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Certain costs of administering the Plan are paid by the Company and are therefore not reflected in the Plan’s financial statements. The Plan charges certain expenses directly to each of the participants’ accounts such as recordkeeping and maintenance of the website and phone services</w:t>
      </w:r>
    </w:p>
    <w:p>
      <w:pPr>
        <w:spacing w:after="0" w:line="1" w:lineRule="exact"/>
        <w:rPr>
          <w:sz w:val="20"/>
          <w:szCs w:val="20"/>
          <w:color w:val="auto"/>
        </w:rPr>
      </w:pPr>
    </w:p>
    <w:p>
      <w:pPr>
        <w:ind w:right="220"/>
        <w:spacing w:after="0" w:line="255" w:lineRule="auto"/>
        <w:rPr>
          <w:sz w:val="20"/>
          <w:szCs w:val="20"/>
          <w:color w:val="auto"/>
        </w:rPr>
      </w:pPr>
      <w:r>
        <w:rPr>
          <w:rFonts w:ascii="Arial" w:cs="Arial" w:eastAsia="Arial" w:hAnsi="Arial"/>
          <w:sz w:val="17"/>
          <w:szCs w:val="17"/>
          <w:color w:val="auto"/>
        </w:rPr>
        <w:t>to participants. Each of the investment funds incurs investment and administrative expenses that are paid by the fund itself, which reduce the net investment return to participants.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Payment of Benefits</w:t>
      </w:r>
    </w:p>
    <w:p>
      <w:pPr>
        <w:spacing w:after="0" w:line="155"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At any time, a participant may withdraw employee contributions that do not qualify for tax deferred treatment. Employee tax deferred contributions and certain related earnings may be withdrawn if a participant is suffering a serious financial hardship and other sources of funds are not available</w:t>
      </w:r>
    </w:p>
    <w:p>
      <w:pPr>
        <w:spacing w:after="0" w:line="1" w:lineRule="exact"/>
        <w:rPr>
          <w:sz w:val="20"/>
          <w:szCs w:val="20"/>
          <w:color w:val="auto"/>
        </w:rPr>
      </w:pPr>
    </w:p>
    <w:p>
      <w:pPr>
        <w:ind w:right="380"/>
        <w:spacing w:after="0" w:line="255" w:lineRule="auto"/>
        <w:rPr>
          <w:sz w:val="20"/>
          <w:szCs w:val="20"/>
          <w:color w:val="auto"/>
        </w:rPr>
      </w:pPr>
      <w:r>
        <w:rPr>
          <w:rFonts w:ascii="Arial" w:cs="Arial" w:eastAsia="Arial" w:hAnsi="Arial"/>
          <w:sz w:val="17"/>
          <w:szCs w:val="17"/>
          <w:color w:val="auto"/>
        </w:rPr>
        <w:t>to the participant. Upon attainment of age 59½, a participant may withdraw his/her full account. There is no limit to the number of non-hardship withdrawals permitted during the Plan Year.</w:t>
      </w:r>
    </w:p>
    <w:p>
      <w:pPr>
        <w:spacing w:after="0" w:line="98" w:lineRule="exact"/>
        <w:rPr>
          <w:sz w:val="20"/>
          <w:szCs w:val="20"/>
          <w:color w:val="auto"/>
        </w:rPr>
      </w:pPr>
    </w:p>
    <w:p>
      <w:pPr>
        <w:ind w:right="260"/>
        <w:spacing w:after="0" w:line="247" w:lineRule="auto"/>
        <w:rPr>
          <w:sz w:val="20"/>
          <w:szCs w:val="20"/>
          <w:color w:val="auto"/>
        </w:rPr>
      </w:pPr>
      <w:r>
        <w:rPr>
          <w:rFonts w:ascii="Arial" w:cs="Arial" w:eastAsia="Arial" w:hAnsi="Arial"/>
          <w:sz w:val="17"/>
          <w:szCs w:val="17"/>
          <w:color w:val="auto"/>
        </w:rPr>
        <w:t>Accounts of terminated participants may be retained in the Plan until the participant reaches age 65. At age 65, the full account balance must be distributed, which may from time to time be suspended by the Company. The terminated participant may request at any time prior to age 65 to</w:t>
      </w:r>
    </w:p>
    <w:p>
      <w:pPr>
        <w:spacing w:after="0" w:line="1"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receive a distribution of the total amount in his/her account. If a terminated participant with a deferred account dies prior to receiving the full value of the account, the account balance will be paid to the participant’s beneficiary. Account balances of $5,000 (in 2023) or less may not be deferred and</w:t>
      </w:r>
    </w:p>
    <w:p>
      <w:pPr>
        <w:spacing w:after="0"/>
        <w:rPr>
          <w:sz w:val="20"/>
          <w:szCs w:val="20"/>
          <w:color w:val="auto"/>
        </w:rPr>
      </w:pPr>
      <w:r>
        <w:rPr>
          <w:rFonts w:ascii="Arial" w:cs="Arial" w:eastAsia="Arial" w:hAnsi="Arial"/>
          <w:sz w:val="17"/>
          <w:szCs w:val="17"/>
          <w:color w:val="auto"/>
        </w:rPr>
        <w:t>are subject to automatic rollover/automatic cash out.</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The form of payment of benefits under the Plan is a single lump-sum payment.</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Plan Termination</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Although it has not expressed any intent to do so, the Company has the right under the Plan to terminate the Plan at any time by action of the Plan</w:t>
      </w:r>
    </w:p>
    <w:p>
      <w:pPr>
        <w:spacing w:after="0" w:line="14" w:lineRule="exact"/>
        <w:rPr>
          <w:sz w:val="20"/>
          <w:szCs w:val="20"/>
          <w:color w:val="auto"/>
        </w:rPr>
      </w:pPr>
    </w:p>
    <w:p>
      <w:pPr>
        <w:ind w:right="220"/>
        <w:spacing w:after="0" w:line="239" w:lineRule="auto"/>
        <w:rPr>
          <w:sz w:val="20"/>
          <w:szCs w:val="20"/>
          <w:color w:val="auto"/>
        </w:rPr>
      </w:pPr>
      <w:r>
        <w:rPr>
          <w:rFonts w:ascii="Arial" w:cs="Arial" w:eastAsia="Arial" w:hAnsi="Arial"/>
          <w:sz w:val="17"/>
          <w:szCs w:val="17"/>
          <w:color w:val="auto"/>
        </w:rPr>
        <w:t>Sponsor and Board of Directors subject to the provisions of ERISA. In the event the Plan terminates, participants would receive the value of their accounts from the Master Trust.</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SUMMARY OF ACCOUNTING POLICIES</w:t>
      </w:r>
    </w:p>
    <w:p>
      <w:pPr>
        <w:spacing w:after="0" w:line="155"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The following accounting policies, which conform with accounting principles generally accepted in the United States of America (U.S. GAAP), have been used consistently in the preparation of the Plan’s financial statements: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Accounting</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The financial statements of the Plan are prepared using the accrual basis of accounting.</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w:t>
      </w:r>
    </w:p>
    <w:p>
      <w:pPr>
        <w:spacing w:after="0" w:line="14" w:lineRule="exact"/>
        <w:rPr>
          <w:sz w:val="20"/>
          <w:szCs w:val="20"/>
          <w:color w:val="auto"/>
        </w:rPr>
      </w:pPr>
    </w:p>
    <w:p>
      <w:pPr>
        <w:ind w:right="300"/>
        <w:spacing w:after="0" w:line="239" w:lineRule="auto"/>
        <w:rPr>
          <w:sz w:val="20"/>
          <w:szCs w:val="20"/>
          <w:color w:val="auto"/>
        </w:rPr>
      </w:pPr>
      <w:r>
        <w:rPr>
          <w:rFonts w:ascii="Arial" w:cs="Arial" w:eastAsia="Arial" w:hAnsi="Arial"/>
          <w:sz w:val="17"/>
          <w:szCs w:val="17"/>
          <w:color w:val="auto"/>
        </w:rPr>
        <w:t>reported amounts of assets and liabilities and changes therein and disclosure of contingent assets and liabilities.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20"/>
          </w:cols>
          <w:pgMar w:left="320" w:top="846" w:right="35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color w:val="auto"/>
        </w:rPr>
        <w:t>Investment Valuation and Income Recognition</w:t>
      </w:r>
    </w:p>
    <w:p>
      <w:pPr>
        <w:spacing w:after="0" w:line="155"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The Plan is a participant in the Master Trust as described in Note 5. Investments held in the Master Trust are stated at fair value and are allocated to the Plan in proportion to the fair value of the assets assigned to the Plan. Fair value is the price that would be received to sell an asset or paid to</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transfer a liability in an orderly transaction between market participants at the measurement date.</w:t>
      </w:r>
    </w:p>
    <w:p>
      <w:pPr>
        <w:spacing w:after="0" w:line="137"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Purchases and sales of investments are recorded on a trade-date basis. Interest income is accrued when earned. Dividend income is recorded on the ex-dividend date. Capital gain distributions are included in dividend income.</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The Plan’s allocated share of the Master Trust interest and dividend income, unrealized appreciation and depreciation of investments, realized</w:t>
      </w:r>
    </w:p>
    <w:p>
      <w:pPr>
        <w:spacing w:after="0" w:line="14" w:lineRule="exact"/>
        <w:rPr>
          <w:sz w:val="20"/>
          <w:szCs w:val="20"/>
          <w:color w:val="auto"/>
        </w:rPr>
      </w:pPr>
    </w:p>
    <w:p>
      <w:pPr>
        <w:ind w:right="300"/>
        <w:spacing w:after="0" w:line="239" w:lineRule="auto"/>
        <w:rPr>
          <w:sz w:val="20"/>
          <w:szCs w:val="20"/>
          <w:color w:val="auto"/>
        </w:rPr>
      </w:pPr>
      <w:r>
        <w:rPr>
          <w:rFonts w:ascii="Arial" w:cs="Arial" w:eastAsia="Arial" w:hAnsi="Arial"/>
          <w:sz w:val="17"/>
          <w:szCs w:val="17"/>
          <w:color w:val="auto"/>
        </w:rPr>
        <w:t>gains or losses due to the difference between the proceeds received and the identified cost of investments sold are included in the Statement of Changes in Net Assets Available for Benefits, and are allocated on a per unit basis at the time of the transaction.</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Payment of Benefits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Benefits are recorded when paid.</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and Uncertainties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The Plan provides for various investment options. Investment securities are exposed to various risks, such as interest, market, and credit risks. Due</w:t>
      </w:r>
    </w:p>
    <w:p>
      <w:pPr>
        <w:spacing w:after="0" w:line="14" w:lineRule="exact"/>
        <w:rPr>
          <w:sz w:val="20"/>
          <w:szCs w:val="20"/>
          <w:color w:val="auto"/>
        </w:rPr>
      </w:pPr>
    </w:p>
    <w:p>
      <w:pPr>
        <w:ind w:right="20"/>
        <w:spacing w:after="0" w:line="230" w:lineRule="auto"/>
        <w:rPr>
          <w:sz w:val="20"/>
          <w:szCs w:val="20"/>
          <w:color w:val="auto"/>
        </w:rPr>
      </w:pPr>
      <w:r>
        <w:rPr>
          <w:rFonts w:ascii="Arial" w:cs="Arial" w:eastAsia="Arial" w:hAnsi="Arial"/>
          <w:sz w:val="17"/>
          <w:szCs w:val="17"/>
          <w:color w:val="auto"/>
        </w:rPr>
        <w:t>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w:t>
      </w:r>
    </w:p>
    <w:p>
      <w:pPr>
        <w:spacing w:after="0"/>
        <w:rPr>
          <w:sz w:val="20"/>
          <w:szCs w:val="20"/>
          <w:color w:val="auto"/>
        </w:rPr>
      </w:pPr>
      <w:r>
        <w:rPr>
          <w:rFonts w:ascii="Arial" w:cs="Arial" w:eastAsia="Arial" w:hAnsi="Arial"/>
          <w:sz w:val="17"/>
          <w:szCs w:val="17"/>
          <w:color w:val="auto"/>
        </w:rPr>
        <w:t>of Net Assets Available for Benefits.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Subsequent Events</w:t>
      </w:r>
    </w:p>
    <w:p>
      <w:pPr>
        <w:spacing w:after="0" w:line="142"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Plan has performed an evaluation of events subsequent to December 31, 2023 through the date the financial statements were issued and has considered any relevant matters in the preparation of the financial statements and footnotes.</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color w:val="auto"/>
        </w:rPr>
        <w:t>Effective January 1, 2024, the Plan was amended to implement the following changes:</w:t>
      </w:r>
    </w:p>
    <w:p>
      <w:pPr>
        <w:spacing w:after="0" w:line="153" w:lineRule="exact"/>
        <w:rPr>
          <w:sz w:val="20"/>
          <w:szCs w:val="20"/>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Remove Company Matching Contributions for participating employers in the Plan;</w:t>
      </w:r>
    </w:p>
    <w:p>
      <w:pPr>
        <w:spacing w:after="0" w:line="14" w:lineRule="exact"/>
        <w:rPr>
          <w:rFonts w:ascii="Arial" w:cs="Arial" w:eastAsia="Arial" w:hAnsi="Arial"/>
          <w:sz w:val="17"/>
          <w:szCs w:val="17"/>
          <w:color w:val="auto"/>
        </w:rPr>
      </w:pPr>
    </w:p>
    <w:p>
      <w:pPr>
        <w:ind w:left="620" w:right="380" w:hanging="307"/>
        <w:spacing w:after="0" w:line="230"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Add Roth and Roth catch-up employee contributions as an option to the Plan, and allow rollover contributions to the Plan in the form of Roth contributions which shall be maintained in a Roth Rollover Account;</w:t>
      </w:r>
    </w:p>
    <w:p>
      <w:pPr>
        <w:ind w:left="620" w:right="340" w:hanging="307"/>
        <w:spacing w:after="0" w:line="230"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Allow participants to elect an In-Plan Roth conversion with respect to all or a portion of the vested amounts in the participant’s accounts other than a Roth Contribution Account or a Roth Rollover Account;</w:t>
      </w:r>
    </w:p>
    <w:p>
      <w:pPr>
        <w:ind w:left="620" w:hanging="307"/>
        <w:spacing w:after="0" w:line="237" w:lineRule="auto"/>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Permit participants to take out one active loan from the Plan at a time;</w:t>
      </w:r>
    </w:p>
    <w:p>
      <w:pPr>
        <w:jc w:val="both"/>
        <w:ind w:left="620" w:hanging="307"/>
        <w:spacing w:after="0" w:line="232"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Automatically enroll eligible participants who have not made an affirmative election to participate in the Plan at a default of 4% pre-tax. Participants may at any time change deferral elections, including change the deferral percentage to zero. The participant is able to opt out of auto-enrollment within a 30-day period of a notice mailed out to the participant. On this date, the Plan was also amended to automatically escalate a participant’s elective deferral contribution on an annual basis, default of 1% pre-tax. The auto-escalation shall not apply if the participant’s elective deferral contribution is at least 10% of Base Salary. Participants have the right to opt out of the automatic escalation provision or to elect a different amount of elective deferral contribution; and</w:t>
      </w:r>
    </w:p>
    <w:p>
      <w:pPr>
        <w:spacing w:after="0" w:line="3" w:lineRule="exact"/>
        <w:rPr>
          <w:rFonts w:ascii="Arial" w:cs="Arial" w:eastAsia="Arial" w:hAnsi="Arial"/>
          <w:sz w:val="17"/>
          <w:szCs w:val="17"/>
          <w:color w:val="auto"/>
        </w:rPr>
      </w:pPr>
    </w:p>
    <w:p>
      <w:pPr>
        <w:ind w:left="620" w:hanging="307"/>
        <w:spacing w:after="0" w:line="255"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Permit participants to allocate up to 20% of any contributions, including participant contributions, Rollover Contributions or Qualified Nonelective Contributions in the Graham Holdings Stock Fund.</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Effective July 1, 2024, Hoover Treated Wood Products, Inc. became a participating employer in the Plan.</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 RELATED-PARTY TRANSACTIONS</w:t>
      </w:r>
    </w:p>
    <w:p>
      <w:pPr>
        <w:spacing w:after="0" w:line="155"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Shares of registered investment companies (mutual funds) and common collective trusts are managed by The Vanguard Group, Inc. Due to the relationship between VFTC as Trustee of the Master Trust and the Plan, investment transactions managed by The Vanguard Group, Inc. qualify as</w:t>
      </w:r>
    </w:p>
    <w:p>
      <w:pPr>
        <w:spacing w:after="0"/>
        <w:rPr>
          <w:sz w:val="20"/>
          <w:szCs w:val="20"/>
          <w:color w:val="auto"/>
        </w:rPr>
      </w:pPr>
      <w:r>
        <w:rPr>
          <w:rFonts w:ascii="Arial" w:cs="Arial" w:eastAsia="Arial" w:hAnsi="Arial"/>
          <w:sz w:val="17"/>
          <w:szCs w:val="17"/>
          <w:color w:val="auto"/>
        </w:rPr>
        <w:t>party-in-interest transactions. Investments in the Vanguard registered investment companies and common collective trusts are exempt from the</w:t>
      </w:r>
    </w:p>
    <w:p>
      <w:pPr>
        <w:ind w:right="100"/>
        <w:spacing w:after="0" w:line="239" w:lineRule="auto"/>
        <w:rPr>
          <w:sz w:val="20"/>
          <w:szCs w:val="20"/>
          <w:color w:val="auto"/>
        </w:rPr>
      </w:pPr>
      <w:r>
        <w:rPr>
          <w:rFonts w:ascii="Arial" w:cs="Arial" w:eastAsia="Arial" w:hAnsi="Arial"/>
          <w:sz w:val="17"/>
          <w:szCs w:val="17"/>
          <w:color w:val="auto"/>
        </w:rPr>
        <w:t>prohibited transaction rules of ERISA pursuant to a class exemption issued by the U.S. Department of Labor. In addition, the fees associated with the management of these investments by The Vanguard Group, Inc. are included in the net appreciation (depreciation) in fair value of investments.</w:t>
      </w:r>
    </w:p>
    <w:p>
      <w:pPr>
        <w:spacing w:after="0" w:line="12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Plan also invests in shares of the Company through the Graham Holdings Company Stock Fund, therefore, these transactions qualify as party-in-interest transactions. Northern Trust acts as custodian of the Graham Holdings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320" w:top="844" w:right="339" w:bottom="1440" w:gutter="0" w:footer="0" w:header="0"/>
        </w:sectPr>
      </w:pPr>
    </w:p>
    <w:bookmarkStart w:id="8" w:name="page9"/>
    <w:bookmarkEnd w:id="8"/>
    <w:p>
      <w:pPr>
        <w:ind w:right="200"/>
        <w:spacing w:after="0" w:line="275" w:lineRule="auto"/>
        <w:rPr>
          <w:sz w:val="20"/>
          <w:szCs w:val="20"/>
          <w:color w:val="auto"/>
        </w:rPr>
      </w:pPr>
      <w:r>
        <w:rPr>
          <w:rFonts w:ascii="Arial" w:cs="Arial" w:eastAsia="Arial" w:hAnsi="Arial"/>
          <w:sz w:val="17"/>
          <w:szCs w:val="17"/>
          <w:color w:val="auto"/>
        </w:rPr>
        <w:t>Company Stock Fund and Berkshire Hathaway Stock Fund and, therefore, is deemed a party-in-interest and related party. Additionally, personnel and facilities of the Company have been used to perform administrative functions for the Plan at no cost to the Plan.</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 TAX STATUS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On October 21, 2016, the Internal Revenue Service made a favorable determination that the Plan, as then designed, was qualified under IRC</w:t>
      </w:r>
    </w:p>
    <w:p>
      <w:pPr>
        <w:spacing w:after="0" w:line="14" w:lineRule="exact"/>
        <w:rPr>
          <w:sz w:val="20"/>
          <w:szCs w:val="20"/>
          <w:color w:val="auto"/>
        </w:rPr>
      </w:pPr>
    </w:p>
    <w:p>
      <w:pPr>
        <w:ind w:right="60"/>
        <w:spacing w:after="0" w:line="230" w:lineRule="auto"/>
        <w:rPr>
          <w:sz w:val="20"/>
          <w:szCs w:val="20"/>
          <w:color w:val="auto"/>
        </w:rPr>
      </w:pPr>
      <w:r>
        <w:rPr>
          <w:rFonts w:ascii="Arial" w:cs="Arial" w:eastAsia="Arial" w:hAnsi="Arial"/>
          <w:sz w:val="17"/>
          <w:szCs w:val="17"/>
          <w:color w:val="auto"/>
        </w:rPr>
        <w:t>Section 401(a). Such determination letter did not involve a review of the effect on the Plan of certain amendments subsequently adopted. The Master Trust, created in 2021 has not filed for a favorable determination since the Internal Revenue Service no longer supports determination letter</w:t>
      </w:r>
    </w:p>
    <w:p>
      <w:pPr>
        <w:spacing w:after="0"/>
        <w:rPr>
          <w:sz w:val="20"/>
          <w:szCs w:val="20"/>
          <w:color w:val="auto"/>
        </w:rPr>
      </w:pPr>
      <w:r>
        <w:rPr>
          <w:rFonts w:ascii="Arial" w:cs="Arial" w:eastAsia="Arial" w:hAnsi="Arial"/>
          <w:sz w:val="17"/>
          <w:szCs w:val="17"/>
          <w:color w:val="auto"/>
        </w:rPr>
        <w:t>filings. The Master Trust is designed to be tax-exempt under IRC Section 501(a).</w:t>
      </w:r>
    </w:p>
    <w:p>
      <w:pPr>
        <w:spacing w:after="0" w:line="137"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The Plan Administrator believes that the Plan and Master Trust are designed and operated in compliance with the applicable requirements of the Internal Revenue Code. Therefore, the Plan Administrator has concluded that as of December 31, 2023, there are no uncertain tax positions taken</w:t>
      </w:r>
    </w:p>
    <w:p>
      <w:pPr>
        <w:spacing w:after="0" w:line="1" w:lineRule="exact"/>
        <w:rPr>
          <w:sz w:val="20"/>
          <w:szCs w:val="20"/>
          <w:color w:val="auto"/>
        </w:rPr>
      </w:pPr>
    </w:p>
    <w:p>
      <w:pPr>
        <w:ind w:right="400"/>
        <w:spacing w:after="0" w:line="255" w:lineRule="auto"/>
        <w:rPr>
          <w:sz w:val="20"/>
          <w:szCs w:val="20"/>
          <w:color w:val="auto"/>
        </w:rPr>
      </w:pPr>
      <w:r>
        <w:rPr>
          <w:rFonts w:ascii="Arial" w:cs="Arial" w:eastAsia="Arial" w:hAnsi="Arial"/>
          <w:sz w:val="17"/>
          <w:szCs w:val="17"/>
          <w:color w:val="auto"/>
        </w:rPr>
        <w:t>or expected to be taken that would require recognition of a liability (or asset) or disclosure in the financial statements. The Plan and the Master Trust are subject to routine audits for tax returns by taxing jurisdictions; however, there are currently no audits for any tax periods in progress.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 GRAHAM HOLDINGS COMPANY MASTER TRUST</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The Master Trust was established for the purpose of maintaining assets for the exclusive benefit of the participants of The Savings Plan for Graham</w:t>
      </w:r>
    </w:p>
    <w:p>
      <w:pPr>
        <w:spacing w:after="0" w:line="14" w:lineRule="exact"/>
        <w:rPr>
          <w:sz w:val="20"/>
          <w:szCs w:val="20"/>
          <w:color w:val="auto"/>
        </w:rPr>
      </w:pPr>
    </w:p>
    <w:p>
      <w:pPr>
        <w:ind w:right="340"/>
        <w:spacing w:after="0" w:line="230" w:lineRule="auto"/>
        <w:rPr>
          <w:sz w:val="20"/>
          <w:szCs w:val="20"/>
          <w:color w:val="auto"/>
        </w:rPr>
      </w:pPr>
      <w:r>
        <w:rPr>
          <w:rFonts w:ascii="Arial" w:cs="Arial" w:eastAsia="Arial" w:hAnsi="Arial"/>
          <w:sz w:val="17"/>
          <w:szCs w:val="17"/>
          <w:color w:val="auto"/>
        </w:rPr>
        <w:t>Holdings Company, the Kaplan, Inc. Tax Deferred Savings Plan for Salaried Employees, and the 401(k) Savings Plan for GHC Affiliates (collectively, Participating Plans). Each Participating Plan’s interest in the Master Trust is based on the account balances of the participants and</w:t>
      </w:r>
    </w:p>
    <w:p>
      <w:pPr>
        <w:spacing w:after="0" w:line="238" w:lineRule="auto"/>
        <w:rPr>
          <w:sz w:val="20"/>
          <w:szCs w:val="20"/>
          <w:color w:val="auto"/>
        </w:rPr>
      </w:pPr>
      <w:r>
        <w:rPr>
          <w:rFonts w:ascii="Arial" w:cs="Arial" w:eastAsia="Arial" w:hAnsi="Arial"/>
          <w:sz w:val="17"/>
          <w:szCs w:val="17"/>
          <w:color w:val="auto"/>
        </w:rPr>
        <w:t>their elected investment options. The Master Trust assets are allocated among the Participating Plans by assigning to each Participating Plan the</w:t>
      </w:r>
    </w:p>
    <w:p>
      <w:pPr>
        <w:ind w:right="80"/>
        <w:spacing w:after="0" w:line="230" w:lineRule="auto"/>
        <w:rPr>
          <w:sz w:val="20"/>
          <w:szCs w:val="20"/>
          <w:color w:val="auto"/>
        </w:rPr>
      </w:pPr>
      <w:r>
        <w:rPr>
          <w:rFonts w:ascii="Arial" w:cs="Arial" w:eastAsia="Arial" w:hAnsi="Arial"/>
          <w:sz w:val="17"/>
          <w:szCs w:val="17"/>
          <w:color w:val="auto"/>
        </w:rPr>
        <w:t>entire amount of contributions received on behalf of each Participating Plan, benefit payments, or other expenses attributed solely to such Participating Plan, and every other transaction relating only to such Participating Plan and by allocating among all Participating Plans, in proportion</w:t>
      </w:r>
    </w:p>
    <w:p>
      <w:pPr>
        <w:spacing w:after="0" w:line="239" w:lineRule="auto"/>
        <w:rPr>
          <w:sz w:val="20"/>
          <w:szCs w:val="20"/>
          <w:color w:val="auto"/>
        </w:rPr>
      </w:pPr>
      <w:r>
        <w:rPr>
          <w:rFonts w:ascii="Arial" w:cs="Arial" w:eastAsia="Arial" w:hAnsi="Arial"/>
          <w:sz w:val="17"/>
          <w:szCs w:val="17"/>
          <w:color w:val="auto"/>
        </w:rPr>
        <w:t>to the value of the assets assigned to each Participating Plan, income and expenses resulting from collective investment of the assets of the Master Trust.</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net assets of the Master Trust:</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49"/>
        </w:trPr>
        <w:tc>
          <w:tcPr>
            <w:tcW w:w="4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80" w:type="dxa"/>
            <w:vAlign w:val="bottom"/>
            <w:gridSpan w:val="5"/>
          </w:tcPr>
          <w:p>
            <w:pPr>
              <w:ind w:left="420"/>
              <w:spacing w:after="0"/>
              <w:rPr>
                <w:sz w:val="20"/>
                <w:szCs w:val="20"/>
                <w:color w:val="auto"/>
              </w:rPr>
            </w:pPr>
            <w:r>
              <w:rPr>
                <w:rFonts w:ascii="Arial" w:cs="Arial" w:eastAsia="Arial" w:hAnsi="Arial"/>
                <w:sz w:val="17"/>
                <w:szCs w:val="17"/>
                <w:color w:val="auto"/>
              </w:rPr>
              <w:t>As of December 31, 2023</w:t>
            </w:r>
          </w:p>
        </w:tc>
        <w:tc>
          <w:tcPr>
            <w:tcW w:w="200" w:type="dxa"/>
            <w:vAlign w:val="bottom"/>
          </w:tcPr>
          <w:p>
            <w:pPr>
              <w:spacing w:after="0"/>
              <w:rPr>
                <w:sz w:val="21"/>
                <w:szCs w:val="21"/>
                <w:color w:val="auto"/>
              </w:rPr>
            </w:pPr>
          </w:p>
        </w:tc>
        <w:tc>
          <w:tcPr>
            <w:tcW w:w="2980" w:type="dxa"/>
            <w:vAlign w:val="bottom"/>
            <w:gridSpan w:val="4"/>
          </w:tcPr>
          <w:p>
            <w:pPr>
              <w:jc w:val="right"/>
              <w:ind w:right="514"/>
              <w:spacing w:after="0"/>
              <w:rPr>
                <w:sz w:val="20"/>
                <w:szCs w:val="20"/>
                <w:color w:val="auto"/>
              </w:rPr>
            </w:pPr>
            <w:r>
              <w:rPr>
                <w:rFonts w:ascii="Arial" w:cs="Arial" w:eastAsia="Arial" w:hAnsi="Arial"/>
                <w:sz w:val="17"/>
                <w:szCs w:val="17"/>
                <w:color w:val="auto"/>
              </w:rPr>
              <w:t>As of December 31, 2022</w:t>
            </w:r>
          </w:p>
        </w:tc>
        <w:tc>
          <w:tcPr>
            <w:tcW w:w="0" w:type="dxa"/>
            <w:vAlign w:val="bottom"/>
          </w:tcPr>
          <w:p>
            <w:pPr>
              <w:spacing w:after="0"/>
              <w:rPr>
                <w:sz w:val="1"/>
                <w:szCs w:val="1"/>
                <w:color w:val="auto"/>
              </w:rPr>
            </w:pPr>
          </w:p>
        </w:tc>
      </w:tr>
      <w:tr>
        <w:trPr>
          <w:trHeight w:val="183"/>
        </w:trPr>
        <w:tc>
          <w:tcPr>
            <w:tcW w:w="47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center"/>
              <w:ind w:right="74"/>
              <w:spacing w:after="0" w:line="183" w:lineRule="exact"/>
              <w:rPr>
                <w:sz w:val="20"/>
                <w:szCs w:val="20"/>
                <w:color w:val="auto"/>
              </w:rPr>
            </w:pPr>
            <w:r>
              <w:rPr>
                <w:rFonts w:ascii="Arial" w:cs="Arial" w:eastAsia="Arial" w:hAnsi="Arial"/>
                <w:sz w:val="17"/>
                <w:szCs w:val="17"/>
                <w:color w:val="auto"/>
              </w:rPr>
              <w:t>Plan Interest in</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ind w:right="94"/>
              <w:spacing w:after="0" w:line="183" w:lineRule="exact"/>
              <w:rPr>
                <w:sz w:val="20"/>
                <w:szCs w:val="20"/>
                <w:color w:val="auto"/>
              </w:rPr>
            </w:pPr>
            <w:r>
              <w:rPr>
                <w:rFonts w:ascii="Arial" w:cs="Arial" w:eastAsia="Arial" w:hAnsi="Arial"/>
                <w:sz w:val="17"/>
                <w:szCs w:val="17"/>
                <w:color w:val="auto"/>
              </w:rPr>
              <w:t>Plan Interest in</w:t>
            </w:r>
          </w:p>
        </w:tc>
        <w:tc>
          <w:tcPr>
            <w:tcW w:w="0" w:type="dxa"/>
            <w:vAlign w:val="bottom"/>
          </w:tcPr>
          <w:p>
            <w:pPr>
              <w:spacing w:after="0"/>
              <w:rPr>
                <w:sz w:val="1"/>
                <w:szCs w:val="1"/>
                <w:color w:val="auto"/>
              </w:rPr>
            </w:pPr>
          </w:p>
        </w:tc>
      </w:tr>
      <w:tr>
        <w:trPr>
          <w:trHeight w:val="226"/>
        </w:trPr>
        <w:tc>
          <w:tcPr>
            <w:tcW w:w="4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ind w:left="100"/>
              <w:spacing w:after="0"/>
              <w:rPr>
                <w:sz w:val="20"/>
                <w:szCs w:val="20"/>
                <w:color w:val="auto"/>
              </w:rPr>
            </w:pPr>
            <w:r>
              <w:rPr>
                <w:rFonts w:ascii="Arial" w:cs="Arial" w:eastAsia="Arial" w:hAnsi="Arial"/>
                <w:sz w:val="17"/>
                <w:szCs w:val="17"/>
                <w:color w:val="auto"/>
              </w:rPr>
              <w:t>Master Trust</w:t>
            </w:r>
          </w:p>
        </w:tc>
        <w:tc>
          <w:tcPr>
            <w:tcW w:w="160" w:type="dxa"/>
            <w:vAlign w:val="bottom"/>
          </w:tcPr>
          <w:p>
            <w:pPr>
              <w:spacing w:after="0"/>
              <w:rPr>
                <w:sz w:val="19"/>
                <w:szCs w:val="19"/>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7"/>
                <w:szCs w:val="17"/>
                <w:color w:val="auto"/>
              </w:rPr>
              <w:t>Master Trust</w:t>
            </w:r>
          </w:p>
        </w:tc>
        <w:tc>
          <w:tcPr>
            <w:tcW w:w="200" w:type="dxa"/>
            <w:vAlign w:val="bottom"/>
          </w:tcPr>
          <w:p>
            <w:pPr>
              <w:spacing w:after="0"/>
              <w:rPr>
                <w:sz w:val="19"/>
                <w:szCs w:val="19"/>
                <w:color w:val="auto"/>
              </w:rPr>
            </w:pPr>
          </w:p>
        </w:tc>
        <w:tc>
          <w:tcPr>
            <w:tcW w:w="1440" w:type="dxa"/>
            <w:vAlign w:val="bottom"/>
            <w:gridSpan w:val="2"/>
          </w:tcPr>
          <w:p>
            <w:pPr>
              <w:ind w:left="100"/>
              <w:spacing w:after="0"/>
              <w:rPr>
                <w:sz w:val="20"/>
                <w:szCs w:val="20"/>
                <w:color w:val="auto"/>
              </w:rPr>
            </w:pPr>
            <w:r>
              <w:rPr>
                <w:rFonts w:ascii="Arial" w:cs="Arial" w:eastAsia="Arial" w:hAnsi="Arial"/>
                <w:sz w:val="17"/>
                <w:szCs w:val="17"/>
                <w:color w:val="auto"/>
              </w:rPr>
              <w:t>Master Trust</w:t>
            </w:r>
          </w:p>
        </w:tc>
        <w:tc>
          <w:tcPr>
            <w:tcW w:w="160" w:type="dxa"/>
            <w:vAlign w:val="bottom"/>
          </w:tcPr>
          <w:p>
            <w:pPr>
              <w:spacing w:after="0"/>
              <w:rPr>
                <w:sz w:val="19"/>
                <w:szCs w:val="19"/>
                <w:color w:val="auto"/>
              </w:rPr>
            </w:pPr>
          </w:p>
        </w:tc>
        <w:tc>
          <w:tcPr>
            <w:tcW w:w="1380" w:type="dxa"/>
            <w:vAlign w:val="bottom"/>
          </w:tcPr>
          <w:p>
            <w:pPr>
              <w:jc w:val="right"/>
              <w:ind w:right="194"/>
              <w:spacing w:after="0"/>
              <w:rPr>
                <w:sz w:val="20"/>
                <w:szCs w:val="20"/>
                <w:color w:val="auto"/>
              </w:rPr>
            </w:pPr>
            <w:r>
              <w:rPr>
                <w:rFonts w:ascii="Arial" w:cs="Arial" w:eastAsia="Arial" w:hAnsi="Arial"/>
                <w:sz w:val="17"/>
                <w:szCs w:val="17"/>
                <w:color w:val="auto"/>
              </w:rPr>
              <w:t>Master Trust</w:t>
            </w:r>
          </w:p>
        </w:tc>
        <w:tc>
          <w:tcPr>
            <w:tcW w:w="0" w:type="dxa"/>
            <w:vAlign w:val="bottom"/>
          </w:tcPr>
          <w:p>
            <w:pPr>
              <w:spacing w:after="0"/>
              <w:rPr>
                <w:sz w:val="1"/>
                <w:szCs w:val="1"/>
                <w:color w:val="auto"/>
              </w:rPr>
            </w:pPr>
          </w:p>
        </w:tc>
      </w:tr>
      <w:tr>
        <w:trPr>
          <w:trHeight w:val="24"/>
        </w:trPr>
        <w:tc>
          <w:tcPr>
            <w:tcW w:w="4720" w:type="dxa"/>
            <w:vAlign w:val="bottom"/>
            <w:vMerge w:val="restart"/>
          </w:tcPr>
          <w:p>
            <w:pPr>
              <w:spacing w:after="0"/>
              <w:rPr>
                <w:sz w:val="20"/>
                <w:szCs w:val="20"/>
                <w:color w:val="auto"/>
              </w:rPr>
            </w:pPr>
            <w:r>
              <w:rPr>
                <w:rFonts w:ascii="Arial" w:cs="Arial" w:eastAsia="Arial" w:hAnsi="Arial"/>
                <w:sz w:val="17"/>
                <w:szCs w:val="17"/>
                <w:color w:val="auto"/>
              </w:rPr>
              <w:t>Registered Investment</w:t>
            </w: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47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720" w:type="dxa"/>
            <w:vAlign w:val="bottom"/>
          </w:tcPr>
          <w:p>
            <w:pPr>
              <w:ind w:left="200"/>
              <w:spacing w:after="0"/>
              <w:rPr>
                <w:sz w:val="20"/>
                <w:szCs w:val="20"/>
                <w:color w:val="auto"/>
              </w:rPr>
            </w:pPr>
            <w:r>
              <w:rPr>
                <w:rFonts w:ascii="Arial" w:cs="Arial" w:eastAsia="Arial" w:hAnsi="Arial"/>
                <w:sz w:val="17"/>
                <w:szCs w:val="17"/>
                <w:color w:val="auto"/>
              </w:rPr>
              <w:t>Companies (Mutual Funds)</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529,004,835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301,445,178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460,117,150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267,812,730</w:t>
            </w:r>
          </w:p>
        </w:tc>
        <w:tc>
          <w:tcPr>
            <w:tcW w:w="0" w:type="dxa"/>
            <w:vAlign w:val="bottom"/>
          </w:tcPr>
          <w:p>
            <w:pPr>
              <w:spacing w:after="0"/>
              <w:rPr>
                <w:sz w:val="1"/>
                <w:szCs w:val="1"/>
                <w:color w:val="auto"/>
              </w:rPr>
            </w:pPr>
          </w:p>
        </w:tc>
      </w:tr>
      <w:tr>
        <w:trPr>
          <w:trHeight w:val="245"/>
        </w:trPr>
        <w:tc>
          <w:tcPr>
            <w:tcW w:w="4720" w:type="dxa"/>
            <w:vAlign w:val="bottom"/>
          </w:tcPr>
          <w:p>
            <w:pPr>
              <w:spacing w:after="0"/>
              <w:rPr>
                <w:sz w:val="20"/>
                <w:szCs w:val="20"/>
                <w:color w:val="auto"/>
              </w:rPr>
            </w:pPr>
            <w:r>
              <w:rPr>
                <w:rFonts w:ascii="Arial" w:cs="Arial" w:eastAsia="Arial" w:hAnsi="Arial"/>
                <w:sz w:val="17"/>
                <w:szCs w:val="17"/>
                <w:color w:val="auto"/>
              </w:rPr>
              <w:t>Common/Collective Trusts</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274,916,852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136,157,858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234,662,493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114,385,441</w:t>
            </w:r>
          </w:p>
        </w:tc>
        <w:tc>
          <w:tcPr>
            <w:tcW w:w="0" w:type="dxa"/>
            <w:vAlign w:val="bottom"/>
          </w:tcPr>
          <w:p>
            <w:pPr>
              <w:spacing w:after="0"/>
              <w:rPr>
                <w:sz w:val="1"/>
                <w:szCs w:val="1"/>
                <w:color w:val="auto"/>
              </w:rPr>
            </w:pPr>
          </w:p>
        </w:tc>
      </w:tr>
      <w:tr>
        <w:trPr>
          <w:trHeight w:val="245"/>
        </w:trPr>
        <w:tc>
          <w:tcPr>
            <w:tcW w:w="4720" w:type="dxa"/>
            <w:vAlign w:val="bottom"/>
          </w:tcPr>
          <w:p>
            <w:pPr>
              <w:spacing w:after="0"/>
              <w:rPr>
                <w:sz w:val="20"/>
                <w:szCs w:val="20"/>
                <w:color w:val="auto"/>
              </w:rPr>
            </w:pPr>
            <w:r>
              <w:rPr>
                <w:rFonts w:ascii="Arial" w:cs="Arial" w:eastAsia="Arial" w:hAnsi="Arial"/>
                <w:sz w:val="17"/>
                <w:szCs w:val="17"/>
                <w:color w:val="auto"/>
              </w:rPr>
              <w:t>Berkshire Hathaway Stock Fund</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46,676,349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24,587,837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41,955,715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22,278,893</w:t>
            </w:r>
          </w:p>
        </w:tc>
        <w:tc>
          <w:tcPr>
            <w:tcW w:w="0" w:type="dxa"/>
            <w:vAlign w:val="bottom"/>
          </w:tcPr>
          <w:p>
            <w:pPr>
              <w:spacing w:after="0"/>
              <w:rPr>
                <w:sz w:val="1"/>
                <w:szCs w:val="1"/>
                <w:color w:val="auto"/>
              </w:rPr>
            </w:pPr>
          </w:p>
        </w:tc>
      </w:tr>
      <w:tr>
        <w:trPr>
          <w:trHeight w:val="245"/>
        </w:trPr>
        <w:tc>
          <w:tcPr>
            <w:tcW w:w="4720" w:type="dxa"/>
            <w:vAlign w:val="bottom"/>
          </w:tcPr>
          <w:p>
            <w:pPr>
              <w:spacing w:after="0"/>
              <w:rPr>
                <w:sz w:val="20"/>
                <w:szCs w:val="20"/>
                <w:color w:val="auto"/>
              </w:rPr>
            </w:pPr>
            <w:r>
              <w:rPr>
                <w:rFonts w:ascii="Arial" w:cs="Arial" w:eastAsia="Arial" w:hAnsi="Arial"/>
                <w:sz w:val="17"/>
                <w:szCs w:val="17"/>
                <w:color w:val="auto"/>
              </w:rPr>
              <w:t>Graham Holdings Company Stock Fund</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4,210,252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3,447,771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3,856,867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3,157,996</w:t>
            </w:r>
          </w:p>
        </w:tc>
        <w:tc>
          <w:tcPr>
            <w:tcW w:w="0" w:type="dxa"/>
            <w:vAlign w:val="bottom"/>
          </w:tcPr>
          <w:p>
            <w:pPr>
              <w:spacing w:after="0"/>
              <w:rPr>
                <w:sz w:val="1"/>
                <w:szCs w:val="1"/>
                <w:color w:val="auto"/>
              </w:rPr>
            </w:pPr>
          </w:p>
        </w:tc>
      </w:tr>
      <w:tr>
        <w:trPr>
          <w:trHeight w:val="24"/>
        </w:trPr>
        <w:tc>
          <w:tcPr>
            <w:tcW w:w="4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720" w:type="dxa"/>
            <w:vAlign w:val="bottom"/>
          </w:tcPr>
          <w:p>
            <w:pPr>
              <w:ind w:left="320"/>
              <w:spacing w:after="0"/>
              <w:rPr>
                <w:sz w:val="20"/>
                <w:szCs w:val="20"/>
                <w:color w:val="auto"/>
              </w:rPr>
            </w:pPr>
            <w:r>
              <w:rPr>
                <w:rFonts w:ascii="Arial" w:cs="Arial" w:eastAsia="Arial" w:hAnsi="Arial"/>
                <w:sz w:val="17"/>
                <w:szCs w:val="17"/>
                <w:color w:val="auto"/>
              </w:rPr>
              <w:t>Total net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854,808,288</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465,638,644</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740,592,225</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407,635,060</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changes in net assets for the Master Trust for the year ended December 31, 2023:</w:t>
      </w:r>
    </w:p>
    <w:p>
      <w:pPr>
        <w:spacing w:after="0" w:line="200" w:lineRule="exact"/>
        <w:rPr>
          <w:sz w:val="20"/>
          <w:szCs w:val="20"/>
          <w:color w:val="auto"/>
        </w:rPr>
      </w:pPr>
    </w:p>
    <w:p>
      <w:pPr>
        <w:spacing w:after="0" w:line="328" w:lineRule="exact"/>
        <w:rPr>
          <w:sz w:val="20"/>
          <w:szCs w:val="20"/>
          <w:color w:val="auto"/>
        </w:rPr>
      </w:pPr>
    </w:p>
    <w:tbl>
      <w:tblPr>
        <w:tblLayout w:type="fixed"/>
        <w:tblInd w:w="40" w:type="dxa"/>
        <w:tblCellMar>
          <w:top w:w="0" w:type="dxa"/>
          <w:left w:w="0" w:type="dxa"/>
          <w:bottom w:w="0" w:type="dxa"/>
          <w:right w:w="0" w:type="dxa"/>
        </w:tblCellMar>
      </w:tblPr>
      <w:tr>
        <w:trPr>
          <w:trHeight w:val="226"/>
        </w:trPr>
        <w:tc>
          <w:tcPr>
            <w:tcW w:w="9660" w:type="dxa"/>
            <w:vAlign w:val="bottom"/>
          </w:tcPr>
          <w:p>
            <w:pPr>
              <w:spacing w:after="0"/>
              <w:rPr>
                <w:sz w:val="20"/>
                <w:szCs w:val="20"/>
                <w:color w:val="auto"/>
              </w:rPr>
            </w:pPr>
            <w:r>
              <w:rPr>
                <w:rFonts w:ascii="Arial" w:cs="Arial" w:eastAsia="Arial" w:hAnsi="Arial"/>
                <w:sz w:val="17"/>
                <w:szCs w:val="17"/>
                <w:color w:val="auto"/>
              </w:rPr>
              <w:t>Net appreciation in fair value of investments</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116,433,225</w:t>
            </w:r>
          </w:p>
        </w:tc>
        <w:tc>
          <w:tcPr>
            <w:tcW w:w="0" w:type="dxa"/>
            <w:vAlign w:val="bottom"/>
          </w:tcPr>
          <w:p>
            <w:pPr>
              <w:spacing w:after="0"/>
              <w:rPr>
                <w:sz w:val="1"/>
                <w:szCs w:val="1"/>
                <w:color w:val="auto"/>
              </w:rPr>
            </w:pPr>
          </w:p>
        </w:tc>
      </w:tr>
      <w:tr>
        <w:trPr>
          <w:trHeight w:val="245"/>
        </w:trPr>
        <w:tc>
          <w:tcPr>
            <w:tcW w:w="9660" w:type="dxa"/>
            <w:vAlign w:val="bottom"/>
          </w:tcPr>
          <w:p>
            <w:pPr>
              <w:spacing w:after="0"/>
              <w:rPr>
                <w:sz w:val="20"/>
                <w:szCs w:val="20"/>
                <w:color w:val="auto"/>
              </w:rPr>
            </w:pPr>
            <w:r>
              <w:rPr>
                <w:rFonts w:ascii="Arial" w:cs="Arial" w:eastAsia="Arial" w:hAnsi="Arial"/>
                <w:sz w:val="17"/>
                <w:szCs w:val="17"/>
                <w:color w:val="auto"/>
              </w:rPr>
              <w:t>Interest and dividends</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19,755,797</w:t>
            </w:r>
          </w:p>
        </w:tc>
        <w:tc>
          <w:tcPr>
            <w:tcW w:w="0" w:type="dxa"/>
            <w:vAlign w:val="bottom"/>
          </w:tcPr>
          <w:p>
            <w:pPr>
              <w:spacing w:after="0"/>
              <w:rPr>
                <w:sz w:val="1"/>
                <w:szCs w:val="1"/>
                <w:color w:val="auto"/>
              </w:rPr>
            </w:pPr>
          </w:p>
        </w:tc>
      </w:tr>
      <w:tr>
        <w:trPr>
          <w:trHeight w:val="24"/>
        </w:trPr>
        <w:tc>
          <w:tcPr>
            <w:tcW w:w="9660" w:type="dxa"/>
            <w:vAlign w:val="bottom"/>
            <w:vMerge w:val="restart"/>
          </w:tcPr>
          <w:p>
            <w:pPr>
              <w:ind w:left="100"/>
              <w:spacing w:after="0"/>
              <w:rPr>
                <w:sz w:val="20"/>
                <w:szCs w:val="20"/>
                <w:color w:val="auto"/>
              </w:rPr>
            </w:pPr>
            <w:r>
              <w:rPr>
                <w:rFonts w:ascii="Arial" w:cs="Arial" w:eastAsia="Arial" w:hAnsi="Arial"/>
                <w:sz w:val="17"/>
                <w:szCs w:val="17"/>
                <w:color w:val="auto"/>
              </w:rPr>
              <w:t>Total investment income</w:t>
            </w: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96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136,189,022</w:t>
            </w:r>
          </w:p>
        </w:tc>
        <w:tc>
          <w:tcPr>
            <w:tcW w:w="0" w:type="dxa"/>
            <w:vAlign w:val="bottom"/>
          </w:tcPr>
          <w:p>
            <w:pPr>
              <w:spacing w:after="0"/>
              <w:rPr>
                <w:sz w:val="1"/>
                <w:szCs w:val="1"/>
                <w:color w:val="auto"/>
              </w:rPr>
            </w:pPr>
          </w:p>
        </w:tc>
      </w:tr>
      <w:tr>
        <w:trPr>
          <w:trHeight w:val="435"/>
        </w:trPr>
        <w:tc>
          <w:tcPr>
            <w:tcW w:w="9660" w:type="dxa"/>
            <w:vAlign w:val="bottom"/>
          </w:tcPr>
          <w:p>
            <w:pPr>
              <w:spacing w:after="0"/>
              <w:rPr>
                <w:sz w:val="20"/>
                <w:szCs w:val="20"/>
                <w:color w:val="auto"/>
              </w:rPr>
            </w:pPr>
            <w:r>
              <w:rPr>
                <w:rFonts w:ascii="Arial" w:cs="Arial" w:eastAsia="Arial" w:hAnsi="Arial"/>
                <w:sz w:val="17"/>
                <w:szCs w:val="17"/>
                <w:color w:val="auto"/>
              </w:rPr>
              <w:t>Net transfers from the Master Trust</w:t>
            </w: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(21,972,959)</w:t>
            </w:r>
          </w:p>
        </w:tc>
        <w:tc>
          <w:tcPr>
            <w:tcW w:w="0" w:type="dxa"/>
            <w:vAlign w:val="bottom"/>
          </w:tcPr>
          <w:p>
            <w:pPr>
              <w:spacing w:after="0"/>
              <w:rPr>
                <w:sz w:val="1"/>
                <w:szCs w:val="1"/>
                <w:color w:val="auto"/>
              </w:rPr>
            </w:pPr>
          </w:p>
        </w:tc>
      </w:tr>
      <w:tr>
        <w:trPr>
          <w:trHeight w:val="439"/>
        </w:trPr>
        <w:tc>
          <w:tcPr>
            <w:tcW w:w="9660" w:type="dxa"/>
            <w:vAlign w:val="bottom"/>
          </w:tcPr>
          <w:p>
            <w:pPr>
              <w:spacing w:after="0"/>
              <w:rPr>
                <w:sz w:val="20"/>
                <w:szCs w:val="20"/>
                <w:color w:val="auto"/>
              </w:rPr>
            </w:pPr>
            <w:r>
              <w:rPr>
                <w:rFonts w:ascii="Arial" w:cs="Arial" w:eastAsia="Arial" w:hAnsi="Arial"/>
                <w:sz w:val="17"/>
                <w:szCs w:val="17"/>
                <w:color w:val="auto"/>
              </w:rPr>
              <w:t>Net assets available for the Master Trust:</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9660" w:type="dxa"/>
            <w:vAlign w:val="bottom"/>
          </w:tcPr>
          <w:p>
            <w:pPr>
              <w:ind w:left="140"/>
              <w:spacing w:after="0"/>
              <w:rPr>
                <w:sz w:val="20"/>
                <w:szCs w:val="20"/>
                <w:color w:val="auto"/>
              </w:rPr>
            </w:pPr>
            <w:r>
              <w:rPr>
                <w:rFonts w:ascii="Arial" w:cs="Arial" w:eastAsia="Arial" w:hAnsi="Arial"/>
                <w:sz w:val="17"/>
                <w:szCs w:val="17"/>
                <w:color w:val="auto"/>
              </w:rPr>
              <w:t>Beginning of the year</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740,592,225</w:t>
            </w:r>
          </w:p>
        </w:tc>
        <w:tc>
          <w:tcPr>
            <w:tcW w:w="0" w:type="dxa"/>
            <w:vAlign w:val="bottom"/>
          </w:tcPr>
          <w:p>
            <w:pPr>
              <w:spacing w:after="0"/>
              <w:rPr>
                <w:sz w:val="1"/>
                <w:szCs w:val="1"/>
                <w:color w:val="auto"/>
              </w:rPr>
            </w:pPr>
          </w:p>
        </w:tc>
      </w:tr>
      <w:tr>
        <w:trPr>
          <w:trHeight w:val="24"/>
        </w:trPr>
        <w:tc>
          <w:tcPr>
            <w:tcW w:w="9660" w:type="dxa"/>
            <w:vAlign w:val="bottom"/>
            <w:vMerge w:val="restart"/>
          </w:tcPr>
          <w:p>
            <w:pPr>
              <w:ind w:left="140"/>
              <w:spacing w:after="0"/>
              <w:rPr>
                <w:sz w:val="20"/>
                <w:szCs w:val="20"/>
                <w:color w:val="auto"/>
              </w:rPr>
            </w:pPr>
            <w:r>
              <w:rPr>
                <w:rFonts w:ascii="Arial" w:cs="Arial" w:eastAsia="Arial" w:hAnsi="Arial"/>
                <w:sz w:val="17"/>
                <w:szCs w:val="17"/>
                <w:color w:val="auto"/>
              </w:rPr>
              <w:t>End of the year</w:t>
            </w: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9660" w:type="dxa"/>
            <w:vAlign w:val="bottom"/>
            <w:vMerge w:val="continue"/>
          </w:tcPr>
          <w:p>
            <w:pPr>
              <w:spacing w:after="0"/>
              <w:rPr>
                <w:sz w:val="20"/>
                <w:szCs w:val="20"/>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854,808,288</w:t>
            </w:r>
          </w:p>
        </w:tc>
        <w:tc>
          <w:tcPr>
            <w:tcW w:w="0" w:type="dxa"/>
            <w:vAlign w:val="bottom"/>
          </w:tcPr>
          <w:p>
            <w:pPr>
              <w:spacing w:after="0"/>
              <w:rPr>
                <w:sz w:val="1"/>
                <w:szCs w:val="1"/>
                <w:color w:val="auto"/>
              </w:rPr>
            </w:pPr>
          </w:p>
        </w:tc>
      </w:tr>
      <w:tr>
        <w:trPr>
          <w:trHeight w:val="26"/>
        </w:trPr>
        <w:tc>
          <w:tcPr>
            <w:tcW w:w="9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40"/>
          </w:cols>
          <w:pgMar w:left="320" w:top="846"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color w:val="auto"/>
        </w:rPr>
        <w:t>NOTE 6 – FAIR VALUE MEASUREMENTS</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A fair value measurement is determined based on the assumptions that a market participant would use in pricing an asset or liability, based on a</w:t>
      </w:r>
    </w:p>
    <w:p>
      <w:pPr>
        <w:spacing w:after="0" w:line="14" w:lineRule="exact"/>
        <w:rPr>
          <w:sz w:val="20"/>
          <w:szCs w:val="20"/>
          <w:color w:val="auto"/>
        </w:rPr>
      </w:pPr>
    </w:p>
    <w:p>
      <w:pPr>
        <w:ind w:right="340"/>
        <w:spacing w:after="0" w:line="230" w:lineRule="auto"/>
        <w:rPr>
          <w:sz w:val="20"/>
          <w:szCs w:val="20"/>
          <w:color w:val="auto"/>
        </w:rPr>
      </w:pPr>
      <w:r>
        <w:rPr>
          <w:rFonts w:ascii="Arial" w:cs="Arial" w:eastAsia="Arial" w:hAnsi="Arial"/>
          <w:sz w:val="17"/>
          <w:szCs w:val="17"/>
          <w:color w:val="auto"/>
        </w:rPr>
        <w:t>three-tiered hierarchy that draws a distinction between market participant assumptions based on (i) observable inputs, such as quoted prices in active markets (Level 1); (ii) inputs other than quoted prices in active markets that are observable either directly or indirectly (Level 2); and (iii)</w:t>
      </w:r>
    </w:p>
    <w:p>
      <w:pPr>
        <w:spacing w:after="0" w:line="238" w:lineRule="auto"/>
        <w:rPr>
          <w:sz w:val="20"/>
          <w:szCs w:val="20"/>
          <w:color w:val="auto"/>
        </w:rPr>
      </w:pPr>
      <w:r>
        <w:rPr>
          <w:rFonts w:ascii="Arial" w:cs="Arial" w:eastAsia="Arial" w:hAnsi="Arial"/>
          <w:sz w:val="17"/>
          <w:szCs w:val="17"/>
          <w:color w:val="auto"/>
        </w:rPr>
        <w:t>unobservable inputs that require the Master Trust to use present value and other valuation techniques in the determination of fair value (Level 3).</w:t>
      </w:r>
    </w:p>
    <w:p>
      <w:pPr>
        <w:spacing w:after="0" w:line="230" w:lineRule="auto"/>
        <w:rPr>
          <w:sz w:val="20"/>
          <w:szCs w:val="20"/>
          <w:color w:val="auto"/>
        </w:rPr>
      </w:pPr>
      <w:r>
        <w:rPr>
          <w:rFonts w:ascii="Arial" w:cs="Arial" w:eastAsia="Arial" w:hAnsi="Arial"/>
          <w:sz w:val="17"/>
          <w:szCs w:val="17"/>
          <w:color w:val="auto"/>
        </w:rPr>
        <w:t>Financial assets and liabilities are classified in their entirety based on the lowest level of input that is significant to the fair value measure. The Master Trust’s assessment of the significance of a particular input to fair value measurements requires judgment and may affect the valuation of the</w:t>
      </w:r>
    </w:p>
    <w:p>
      <w:pPr>
        <w:spacing w:after="0"/>
        <w:rPr>
          <w:sz w:val="20"/>
          <w:szCs w:val="20"/>
          <w:color w:val="auto"/>
        </w:rPr>
      </w:pPr>
      <w:r>
        <w:rPr>
          <w:rFonts w:ascii="Arial" w:cs="Arial" w:eastAsia="Arial" w:hAnsi="Arial"/>
          <w:sz w:val="17"/>
          <w:szCs w:val="17"/>
          <w:color w:val="auto"/>
        </w:rPr>
        <w:t>assets and liabilities being measured and their placement within the fair value hierarchy.</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Financial assets held in the Master Trust and the valuation techniques for measuring fair value are as follows:</w:t>
      </w:r>
    </w:p>
    <w:p>
      <w:pPr>
        <w:spacing w:after="0" w:line="138" w:lineRule="exact"/>
        <w:rPr>
          <w:sz w:val="20"/>
          <w:szCs w:val="20"/>
          <w:color w:val="auto"/>
        </w:rPr>
      </w:pPr>
    </w:p>
    <w:p>
      <w:pPr>
        <w:ind w:right="260"/>
        <w:spacing w:after="0" w:line="277" w:lineRule="auto"/>
        <w:rPr>
          <w:sz w:val="20"/>
          <w:szCs w:val="20"/>
          <w:color w:val="auto"/>
        </w:rPr>
      </w:pPr>
      <w:r>
        <w:rPr>
          <w:rFonts w:ascii="Arial" w:cs="Arial" w:eastAsia="Arial" w:hAnsi="Arial"/>
          <w:sz w:val="17"/>
          <w:szCs w:val="17"/>
          <w:b w:val="1"/>
          <w:bCs w:val="1"/>
          <w:color w:val="auto"/>
        </w:rPr>
        <w:t>Registered Investment Companies (Mutual Funds)</w:t>
      </w:r>
      <w:r>
        <w:rPr>
          <w:rFonts w:ascii="Arial" w:cs="Arial" w:eastAsia="Arial" w:hAnsi="Arial"/>
          <w:sz w:val="17"/>
          <w:szCs w:val="17"/>
          <w:color w:val="auto"/>
        </w:rPr>
        <w:t>: Registered investment companies (mutual funds) are valued at their respective net asset</w:t>
      </w:r>
      <w:r>
        <w:rPr>
          <w:rFonts w:ascii="Arial" w:cs="Arial" w:eastAsia="Arial" w:hAnsi="Arial"/>
          <w:sz w:val="17"/>
          <w:szCs w:val="17"/>
          <w:b w:val="1"/>
          <w:bCs w:val="1"/>
          <w:color w:val="auto"/>
        </w:rPr>
        <w:t xml:space="preserve"> </w:t>
      </w:r>
      <w:r>
        <w:rPr>
          <w:rFonts w:ascii="Arial" w:cs="Arial" w:eastAsia="Arial" w:hAnsi="Arial"/>
          <w:sz w:val="17"/>
          <w:szCs w:val="17"/>
          <w:color w:val="auto"/>
        </w:rPr>
        <w:t>values. The net asset values are typically determined by the fund at the close of regular trading.</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Common/Collective Trusts</w:t>
      </w:r>
      <w:r>
        <w:rPr>
          <w:rFonts w:ascii="Arial" w:cs="Arial" w:eastAsia="Arial" w:hAnsi="Arial"/>
          <w:sz w:val="17"/>
          <w:szCs w:val="17"/>
          <w:color w:val="auto"/>
        </w:rPr>
        <w:t>: The common/collective trusts are valued at their respective net asset values, as a practical expedient for fair value.</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investments in the common/collective trusts are determined by their trustee.</w:t>
      </w:r>
    </w:p>
    <w:p>
      <w:pPr>
        <w:spacing w:after="0" w:line="135" w:lineRule="exact"/>
        <w:rPr>
          <w:sz w:val="20"/>
          <w:szCs w:val="20"/>
          <w:color w:val="auto"/>
        </w:rPr>
      </w:pPr>
    </w:p>
    <w:p>
      <w:pPr>
        <w:ind w:right="440"/>
        <w:spacing w:after="0" w:line="277" w:lineRule="auto"/>
        <w:rPr>
          <w:sz w:val="20"/>
          <w:szCs w:val="20"/>
          <w:color w:val="auto"/>
        </w:rPr>
      </w:pPr>
      <w:r>
        <w:rPr>
          <w:rFonts w:ascii="Arial" w:cs="Arial" w:eastAsia="Arial" w:hAnsi="Arial"/>
          <w:sz w:val="17"/>
          <w:szCs w:val="17"/>
          <w:b w:val="1"/>
          <w:bCs w:val="1"/>
          <w:color w:val="auto"/>
        </w:rPr>
        <w:t>Company Stocks Funds</w:t>
      </w:r>
      <w:r>
        <w:rPr>
          <w:rFonts w:ascii="Arial" w:cs="Arial" w:eastAsia="Arial" w:hAnsi="Arial"/>
          <w:sz w:val="17"/>
          <w:szCs w:val="17"/>
          <w:color w:val="auto"/>
        </w:rPr>
        <w:t>: The Graham Holdings Company Stock Fund and Berkshire Hathaway Stock Fund are valued at their year-end unit</w:t>
      </w:r>
      <w:r>
        <w:rPr>
          <w:rFonts w:ascii="Arial" w:cs="Arial" w:eastAsia="Arial" w:hAnsi="Arial"/>
          <w:sz w:val="17"/>
          <w:szCs w:val="17"/>
          <w:b w:val="1"/>
          <w:bCs w:val="1"/>
          <w:color w:val="auto"/>
        </w:rPr>
        <w:t xml:space="preserve"> </w:t>
      </w:r>
      <w:r>
        <w:rPr>
          <w:rFonts w:ascii="Arial" w:cs="Arial" w:eastAsia="Arial" w:hAnsi="Arial"/>
          <w:sz w:val="17"/>
          <w:szCs w:val="17"/>
          <w:color w:val="auto"/>
        </w:rPr>
        <w:t>closing price (comprised of common stock at the year-end market price plus an uninvested cash portion).</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Financial assets held by the Master Trust measured at fair value on a recurring basis were as follows:</w:t>
      </w: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226"/>
        </w:trPr>
        <w:tc>
          <w:tcPr>
            <w:tcW w:w="4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40" w:type="dxa"/>
            <w:vAlign w:val="bottom"/>
            <w:gridSpan w:val="5"/>
          </w:tcPr>
          <w:p>
            <w:pPr>
              <w:ind w:left="380"/>
              <w:spacing w:after="0"/>
              <w:rPr>
                <w:sz w:val="20"/>
                <w:szCs w:val="20"/>
                <w:color w:val="auto"/>
              </w:rPr>
            </w:pPr>
            <w:r>
              <w:rPr>
                <w:rFonts w:ascii="Arial" w:cs="Arial" w:eastAsia="Arial" w:hAnsi="Arial"/>
                <w:sz w:val="17"/>
                <w:szCs w:val="17"/>
                <w:color w:val="auto"/>
              </w:rPr>
              <w:t>As of December 31, 2023</w:t>
            </w:r>
          </w:p>
        </w:tc>
        <w:tc>
          <w:tcPr>
            <w:tcW w:w="240" w:type="dxa"/>
            <w:vAlign w:val="bottom"/>
          </w:tcPr>
          <w:p>
            <w:pPr>
              <w:spacing w:after="0"/>
              <w:rPr>
                <w:sz w:val="19"/>
                <w:szCs w:val="19"/>
                <w:color w:val="auto"/>
              </w:rPr>
            </w:pPr>
          </w:p>
        </w:tc>
        <w:tc>
          <w:tcPr>
            <w:tcW w:w="2940" w:type="dxa"/>
            <w:vAlign w:val="bottom"/>
            <w:gridSpan w:val="4"/>
          </w:tcPr>
          <w:p>
            <w:pPr>
              <w:jc w:val="right"/>
              <w:ind w:right="534"/>
              <w:spacing w:after="0"/>
              <w:rPr>
                <w:sz w:val="20"/>
                <w:szCs w:val="20"/>
                <w:color w:val="auto"/>
              </w:rPr>
            </w:pPr>
            <w:r>
              <w:rPr>
                <w:rFonts w:ascii="Arial" w:cs="Arial" w:eastAsia="Arial" w:hAnsi="Arial"/>
                <w:sz w:val="17"/>
                <w:szCs w:val="17"/>
                <w:color w:val="auto"/>
              </w:rPr>
              <w:t>As of December 31, 2022</w:t>
            </w:r>
          </w:p>
        </w:tc>
        <w:tc>
          <w:tcPr>
            <w:tcW w:w="0" w:type="dxa"/>
            <w:vAlign w:val="bottom"/>
          </w:tcPr>
          <w:p>
            <w:pPr>
              <w:spacing w:after="0"/>
              <w:rPr>
                <w:sz w:val="1"/>
                <w:szCs w:val="1"/>
                <w:color w:val="auto"/>
              </w:rPr>
            </w:pPr>
          </w:p>
        </w:tc>
      </w:tr>
      <w:tr>
        <w:trPr>
          <w:trHeight w:val="24"/>
        </w:trPr>
        <w:tc>
          <w:tcPr>
            <w:tcW w:w="4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47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center"/>
              <w:ind w:right="34"/>
              <w:spacing w:after="0" w:line="170" w:lineRule="exact"/>
              <w:rPr>
                <w:sz w:val="20"/>
                <w:szCs w:val="20"/>
                <w:color w:val="auto"/>
              </w:rPr>
            </w:pPr>
            <w:r>
              <w:rPr>
                <w:rFonts w:ascii="Arial" w:cs="Arial" w:eastAsia="Arial" w:hAnsi="Arial"/>
                <w:sz w:val="17"/>
                <w:szCs w:val="17"/>
                <w:color w:val="auto"/>
              </w:rPr>
              <w:t>Quoted Prices in</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center"/>
              <w:ind w:right="34"/>
              <w:spacing w:after="0" w:line="170" w:lineRule="exact"/>
              <w:rPr>
                <w:sz w:val="20"/>
                <w:szCs w:val="20"/>
                <w:color w:val="auto"/>
              </w:rPr>
            </w:pPr>
            <w:r>
              <w:rPr>
                <w:rFonts w:ascii="Arial" w:cs="Arial" w:eastAsia="Arial" w:hAnsi="Arial"/>
                <w:sz w:val="17"/>
                <w:szCs w:val="17"/>
                <w:color w:val="auto"/>
              </w:rPr>
              <w:t>Quoted Prices in</w:t>
            </w:r>
          </w:p>
        </w:tc>
        <w:tc>
          <w:tcPr>
            <w:tcW w:w="0" w:type="dxa"/>
            <w:vAlign w:val="bottom"/>
          </w:tcPr>
          <w:p>
            <w:pPr>
              <w:spacing w:after="0"/>
              <w:rPr>
                <w:sz w:val="1"/>
                <w:szCs w:val="1"/>
                <w:color w:val="auto"/>
              </w:rPr>
            </w:pPr>
          </w:p>
        </w:tc>
      </w:tr>
      <w:tr>
        <w:trPr>
          <w:trHeight w:val="172"/>
        </w:trPr>
        <w:tc>
          <w:tcPr>
            <w:tcW w:w="4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3"/>
          </w:tcPr>
          <w:p>
            <w:pPr>
              <w:jc w:val="center"/>
              <w:ind w:right="100"/>
              <w:spacing w:after="0" w:line="172" w:lineRule="exact"/>
              <w:rPr>
                <w:sz w:val="20"/>
                <w:szCs w:val="20"/>
                <w:color w:val="auto"/>
              </w:rPr>
            </w:pPr>
            <w:r>
              <w:rPr>
                <w:rFonts w:ascii="Arial" w:cs="Arial" w:eastAsia="Arial" w:hAnsi="Arial"/>
                <w:sz w:val="17"/>
                <w:szCs w:val="17"/>
                <w:color w:val="auto"/>
              </w:rPr>
              <w:t>Active Markets for</w:t>
            </w: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spacing w:after="0" w:line="172" w:lineRule="exact"/>
              <w:rPr>
                <w:sz w:val="20"/>
                <w:szCs w:val="20"/>
                <w:color w:val="auto"/>
              </w:rPr>
            </w:pPr>
            <w:r>
              <w:rPr>
                <w:rFonts w:ascii="Arial" w:cs="Arial" w:eastAsia="Arial" w:hAnsi="Arial"/>
                <w:sz w:val="17"/>
                <w:szCs w:val="17"/>
                <w:color w:val="auto"/>
              </w:rPr>
              <w:t>Active Markets for</w:t>
            </w:r>
          </w:p>
        </w:tc>
        <w:tc>
          <w:tcPr>
            <w:tcW w:w="0" w:type="dxa"/>
            <w:vAlign w:val="bottom"/>
          </w:tcPr>
          <w:p>
            <w:pPr>
              <w:spacing w:after="0"/>
              <w:rPr>
                <w:sz w:val="1"/>
                <w:szCs w:val="1"/>
                <w:color w:val="auto"/>
              </w:rPr>
            </w:pPr>
          </w:p>
        </w:tc>
      </w:tr>
      <w:tr>
        <w:trPr>
          <w:trHeight w:val="168"/>
        </w:trPr>
        <w:tc>
          <w:tcPr>
            <w:tcW w:w="4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vMerge w:val="restart"/>
          </w:tcPr>
          <w:p>
            <w:pPr>
              <w:ind w:left="140"/>
              <w:spacing w:after="0"/>
              <w:rPr>
                <w:sz w:val="20"/>
                <w:szCs w:val="20"/>
                <w:color w:val="auto"/>
              </w:rPr>
            </w:pPr>
            <w:r>
              <w:rPr>
                <w:rFonts w:ascii="Arial" w:cs="Arial" w:eastAsia="Arial" w:hAnsi="Arial"/>
                <w:sz w:val="17"/>
                <w:szCs w:val="17"/>
                <w:color w:val="auto"/>
              </w:rPr>
              <w:t>Fair Value</w:t>
            </w:r>
          </w:p>
        </w:tc>
        <w:tc>
          <w:tcPr>
            <w:tcW w:w="120" w:type="dxa"/>
            <w:vAlign w:val="bottom"/>
          </w:tcPr>
          <w:p>
            <w:pPr>
              <w:spacing w:after="0"/>
              <w:rPr>
                <w:sz w:val="14"/>
                <w:szCs w:val="14"/>
                <w:color w:val="auto"/>
              </w:rPr>
            </w:pPr>
          </w:p>
        </w:tc>
        <w:tc>
          <w:tcPr>
            <w:tcW w:w="1520" w:type="dxa"/>
            <w:vAlign w:val="bottom"/>
            <w:gridSpan w:val="2"/>
          </w:tcPr>
          <w:p>
            <w:pPr>
              <w:jc w:val="center"/>
              <w:ind w:right="220"/>
              <w:spacing w:after="0" w:line="168" w:lineRule="exact"/>
              <w:rPr>
                <w:sz w:val="20"/>
                <w:szCs w:val="20"/>
                <w:color w:val="auto"/>
              </w:rPr>
            </w:pPr>
            <w:r>
              <w:rPr>
                <w:rFonts w:ascii="Arial" w:cs="Arial" w:eastAsia="Arial" w:hAnsi="Arial"/>
                <w:sz w:val="17"/>
                <w:szCs w:val="17"/>
                <w:color w:val="auto"/>
              </w:rPr>
              <w:t>Identical Items</w:t>
            </w:r>
          </w:p>
        </w:tc>
        <w:tc>
          <w:tcPr>
            <w:tcW w:w="240" w:type="dxa"/>
            <w:vAlign w:val="bottom"/>
          </w:tcPr>
          <w:p>
            <w:pPr>
              <w:spacing w:after="0"/>
              <w:rPr>
                <w:sz w:val="14"/>
                <w:szCs w:val="14"/>
                <w:color w:val="auto"/>
              </w:rPr>
            </w:pPr>
          </w:p>
        </w:tc>
        <w:tc>
          <w:tcPr>
            <w:tcW w:w="1400" w:type="dxa"/>
            <w:vAlign w:val="bottom"/>
            <w:gridSpan w:val="2"/>
            <w:vMerge w:val="restart"/>
          </w:tcPr>
          <w:p>
            <w:pPr>
              <w:ind w:left="140"/>
              <w:spacing w:after="0"/>
              <w:rPr>
                <w:sz w:val="20"/>
                <w:szCs w:val="20"/>
                <w:color w:val="auto"/>
              </w:rPr>
            </w:pPr>
            <w:r>
              <w:rPr>
                <w:rFonts w:ascii="Arial" w:cs="Arial" w:eastAsia="Arial" w:hAnsi="Arial"/>
                <w:sz w:val="17"/>
                <w:szCs w:val="17"/>
                <w:color w:val="auto"/>
              </w:rPr>
              <w:t>Fair Value</w:t>
            </w:r>
          </w:p>
        </w:tc>
        <w:tc>
          <w:tcPr>
            <w:tcW w:w="120" w:type="dxa"/>
            <w:vAlign w:val="bottom"/>
          </w:tcPr>
          <w:p>
            <w:pPr>
              <w:spacing w:after="0"/>
              <w:rPr>
                <w:sz w:val="14"/>
                <w:szCs w:val="14"/>
                <w:color w:val="auto"/>
              </w:rPr>
            </w:pPr>
          </w:p>
        </w:tc>
        <w:tc>
          <w:tcPr>
            <w:tcW w:w="1420" w:type="dxa"/>
            <w:vAlign w:val="bottom"/>
          </w:tcPr>
          <w:p>
            <w:pPr>
              <w:jc w:val="center"/>
              <w:ind w:right="34"/>
              <w:spacing w:after="0" w:line="168" w:lineRule="exact"/>
              <w:rPr>
                <w:sz w:val="20"/>
                <w:szCs w:val="20"/>
                <w:color w:val="auto"/>
              </w:rPr>
            </w:pPr>
            <w:r>
              <w:rPr>
                <w:rFonts w:ascii="Arial" w:cs="Arial" w:eastAsia="Arial" w:hAnsi="Arial"/>
                <w:sz w:val="17"/>
                <w:szCs w:val="17"/>
                <w:color w:val="auto"/>
              </w:rPr>
              <w:t>Identical Items</w:t>
            </w:r>
          </w:p>
        </w:tc>
        <w:tc>
          <w:tcPr>
            <w:tcW w:w="0" w:type="dxa"/>
            <w:vAlign w:val="bottom"/>
          </w:tcPr>
          <w:p>
            <w:pPr>
              <w:spacing w:after="0"/>
              <w:rPr>
                <w:sz w:val="1"/>
                <w:szCs w:val="1"/>
                <w:color w:val="auto"/>
              </w:rPr>
            </w:pPr>
          </w:p>
        </w:tc>
      </w:tr>
      <w:tr>
        <w:trPr>
          <w:trHeight w:val="220"/>
        </w:trPr>
        <w:tc>
          <w:tcPr>
            <w:tcW w:w="4720" w:type="dxa"/>
            <w:vAlign w:val="bottom"/>
            <w:vMerge w:val="restart"/>
          </w:tcPr>
          <w:p>
            <w:pPr>
              <w:spacing w:after="0"/>
              <w:rPr>
                <w:sz w:val="20"/>
                <w:szCs w:val="20"/>
                <w:color w:val="auto"/>
              </w:rPr>
            </w:pPr>
            <w:r>
              <w:rPr>
                <w:rFonts w:ascii="Arial" w:cs="Arial" w:eastAsia="Arial" w:hAnsi="Arial"/>
                <w:sz w:val="17"/>
                <w:szCs w:val="17"/>
                <w:color w:val="auto"/>
              </w:rPr>
              <w:t>Assets:</w:t>
            </w:r>
          </w:p>
        </w:tc>
        <w:tc>
          <w:tcPr>
            <w:tcW w:w="24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7"/>
                <w:szCs w:val="17"/>
                <w:color w:val="auto"/>
                <w:w w:val="99"/>
              </w:rPr>
              <w:t>(Level 1)</w:t>
            </w:r>
          </w:p>
        </w:tc>
        <w:tc>
          <w:tcPr>
            <w:tcW w:w="24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center"/>
              <w:ind w:right="34"/>
              <w:spacing w:after="0"/>
              <w:rPr>
                <w:sz w:val="20"/>
                <w:szCs w:val="20"/>
                <w:color w:val="auto"/>
              </w:rPr>
            </w:pPr>
            <w:r>
              <w:rPr>
                <w:rFonts w:ascii="Arial" w:cs="Arial" w:eastAsia="Arial" w:hAnsi="Arial"/>
                <w:sz w:val="17"/>
                <w:szCs w:val="17"/>
                <w:color w:val="auto"/>
                <w:w w:val="99"/>
              </w:rPr>
              <w:t>(Level 1)</w:t>
            </w:r>
          </w:p>
        </w:tc>
        <w:tc>
          <w:tcPr>
            <w:tcW w:w="0" w:type="dxa"/>
            <w:vAlign w:val="bottom"/>
          </w:tcPr>
          <w:p>
            <w:pPr>
              <w:spacing w:after="0"/>
              <w:rPr>
                <w:sz w:val="1"/>
                <w:szCs w:val="1"/>
                <w:color w:val="auto"/>
              </w:rPr>
            </w:pPr>
          </w:p>
        </w:tc>
      </w:tr>
      <w:tr>
        <w:trPr>
          <w:trHeight w:val="196"/>
        </w:trPr>
        <w:tc>
          <w:tcPr>
            <w:tcW w:w="4720" w:type="dxa"/>
            <w:vAlign w:val="bottom"/>
            <w:vMerge w:val="continue"/>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720" w:type="dxa"/>
            <w:vAlign w:val="bottom"/>
          </w:tcPr>
          <w:p>
            <w:pPr>
              <w:ind w:left="160"/>
              <w:spacing w:after="0"/>
              <w:rPr>
                <w:sz w:val="20"/>
                <w:szCs w:val="20"/>
                <w:color w:val="auto"/>
              </w:rPr>
            </w:pPr>
            <w:r>
              <w:rPr>
                <w:rFonts w:ascii="Arial" w:cs="Arial" w:eastAsia="Arial" w:hAnsi="Arial"/>
                <w:sz w:val="17"/>
                <w:szCs w:val="17"/>
                <w:color w:val="auto"/>
              </w:rPr>
              <w:t>Mutual funds</w:t>
            </w: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529,004,835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529,004,835</w:t>
            </w:r>
          </w:p>
        </w:tc>
        <w:tc>
          <w:tcPr>
            <w:tcW w:w="10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460,117,150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460,117,150</w:t>
            </w:r>
          </w:p>
        </w:tc>
        <w:tc>
          <w:tcPr>
            <w:tcW w:w="0" w:type="dxa"/>
            <w:vAlign w:val="bottom"/>
          </w:tcPr>
          <w:p>
            <w:pPr>
              <w:spacing w:after="0"/>
              <w:rPr>
                <w:sz w:val="1"/>
                <w:szCs w:val="1"/>
                <w:color w:val="auto"/>
              </w:rPr>
            </w:pPr>
          </w:p>
        </w:tc>
      </w:tr>
      <w:tr>
        <w:trPr>
          <w:trHeight w:val="220"/>
        </w:trPr>
        <w:tc>
          <w:tcPr>
            <w:tcW w:w="4720" w:type="dxa"/>
            <w:vAlign w:val="bottom"/>
          </w:tcPr>
          <w:p>
            <w:pPr>
              <w:ind w:left="160"/>
              <w:spacing w:after="0"/>
              <w:rPr>
                <w:sz w:val="20"/>
                <w:szCs w:val="20"/>
                <w:color w:val="auto"/>
              </w:rPr>
            </w:pPr>
            <w:r>
              <w:rPr>
                <w:rFonts w:ascii="Arial" w:cs="Arial" w:eastAsia="Arial" w:hAnsi="Arial"/>
                <w:sz w:val="17"/>
                <w:szCs w:val="17"/>
                <w:color w:val="auto"/>
              </w:rPr>
              <w:t>Berkshire Hathaway stock fund</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46,676,349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46,676,349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41,955,715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41,955,715</w:t>
            </w:r>
          </w:p>
        </w:tc>
        <w:tc>
          <w:tcPr>
            <w:tcW w:w="0" w:type="dxa"/>
            <w:vAlign w:val="bottom"/>
          </w:tcPr>
          <w:p>
            <w:pPr>
              <w:spacing w:after="0"/>
              <w:rPr>
                <w:sz w:val="1"/>
                <w:szCs w:val="1"/>
                <w:color w:val="auto"/>
              </w:rPr>
            </w:pPr>
          </w:p>
        </w:tc>
      </w:tr>
      <w:tr>
        <w:trPr>
          <w:trHeight w:val="224"/>
        </w:trPr>
        <w:tc>
          <w:tcPr>
            <w:tcW w:w="4720" w:type="dxa"/>
            <w:vAlign w:val="bottom"/>
          </w:tcPr>
          <w:p>
            <w:pPr>
              <w:ind w:left="160"/>
              <w:spacing w:after="0"/>
              <w:rPr>
                <w:sz w:val="20"/>
                <w:szCs w:val="20"/>
                <w:color w:val="auto"/>
              </w:rPr>
            </w:pPr>
            <w:r>
              <w:rPr>
                <w:rFonts w:ascii="Arial" w:cs="Arial" w:eastAsia="Arial" w:hAnsi="Arial"/>
                <w:sz w:val="17"/>
                <w:szCs w:val="17"/>
                <w:color w:val="auto"/>
              </w:rPr>
              <w:t>Graham Holdings Company stock fund</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4,210,252</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4,210,252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3,856,867</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3,856,867</w:t>
            </w:r>
          </w:p>
        </w:tc>
        <w:tc>
          <w:tcPr>
            <w:tcW w:w="0" w:type="dxa"/>
            <w:vAlign w:val="bottom"/>
          </w:tcPr>
          <w:p>
            <w:pPr>
              <w:spacing w:after="0"/>
              <w:rPr>
                <w:sz w:val="1"/>
                <w:szCs w:val="1"/>
                <w:color w:val="auto"/>
              </w:rPr>
            </w:pPr>
          </w:p>
        </w:tc>
      </w:tr>
      <w:tr>
        <w:trPr>
          <w:trHeight w:val="209"/>
        </w:trPr>
        <w:tc>
          <w:tcPr>
            <w:tcW w:w="4720" w:type="dxa"/>
            <w:vAlign w:val="bottom"/>
          </w:tcPr>
          <w:p>
            <w:pPr>
              <w:ind w:left="320"/>
              <w:spacing w:after="0"/>
              <w:rPr>
                <w:sz w:val="20"/>
                <w:szCs w:val="20"/>
                <w:color w:val="auto"/>
              </w:rPr>
            </w:pPr>
            <w:r>
              <w:rPr>
                <w:rFonts w:ascii="Arial" w:cs="Arial" w:eastAsia="Arial" w:hAnsi="Arial"/>
                <w:sz w:val="17"/>
                <w:szCs w:val="17"/>
                <w:color w:val="auto"/>
              </w:rPr>
              <w:t>Total</w:t>
            </w: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579,891,436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579,891,436</w:t>
            </w:r>
          </w:p>
        </w:tc>
        <w:tc>
          <w:tcPr>
            <w:tcW w:w="100" w:type="dxa"/>
            <w:vAlign w:val="bottom"/>
          </w:tcPr>
          <w:p>
            <w:pPr>
              <w:spacing w:after="0"/>
              <w:rPr>
                <w:sz w:val="18"/>
                <w:szCs w:val="18"/>
                <w:color w:val="auto"/>
              </w:rPr>
            </w:pP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505,929,732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505,929,732</w:t>
            </w:r>
          </w:p>
        </w:tc>
        <w:tc>
          <w:tcPr>
            <w:tcW w:w="0" w:type="dxa"/>
            <w:vAlign w:val="bottom"/>
          </w:tcPr>
          <w:p>
            <w:pPr>
              <w:spacing w:after="0"/>
              <w:rPr>
                <w:sz w:val="1"/>
                <w:szCs w:val="1"/>
                <w:color w:val="auto"/>
              </w:rPr>
            </w:pPr>
          </w:p>
        </w:tc>
      </w:tr>
      <w:tr>
        <w:trPr>
          <w:trHeight w:val="224"/>
        </w:trPr>
        <w:tc>
          <w:tcPr>
            <w:tcW w:w="4720" w:type="dxa"/>
            <w:vAlign w:val="bottom"/>
          </w:tcPr>
          <w:p>
            <w:pPr>
              <w:ind w:left="160"/>
              <w:spacing w:after="0" w:line="224" w:lineRule="exact"/>
              <w:rPr>
                <w:sz w:val="20"/>
                <w:szCs w:val="20"/>
                <w:color w:val="auto"/>
              </w:rPr>
            </w:pPr>
            <w:r>
              <w:rPr>
                <w:rFonts w:ascii="Arial" w:cs="Arial" w:eastAsia="Arial" w:hAnsi="Arial"/>
                <w:sz w:val="17"/>
                <w:szCs w:val="17"/>
                <w:color w:val="auto"/>
              </w:rPr>
              <w:t xml:space="preserve">Common collective trusts </w:t>
            </w:r>
            <w:r>
              <w:rPr>
                <w:rFonts w:ascii="Arial" w:cs="Arial" w:eastAsia="Arial" w:hAnsi="Arial"/>
                <w:sz w:val="22"/>
                <w:szCs w:val="22"/>
                <w:color w:val="auto"/>
                <w:vertAlign w:val="superscript"/>
              </w:rPr>
              <w:t>(1)</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274,916,852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234,662,493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4720" w:type="dxa"/>
            <w:vAlign w:val="bottom"/>
          </w:tcPr>
          <w:p>
            <w:pPr>
              <w:ind w:left="320"/>
              <w:spacing w:after="0"/>
              <w:rPr>
                <w:sz w:val="20"/>
                <w:szCs w:val="20"/>
                <w:color w:val="auto"/>
              </w:rPr>
            </w:pPr>
            <w:r>
              <w:rPr>
                <w:rFonts w:ascii="Arial" w:cs="Arial" w:eastAsia="Arial" w:hAnsi="Arial"/>
                <w:sz w:val="17"/>
                <w:szCs w:val="17"/>
                <w:color w:val="auto"/>
              </w:rPr>
              <w:t>Total financial assets</w:t>
            </w:r>
          </w:p>
        </w:tc>
        <w:tc>
          <w:tcPr>
            <w:tcW w:w="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854,808,288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579,891,436</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740,592,225</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505,929,732</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ind w:right="2440" w:firstLine="3"/>
        <w:spacing w:after="0" w:line="214" w:lineRule="auto"/>
        <w:tabs>
          <w:tab w:leader="none" w:pos="184" w:val="left"/>
        </w:tabs>
        <w:numPr>
          <w:ilvl w:val="0"/>
          <w:numId w:val="5"/>
        </w:numPr>
        <w:rPr>
          <w:rFonts w:ascii="Arial" w:cs="Arial" w:eastAsia="Arial" w:hAnsi="Arial"/>
          <w:sz w:val="22"/>
          <w:szCs w:val="22"/>
          <w:color w:val="auto"/>
          <w:vertAlign w:val="superscript"/>
        </w:rPr>
      </w:pPr>
      <w:r>
        <w:rPr>
          <w:rFonts w:ascii="Arial" w:cs="Arial" w:eastAsia="Arial" w:hAnsi="Arial"/>
          <w:sz w:val="17"/>
          <w:szCs w:val="17"/>
          <w:color w:val="auto"/>
        </w:rPr>
        <w:t xml:space="preserve">In accordance with FASB ASC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certain investments that are measured at fair value using net asset value per share (or its equivalent) as a practical expedient have not been classified in the fair value hierarchy.</w:t>
      </w:r>
    </w:p>
    <w:p>
      <w:pPr>
        <w:spacing w:after="0" w:line="175" w:lineRule="exact"/>
        <w:rPr>
          <w:sz w:val="20"/>
          <w:szCs w:val="20"/>
          <w:color w:val="auto"/>
        </w:rPr>
      </w:pPr>
    </w:p>
    <w:p>
      <w:pPr>
        <w:ind w:right="480"/>
        <w:spacing w:after="0" w:line="259" w:lineRule="auto"/>
        <w:rPr>
          <w:sz w:val="20"/>
          <w:szCs w:val="20"/>
          <w:color w:val="auto"/>
        </w:rPr>
      </w:pPr>
      <w:r>
        <w:rPr>
          <w:rFonts w:ascii="Arial" w:cs="Arial" w:eastAsia="Arial" w:hAnsi="Arial"/>
          <w:sz w:val="17"/>
          <w:szCs w:val="17"/>
          <w:color w:val="auto"/>
        </w:rPr>
        <w:t>For assets that are measured using quoted prices in active markets, the total fair value is the published market price per unit multiplied by the number of units held.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20"/>
          </w:cols>
          <w:pgMar w:left="320" w:top="857" w:right="35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color w:val="auto"/>
        </w:rPr>
        <w:t>Common Collective Trusts</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The estimated fair value and redemption requirements of the Master Trust’s investment in common collective trust are summarized as follows:</w:t>
      </w: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3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gridSpan w:val="2"/>
          </w:tcPr>
          <w:p>
            <w:pPr>
              <w:jc w:val="right"/>
              <w:spacing w:after="0"/>
              <w:rPr>
                <w:sz w:val="20"/>
                <w:szCs w:val="20"/>
                <w:color w:val="auto"/>
              </w:rPr>
            </w:pPr>
            <w:r>
              <w:rPr>
                <w:rFonts w:ascii="Arial" w:cs="Arial" w:eastAsia="Arial" w:hAnsi="Arial"/>
                <w:sz w:val="17"/>
                <w:szCs w:val="17"/>
                <w:color w:val="auto"/>
              </w:rPr>
              <w:t>December 31,</w:t>
            </w:r>
          </w:p>
        </w:tc>
        <w:tc>
          <w:tcPr>
            <w:tcW w:w="10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3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vMerge w:val="restart"/>
          </w:tcPr>
          <w:p>
            <w:pPr>
              <w:jc w:val="center"/>
              <w:spacing w:after="0"/>
              <w:rPr>
                <w:sz w:val="20"/>
                <w:szCs w:val="20"/>
                <w:color w:val="auto"/>
              </w:rPr>
            </w:pPr>
            <w:r>
              <w:rPr>
                <w:rFonts w:ascii="Arial" w:cs="Arial" w:eastAsia="Arial" w:hAnsi="Arial"/>
                <w:sz w:val="17"/>
                <w:szCs w:val="17"/>
                <w:color w:val="auto"/>
              </w:rPr>
              <w:t>Unfunded</w:t>
            </w:r>
          </w:p>
        </w:tc>
        <w:tc>
          <w:tcPr>
            <w:tcW w:w="1380" w:type="dxa"/>
            <w:vAlign w:val="bottom"/>
            <w:vMerge w:val="restart"/>
          </w:tcPr>
          <w:p>
            <w:pPr>
              <w:jc w:val="center"/>
              <w:ind w:left="14"/>
              <w:spacing w:after="0"/>
              <w:rPr>
                <w:sz w:val="20"/>
                <w:szCs w:val="20"/>
                <w:color w:val="auto"/>
              </w:rPr>
            </w:pPr>
            <w:r>
              <w:rPr>
                <w:rFonts w:ascii="Arial" w:cs="Arial" w:eastAsia="Arial" w:hAnsi="Arial"/>
                <w:sz w:val="17"/>
                <w:szCs w:val="17"/>
                <w:color w:val="auto"/>
              </w:rPr>
              <w:t>Redemption</w:t>
            </w:r>
          </w:p>
        </w:tc>
        <w:tc>
          <w:tcPr>
            <w:tcW w:w="1640" w:type="dxa"/>
            <w:vAlign w:val="bottom"/>
            <w:vMerge w:val="restart"/>
          </w:tcPr>
          <w:p>
            <w:pPr>
              <w:jc w:val="center"/>
              <w:ind w:left="34"/>
              <w:spacing w:after="0"/>
              <w:rPr>
                <w:sz w:val="20"/>
                <w:szCs w:val="20"/>
                <w:color w:val="auto"/>
              </w:rPr>
            </w:pPr>
            <w:r>
              <w:rPr>
                <w:rFonts w:ascii="Arial" w:cs="Arial" w:eastAsia="Arial" w:hAnsi="Arial"/>
                <w:sz w:val="17"/>
                <w:szCs w:val="17"/>
                <w:color w:val="auto"/>
              </w:rPr>
              <w:t>Redemption notice</w:t>
            </w:r>
          </w:p>
        </w:tc>
        <w:tc>
          <w:tcPr>
            <w:tcW w:w="0" w:type="dxa"/>
            <w:vAlign w:val="bottom"/>
          </w:tcPr>
          <w:p>
            <w:pPr>
              <w:spacing w:after="0"/>
              <w:rPr>
                <w:sz w:val="1"/>
                <w:szCs w:val="1"/>
                <w:color w:val="auto"/>
              </w:rPr>
            </w:pPr>
          </w:p>
        </w:tc>
      </w:tr>
      <w:tr>
        <w:trPr>
          <w:trHeight w:val="170"/>
        </w:trPr>
        <w:tc>
          <w:tcPr>
            <w:tcW w:w="3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3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ind w:right="514"/>
              <w:spacing w:after="0"/>
              <w:rPr>
                <w:sz w:val="20"/>
                <w:szCs w:val="20"/>
                <w:color w:val="auto"/>
              </w:rPr>
            </w:pPr>
            <w:r>
              <w:rPr>
                <w:rFonts w:ascii="Arial" w:cs="Arial" w:eastAsia="Arial" w:hAnsi="Arial"/>
                <w:sz w:val="17"/>
                <w:szCs w:val="17"/>
                <w:color w:val="auto"/>
              </w:rPr>
              <w:t>2023</w:t>
            </w:r>
          </w:p>
        </w:tc>
        <w:tc>
          <w:tcPr>
            <w:tcW w:w="580" w:type="dxa"/>
            <w:vAlign w:val="bottom"/>
          </w:tcPr>
          <w:p>
            <w:pPr>
              <w:spacing w:after="0"/>
              <w:rPr>
                <w:sz w:val="19"/>
                <w:szCs w:val="19"/>
                <w:color w:val="auto"/>
              </w:rPr>
            </w:pPr>
          </w:p>
        </w:tc>
        <w:tc>
          <w:tcPr>
            <w:tcW w:w="1040" w:type="dxa"/>
            <w:vAlign w:val="bottom"/>
          </w:tcPr>
          <w:p>
            <w:pPr>
              <w:jc w:val="right"/>
              <w:ind w:right="494"/>
              <w:spacing w:after="0"/>
              <w:rPr>
                <w:sz w:val="20"/>
                <w:szCs w:val="20"/>
                <w:color w:val="auto"/>
              </w:rPr>
            </w:pPr>
            <w:r>
              <w:rPr>
                <w:rFonts w:ascii="Arial" w:cs="Arial" w:eastAsia="Arial" w:hAnsi="Arial"/>
                <w:sz w:val="17"/>
                <w:szCs w:val="17"/>
                <w:color w:val="auto"/>
              </w:rPr>
              <w:t>2022</w:t>
            </w:r>
          </w:p>
        </w:tc>
        <w:tc>
          <w:tcPr>
            <w:tcW w:w="1540" w:type="dxa"/>
            <w:vAlign w:val="bottom"/>
          </w:tcPr>
          <w:p>
            <w:pPr>
              <w:jc w:val="center"/>
              <w:spacing w:after="0"/>
              <w:rPr>
                <w:sz w:val="20"/>
                <w:szCs w:val="20"/>
                <w:color w:val="auto"/>
              </w:rPr>
            </w:pPr>
            <w:r>
              <w:rPr>
                <w:rFonts w:ascii="Arial" w:cs="Arial" w:eastAsia="Arial" w:hAnsi="Arial"/>
                <w:sz w:val="17"/>
                <w:szCs w:val="17"/>
                <w:color w:val="auto"/>
              </w:rPr>
              <w:t>commitments</w:t>
            </w:r>
          </w:p>
        </w:tc>
        <w:tc>
          <w:tcPr>
            <w:tcW w:w="1380" w:type="dxa"/>
            <w:vAlign w:val="bottom"/>
          </w:tcPr>
          <w:p>
            <w:pPr>
              <w:jc w:val="center"/>
              <w:ind w:left="14"/>
              <w:spacing w:after="0"/>
              <w:rPr>
                <w:sz w:val="20"/>
                <w:szCs w:val="20"/>
                <w:color w:val="auto"/>
              </w:rPr>
            </w:pPr>
            <w:r>
              <w:rPr>
                <w:rFonts w:ascii="Arial" w:cs="Arial" w:eastAsia="Arial" w:hAnsi="Arial"/>
                <w:sz w:val="17"/>
                <w:szCs w:val="17"/>
                <w:color w:val="auto"/>
              </w:rPr>
              <w:t>frequency</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3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9"/>
        </w:trPr>
        <w:tc>
          <w:tcPr>
            <w:tcW w:w="3440" w:type="dxa"/>
            <w:vAlign w:val="bottom"/>
          </w:tcPr>
          <w:p>
            <w:pPr>
              <w:spacing w:after="0"/>
              <w:rPr>
                <w:sz w:val="20"/>
                <w:szCs w:val="20"/>
                <w:color w:val="auto"/>
              </w:rPr>
            </w:pPr>
            <w:r>
              <w:rPr>
                <w:rFonts w:ascii="Arial" w:cs="Arial" w:eastAsia="Arial" w:hAnsi="Arial"/>
                <w:sz w:val="17"/>
                <w:szCs w:val="17"/>
                <w:color w:val="auto"/>
              </w:rPr>
              <w:t>Target-date strategy funds</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14"/>
              <w:spacing w:after="0"/>
              <w:rPr>
                <w:sz w:val="20"/>
                <w:szCs w:val="20"/>
                <w:color w:val="auto"/>
              </w:rPr>
            </w:pPr>
            <w:r>
              <w:rPr>
                <w:rFonts w:ascii="Arial" w:cs="Arial" w:eastAsia="Arial" w:hAnsi="Arial"/>
                <w:sz w:val="17"/>
                <w:szCs w:val="17"/>
                <w:color w:val="auto"/>
              </w:rPr>
              <w:t>267,276,011</w:t>
            </w:r>
          </w:p>
        </w:tc>
        <w:tc>
          <w:tcPr>
            <w:tcW w:w="580" w:type="dxa"/>
            <w:vAlign w:val="bottom"/>
          </w:tcPr>
          <w:p>
            <w:pPr>
              <w:jc w:val="right"/>
              <w:ind w:right="314"/>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w w:val="99"/>
              </w:rPr>
              <w:t>226,002,730</w:t>
            </w:r>
          </w:p>
        </w:tc>
        <w:tc>
          <w:tcPr>
            <w:tcW w:w="1540" w:type="dxa"/>
            <w:vAlign w:val="bottom"/>
          </w:tcPr>
          <w:p>
            <w:pPr>
              <w:jc w:val="center"/>
              <w:spacing w:after="0"/>
              <w:rPr>
                <w:sz w:val="20"/>
                <w:szCs w:val="20"/>
                <w:color w:val="auto"/>
              </w:rPr>
            </w:pPr>
            <w:r>
              <w:rPr>
                <w:rFonts w:ascii="Arial" w:cs="Arial" w:eastAsia="Arial" w:hAnsi="Arial"/>
                <w:sz w:val="17"/>
                <w:szCs w:val="17"/>
                <w:color w:val="auto"/>
              </w:rPr>
              <w:t>None</w:t>
            </w:r>
          </w:p>
        </w:tc>
        <w:tc>
          <w:tcPr>
            <w:tcW w:w="1380" w:type="dxa"/>
            <w:vAlign w:val="bottom"/>
          </w:tcPr>
          <w:p>
            <w:pPr>
              <w:jc w:val="center"/>
              <w:ind w:left="14"/>
              <w:spacing w:after="0"/>
              <w:rPr>
                <w:sz w:val="20"/>
                <w:szCs w:val="20"/>
                <w:color w:val="auto"/>
              </w:rPr>
            </w:pPr>
            <w:r>
              <w:rPr>
                <w:rFonts w:ascii="Arial" w:cs="Arial" w:eastAsia="Arial" w:hAnsi="Arial"/>
                <w:sz w:val="17"/>
                <w:szCs w:val="17"/>
                <w:color w:val="auto"/>
              </w:rPr>
              <w:t>Daily</w:t>
            </w:r>
          </w:p>
        </w:tc>
        <w:tc>
          <w:tcPr>
            <w:tcW w:w="1640" w:type="dxa"/>
            <w:vAlign w:val="bottom"/>
          </w:tcPr>
          <w:p>
            <w:pPr>
              <w:jc w:val="center"/>
              <w:ind w:left="34"/>
              <w:spacing w:after="0"/>
              <w:rPr>
                <w:sz w:val="20"/>
                <w:szCs w:val="20"/>
                <w:color w:val="auto"/>
              </w:rPr>
            </w:pPr>
            <w:r>
              <w:rPr>
                <w:rFonts w:ascii="Arial" w:cs="Arial" w:eastAsia="Arial" w:hAnsi="Arial"/>
                <w:sz w:val="17"/>
                <w:szCs w:val="17"/>
                <w:color w:val="auto"/>
                <w:w w:val="98"/>
              </w:rPr>
              <w:t>None</w:t>
            </w:r>
          </w:p>
        </w:tc>
        <w:tc>
          <w:tcPr>
            <w:tcW w:w="0" w:type="dxa"/>
            <w:vAlign w:val="bottom"/>
          </w:tcPr>
          <w:p>
            <w:pPr>
              <w:spacing w:after="0"/>
              <w:rPr>
                <w:sz w:val="1"/>
                <w:szCs w:val="1"/>
                <w:color w:val="auto"/>
              </w:rPr>
            </w:pPr>
          </w:p>
        </w:tc>
      </w:tr>
      <w:tr>
        <w:trPr>
          <w:trHeight w:val="245"/>
        </w:trPr>
        <w:tc>
          <w:tcPr>
            <w:tcW w:w="3440" w:type="dxa"/>
            <w:vAlign w:val="bottom"/>
          </w:tcPr>
          <w:p>
            <w:pPr>
              <w:spacing w:after="0"/>
              <w:rPr>
                <w:sz w:val="20"/>
                <w:szCs w:val="20"/>
                <w:color w:val="auto"/>
              </w:rPr>
            </w:pPr>
            <w:r>
              <w:rPr>
                <w:rFonts w:ascii="Arial" w:cs="Arial" w:eastAsia="Arial" w:hAnsi="Arial"/>
                <w:sz w:val="17"/>
                <w:szCs w:val="17"/>
                <w:color w:val="auto"/>
              </w:rPr>
              <w:t>Target income strategy fund</w:t>
            </w:r>
          </w:p>
        </w:tc>
        <w:tc>
          <w:tcPr>
            <w:tcW w:w="3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7"/>
                <w:szCs w:val="17"/>
                <w:color w:val="auto"/>
              </w:rPr>
              <w:t>7,640,841</w:t>
            </w:r>
          </w:p>
        </w:tc>
        <w:tc>
          <w:tcPr>
            <w:tcW w:w="5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8,659,763</w:t>
            </w:r>
          </w:p>
        </w:tc>
        <w:tc>
          <w:tcPr>
            <w:tcW w:w="1540" w:type="dxa"/>
            <w:vAlign w:val="bottom"/>
          </w:tcPr>
          <w:p>
            <w:pPr>
              <w:jc w:val="center"/>
              <w:spacing w:after="0"/>
              <w:rPr>
                <w:sz w:val="20"/>
                <w:szCs w:val="20"/>
                <w:color w:val="auto"/>
              </w:rPr>
            </w:pPr>
            <w:r>
              <w:rPr>
                <w:rFonts w:ascii="Arial" w:cs="Arial" w:eastAsia="Arial" w:hAnsi="Arial"/>
                <w:sz w:val="17"/>
                <w:szCs w:val="17"/>
                <w:color w:val="auto"/>
              </w:rPr>
              <w:t>None</w:t>
            </w:r>
          </w:p>
        </w:tc>
        <w:tc>
          <w:tcPr>
            <w:tcW w:w="1380" w:type="dxa"/>
            <w:vAlign w:val="bottom"/>
          </w:tcPr>
          <w:p>
            <w:pPr>
              <w:jc w:val="center"/>
              <w:ind w:left="14"/>
              <w:spacing w:after="0"/>
              <w:rPr>
                <w:sz w:val="20"/>
                <w:szCs w:val="20"/>
                <w:color w:val="auto"/>
              </w:rPr>
            </w:pPr>
            <w:r>
              <w:rPr>
                <w:rFonts w:ascii="Arial" w:cs="Arial" w:eastAsia="Arial" w:hAnsi="Arial"/>
                <w:sz w:val="17"/>
                <w:szCs w:val="17"/>
                <w:color w:val="auto"/>
              </w:rPr>
              <w:t>Daily</w:t>
            </w:r>
          </w:p>
        </w:tc>
        <w:tc>
          <w:tcPr>
            <w:tcW w:w="1640" w:type="dxa"/>
            <w:vAlign w:val="bottom"/>
          </w:tcPr>
          <w:p>
            <w:pPr>
              <w:jc w:val="center"/>
              <w:ind w:left="34"/>
              <w:spacing w:after="0"/>
              <w:rPr>
                <w:sz w:val="20"/>
                <w:szCs w:val="20"/>
                <w:color w:val="auto"/>
              </w:rPr>
            </w:pPr>
            <w:r>
              <w:rPr>
                <w:rFonts w:ascii="Arial" w:cs="Arial" w:eastAsia="Arial" w:hAnsi="Arial"/>
                <w:sz w:val="17"/>
                <w:szCs w:val="17"/>
                <w:color w:val="auto"/>
                <w:w w:val="98"/>
              </w:rPr>
              <w:t>None</w:t>
            </w:r>
          </w:p>
        </w:tc>
        <w:tc>
          <w:tcPr>
            <w:tcW w:w="0" w:type="dxa"/>
            <w:vAlign w:val="bottom"/>
          </w:tcPr>
          <w:p>
            <w:pPr>
              <w:spacing w:after="0"/>
              <w:rPr>
                <w:sz w:val="1"/>
                <w:szCs w:val="1"/>
                <w:color w:val="auto"/>
              </w:rPr>
            </w:pPr>
          </w:p>
        </w:tc>
      </w:tr>
      <w:tr>
        <w:trPr>
          <w:trHeight w:val="24"/>
        </w:trPr>
        <w:tc>
          <w:tcPr>
            <w:tcW w:w="3440" w:type="dxa"/>
            <w:vAlign w:val="bottom"/>
            <w:vMerge w:val="restart"/>
          </w:tcPr>
          <w:p>
            <w:pPr>
              <w:spacing w:after="0"/>
              <w:rPr>
                <w:sz w:val="20"/>
                <w:szCs w:val="20"/>
                <w:color w:val="auto"/>
              </w:rPr>
            </w:pPr>
            <w:r>
              <w:rPr>
                <w:rFonts w:ascii="Arial" w:cs="Arial" w:eastAsia="Arial" w:hAnsi="Arial"/>
                <w:sz w:val="17"/>
                <w:szCs w:val="17"/>
                <w:color w:val="auto"/>
              </w:rPr>
              <w:t>Total</w:t>
            </w: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440" w:type="dxa"/>
            <w:vAlign w:val="bottom"/>
            <w:vMerge w:val="continue"/>
          </w:tcPr>
          <w:p>
            <w:pPr>
              <w:spacing w:after="0"/>
              <w:rPr>
                <w:sz w:val="20"/>
                <w:szCs w:val="20"/>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274,916,852</w:t>
            </w:r>
          </w:p>
        </w:tc>
        <w:tc>
          <w:tcPr>
            <w:tcW w:w="58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234,662,493</w:t>
            </w:r>
          </w:p>
        </w:tc>
        <w:tc>
          <w:tcPr>
            <w:tcW w:w="15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00"/>
          </w:cols>
          <w:pgMar w:left="320" w:top="844" w:right="379" w:bottom="1440" w:gutter="0" w:footer="0" w:header="0"/>
        </w:sectPr>
      </w:pPr>
    </w:p>
    <w:bookmarkStart w:id="11" w:name="page12"/>
    <w:bookmarkEnd w:id="11"/>
    <w:p>
      <w:pPr>
        <w:jc w:val="center"/>
        <w:spacing w:after="0"/>
        <w:rPr>
          <w:sz w:val="20"/>
          <w:szCs w:val="20"/>
          <w:color w:val="auto"/>
        </w:rPr>
      </w:pPr>
      <w:r>
        <w:rPr>
          <w:rFonts w:ascii="Arial" w:cs="Arial" w:eastAsia="Arial" w:hAnsi="Arial"/>
          <w:sz w:val="21"/>
          <w:szCs w:val="21"/>
          <w:b w:val="1"/>
          <w:bCs w:val="1"/>
          <w:color w:val="auto"/>
        </w:rPr>
        <w:t>THE SAVINGS PLAN FOR GRAHAM HOLDINGS COMPANY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EIN 53-0182885, PLAN NO. 020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SCHEDULE H, LINE 4i - SCHEDULE OF ASSETS (HELD AT END OF YEAR)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AS OF DECEMBER 31, 2023</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vMerge w:val="restart"/>
          </w:tcPr>
          <w:p>
            <w:pPr>
              <w:jc w:val="right"/>
              <w:ind w:right="1154"/>
              <w:spacing w:after="0"/>
              <w:rPr>
                <w:sz w:val="20"/>
                <w:szCs w:val="20"/>
                <w:color w:val="auto"/>
              </w:rPr>
            </w:pPr>
            <w:r>
              <w:rPr>
                <w:rFonts w:ascii="Arial" w:cs="Arial" w:eastAsia="Arial" w:hAnsi="Arial"/>
                <w:sz w:val="17"/>
                <w:szCs w:val="17"/>
                <w:b w:val="1"/>
                <w:bCs w:val="1"/>
                <w:color w:val="auto"/>
              </w:rPr>
              <w:t>Identity of Issue, Borrower,</w:t>
            </w:r>
          </w:p>
        </w:tc>
        <w:tc>
          <w:tcPr>
            <w:tcW w:w="3940" w:type="dxa"/>
            <w:vAlign w:val="bottom"/>
          </w:tcPr>
          <w:p>
            <w:pPr>
              <w:jc w:val="center"/>
              <w:spacing w:after="0"/>
              <w:rPr>
                <w:sz w:val="20"/>
                <w:szCs w:val="20"/>
                <w:color w:val="auto"/>
              </w:rPr>
            </w:pPr>
            <w:r>
              <w:rPr>
                <w:rFonts w:ascii="Arial" w:cs="Arial" w:eastAsia="Arial" w:hAnsi="Arial"/>
                <w:sz w:val="17"/>
                <w:szCs w:val="17"/>
                <w:b w:val="1"/>
                <w:bCs w:val="1"/>
                <w:color w:val="auto"/>
              </w:rPr>
              <w:t>Description of Investment including Maturity</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5040" w:type="dxa"/>
            <w:vAlign w:val="bottom"/>
            <w:vMerge w:val="continue"/>
          </w:tcPr>
          <w:p>
            <w:pPr>
              <w:spacing w:after="0"/>
              <w:rPr>
                <w:sz w:val="14"/>
                <w:szCs w:val="14"/>
                <w:color w:val="auto"/>
              </w:rPr>
            </w:pPr>
          </w:p>
        </w:tc>
        <w:tc>
          <w:tcPr>
            <w:tcW w:w="3940" w:type="dxa"/>
            <w:vAlign w:val="bottom"/>
          </w:tcPr>
          <w:p>
            <w:pPr>
              <w:jc w:val="center"/>
              <w:spacing w:after="0" w:line="168" w:lineRule="exact"/>
              <w:rPr>
                <w:sz w:val="20"/>
                <w:szCs w:val="20"/>
                <w:color w:val="auto"/>
              </w:rPr>
            </w:pPr>
            <w:r>
              <w:rPr>
                <w:rFonts w:ascii="Arial" w:cs="Arial" w:eastAsia="Arial" w:hAnsi="Arial"/>
                <w:sz w:val="17"/>
                <w:szCs w:val="17"/>
                <w:b w:val="1"/>
                <w:bCs w:val="1"/>
                <w:color w:val="auto"/>
              </w:rPr>
              <w:t>Date, Rate of Interest, Collateral, Par, or</w:t>
            </w:r>
          </w:p>
        </w:tc>
        <w:tc>
          <w:tcPr>
            <w:tcW w:w="840" w:type="dxa"/>
            <w:vAlign w:val="bottom"/>
            <w:gridSpan w:val="2"/>
            <w:vMerge w:val="restart"/>
          </w:tcPr>
          <w:p>
            <w:pPr>
              <w:jc w:val="center"/>
              <w:ind w:right="94"/>
              <w:spacing w:after="0"/>
              <w:rPr>
                <w:sz w:val="20"/>
                <w:szCs w:val="20"/>
                <w:color w:val="auto"/>
              </w:rPr>
            </w:pPr>
            <w:r>
              <w:rPr>
                <w:rFonts w:ascii="Arial" w:cs="Arial" w:eastAsia="Arial" w:hAnsi="Arial"/>
                <w:sz w:val="17"/>
                <w:szCs w:val="17"/>
                <w:b w:val="1"/>
                <w:bCs w:val="1"/>
                <w:color w:val="auto"/>
              </w:rPr>
              <w:t>Cost</w:t>
            </w:r>
          </w:p>
        </w:tc>
        <w:tc>
          <w:tcPr>
            <w:tcW w:w="1420" w:type="dxa"/>
            <w:vAlign w:val="bottom"/>
            <w:vMerge w:val="restart"/>
          </w:tcPr>
          <w:p>
            <w:pPr>
              <w:jc w:val="right"/>
              <w:ind w:right="154"/>
              <w:spacing w:after="0"/>
              <w:rPr>
                <w:sz w:val="20"/>
                <w:szCs w:val="20"/>
                <w:color w:val="auto"/>
              </w:rPr>
            </w:pPr>
            <w:r>
              <w:rPr>
                <w:rFonts w:ascii="Arial" w:cs="Arial" w:eastAsia="Arial" w:hAnsi="Arial"/>
                <w:sz w:val="17"/>
                <w:szCs w:val="17"/>
                <w:b w:val="1"/>
                <w:bCs w:val="1"/>
                <w:color w:val="auto"/>
              </w:rPr>
              <w:t>Current Value</w:t>
            </w:r>
          </w:p>
        </w:tc>
        <w:tc>
          <w:tcPr>
            <w:tcW w:w="0" w:type="dxa"/>
            <w:vAlign w:val="bottom"/>
          </w:tcPr>
          <w:p>
            <w:pPr>
              <w:spacing w:after="0"/>
              <w:rPr>
                <w:sz w:val="1"/>
                <w:szCs w:val="1"/>
                <w:color w:val="auto"/>
              </w:rPr>
            </w:pPr>
          </w:p>
        </w:tc>
      </w:tr>
      <w:tr>
        <w:trPr>
          <w:trHeight w:val="233"/>
        </w:trPr>
        <w:tc>
          <w:tcPr>
            <w:tcW w:w="5040" w:type="dxa"/>
            <w:vAlign w:val="bottom"/>
            <w:tcBorders>
              <w:bottom w:val="single" w:sz="8" w:color="auto"/>
            </w:tcBorders>
          </w:tcPr>
          <w:p>
            <w:pPr>
              <w:jc w:val="right"/>
              <w:ind w:right="1274"/>
              <w:spacing w:after="0"/>
              <w:rPr>
                <w:sz w:val="20"/>
                <w:szCs w:val="20"/>
                <w:color w:val="auto"/>
              </w:rPr>
            </w:pPr>
            <w:r>
              <w:rPr>
                <w:rFonts w:ascii="Arial" w:cs="Arial" w:eastAsia="Arial" w:hAnsi="Arial"/>
                <w:sz w:val="17"/>
                <w:szCs w:val="17"/>
                <w:b w:val="1"/>
                <w:bCs w:val="1"/>
                <w:color w:val="auto"/>
              </w:rPr>
              <w:t>Lessor, or Similar Party</w:t>
            </w: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Maturity Value</w:t>
            </w:r>
          </w:p>
        </w:tc>
        <w:tc>
          <w:tcPr>
            <w:tcW w:w="840" w:type="dxa"/>
            <w:vAlign w:val="bottom"/>
            <w:tcBorders>
              <w:bottom w:val="single" w:sz="8" w:color="auto"/>
            </w:tcBorders>
            <w:gridSpan w:val="2"/>
            <w:vMerge w:val="continue"/>
          </w:tcPr>
          <w:p>
            <w:pPr>
              <w:spacing w:after="0"/>
              <w:rPr>
                <w:sz w:val="20"/>
                <w:szCs w:val="20"/>
                <w:color w:val="auto"/>
              </w:rPr>
            </w:pPr>
          </w:p>
        </w:tc>
        <w:tc>
          <w:tcPr>
            <w:tcW w:w="14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35"/>
        </w:trPr>
        <w:tc>
          <w:tcPr>
            <w:tcW w:w="5040" w:type="dxa"/>
            <w:vAlign w:val="bottom"/>
          </w:tcPr>
          <w:p>
            <w:pPr>
              <w:jc w:val="right"/>
              <w:ind w:right="1474"/>
              <w:spacing w:after="0"/>
              <w:rPr>
                <w:sz w:val="20"/>
                <w:szCs w:val="20"/>
                <w:color w:val="auto"/>
              </w:rPr>
            </w:pPr>
            <w:r>
              <w:rPr>
                <w:rFonts w:ascii="Arial" w:cs="Arial" w:eastAsia="Arial" w:hAnsi="Arial"/>
                <w:sz w:val="17"/>
                <w:szCs w:val="17"/>
                <w:color w:val="auto"/>
              </w:rPr>
              <w:t>*  Graham Holdings Company Master Trust</w:t>
            </w:r>
          </w:p>
        </w:tc>
        <w:tc>
          <w:tcPr>
            <w:tcW w:w="3940" w:type="dxa"/>
            <w:vAlign w:val="bottom"/>
          </w:tcPr>
          <w:p>
            <w:pPr>
              <w:ind w:left="20"/>
              <w:spacing w:after="0"/>
              <w:rPr>
                <w:sz w:val="20"/>
                <w:szCs w:val="20"/>
                <w:color w:val="auto"/>
              </w:rPr>
            </w:pPr>
            <w:r>
              <w:rPr>
                <w:rFonts w:ascii="Arial" w:cs="Arial" w:eastAsia="Arial" w:hAnsi="Arial"/>
                <w:sz w:val="17"/>
                <w:szCs w:val="17"/>
                <w:color w:val="auto"/>
              </w:rPr>
              <w:t>Master Trust</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1420" w:type="dxa"/>
            <w:vAlign w:val="bottom"/>
          </w:tcPr>
          <w:p>
            <w:pPr>
              <w:jc w:val="right"/>
              <w:spacing w:after="0"/>
              <w:rPr>
                <w:sz w:val="20"/>
                <w:szCs w:val="20"/>
                <w:color w:val="auto"/>
              </w:rPr>
            </w:pPr>
            <w:r>
              <w:rPr>
                <w:rFonts w:ascii="Arial" w:cs="Arial" w:eastAsia="Arial" w:hAnsi="Arial"/>
                <w:sz w:val="17"/>
                <w:szCs w:val="17"/>
                <w:color w:val="auto"/>
              </w:rPr>
              <w:t>465,638,644</w:t>
            </w:r>
          </w:p>
        </w:tc>
        <w:tc>
          <w:tcPr>
            <w:tcW w:w="0" w:type="dxa"/>
            <w:vAlign w:val="bottom"/>
          </w:tcPr>
          <w:p>
            <w:pPr>
              <w:spacing w:after="0"/>
              <w:rPr>
                <w:sz w:val="1"/>
                <w:szCs w:val="1"/>
                <w:color w:val="auto"/>
              </w:rPr>
            </w:pPr>
          </w:p>
        </w:tc>
      </w:tr>
      <w:tr>
        <w:trPr>
          <w:trHeight w:val="372"/>
        </w:trPr>
        <w:tc>
          <w:tcPr>
            <w:tcW w:w="5040" w:type="dxa"/>
            <w:vAlign w:val="bottom"/>
          </w:tcPr>
          <w:p>
            <w:pPr>
              <w:jc w:val="right"/>
              <w:ind w:right="1974"/>
              <w:spacing w:after="0"/>
              <w:rPr>
                <w:sz w:val="20"/>
                <w:szCs w:val="20"/>
                <w:color w:val="auto"/>
              </w:rPr>
            </w:pPr>
            <w:r>
              <w:rPr>
                <w:rFonts w:ascii="Arial" w:cs="Arial" w:eastAsia="Arial" w:hAnsi="Arial"/>
                <w:sz w:val="17"/>
                <w:szCs w:val="17"/>
                <w:color w:val="auto"/>
              </w:rPr>
              <w:t>*  Notes receivable from Participants</w:t>
            </w:r>
          </w:p>
        </w:tc>
        <w:tc>
          <w:tcPr>
            <w:tcW w:w="3940" w:type="dxa"/>
            <w:vAlign w:val="bottom"/>
          </w:tcPr>
          <w:p>
            <w:pPr>
              <w:ind w:left="20"/>
              <w:spacing w:after="0"/>
              <w:rPr>
                <w:sz w:val="20"/>
                <w:szCs w:val="20"/>
                <w:color w:val="auto"/>
              </w:rPr>
            </w:pPr>
            <w:r>
              <w:rPr>
                <w:rFonts w:ascii="Arial" w:cs="Arial" w:eastAsia="Arial" w:hAnsi="Arial"/>
                <w:sz w:val="17"/>
                <w:szCs w:val="17"/>
                <w:color w:val="auto"/>
              </w:rPr>
              <w:t>4.25% - 7.5%; Maturing from June 2016 -</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5040" w:type="dxa"/>
            <w:vAlign w:val="bottom"/>
            <w:vMerge w:val="restart"/>
          </w:tcPr>
          <w:p>
            <w:pPr>
              <w:jc w:val="right"/>
              <w:ind w:right="1974"/>
              <w:spacing w:after="0"/>
              <w:rPr>
                <w:sz w:val="20"/>
                <w:szCs w:val="20"/>
                <w:color w:val="auto"/>
              </w:rPr>
            </w:pPr>
            <w:r>
              <w:rPr>
                <w:rFonts w:ascii="Arial" w:cs="Arial" w:eastAsia="Arial" w:hAnsi="Arial"/>
                <w:sz w:val="17"/>
                <w:szCs w:val="17"/>
                <w:b w:val="1"/>
                <w:bCs w:val="1"/>
                <w:color w:val="auto"/>
              </w:rPr>
              <w:t>Total Assets Held at End of Year</w:t>
            </w:r>
          </w:p>
        </w:tc>
        <w:tc>
          <w:tcPr>
            <w:tcW w:w="3940" w:type="dxa"/>
            <w:vAlign w:val="bottom"/>
          </w:tcPr>
          <w:p>
            <w:pPr>
              <w:ind w:left="20"/>
              <w:spacing w:after="0"/>
              <w:rPr>
                <w:sz w:val="20"/>
                <w:szCs w:val="20"/>
                <w:color w:val="auto"/>
              </w:rPr>
            </w:pPr>
            <w:r>
              <w:rPr>
                <w:rFonts w:ascii="Arial" w:cs="Arial" w:eastAsia="Arial" w:hAnsi="Arial"/>
                <w:sz w:val="17"/>
                <w:szCs w:val="17"/>
                <w:color w:val="auto"/>
              </w:rPr>
              <w:t>December 2026</w:t>
            </w:r>
          </w:p>
        </w:tc>
        <w:tc>
          <w:tcPr>
            <w:tcW w:w="66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53,947</w:t>
            </w:r>
          </w:p>
        </w:tc>
        <w:tc>
          <w:tcPr>
            <w:tcW w:w="0" w:type="dxa"/>
            <w:vAlign w:val="bottom"/>
          </w:tcPr>
          <w:p>
            <w:pPr>
              <w:spacing w:after="0"/>
              <w:rPr>
                <w:sz w:val="1"/>
                <w:szCs w:val="1"/>
                <w:color w:val="auto"/>
              </w:rPr>
            </w:pPr>
          </w:p>
        </w:tc>
      </w:tr>
      <w:tr>
        <w:trPr>
          <w:trHeight w:val="213"/>
        </w:trPr>
        <w:tc>
          <w:tcPr>
            <w:tcW w:w="5040" w:type="dxa"/>
            <w:vAlign w:val="bottom"/>
            <w:vMerge w:val="continue"/>
          </w:tcPr>
          <w:p>
            <w:pPr>
              <w:spacing w:after="0"/>
              <w:rPr>
                <w:sz w:val="18"/>
                <w:szCs w:val="18"/>
                <w:color w:val="auto"/>
              </w:rPr>
            </w:pPr>
          </w:p>
        </w:tc>
        <w:tc>
          <w:tcPr>
            <w:tcW w:w="3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465,692,591</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040" w:type="dxa"/>
            <w:vAlign w:val="bottom"/>
            <w:tcBorders>
              <w:bottom w:val="single" w:sz="8" w:color="auto"/>
            </w:tcBorders>
          </w:tcPr>
          <w:p>
            <w:pPr>
              <w:spacing w:after="0"/>
              <w:rPr>
                <w:sz w:val="15"/>
                <w:szCs w:val="15"/>
                <w:color w:val="auto"/>
              </w:rPr>
            </w:pPr>
          </w:p>
        </w:tc>
        <w:tc>
          <w:tcPr>
            <w:tcW w:w="3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360" w:hanging="339"/>
        <w:spacing w:after="0"/>
        <w:tabs>
          <w:tab w:leader="none" w:pos="360" w:val="left"/>
        </w:tabs>
        <w:numPr>
          <w:ilvl w:val="0"/>
          <w:numId w:val="6"/>
        </w:numPr>
        <w:rPr>
          <w:rFonts w:ascii="Arial" w:cs="Arial" w:eastAsia="Arial" w:hAnsi="Arial"/>
          <w:sz w:val="17"/>
          <w:szCs w:val="17"/>
          <w:color w:val="auto"/>
        </w:rPr>
      </w:pPr>
      <w:r>
        <w:rPr>
          <w:rFonts w:ascii="Arial" w:cs="Arial" w:eastAsia="Arial" w:hAnsi="Arial"/>
          <w:sz w:val="17"/>
          <w:szCs w:val="17"/>
          <w:color w:val="auto"/>
        </w:rPr>
        <w:t>Party-in-interest</w:t>
      </w:r>
    </w:p>
    <w:p>
      <w:pPr>
        <w:spacing w:after="0" w:line="30" w:lineRule="exact"/>
        <w:rPr>
          <w:sz w:val="20"/>
          <w:szCs w:val="20"/>
          <w:color w:val="auto"/>
        </w:rPr>
      </w:pPr>
    </w:p>
    <w:p>
      <w:pPr>
        <w:ind w:left="360" w:hanging="339"/>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Cost is not required for participant directed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40"/>
          </w:cols>
          <w:pgMar w:left="320" w:top="837" w:right="339" w:bottom="1440" w:gutter="0" w:footer="0" w:header="0"/>
        </w:sectPr>
      </w:pPr>
    </w:p>
    <w:bookmarkStart w:id="12" w:name="page13"/>
    <w:bookmarkEnd w:id="12"/>
    <w:p>
      <w:pPr>
        <w:jc w:val="right"/>
        <w:ind w:right="3519"/>
        <w:spacing w:after="0"/>
        <w:rPr>
          <w:sz w:val="20"/>
          <w:szCs w:val="20"/>
          <w:color w:val="auto"/>
        </w:rPr>
      </w:pPr>
      <w:r>
        <w:rPr>
          <w:rFonts w:ascii="Arial" w:cs="Arial" w:eastAsia="Arial" w:hAnsi="Arial"/>
          <w:sz w:val="21"/>
          <w:szCs w:val="21"/>
          <w:b w:val="1"/>
          <w:bCs w:val="1"/>
          <w:color w:val="auto"/>
        </w:rPr>
        <w:t>INDEX TO EXHIBITS</w:t>
      </w:r>
    </w:p>
    <w:p>
      <w:pPr>
        <w:spacing w:after="0" w:line="357" w:lineRule="exact"/>
        <w:rPr>
          <w:sz w:val="20"/>
          <w:szCs w:val="20"/>
          <w:color w:val="auto"/>
        </w:rPr>
      </w:pPr>
    </w:p>
    <w:p>
      <w:pPr>
        <w:spacing w:after="0"/>
        <w:tabs>
          <w:tab w:leader="none" w:pos="1380" w:val="left"/>
        </w:tabs>
        <w:rPr>
          <w:sz w:val="20"/>
          <w:szCs w:val="20"/>
          <w:color w:val="auto"/>
        </w:rPr>
      </w:pPr>
      <w:r>
        <w:rPr>
          <w:rFonts w:ascii="Arial" w:cs="Arial" w:eastAsia="Arial" w:hAnsi="Arial"/>
          <w:sz w:val="16"/>
          <w:szCs w:val="16"/>
          <w:b w:val="1"/>
          <w:bCs w:val="1"/>
          <w:color w:val="auto"/>
        </w:rPr>
        <w:t>Exhibit 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28575</wp:posOffset>
            </wp:positionV>
            <wp:extent cx="7138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9" w:lineRule="exact"/>
        <w:rPr>
          <w:sz w:val="20"/>
          <w:szCs w:val="20"/>
          <w:color w:val="auto"/>
        </w:rPr>
      </w:pPr>
    </w:p>
    <w:p>
      <w:pPr>
        <w:ind w:left="1400" w:hanging="1399"/>
        <w:spacing w:after="0"/>
        <w:tabs>
          <w:tab w:leader="none" w:pos="140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0000FF"/>
        </w:rPr>
        <w:t>Consent of independent registered public accounting firm.</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6" w:lineRule="exact"/>
        <w:rPr>
          <w:rFonts w:ascii="Arial" w:cs="Arial" w:eastAsia="Arial" w:hAnsi="Arial"/>
          <w:sz w:val="16"/>
          <w:szCs w:val="16"/>
          <w:color w:val="auto"/>
        </w:rPr>
      </w:pPr>
    </w:p>
    <w:p>
      <w:pPr>
        <w:ind w:left="5520"/>
        <w:spacing w:after="0"/>
        <w:rPr>
          <w:rFonts w:ascii="Arial" w:cs="Arial" w:eastAsia="Arial" w:hAnsi="Arial"/>
          <w:sz w:val="16"/>
          <w:szCs w:val="16"/>
          <w:color w:val="auto"/>
        </w:rPr>
      </w:pPr>
      <w:r>
        <w:rPr>
          <w:rFonts w:ascii="Arial" w:cs="Arial" w:eastAsia="Arial" w:hAnsi="Arial"/>
          <w:sz w:val="17"/>
          <w:szCs w:val="17"/>
          <w:color w:val="auto"/>
        </w:rPr>
        <w:t>11</w:t>
      </w:r>
    </w:p>
    <w:p>
      <w:pPr>
        <w:sectPr>
          <w:pgSz w:w="11900" w:h="16838" w:orient="portrait"/>
          <w:cols w:equalWidth="0" w:num="1">
            <w:col w:w="10119"/>
          </w:cols>
          <w:pgMar w:left="340" w:top="863" w:right="1440" w:bottom="1440" w:gutter="0" w:footer="0" w:header="0"/>
        </w:sectPr>
      </w:pPr>
    </w:p>
    <w:bookmarkStart w:id="13" w:name="page14"/>
    <w:bookmarkEnd w:id="13"/>
    <w:p>
      <w:pPr>
        <w:ind w:left="5160"/>
        <w:spacing w:after="0"/>
        <w:rPr>
          <w:sz w:val="20"/>
          <w:szCs w:val="20"/>
          <w:color w:val="auto"/>
        </w:rPr>
      </w:pPr>
      <w:r>
        <w:rPr>
          <w:rFonts w:ascii="Arial" w:cs="Arial" w:eastAsia="Arial" w:hAnsi="Arial"/>
          <w:sz w:val="21"/>
          <w:szCs w:val="21"/>
          <w:b w:val="1"/>
          <w:bCs w:val="1"/>
          <w:color w:val="auto"/>
        </w:rPr>
        <w:t>SIGNATURES</w:t>
      </w:r>
    </w:p>
    <w:p>
      <w:pPr>
        <w:spacing w:after="0" w:line="156" w:lineRule="exact"/>
        <w:rPr>
          <w:sz w:val="20"/>
          <w:szCs w:val="20"/>
          <w:color w:val="auto"/>
        </w:rPr>
      </w:pPr>
    </w:p>
    <w:p>
      <w:pPr>
        <w:ind w:right="260"/>
        <w:spacing w:after="0" w:line="291" w:lineRule="auto"/>
        <w:rPr>
          <w:sz w:val="20"/>
          <w:szCs w:val="20"/>
          <w:color w:val="auto"/>
        </w:rPr>
      </w:pPr>
      <w:r>
        <w:rPr>
          <w:rFonts w:ascii="Arial" w:cs="Arial" w:eastAsia="Arial" w:hAnsi="Arial"/>
          <w:sz w:val="17"/>
          <w:szCs w:val="17"/>
          <w:color w:val="auto"/>
        </w:rPr>
        <w:t>Pursuant to the requirements of the Securities Exchange Act of 1934, the trustees (or other persons who administer the employee benefit plan) have duly caused this annual report to be signed on its behalf by the undersigned thereunto duly authorized.</w:t>
      </w:r>
    </w:p>
    <w:p>
      <w:pPr>
        <w:spacing w:after="0" w:line="264" w:lineRule="exact"/>
        <w:rPr>
          <w:sz w:val="20"/>
          <w:szCs w:val="20"/>
          <w:color w:val="auto"/>
        </w:rPr>
      </w:pPr>
    </w:p>
    <w:p>
      <w:pPr>
        <w:jc w:val="center"/>
        <w:ind w:left="7160"/>
        <w:spacing w:after="0"/>
        <w:rPr>
          <w:sz w:val="20"/>
          <w:szCs w:val="20"/>
          <w:color w:val="auto"/>
        </w:rPr>
      </w:pPr>
      <w:r>
        <w:rPr>
          <w:rFonts w:ascii="Arial" w:cs="Arial" w:eastAsia="Arial" w:hAnsi="Arial"/>
          <w:sz w:val="17"/>
          <w:szCs w:val="17"/>
          <w:b w:val="1"/>
          <w:bCs w:val="1"/>
          <w:color w:val="auto"/>
        </w:rPr>
        <w:t>THE SAVINGS PLAN FOR GRAHAM HOLDINGS</w:t>
      </w:r>
    </w:p>
    <w:p>
      <w:pPr>
        <w:jc w:val="center"/>
        <w:ind w:left="7160"/>
        <w:spacing w:after="0"/>
        <w:rPr>
          <w:sz w:val="20"/>
          <w:szCs w:val="20"/>
          <w:color w:val="auto"/>
        </w:rPr>
      </w:pPr>
      <w:r>
        <w:rPr>
          <w:rFonts w:ascii="Arial" w:cs="Arial" w:eastAsia="Arial" w:hAnsi="Arial"/>
          <w:sz w:val="17"/>
          <w:szCs w:val="17"/>
          <w:b w:val="1"/>
          <w:bCs w:val="1"/>
          <w:color w:val="auto"/>
        </w:rPr>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4580255</wp:posOffset>
            </wp:positionH>
            <wp:positionV relativeFrom="paragraph">
              <wp:posOffset>15875</wp:posOffset>
            </wp:positionV>
            <wp:extent cx="25514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14" w:lineRule="exact"/>
        <w:rPr>
          <w:sz w:val="20"/>
          <w:szCs w:val="20"/>
          <w:color w:val="auto"/>
        </w:rPr>
      </w:pPr>
    </w:p>
    <w:p>
      <w:pPr>
        <w:ind w:left="8820"/>
        <w:spacing w:after="0"/>
        <w:rPr>
          <w:sz w:val="20"/>
          <w:szCs w:val="20"/>
          <w:color w:val="auto"/>
        </w:rPr>
      </w:pPr>
      <w:r>
        <w:rPr>
          <w:rFonts w:ascii="Arial" w:cs="Arial" w:eastAsia="Arial" w:hAnsi="Arial"/>
          <w:sz w:val="17"/>
          <w:szCs w:val="17"/>
          <w:color w:val="auto"/>
        </w:rPr>
        <w:t>(The Plan)</w:t>
      </w:r>
    </w:p>
    <w:p>
      <w:pPr>
        <w:spacing w:after="0" w:line="283" w:lineRule="exact"/>
        <w:rPr>
          <w:sz w:val="20"/>
          <w:szCs w:val="20"/>
          <w:color w:val="auto"/>
        </w:rPr>
      </w:pPr>
    </w:p>
    <w:p>
      <w:pPr>
        <w:ind w:left="40"/>
        <w:spacing w:after="0"/>
        <w:tabs>
          <w:tab w:leader="none" w:pos="8340" w:val="left"/>
        </w:tabs>
        <w:rPr>
          <w:sz w:val="20"/>
          <w:szCs w:val="20"/>
          <w:color w:val="auto"/>
        </w:rPr>
      </w:pPr>
      <w:r>
        <w:rPr>
          <w:rFonts w:ascii="Arial" w:cs="Arial" w:eastAsia="Arial" w:hAnsi="Arial"/>
          <w:sz w:val="17"/>
          <w:szCs w:val="17"/>
          <w:color w:val="auto"/>
        </w:rPr>
        <w:t>Date: October 4, 2024</w:t>
      </w:r>
      <w:r>
        <w:rPr>
          <w:sz w:val="20"/>
          <w:szCs w:val="20"/>
          <w:color w:val="auto"/>
        </w:rPr>
        <w:tab/>
      </w:r>
      <w:r>
        <w:rPr>
          <w:rFonts w:ascii="Arial" w:cs="Arial" w:eastAsia="Arial" w:hAnsi="Arial"/>
          <w:sz w:val="17"/>
          <w:szCs w:val="17"/>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4580255</wp:posOffset>
            </wp:positionH>
            <wp:positionV relativeFrom="paragraph">
              <wp:posOffset>17780</wp:posOffset>
            </wp:positionV>
            <wp:extent cx="25514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20" w:lineRule="exact"/>
        <w:rPr>
          <w:sz w:val="20"/>
          <w:szCs w:val="20"/>
          <w:color w:val="auto"/>
        </w:rPr>
      </w:pPr>
    </w:p>
    <w:p>
      <w:pPr>
        <w:ind w:left="8580"/>
        <w:spacing w:after="0"/>
        <w:rPr>
          <w:sz w:val="20"/>
          <w:szCs w:val="20"/>
          <w:color w:val="auto"/>
        </w:rPr>
      </w:pPr>
      <w:r>
        <w:rPr>
          <w:rFonts w:ascii="Arial" w:cs="Arial" w:eastAsia="Arial" w:hAnsi="Arial"/>
          <w:sz w:val="14"/>
          <w:szCs w:val="14"/>
          <w:b w:val="1"/>
          <w:bCs w:val="1"/>
          <w:color w:val="auto"/>
        </w:rPr>
        <w:t>Wallace R. Cooney,</w:t>
      </w:r>
    </w:p>
    <w:p>
      <w:pPr>
        <w:ind w:left="7760"/>
        <w:spacing w:after="0" w:line="192" w:lineRule="auto"/>
        <w:rPr>
          <w:sz w:val="20"/>
          <w:szCs w:val="20"/>
          <w:color w:val="auto"/>
        </w:rPr>
      </w:pPr>
      <w:r>
        <w:rPr>
          <w:rFonts w:ascii="Arial" w:cs="Arial" w:eastAsia="Arial" w:hAnsi="Arial"/>
          <w:sz w:val="14"/>
          <w:szCs w:val="14"/>
          <w:b w:val="1"/>
          <w:bCs w:val="1"/>
          <w:color w:val="auto"/>
        </w:rPr>
        <w:t>Member of the Administrative Committee for</w:t>
      </w:r>
    </w:p>
    <w:p>
      <w:pPr>
        <w:ind w:left="7600"/>
        <w:spacing w:after="0"/>
        <w:rPr>
          <w:sz w:val="20"/>
          <w:szCs w:val="20"/>
          <w:color w:val="auto"/>
        </w:rPr>
      </w:pPr>
      <w:r>
        <w:rPr>
          <w:rFonts w:ascii="Arial" w:cs="Arial" w:eastAsia="Arial" w:hAnsi="Arial"/>
          <w:sz w:val="14"/>
          <w:szCs w:val="14"/>
          <w:b w:val="1"/>
          <w:bCs w:val="1"/>
          <w:color w:val="auto"/>
        </w:rPr>
        <w:t>The Savings Plan for Graham Holdings Company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140"/>
          </w:cols>
          <w:pgMar w:left="320" w:top="1018" w:right="439" w:bottom="1440" w:gutter="0" w:footer="0" w:header="0"/>
        </w:sectPr>
      </w:pPr>
    </w:p>
    <w:bookmarkStart w:id="14" w:name="page15"/>
    <w:bookmarkEnd w:id="14"/>
    <w:p>
      <w:pPr>
        <w:jc w:val="right"/>
        <w:spacing w:after="0"/>
        <w:rPr>
          <w:sz w:val="20"/>
          <w:szCs w:val="20"/>
          <w:color w:val="auto"/>
        </w:rPr>
      </w:pPr>
      <w:r>
        <w:rPr>
          <w:rFonts w:ascii="Arial" w:cs="Arial" w:eastAsia="Arial" w:hAnsi="Arial"/>
          <w:sz w:val="17"/>
          <w:szCs w:val="17"/>
          <w:b w:val="1"/>
          <w:bCs w:val="1"/>
          <w:color w:val="auto"/>
        </w:rPr>
        <w:t>EXHIBIT 23</w:t>
      </w:r>
    </w:p>
    <w:p>
      <w:pPr>
        <w:spacing w:after="0" w:line="179" w:lineRule="exact"/>
        <w:rPr>
          <w:sz w:val="20"/>
          <w:szCs w:val="20"/>
          <w:color w:val="auto"/>
        </w:rPr>
      </w:pPr>
    </w:p>
    <w:p>
      <w:pPr>
        <w:ind w:left="2640"/>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The Savings Plan for Graham Holdings Company</w:t>
      </w:r>
    </w:p>
    <w:p>
      <w:pPr>
        <w:spacing w:after="0" w:line="244"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We hereby consent to the incorporation by reference in the Registration Statement No. 333-276044 on Form S-8 of Graham Holdings Company of our report dated October 4, 2024, relating to the financial statements and supplemental schedule of The Savings Plan for Graham Holdings Company appearing in this Annual Report on Form 11-K for the year ended December 31, 2023.</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/s/ Johnson Lambert LLP</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Vienna, Virginia</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October 4, 2024</w:t>
      </w:r>
    </w:p>
    <w:sectPr>
      <w:pgSz w:w="11900" w:h="16838" w:orient="portrait"/>
      <w:cols w:equalWidth="0" w:num="1">
        <w:col w:w="11240"/>
      </w:cols>
      <w:pgMar w:left="320" w:top="8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2024-10-04T11:52:54Z</dcterms:created>
  <dcterms:modified xsi:type="dcterms:W3CDTF">2024-10-04T11:52:54Z</dcterms:modified>
</cp:coreProperties>
</file>