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6"/>
          <w:szCs w:val="16"/>
          <w:color w:val="auto"/>
        </w:rPr>
        <w:t>SCHEDULE 14A INFORMATION</w:t>
      </w:r>
    </w:p>
    <w:p>
      <w:pPr>
        <w:spacing w:after="0" w:line="195"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Proxy Statement Pursuant to Section 14(a)</w:t>
      </w:r>
    </w:p>
    <w:p>
      <w:pPr>
        <w:spacing w:after="0" w:line="7" w:lineRule="exact"/>
        <w:rPr>
          <w:sz w:val="24"/>
          <w:szCs w:val="24"/>
          <w:color w:val="auto"/>
        </w:rPr>
      </w:pPr>
    </w:p>
    <w:p>
      <w:pPr>
        <w:ind w:left="2060"/>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83"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6"/>
          <w:szCs w:val="16"/>
          <w:color w:val="auto"/>
        </w:rPr>
        <w:t>Filed by the Registration</w:t>
        <w:tab/>
        <w:t>[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w:t>
      </w:r>
    </w:p>
    <w:p>
      <w:pPr>
        <w:spacing w:after="0" w:line="195"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Preliminary Proxy Statement</w:t>
      </w:r>
    </w:p>
    <w:p>
      <w:pPr>
        <w:spacing w:after="0" w:line="7" w:lineRule="exact"/>
        <w:rPr>
          <w:sz w:val="24"/>
          <w:szCs w:val="24"/>
          <w:color w:val="auto"/>
        </w:rPr>
      </w:pPr>
    </w:p>
    <w:p>
      <w:pPr>
        <w:ind w:left="880" w:hanging="880"/>
        <w:spacing w:after="0"/>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195" w:lineRule="exact"/>
        <w:rPr>
          <w:sz w:val="24"/>
          <w:szCs w:val="24"/>
          <w:color w:val="auto"/>
        </w:rPr>
      </w:pPr>
    </w:p>
    <w:p>
      <w:pPr>
        <w:ind w:left="880" w:right="3079" w:hanging="880"/>
        <w:spacing w:after="0" w:line="252"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]Soliciting Material Pursuant to Section 240.14a-11(c) or Section 240.14a-12</w:t>
      </w:r>
    </w:p>
    <w:p>
      <w:pPr>
        <w:spacing w:after="0" w:line="183"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The Washington Post</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1560"/>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95" w:lineRule="exact"/>
        <w:rPr>
          <w:sz w:val="24"/>
          <w:szCs w:val="24"/>
          <w:color w:val="auto"/>
        </w:rPr>
      </w:pPr>
    </w:p>
    <w:p>
      <w:pPr>
        <w:ind w:left="2440"/>
        <w:spacing w:after="0"/>
        <w:rPr>
          <w:sz w:val="20"/>
          <w:szCs w:val="20"/>
          <w:color w:val="auto"/>
        </w:rPr>
      </w:pPr>
      <w:r>
        <w:rPr>
          <w:rFonts w:ascii="Courier New" w:cs="Courier New" w:eastAsia="Courier New" w:hAnsi="Courier New"/>
          <w:sz w:val="16"/>
          <w:szCs w:val="16"/>
          <w:color w:val="auto"/>
        </w:rPr>
        <w:t>Carolyn Wright, RCI Group</w:t>
      </w:r>
    </w:p>
    <w:p>
      <w:pPr>
        <w:spacing w:after="0" w:line="7" w:lineRule="exact"/>
        <w:rPr>
          <w:sz w:val="24"/>
          <w:szCs w:val="24"/>
          <w:color w:val="auto"/>
        </w:rPr>
      </w:pPr>
    </w:p>
    <w:p>
      <w:pPr>
        <w:ind w:left="156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ind w:left="1860"/>
        <w:spacing w:after="0"/>
        <w:rPr>
          <w:sz w:val="20"/>
          <w:szCs w:val="20"/>
          <w:color w:val="auto"/>
        </w:rPr>
      </w:pPr>
      <w:r>
        <w:rPr>
          <w:rFonts w:ascii="Courier New" w:cs="Courier New" w:eastAsia="Courier New" w:hAnsi="Courier New"/>
          <w:sz w:val="16"/>
          <w:szCs w:val="16"/>
          <w:color w:val="auto"/>
        </w:rPr>
        <w:t>(Name of Person(s) Filing Proxy Statement)</w:t>
      </w: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Payment of Filing Fee (Check appropriate box):</w:t>
      </w:r>
    </w:p>
    <w:p>
      <w:pPr>
        <w:spacing w:after="0" w:line="195" w:lineRule="exact"/>
        <w:rPr>
          <w:sz w:val="24"/>
          <w:szCs w:val="24"/>
          <w:color w:val="auto"/>
        </w:rPr>
      </w:pPr>
    </w:p>
    <w:p>
      <w:pPr>
        <w:ind w:left="880" w:right="3859" w:hanging="880"/>
        <w:spacing w:after="0" w:line="252" w:lineRule="auto"/>
        <w:tabs>
          <w:tab w:leader="none" w:pos="8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per Exchange Act Rules 0-11(c)(1)(ii), 14a-6(i)(1), or 14a-6(j)(2).</w:t>
      </w:r>
    </w:p>
    <w:p>
      <w:pPr>
        <w:spacing w:after="0" w:line="183" w:lineRule="exact"/>
        <w:rPr>
          <w:sz w:val="24"/>
          <w:szCs w:val="24"/>
          <w:color w:val="auto"/>
        </w:rPr>
      </w:pPr>
    </w:p>
    <w:p>
      <w:pPr>
        <w:ind w:left="880" w:right="2399" w:hanging="880"/>
        <w:spacing w:after="0" w:line="252" w:lineRule="auto"/>
        <w:tabs>
          <w:tab w:leader="none" w:pos="1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 per each party to the controversy pursuant to Exchange Act Rule 14a-6(i)(3).</w:t>
      </w:r>
    </w:p>
    <w:p>
      <w:pPr>
        <w:spacing w:after="0" w:line="183"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Fee computed on table below per Exchange Act Rules 14a-6(i)(4)and 0-11.</w:t>
      </w:r>
    </w:p>
    <w:p>
      <w:pPr>
        <w:spacing w:after="0" w:line="195" w:lineRule="exact"/>
        <w:rPr>
          <w:sz w:val="24"/>
          <w:szCs w:val="24"/>
          <w:color w:val="auto"/>
        </w:rPr>
      </w:pPr>
    </w:p>
    <w:p>
      <w:pPr>
        <w:ind w:left="880" w:hanging="880"/>
        <w:spacing w:after="0"/>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94"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4"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94" w:lineRule="exact"/>
        <w:rPr>
          <w:rFonts w:ascii="Courier New" w:cs="Courier New" w:eastAsia="Courier New" w:hAnsi="Courier New"/>
          <w:sz w:val="16"/>
          <w:szCs w:val="16"/>
          <w:color w:val="auto"/>
        </w:rPr>
      </w:pPr>
    </w:p>
    <w:p>
      <w:pPr>
        <w:ind w:left="880" w:right="2399" w:hanging="880"/>
        <w:spacing w:after="0" w:line="252" w:lineRule="auto"/>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*1</w:t>
      </w:r>
    </w:p>
    <w:p>
      <w:pPr>
        <w:spacing w:after="0" w:line="183"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6"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5"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7" w:lineRule="exact"/>
        <w:rPr>
          <w:sz w:val="24"/>
          <w:szCs w:val="24"/>
          <w:color w:val="auto"/>
        </w:rPr>
      </w:pPr>
    </w:p>
    <w:p>
      <w:pPr>
        <w:ind w:left="880" w:right="2399" w:hanging="879"/>
        <w:spacing w:after="0" w:line="252" w:lineRule="auto"/>
        <w:tabs>
          <w:tab w:leader="none" w:pos="86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Set forth the amount on which the filing fee is calculated and state how it was determined.</w:t>
      </w:r>
    </w:p>
    <w:p>
      <w:pPr>
        <w:spacing w:after="0" w:line="183" w:lineRule="exact"/>
        <w:rPr>
          <w:sz w:val="24"/>
          <w:szCs w:val="24"/>
          <w:color w:val="auto"/>
        </w:rPr>
      </w:pPr>
    </w:p>
    <w:p>
      <w:pPr>
        <w:jc w:val="both"/>
        <w:ind w:right="2399"/>
        <w:spacing w:after="0" w:line="249" w:lineRule="auto"/>
        <w:tabs>
          <w:tab w:leader="none" w:pos="19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sz w:val="24"/>
          <w:szCs w:val="24"/>
          <w:color w:val="auto"/>
        </w:rPr>
      </w:pPr>
    </w:p>
    <w:p>
      <w:pPr>
        <w:ind w:left="880" w:hanging="880"/>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pacing w:after="0" w:line="194" w:lineRule="exact"/>
        <w:rPr>
          <w:rFonts w:ascii="Courier New" w:cs="Courier New" w:eastAsia="Courier New" w:hAnsi="Courier New"/>
          <w:sz w:val="16"/>
          <w:szCs w:val="16"/>
          <w:color w:val="auto"/>
        </w:rPr>
      </w:pPr>
    </w:p>
    <w:p>
      <w:pPr>
        <w:ind w:left="880" w:hanging="880"/>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6" w:lineRule="exact"/>
        <w:rPr>
          <w:rFonts w:ascii="Courier New" w:cs="Courier New" w:eastAsia="Courier New" w:hAnsi="Courier New"/>
          <w:sz w:val="16"/>
          <w:szCs w:val="16"/>
          <w:color w:val="auto"/>
        </w:rPr>
      </w:pPr>
    </w:p>
    <w:p>
      <w:pPr>
        <w:ind w:left="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_______________________________________________________________________</w:t>
      </w:r>
    </w:p>
    <w:p>
      <w:pPr>
        <w:sectPr>
          <w:pgSz w:w="11900" w:h="16838" w:orient="portrait"/>
          <w:cols w:equalWidth="0" w:num="1">
            <w:col w:w="10219"/>
          </w:cols>
          <w:pgMar w:left="240" w:top="781" w:right="1440" w:bottom="1440" w:gutter="0" w:footer="0" w:header="0"/>
        </w:sectPr>
      </w:pPr>
    </w:p>
    <w:bookmarkStart w:id="1" w:name="page2"/>
    <w:bookmarkEnd w:id="1"/>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1150 15TH STREET, N.W., WASHINGTON, D. C. 20071</w:t>
      </w:r>
    </w:p>
    <w:p>
      <w:pPr>
        <w:spacing w:after="0" w:line="195"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March 29,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You are cordially invited to the Company's 1996 Annual Meeting of Stockholders, which will be held in the Ninth Floor Meeting Room, The Washington Post Building, 1150 15th Street, N.W., Washington, D.C., on Thursday, May 9, 1996, at 9:00 o'clock in the morning.</w:t>
      </w:r>
    </w:p>
    <w:p>
      <w:pPr>
        <w:spacing w:after="0" w:line="188" w:lineRule="exact"/>
        <w:rPr>
          <w:sz w:val="20"/>
          <w:szCs w:val="20"/>
          <w:color w:val="auto"/>
        </w:rPr>
      </w:pPr>
    </w:p>
    <w:p>
      <w:pPr>
        <w:jc w:val="both"/>
        <w:ind w:right="2399" w:firstLine="293"/>
        <w:spacing w:after="0" w:line="252" w:lineRule="auto"/>
        <w:rPr>
          <w:sz w:val="20"/>
          <w:szCs w:val="20"/>
          <w:color w:val="auto"/>
        </w:rPr>
      </w:pPr>
      <w:r>
        <w:rPr>
          <w:rFonts w:ascii="Courier New" w:cs="Courier New" w:eastAsia="Courier New" w:hAnsi="Courier New"/>
          <w:sz w:val="16"/>
          <w:szCs w:val="16"/>
          <w:color w:val="auto"/>
        </w:rPr>
        <w:t>At the meeting there will be a report on the Company's activities, and Directors will be elected for the ensuing year.</w:t>
      </w:r>
    </w:p>
    <w:p>
      <w:pPr>
        <w:spacing w:after="0" w:line="183" w:lineRule="exact"/>
        <w:rPr>
          <w:sz w:val="20"/>
          <w:szCs w:val="20"/>
          <w:color w:val="auto"/>
        </w:rPr>
      </w:pPr>
    </w:p>
    <w:p>
      <w:pPr>
        <w:jc w:val="both"/>
        <w:ind w:right="2399" w:firstLine="293"/>
        <w:spacing w:after="0" w:line="250" w:lineRule="auto"/>
        <w:rPr>
          <w:sz w:val="20"/>
          <w:szCs w:val="20"/>
          <w:color w:val="auto"/>
        </w:rPr>
      </w:pPr>
      <w:r>
        <w:rPr>
          <w:rFonts w:ascii="Courier New" w:cs="Courier New" w:eastAsia="Courier New" w:hAnsi="Courier New"/>
          <w:sz w:val="16"/>
          <w:szCs w:val="16"/>
          <w:color w:val="auto"/>
        </w:rPr>
        <w:t>It is important that your shares be represented at the meeting. Please sign the accompanying Proxy and return it promptly in the envelope provided. If you plan to attend, kindly so indicate in the space provided on the Proxy.</w:t>
      </w:r>
    </w:p>
    <w:p>
      <w:pPr>
        <w:spacing w:after="0" w:line="18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Sincerely yours,</w:t>
      </w:r>
    </w:p>
    <w:p>
      <w:pPr>
        <w:sectPr>
          <w:pgSz w:w="11900" w:h="16838" w:orient="portrait"/>
          <w:cols w:equalWidth="0" w:num="1">
            <w:col w:w="10219"/>
          </w:cols>
          <w:pgMar w:left="2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ALAN G. SPOON</w:t>
      </w:r>
    </w:p>
    <w:p>
      <w:pPr>
        <w:spacing w:after="0" w:line="7"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E. GRAHAM</w:t>
      </w:r>
    </w:p>
    <w:p>
      <w:pPr>
        <w:spacing w:after="0" w:line="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Chairman</w:t>
      </w:r>
    </w:p>
    <w:p>
      <w:pPr>
        <w:sectPr>
          <w:pgSz w:w="11900" w:h="16838" w:orient="portrait"/>
          <w:cols w:equalWidth="0" w:num="2">
            <w:col w:w="3280" w:space="720"/>
            <w:col w:w="6219"/>
          </w:cols>
          <w:pgMar w:left="240" w:top="1440"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NOTICE OF ANNUAL MEETING OF STOCKHOLDERS/MAY 9, 1996</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Annual Meeting of Stockholders of The Washington Post Company will be held in the Ninth Floor Meeting Room, The Washington Post Building, 1150 15th Street, N.W., Washington, D.C., 20071 on Thursday, May 9, 1996, at 9:00 a.m., Eastern Daylight Saving Time, for the following purposes:</w:t>
      </w:r>
    </w:p>
    <w:p>
      <w:pPr>
        <w:spacing w:after="0" w:line="188" w:lineRule="exact"/>
        <w:rPr>
          <w:sz w:val="20"/>
          <w:szCs w:val="20"/>
          <w:color w:val="auto"/>
        </w:rPr>
      </w:pPr>
    </w:p>
    <w:p>
      <w:pPr>
        <w:ind w:left="300" w:right="2399" w:firstLine="287"/>
        <w:spacing w:after="0" w:line="252" w:lineRule="auto"/>
        <w:tabs>
          <w:tab w:leader="none" w:pos="8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 as more fully described in the accompanying Proxy Statement.</w:t>
      </w:r>
    </w:p>
    <w:p>
      <w:pPr>
        <w:spacing w:after="0" w:line="183" w:lineRule="exact"/>
        <w:rPr>
          <w:rFonts w:ascii="Courier New" w:cs="Courier New" w:eastAsia="Courier New" w:hAnsi="Courier New"/>
          <w:sz w:val="16"/>
          <w:szCs w:val="16"/>
          <w:color w:val="auto"/>
        </w:rPr>
      </w:pPr>
    </w:p>
    <w:p>
      <w:pPr>
        <w:ind w:left="300" w:right="2399" w:firstLine="287"/>
        <w:spacing w:after="0" w:line="252" w:lineRule="auto"/>
        <w:tabs>
          <w:tab w:leader="none" w:pos="88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thereof.</w:t>
      </w:r>
    </w:p>
    <w:p>
      <w:pPr>
        <w:spacing w:after="0" w:line="183" w:lineRule="exact"/>
        <w:rPr>
          <w:sz w:val="20"/>
          <w:szCs w:val="20"/>
          <w:color w:val="auto"/>
        </w:rPr>
      </w:pPr>
    </w:p>
    <w:p>
      <w:pPr>
        <w:jc w:val="both"/>
        <w:ind w:right="2399" w:firstLine="293"/>
        <w:spacing w:after="0" w:line="250" w:lineRule="auto"/>
        <w:rPr>
          <w:sz w:val="20"/>
          <w:szCs w:val="20"/>
          <w:color w:val="auto"/>
        </w:rPr>
      </w:pPr>
      <w:r>
        <w:rPr>
          <w:rFonts w:ascii="Courier New" w:cs="Courier New" w:eastAsia="Courier New" w:hAnsi="Courier New"/>
          <w:sz w:val="16"/>
          <w:szCs w:val="16"/>
          <w:color w:val="auto"/>
        </w:rPr>
        <w:t>The Board of Directors has fixed the close of business on March 11, 1996, as the record date for the determination of stockholders entitled to notice of and to vote at the Annual Meeting.</w:t>
      </w:r>
    </w:p>
    <w:p>
      <w:pPr>
        <w:spacing w:after="0" w:line="185" w:lineRule="exact"/>
        <w:rPr>
          <w:sz w:val="20"/>
          <w:szCs w:val="20"/>
          <w:color w:val="auto"/>
        </w:rPr>
      </w:pPr>
    </w:p>
    <w:p>
      <w:pPr>
        <w:jc w:val="both"/>
        <w:ind w:right="2399" w:firstLine="293"/>
        <w:spacing w:after="0" w:line="252" w:lineRule="auto"/>
        <w:rPr>
          <w:sz w:val="20"/>
          <w:szCs w:val="20"/>
          <w:color w:val="auto"/>
        </w:rPr>
      </w:pPr>
      <w:r>
        <w:rPr>
          <w:rFonts w:ascii="Courier New" w:cs="Courier New" w:eastAsia="Courier New" w:hAnsi="Courier New"/>
          <w:sz w:val="16"/>
          <w:szCs w:val="16"/>
          <w:color w:val="auto"/>
        </w:rPr>
        <w:t>It is important that your shares be represented and voted at the meeting, and you should therefore sign and return your Proxy at your earliest convenience.</w:t>
      </w:r>
    </w:p>
    <w:p>
      <w:pPr>
        <w:spacing w:after="0" w:line="183"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DIANA M. DANIELS, Secretary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 C., March 29, 1996</w:t>
      </w:r>
    </w:p>
    <w:p>
      <w:pPr>
        <w:sectPr>
          <w:pgSz w:w="11900" w:h="16838" w:orient="portrait"/>
          <w:cols w:equalWidth="0" w:num="1">
            <w:col w:w="10219"/>
          </w:cols>
          <w:pgMar w:left="240" w:top="1056"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THE WASHINGTON POST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1150 15th Street, N.W., Washington, D.C. 20071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PROXY STATEMENT</w:t>
      </w:r>
    </w:p>
    <w:p>
      <w:pPr>
        <w:spacing w:after="0" w:line="195"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March 29, 1996</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accompanying Proxy is solicited by the Board of Directors of The Washington Post Company (hereinafter called the "Company") for use at the Annual Meeting of Stockholders to be held on Thursday, May 9, 1996, and at any adjournment or adjournments thereof. A Proxy may be revoked at any time before it is voted at the meeting. Solicitation of proxies will be made by the Company's management through the mail, in person or by telegraph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This Proxy Statement and the accompanying Proxy, together with a copy of the Annual Report of the Company for the fiscal year ended December 31, 1995, are being mailed to the stockholders on March 29, 1996.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37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As of the close of business on March 11, 1996, the record date for the Annual Meeting, the Company had outstanding and entitled to vote 1,804,250 shares of Class A Common Stock (hereinafter called "Class A Stock") and 9,190,964 shares of Class B Common Stock (hereinafter called "Class B Stock"), each of which is entitled to one vote upon all matters on which such class of stock is entitled to vote. Only stockholders of record at the close of business on March 11, 1996, are entitled to vote at the Annual Meeting or at any adjournment thereof.</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ectPr>
          <w:pgSz w:w="11900" w:h="16838" w:orient="portrait"/>
          <w:cols w:equalWidth="0" w:num="1">
            <w:col w:w="10219"/>
          </w:cols>
          <w:pgMar w:left="240" w:top="868" w:right="1440" w:bottom="1440" w:gutter="0" w:footer="0" w:header="0"/>
        </w:sectPr>
      </w:pPr>
    </w:p>
    <w:bookmarkStart w:id="4" w:name="page5"/>
    <w:bookmarkEnd w:id="4"/>
    <w:p>
      <w:pPr>
        <w:ind w:left="2940"/>
        <w:spacing w:after="0"/>
        <w:rPr>
          <w:sz w:val="20"/>
          <w:szCs w:val="20"/>
          <w:color w:val="auto"/>
        </w:rPr>
      </w:pPr>
      <w:r>
        <w:rPr>
          <w:rFonts w:ascii="Courier New" w:cs="Courier New" w:eastAsia="Courier New" w:hAnsi="Courier New"/>
          <w:sz w:val="16"/>
          <w:szCs w:val="16"/>
          <w:color w:val="auto"/>
        </w:rPr>
        <w:t>ELECTION OF DIRECTORS</w:t>
      </w:r>
    </w:p>
    <w:p>
      <w:pPr>
        <w:spacing w:after="0" w:line="383"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A Board of fourteen Directors is to be elected, nine by the holders of Class A Stock voting separately as a class and five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BY CLASS A STOCKHOLDERS</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Warren E. Buffett</w:t>
      </w:r>
    </w:p>
    <w:p>
      <w:pPr>
        <w:spacing w:after="0" w:line="195"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Mr. Buffett, age 65, has for more than ten years been Chairman of the Board and Chief Executive Officer of Berkshire Hathaway Inc. (insurance underwriting, newspaper publishing and various manufacturing and marketing activities). Mr. Buffett served as a Director of the Company between 1974 and 1986. He is a director of Berkshire Hathaway Inc., The Coca-Cola Company, The Gillette Company, and Salomon Inc. Mr. Buffett is also a trustee of Grinnell College, The Business Enterprise Trust and The Urban Institute.</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Martin Cohen</w:t>
      </w:r>
    </w:p>
    <w:p>
      <w:pPr>
        <w:spacing w:after="0" w:line="195"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Mr. Cohen, age 64, is a Vice President of the Company, having served as Vice President--Finance and Treasurer from 1975 until July 1987, when he was elected to the Board of Directors. He is a member of the Finance Committee of the Board. He is also a director and President of Homer News, Inc., which publishes a weekly newspaper in Homer, Alaska, and is a member of the Corporate Board of Children's Hospital National Medical Center. Mr. Cohen also serves as a trustee of the Philip L. Graham Fund.</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George J. Gillespie, III</w:t>
      </w:r>
    </w:p>
    <w:p>
      <w:pPr>
        <w:spacing w:after="0" w:line="195"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Mr. Gillespie, age 65, has since 1963 been a partner in Cravath, Swaine &amp; Moore, which is one of several law firms retained by the Company in 1994 and 1995 and which it proposes to retain in 1996. He has been a Director of the Company since 1974 and serves as Chairman of the Finance Committee of the Board. Mr. Gillespie is also a director of The Fund</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68" w:right="1440" w:bottom="1440" w:gutter="0" w:footer="0" w:header="0"/>
        </w:sectPr>
      </w:pPr>
    </w:p>
    <w:bookmarkStart w:id="5" w:name="page6"/>
    <w:bookmarkEnd w:id="5"/>
    <w:p>
      <w:pPr>
        <w:jc w:val="both"/>
        <w:ind w:left="280" w:right="2399"/>
        <w:spacing w:after="0" w:line="249" w:lineRule="auto"/>
        <w:rPr>
          <w:sz w:val="20"/>
          <w:szCs w:val="20"/>
          <w:color w:val="auto"/>
        </w:rPr>
      </w:pPr>
      <w:r>
        <w:rPr>
          <w:rFonts w:ascii="Courier New" w:cs="Courier New" w:eastAsia="Courier New" w:hAnsi="Courier New"/>
          <w:sz w:val="16"/>
          <w:szCs w:val="16"/>
          <w:color w:val="auto"/>
        </w:rPr>
        <w:t>American Enterprises Holdings, Inc., and the National Multiple Sclerosis Society, a director and Chairman of the Madison Square Boys &amp; Girls Club, a director and Secretary-Treasurer of the John M. Olin Foundation, Inc., a director and President of the Pinkerton Foundation. Mr. Gillespie also serves on the boards of a number of other foundations, educational institutions, and charitable organizations.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E. Graham</w:t>
      </w:r>
    </w:p>
    <w:p>
      <w:pPr>
        <w:spacing w:after="0" w:line="195" w:lineRule="exact"/>
        <w:rPr>
          <w:sz w:val="20"/>
          <w:szCs w:val="20"/>
          <w:color w:val="auto"/>
        </w:rPr>
      </w:pPr>
    </w:p>
    <w:p>
      <w:pPr>
        <w:jc w:val="both"/>
        <w:ind w:left="280" w:right="2399"/>
        <w:spacing w:after="0" w:line="249" w:lineRule="auto"/>
        <w:rPr>
          <w:sz w:val="20"/>
          <w:szCs w:val="20"/>
          <w:color w:val="auto"/>
        </w:rPr>
      </w:pPr>
      <w:r>
        <w:rPr>
          <w:rFonts w:ascii="Courier New" w:cs="Courier New" w:eastAsia="Courier New" w:hAnsi="Courier New"/>
          <w:sz w:val="16"/>
          <w:szCs w:val="16"/>
          <w:color w:val="auto"/>
        </w:rPr>
        <w:t>Mr. Graham, age 50, has been Chairman of the Board of the Company since September 1993 and Chief Executive Officer of the Company since May 9, 1991. Mr. Graham served as President of the Company between May 1991 and September 1993. He is also Publisher of The Washington Post, a position he has held since January 1979. Mr. Graham has been a Director of the Company since 1974 and is a member of the Finance and Executive Committees of the Board. He is the son of Katharine Graham, who is a Director and Chairman of the Executive Committee of the Company. By virtue of his ownership of 14.5% of the outstanding Class A Stock of the Company, his right to control the vote, as a trustee of a certain family trust, of an additional 13.8% of such stock, together with the ownership right of his mother, Katharine Graham, of an additional 29.7% of such stock, Donald and Katharine Graham effectively vote a total of 58.0% of the Class A shares. Mr. Graham is a trustee of the Federal City Council and the Philip L. Graham Fund.</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Katharine Graham</w:t>
      </w:r>
    </w:p>
    <w:p>
      <w:pPr>
        <w:spacing w:after="0" w:line="195" w:lineRule="exact"/>
        <w:rPr>
          <w:sz w:val="20"/>
          <w:szCs w:val="20"/>
          <w:color w:val="auto"/>
        </w:rPr>
      </w:pPr>
    </w:p>
    <w:p>
      <w:pPr>
        <w:jc w:val="both"/>
        <w:ind w:left="280" w:right="2399"/>
        <w:spacing w:after="0" w:line="249" w:lineRule="auto"/>
        <w:rPr>
          <w:sz w:val="20"/>
          <w:szCs w:val="20"/>
          <w:color w:val="auto"/>
        </w:rPr>
      </w:pPr>
      <w:r>
        <w:rPr>
          <w:rFonts w:ascii="Courier New" w:cs="Courier New" w:eastAsia="Courier New" w:hAnsi="Courier New"/>
          <w:sz w:val="16"/>
          <w:szCs w:val="16"/>
          <w:color w:val="auto"/>
        </w:rPr>
        <w:t>Mrs. Graham, age 78, has been Chairman of the Executive Committee since September 1993. On September 9, 1993, Mrs. Graham stepped down as Chairman of the Board, a position she had held since 1973. Mrs. Graham and her son, Donald Graham, effectively vote a total of 58.0% of the Class A shares (see above). Mrs. Graham has been a Director of the Company since 1957 and is a member of the Finance and Executive Committees of the Board. Mrs. Graham is also a director of the Council for Aid to Education, the Philip L. Graham Fund, and The Urban Institute, a Life Trustee of the University of Chicago and an Honorary Trustee of The Committee for Economic Development.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 Ruane</w:t>
      </w:r>
    </w:p>
    <w:p>
      <w:pPr>
        <w:spacing w:after="0" w:line="195" w:lineRule="exact"/>
        <w:rPr>
          <w:sz w:val="20"/>
          <w:szCs w:val="20"/>
          <w:color w:val="auto"/>
        </w:rPr>
      </w:pPr>
    </w:p>
    <w:p>
      <w:pPr>
        <w:jc w:val="both"/>
        <w:ind w:left="280" w:right="2399"/>
        <w:spacing w:after="0" w:line="249" w:lineRule="auto"/>
        <w:rPr>
          <w:sz w:val="20"/>
          <w:szCs w:val="20"/>
          <w:color w:val="auto"/>
        </w:rPr>
      </w:pPr>
      <w:r>
        <w:rPr>
          <w:rFonts w:ascii="Courier New" w:cs="Courier New" w:eastAsia="Courier New" w:hAnsi="Courier New"/>
          <w:sz w:val="16"/>
          <w:szCs w:val="16"/>
          <w:color w:val="auto"/>
        </w:rPr>
        <w:t>Mr. Ruane, age 70, has for more than eight years been Chairman of the Board of Ruane, Cunniff &amp; Co., Inc., an investment management firm, and Sequoia Fund, Inc., a mutual fund. He was elected a Director of the Company in September 1985 and is a member of the Audit and Finance Committees of the Board of Directors. He is also a director of the New York Theatre Workshop and is a trustee of the Y.W.C.A. of New York and The Carmel Hill Fund.</w:t>
      </w:r>
    </w:p>
    <w:p>
      <w:pPr>
        <w:spacing w:after="0" w:line="200" w:lineRule="exact"/>
        <w:rPr>
          <w:sz w:val="20"/>
          <w:szCs w:val="20"/>
          <w:color w:val="auto"/>
        </w:rPr>
      </w:pPr>
    </w:p>
    <w:p>
      <w:pPr>
        <w:spacing w:after="0" w:line="36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919"/>
          </w:cols>
          <w:pgMar w:left="540" w:top="492"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Richard D. Simmons</w:t>
      </w:r>
    </w:p>
    <w:p>
      <w:pPr>
        <w:spacing w:after="0" w:line="195"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Mr. Simmons, age 61, has been retired since June 30, 1991; prior to his retirement he had been President and Chief Operating Officer of the Company for nearly ten years. Since September 1981, he has been a Director of the Company and is a member of the Compensation Committee of the Board of Directors. Through March 1996, Mr. Simmons served as President of International Herald Tribune, S.A., a French publishing company owned jointly by the Company and The New York Times Company, a position he had held since 1989. Mr. Simmons is a director of Morgan Guaranty Trust Company of New York, J.P. Morgan &amp; Co. Inc., Yankee Publishing, Inc., and Union Pacific Corporation, a member of the General Electric Investment Corporation Equity Advisory Board, a trustee of The Phillips Collection and a member of the Council of the White Burkett Miller Center of Public Affairs at the University of Virginia.</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Alan G. Spoon</w:t>
      </w:r>
    </w:p>
    <w:p>
      <w:pPr>
        <w:spacing w:after="0" w:line="195"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Mr. Spoon, age 44, has been President since September 9, 1993 and Chief Operating Officer of the Company and a Director of the Company since May 9, 1991 and is a member of the Executive and Finance Committees of the Board. Mr. Spoon has served in various capacities with the Company since joining in 1982 as Vice President for business development and planning. He is a Director of the National Museum of Natural History.</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George W. Wilson</w:t>
      </w:r>
    </w:p>
    <w:p>
      <w:pPr>
        <w:spacing w:after="0" w:line="195"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Mr. Wilson, age 58, has for more than fifteen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a director of The Bakersfield (California) Californian and The Associated Press.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ELECTION BY CLASS B STOCKHOLDERS</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Daniel B. Burke</w:t>
      </w:r>
    </w:p>
    <w:p>
      <w:pPr>
        <w:spacing w:after="0" w:line="195" w:lineRule="exact"/>
        <w:rPr>
          <w:sz w:val="20"/>
          <w:szCs w:val="20"/>
          <w:color w:val="auto"/>
        </w:rPr>
      </w:pPr>
    </w:p>
    <w:p>
      <w:pPr>
        <w:jc w:val="both"/>
        <w:ind w:left="580" w:right="2399"/>
        <w:spacing w:after="0" w:line="249" w:lineRule="auto"/>
        <w:rPr>
          <w:sz w:val="20"/>
          <w:szCs w:val="20"/>
          <w:color w:val="auto"/>
        </w:rPr>
      </w:pPr>
      <w:r>
        <w:rPr>
          <w:rFonts w:ascii="Courier New" w:cs="Courier New" w:eastAsia="Courier New" w:hAnsi="Courier New"/>
          <w:sz w:val="16"/>
          <w:szCs w:val="16"/>
          <w:color w:val="auto"/>
        </w:rPr>
        <w:t>Mr. Burke, age 67, has been retired since February 1996; prior to his retirement he had been President and Chief Executive Officer of Capital Cities/ABC, Inc., a leading media company. He is a director of Avon Products, Inc., Consolidated Rail Corporation, Darden Restaurants, Morgan Stanley &amp; Co., Inc. and Rohm &amp; Haas Company. Mr. Burke is also a director of United Way of New York City and International Executive Service Corp., a trustee of New York Blood Center and Vice Chairman of the Board of Presbyterian Hospital in the City of New York. Mr. Burke is the brother of James E. Burke, a Director of the Company.</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49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James E. Burke</w:t>
      </w:r>
    </w:p>
    <w:p>
      <w:pPr>
        <w:spacing w:after="0" w:line="383" w:lineRule="exact"/>
        <w:rPr>
          <w:sz w:val="20"/>
          <w:szCs w:val="20"/>
          <w:color w:val="auto"/>
        </w:rPr>
      </w:pPr>
    </w:p>
    <w:p>
      <w:pPr>
        <w:jc w:val="both"/>
        <w:ind w:left="280" w:right="2399"/>
        <w:spacing w:after="0" w:line="249" w:lineRule="auto"/>
        <w:rPr>
          <w:sz w:val="20"/>
          <w:szCs w:val="20"/>
          <w:color w:val="auto"/>
        </w:rPr>
      </w:pPr>
      <w:r>
        <w:rPr>
          <w:rFonts w:ascii="Courier New" w:cs="Courier New" w:eastAsia="Courier New" w:hAnsi="Courier New"/>
          <w:sz w:val="16"/>
          <w:szCs w:val="16"/>
          <w:color w:val="auto"/>
        </w:rPr>
        <w:t>Mr. Burke, age 71, is Chairman of the Partnership for a Drug-Free America. Prior to his retirement in April 1989 he had been Chairman of the Board and Chief Executive Officer of Johnson &amp; Johnson, a leading manufacturer of health care and other products. He joined the Board of Directors of the Company in November 1989 and is a member of the Finance and Compensation Committees of the Board. Mr. Burke is a trustee of the Robert Wood Johnson Foundation, a director of the Center on Addiction and Substance Abuse, and Chairman of the Business Enterprise Trust. He also serves on the boards of a number of other foundations, councils and charitable organizations. Mr. Burke is the brother of Daniel B. Burke, a nominee for election by Class B Stockholders.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Ralph E. Gomory</w:t>
      </w:r>
    </w:p>
    <w:p>
      <w:pPr>
        <w:spacing w:after="0" w:line="195" w:lineRule="exact"/>
        <w:rPr>
          <w:sz w:val="20"/>
          <w:szCs w:val="20"/>
          <w:color w:val="auto"/>
        </w:rPr>
      </w:pPr>
    </w:p>
    <w:p>
      <w:pPr>
        <w:jc w:val="both"/>
        <w:ind w:left="280" w:right="2399"/>
        <w:spacing w:after="0" w:line="248" w:lineRule="auto"/>
        <w:rPr>
          <w:sz w:val="20"/>
          <w:szCs w:val="20"/>
          <w:color w:val="auto"/>
        </w:rPr>
      </w:pPr>
      <w:r>
        <w:rPr>
          <w:rFonts w:ascii="Courier New" w:cs="Courier New" w:eastAsia="Courier New" w:hAnsi="Courier New"/>
          <w:sz w:val="16"/>
          <w:szCs w:val="16"/>
          <w:color w:val="auto"/>
        </w:rPr>
        <w:t>Mr. Gomory, age 66,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w:t>
      </w:r>
    </w:p>
    <w:p>
      <w:pPr>
        <w:spacing w:after="0" w:line="3" w:lineRule="exact"/>
        <w:rPr>
          <w:sz w:val="20"/>
          <w:szCs w:val="20"/>
          <w:color w:val="auto"/>
        </w:rPr>
      </w:pPr>
    </w:p>
    <w:p>
      <w:pPr>
        <w:jc w:val="both"/>
        <w:ind w:left="280" w:right="2399" w:firstLine="7"/>
        <w:spacing w:after="0" w:line="249" w:lineRule="auto"/>
        <w:tabs>
          <w:tab w:leader="none" w:pos="57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of the Company in July 1989 and is a member of the Audit Committee of the Board. In addition he is a director of Ashland Oil, Inc., Lexmark International, Inc., Polaroid Corporation and The Bank of New York. Mr. Gomory is also a member of the National Academy of Sciences and the National Academy of Engineering.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R. Keough</w:t>
      </w:r>
    </w:p>
    <w:p>
      <w:pPr>
        <w:spacing w:after="0" w:line="195" w:lineRule="exact"/>
        <w:rPr>
          <w:sz w:val="20"/>
          <w:szCs w:val="20"/>
          <w:color w:val="auto"/>
        </w:rPr>
      </w:pPr>
    </w:p>
    <w:p>
      <w:pPr>
        <w:jc w:val="both"/>
        <w:ind w:left="280" w:right="2399"/>
        <w:spacing w:after="0" w:line="249" w:lineRule="auto"/>
        <w:rPr>
          <w:sz w:val="20"/>
          <w:szCs w:val="20"/>
          <w:color w:val="auto"/>
        </w:rPr>
      </w:pPr>
      <w:r>
        <w:rPr>
          <w:rFonts w:ascii="Courier New" w:cs="Courier New" w:eastAsia="Courier New" w:hAnsi="Courier New"/>
          <w:sz w:val="16"/>
          <w:szCs w:val="16"/>
          <w:color w:val="auto"/>
        </w:rPr>
        <w:t>Mr. Keough, age 69, has been Chairman of Allen &amp; Company Incorporated since April 1993 following his retirement as President, Chief Operating Officer and a director of The Coca-Cola Company, a major international beverage company. He has been a Director of the Company since 1989 and is a member of the Audit Committee of the Board. He is also a director of National Services Industries, Inc., The Home Depot, Inc., McDonald's Corporation and H.J. Heinz Company. Mr. Keough is also a trustee of the University of Notre Dame, Morehouse School of Medicine and St. Joseph's Hospital Foundation, a director of Special Olympics and serves on the boards of a number of other educational institutions and charitable organizations.</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Barbara Scott Preiskel</w:t>
      </w:r>
    </w:p>
    <w:p>
      <w:pPr>
        <w:spacing w:after="0" w:line="195" w:lineRule="exact"/>
        <w:rPr>
          <w:sz w:val="20"/>
          <w:szCs w:val="20"/>
          <w:color w:val="auto"/>
        </w:rPr>
      </w:pPr>
    </w:p>
    <w:p>
      <w:pPr>
        <w:jc w:val="both"/>
        <w:ind w:left="280" w:right="2399"/>
        <w:spacing w:after="0" w:line="249" w:lineRule="auto"/>
        <w:rPr>
          <w:sz w:val="20"/>
          <w:szCs w:val="20"/>
          <w:color w:val="auto"/>
        </w:rPr>
      </w:pPr>
      <w:r>
        <w:rPr>
          <w:rFonts w:ascii="Courier New" w:cs="Courier New" w:eastAsia="Courier New" w:hAnsi="Courier New"/>
          <w:sz w:val="16"/>
          <w:szCs w:val="16"/>
          <w:color w:val="auto"/>
        </w:rPr>
        <w:t>Mrs. Preiskel, age 71, has been an attorney in private practice since March 1983, when she retired as Senior Vice President and General Counsel of the Motion Picture Association of America, Inc., a position she had held since December 1977. She was elected a Director of the Company in September 1985 and is Chairman of the Audit Committee of the Board of Directors. Mrs. Preiskel is also a director of American Stores Company, General Electric Company, Massachusetts Mutual Life Insurance Co. and Textron Inc., serves as a trustee of Tougaloo College and Wellesley College, and is a director of the American Museum of the Moving Image.</w:t>
      </w:r>
    </w:p>
    <w:p>
      <w:pPr>
        <w:spacing w:after="0" w:line="18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19"/>
          </w:cols>
          <w:pgMar w:left="540" w:top="492" w:right="1440" w:bottom="1440" w:gutter="0" w:footer="0" w:header="0"/>
        </w:sectPr>
      </w:pPr>
    </w:p>
    <w:bookmarkStart w:id="8" w:name="page9"/>
    <w:bookmarkEnd w:id="8"/>
    <w:p>
      <w:pPr>
        <w:jc w:val="both"/>
        <w:ind w:right="2399" w:firstLine="293"/>
        <w:spacing w:after="0" w:line="250" w:lineRule="auto"/>
        <w:rPr>
          <w:sz w:val="20"/>
          <w:szCs w:val="20"/>
          <w:color w:val="auto"/>
        </w:rPr>
      </w:pPr>
      <w:r>
        <w:rPr>
          <w:rFonts w:ascii="Courier New" w:cs="Courier New" w:eastAsia="Courier New" w:hAnsi="Courier New"/>
          <w:sz w:val="16"/>
          <w:szCs w:val="16"/>
          <w:color w:val="auto"/>
        </w:rPr>
        <w:t>The standing committees of the Board include an Audit Committee, a Compensation Committee, an Executive Committee and a Finance Committee. The Board does not have a nominating committee.</w:t>
      </w:r>
    </w:p>
    <w:p>
      <w:pPr>
        <w:spacing w:after="0" w:line="18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The Audit Committee met twice in 1995.</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Compensation Committee considers and approves the Company's incentive compensation and bonus programs, and specifically approves all salaries of $150,000 or more per year, all incentive compensation awards and all other bonuses (other than sales bonuses) of $5,000 or more, and also awards stock options. During 1995 the Committee held three meetings.</w:t>
      </w:r>
    </w:p>
    <w:p>
      <w:pPr>
        <w:spacing w:after="0" w:line="187" w:lineRule="exact"/>
        <w:rPr>
          <w:sz w:val="20"/>
          <w:szCs w:val="20"/>
          <w:color w:val="auto"/>
        </w:rPr>
      </w:pPr>
    </w:p>
    <w:p>
      <w:pPr>
        <w:jc w:val="both"/>
        <w:ind w:right="2399" w:firstLine="293"/>
        <w:spacing w:after="0" w:line="250" w:lineRule="auto"/>
        <w:rPr>
          <w:sz w:val="20"/>
          <w:szCs w:val="20"/>
          <w:color w:val="auto"/>
        </w:rPr>
      </w:pPr>
      <w:r>
        <w:rPr>
          <w:rFonts w:ascii="Courier New" w:cs="Courier New" w:eastAsia="Courier New" w:hAnsi="Courier New"/>
          <w:sz w:val="16"/>
          <w:szCs w:val="16"/>
          <w:color w:val="auto"/>
        </w:rPr>
        <w:t>The Executive Committee has and may exercise all of the powers of the Board delegable by law in the management of the business and affairs of the Company. During 1995 the Executive Committee met five times.</w:t>
      </w:r>
    </w:p>
    <w:p>
      <w:pPr>
        <w:spacing w:after="0" w:line="18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Finance Committee considers and makes recommendations to the Board relating to dividend policy, major acquisitions and dispositions of businesses, incurrence of indebtedness, selection of managers of defined benefit plan assets, stock repurchase programs and certain other financial matters. The Finance Committee met once in 1995.</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During 1995 the Board held six regular bi-monthly meetings. Each of the persons nominated by the Board for election as a Director and who served as a Director in 1995 attended at least 75% of the aggregate of the total number of meetings held during 1995 of the Board and of the committees on which he or she served.</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only Directors of the Company who are compensated for serving in that capacity are those who are not employees of the Company or its subsidiaries. Each such person receives an annual fee of $35,000 for service as a Director and an additional $5,000 for service as chairman of a committee of the Board. The Company reimburses all such Directors for their expenses incurred in attending Board and committee meetings.</w:t>
      </w:r>
    </w:p>
    <w:p>
      <w:pPr>
        <w:spacing w:after="0" w:line="187" w:lineRule="exact"/>
        <w:rPr>
          <w:sz w:val="20"/>
          <w:szCs w:val="20"/>
          <w:color w:val="auto"/>
        </w:rPr>
      </w:pPr>
    </w:p>
    <w:p>
      <w:pPr>
        <w:jc w:val="both"/>
        <w:ind w:right="2399" w:firstLine="293"/>
        <w:spacing w:after="0" w:line="250" w:lineRule="auto"/>
        <w:rPr>
          <w:sz w:val="20"/>
          <w:szCs w:val="20"/>
          <w:color w:val="auto"/>
        </w:rPr>
      </w:pPr>
      <w:r>
        <w:rPr>
          <w:rFonts w:ascii="Courier New" w:cs="Courier New" w:eastAsia="Courier New" w:hAnsi="Courier New"/>
          <w:sz w:val="16"/>
          <w:szCs w:val="16"/>
          <w:color w:val="auto"/>
        </w:rPr>
        <w:t>In July 1994, the Company extended its agreement with Mr. Richard D. Simmons, a Director of the Company through March 31, 1996, under which Mr. Simmons provides consulting and other services to the Company (see page 26).</w:t>
      </w:r>
    </w:p>
    <w:p>
      <w:pPr>
        <w:spacing w:after="0" w:line="185"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49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Stockholder Proposals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1997 must be received by the Secretary of the Company at its offices in Washington, D.C., no later than November 29, 1996.</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Holdings of Certain Beneficial Owners and Management</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information in the following two tables relates to each person who on February 1, 1996,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49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5760" w:type="dxa"/>
            <w:vAlign w:val="bottom"/>
            <w:gridSpan w:val="2"/>
          </w:tcPr>
          <w:p>
            <w:pPr>
              <w:jc w:val="right"/>
              <w:ind w:right="599"/>
              <w:spacing w:after="0"/>
              <w:rPr>
                <w:sz w:val="20"/>
                <w:szCs w:val="20"/>
                <w:color w:val="auto"/>
              </w:rPr>
            </w:pPr>
            <w:r>
              <w:rPr>
                <w:rFonts w:ascii="Courier New" w:cs="Courier New" w:eastAsia="Courier New" w:hAnsi="Courier New"/>
                <w:sz w:val="16"/>
                <w:szCs w:val="16"/>
                <w:color w:val="auto"/>
              </w:rPr>
              <w:t>Principal Holders of Stock</w:t>
            </w:r>
          </w:p>
        </w:tc>
        <w:tc>
          <w:tcPr>
            <w:tcW w:w="1580" w:type="dxa"/>
            <w:vAlign w:val="bottom"/>
          </w:tcPr>
          <w:p>
            <w:pPr>
              <w:spacing w:after="0"/>
              <w:rPr>
                <w:sz w:val="15"/>
                <w:szCs w:val="15"/>
                <w:color w:val="auto"/>
              </w:rPr>
            </w:pPr>
          </w:p>
        </w:tc>
      </w:tr>
      <w:tr>
        <w:trPr>
          <w:trHeight w:val="564"/>
        </w:trPr>
        <w:tc>
          <w:tcPr>
            <w:tcW w:w="4000" w:type="dxa"/>
            <w:vAlign w:val="bottom"/>
          </w:tcPr>
          <w:p>
            <w:pPr>
              <w:spacing w:after="0"/>
              <w:rPr>
                <w:sz w:val="24"/>
                <w:szCs w:val="24"/>
                <w:color w:val="auto"/>
              </w:rPr>
            </w:pPr>
          </w:p>
        </w:tc>
        <w:tc>
          <w:tcPr>
            <w:tcW w:w="3340" w:type="dxa"/>
            <w:vAlign w:val="bottom"/>
            <w:gridSpan w:val="2"/>
          </w:tcPr>
          <w:p>
            <w:pPr>
              <w:jc w:val="right"/>
              <w:ind w:right="1099"/>
              <w:spacing w:after="0"/>
              <w:rPr>
                <w:sz w:val="20"/>
                <w:szCs w:val="20"/>
                <w:color w:val="auto"/>
              </w:rPr>
            </w:pPr>
            <w:r>
              <w:rPr>
                <w:rFonts w:ascii="Courier New" w:cs="Courier New" w:eastAsia="Courier New" w:hAnsi="Courier New"/>
                <w:sz w:val="16"/>
                <w:szCs w:val="16"/>
                <w:color w:val="auto"/>
              </w:rPr>
              <w:t>Shares(%)</w:t>
            </w:r>
          </w:p>
        </w:tc>
      </w:tr>
      <w:tr>
        <w:trPr>
          <w:trHeight w:val="188"/>
        </w:trPr>
        <w:tc>
          <w:tcPr>
            <w:tcW w:w="400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Name and Address of</w:t>
            </w:r>
          </w:p>
        </w:tc>
        <w:tc>
          <w:tcPr>
            <w:tcW w:w="3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000" w:type="dxa"/>
            <w:vAlign w:val="bottom"/>
          </w:tcPr>
          <w:p>
            <w:pPr>
              <w:ind w:left="1180"/>
              <w:spacing w:after="0"/>
              <w:rPr>
                <w:sz w:val="20"/>
                <w:szCs w:val="20"/>
                <w:color w:val="auto"/>
              </w:rPr>
            </w:pPr>
            <w:r>
              <w:rPr>
                <w:rFonts w:ascii="Courier New" w:cs="Courier New" w:eastAsia="Courier New" w:hAnsi="Courier New"/>
                <w:sz w:val="16"/>
                <w:szCs w:val="16"/>
                <w:color w:val="auto"/>
              </w:rPr>
              <w:t>Beneficial Owner</w:t>
            </w:r>
          </w:p>
        </w:tc>
        <w:tc>
          <w:tcPr>
            <w:tcW w:w="17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Class A Stock</w:t>
            </w:r>
          </w:p>
        </w:tc>
        <w:tc>
          <w:tcPr>
            <w:tcW w:w="15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Class B Stock*</w:t>
            </w:r>
          </w:p>
        </w:tc>
      </w:tr>
      <w:tr>
        <w:trPr>
          <w:trHeight w:val="188"/>
        </w:trPr>
        <w:tc>
          <w:tcPr>
            <w:tcW w:w="4000" w:type="dxa"/>
            <w:vAlign w:val="bottom"/>
          </w:tcPr>
          <w:p>
            <w:pPr>
              <w:jc w:val="right"/>
              <w:ind w:right="1079"/>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Katharine Graham(a)(i)</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2920 R Street, N.W.</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Washington, D.C. ......................</w:t>
            </w: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536,257(29.7%)</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884,724(8.0%)</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Donald E. Graham(b)(i)</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3110 Newark Street, N.W.</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Washington, D.C. ......................</w:t>
            </w: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941,469(52.2%)</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3,490,572(31.7%)</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William W. Graham(c)(i)</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Suite 401</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11661 San Vincente Blvd.</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Los Angeles, California ...............</w:t>
            </w: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292,627(16.2%)</w:t>
            </w:r>
          </w:p>
        </w:tc>
        <w:tc>
          <w:tcPr>
            <w:tcW w:w="1580" w:type="dxa"/>
            <w:vAlign w:val="bottom"/>
          </w:tcPr>
          <w:p>
            <w:pPr>
              <w:jc w:val="right"/>
              <w:ind w:right="719"/>
              <w:spacing w:after="0"/>
              <w:rPr>
                <w:sz w:val="20"/>
                <w:szCs w:val="20"/>
                <w:color w:val="auto"/>
              </w:rPr>
            </w:pPr>
            <w:r>
              <w:rPr>
                <w:rFonts w:ascii="Courier New" w:cs="Courier New" w:eastAsia="Courier New" w:hAnsi="Courier New"/>
                <w:sz w:val="16"/>
                <w:szCs w:val="16"/>
                <w:color w:val="auto"/>
              </w:rPr>
              <w:t>**</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Stephen M. Graham(d)(i)</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18 E. 78th Street</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New York, N.Y. ........................</w:t>
            </w: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309,889(17.2%)</w:t>
            </w:r>
          </w:p>
        </w:tc>
        <w:tc>
          <w:tcPr>
            <w:tcW w:w="1580" w:type="dxa"/>
            <w:vAlign w:val="bottom"/>
          </w:tcPr>
          <w:p>
            <w:pPr>
              <w:jc w:val="right"/>
              <w:ind w:right="719"/>
              <w:spacing w:after="0"/>
              <w:rPr>
                <w:sz w:val="20"/>
                <w:szCs w:val="20"/>
                <w:color w:val="auto"/>
              </w:rPr>
            </w:pPr>
            <w:r>
              <w:rPr>
                <w:rFonts w:ascii="Courier New" w:cs="Courier New" w:eastAsia="Courier New" w:hAnsi="Courier New"/>
                <w:sz w:val="16"/>
                <w:szCs w:val="16"/>
                <w:color w:val="auto"/>
              </w:rPr>
              <w:t>**</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Elizabeth G. Weymouth(e)(i)</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21 East 79 Street</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New York, N.Y. ........................</w:t>
            </w: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404,874(22.4%)</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580,834(5.3%)</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George J. Gillespie, III(f)(i)</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Sterling Road</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Harrison, N.Y. ........................</w:t>
            </w:r>
          </w:p>
        </w:tc>
        <w:tc>
          <w:tcPr>
            <w:tcW w:w="176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455,523(25.2%)</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1,313,944(11.9%)</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Berkshire Hathaway Inc.(g)</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1440 Kiewit Plaza</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Omaha, Nebraska .......................</w:t>
            </w: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1,727,765(15.7%)</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Morgan Guaranty Trust Company</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100"/>
              <w:spacing w:after="0"/>
              <w:rPr>
                <w:sz w:val="20"/>
                <w:szCs w:val="20"/>
                <w:color w:val="auto"/>
              </w:rPr>
            </w:pPr>
            <w:r>
              <w:rPr>
                <w:rFonts w:ascii="Courier New" w:cs="Courier New" w:eastAsia="Courier New" w:hAnsi="Courier New"/>
                <w:sz w:val="16"/>
                <w:szCs w:val="16"/>
                <w:color w:val="auto"/>
              </w:rPr>
              <w:t>of New York(h)</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9 West 57th Street</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New York, N.Y. ........................</w:t>
            </w: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534,101(4.9%)</w:t>
            </w:r>
          </w:p>
        </w:tc>
      </w:tr>
      <w:tr>
        <w:trPr>
          <w:trHeight w:val="376"/>
        </w:trPr>
        <w:tc>
          <w:tcPr>
            <w:tcW w:w="4000" w:type="dxa"/>
            <w:vAlign w:val="bottom"/>
          </w:tcPr>
          <w:p>
            <w:pPr>
              <w:spacing w:after="0"/>
              <w:rPr>
                <w:sz w:val="20"/>
                <w:szCs w:val="20"/>
                <w:color w:val="auto"/>
              </w:rPr>
            </w:pPr>
            <w:r>
              <w:rPr>
                <w:rFonts w:ascii="Courier New" w:cs="Courier New" w:eastAsia="Courier New" w:hAnsi="Courier New"/>
                <w:sz w:val="16"/>
                <w:szCs w:val="16"/>
                <w:color w:val="auto"/>
              </w:rPr>
              <w:t>Southeastern Asset Management, Inc. (j)</w:t>
            </w: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6075 Poplar Avenue, Suite 900</w:t>
            </w:r>
          </w:p>
        </w:tc>
        <w:tc>
          <w:tcPr>
            <w:tcW w:w="17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8"/>
        </w:trPr>
        <w:tc>
          <w:tcPr>
            <w:tcW w:w="4000" w:type="dxa"/>
            <w:vAlign w:val="bottom"/>
          </w:tcPr>
          <w:p>
            <w:pPr>
              <w:ind w:left="200"/>
              <w:spacing w:after="0"/>
              <w:rPr>
                <w:sz w:val="20"/>
                <w:szCs w:val="20"/>
                <w:color w:val="auto"/>
              </w:rPr>
            </w:pPr>
            <w:r>
              <w:rPr>
                <w:rFonts w:ascii="Courier New" w:cs="Courier New" w:eastAsia="Courier New" w:hAnsi="Courier New"/>
                <w:sz w:val="16"/>
                <w:szCs w:val="16"/>
                <w:color w:val="auto"/>
              </w:rPr>
              <w:t>Memphis, Tennessee 38119...............</w:t>
            </w:r>
          </w:p>
        </w:tc>
        <w:tc>
          <w:tcPr>
            <w:tcW w:w="176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6"/>
                <w:szCs w:val="16"/>
                <w:color w:val="auto"/>
              </w:rPr>
              <w:t>594,951(5.4%)</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7" w:lineRule="exact"/>
        <w:rPr>
          <w:sz w:val="20"/>
          <w:szCs w:val="20"/>
          <w:color w:val="auto"/>
        </w:rPr>
      </w:pPr>
    </w:p>
    <w:p>
      <w:pPr>
        <w:jc w:val="both"/>
        <w:ind w:left="300" w:right="2399" w:hanging="300"/>
        <w:spacing w:after="0" w:line="250" w:lineRule="auto"/>
        <w:tabs>
          <w:tab w:leader="none" w:pos="3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calculations set forth in this table relating to percentage ownership of Class B Stock include 1,804,250 shares of Class B Stock issuable upon conversion of shares of Class A Stock beneficially owned.</w:t>
      </w:r>
    </w:p>
    <w:p>
      <w:pPr>
        <w:spacing w:after="0" w:line="185" w:lineRule="exact"/>
        <w:rPr>
          <w:sz w:val="20"/>
          <w:szCs w:val="20"/>
          <w:color w:val="auto"/>
        </w:rPr>
      </w:pPr>
    </w:p>
    <w:p>
      <w:pPr>
        <w:spacing w:after="0"/>
        <w:tabs>
          <w:tab w:leader="none" w:pos="3980" w:val="left"/>
        </w:tabs>
        <w:rPr>
          <w:sz w:val="20"/>
          <w:szCs w:val="20"/>
          <w:color w:val="auto"/>
        </w:rPr>
      </w:pPr>
      <w:r>
        <w:rPr>
          <w:rFonts w:ascii="Courier New" w:cs="Courier New" w:eastAsia="Courier New" w:hAnsi="Courier New"/>
          <w:sz w:val="16"/>
          <w:szCs w:val="16"/>
          <w:color w:val="auto"/>
        </w:rPr>
        <w:t>** Less than five percent.</w:t>
      </w:r>
      <w:r>
        <w:rPr>
          <w:sz w:val="20"/>
          <w:szCs w:val="20"/>
          <w:color w:val="auto"/>
        </w:rPr>
        <w:tab/>
      </w:r>
      <w:r>
        <w:rPr>
          <w:rFonts w:ascii="Courier New" w:cs="Courier New" w:eastAsia="Courier New" w:hAnsi="Courier New"/>
          <w:sz w:val="16"/>
          <w:szCs w:val="16"/>
          <w:color w:val="auto"/>
        </w:rPr>
        <w:t>(Footnotes continued on following page)</w:t>
      </w:r>
    </w:p>
    <w:p>
      <w:pPr>
        <w:spacing w:after="0" w:line="200" w:lineRule="exact"/>
        <w:rPr>
          <w:sz w:val="20"/>
          <w:szCs w:val="20"/>
          <w:color w:val="auto"/>
        </w:rPr>
      </w:pPr>
    </w:p>
    <w:p>
      <w:pPr>
        <w:spacing w:after="0" w:line="37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49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195" w:lineRule="exact"/>
        <w:rPr>
          <w:sz w:val="20"/>
          <w:szCs w:val="20"/>
          <w:color w:val="auto"/>
        </w:rPr>
      </w:pPr>
    </w:p>
    <w:p>
      <w:pPr>
        <w:jc w:val="both"/>
        <w:ind w:left="400" w:right="2399" w:hanging="400"/>
        <w:spacing w:after="0" w:line="249"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Mrs. Graham has voting and investment power with respect to shares of Class A Stock as follows: sole voting power, 536,257 (29.7%) shares, and sole investment power, 536,257 (29.7%) shares. Mrs. Graham also has voting and investment power with respect to shares of Class B Stock as follows: shared voting power, 209,370 (1.9%) shares, and shared investment power, 209,370 (1.9%) shares. In addition Mrs. Graham, as the beneficiary of a revocable trust, is deemed the beneficial owner of 139,097 (1.3%) shares of Class B Stock. Mrs. Graham is also deemed the beneficial owner of 536,257 (4.9%) shares of Class B Stock issuable upon conversion of shares of Class A Stock beneficially owned by her.</w:t>
      </w:r>
    </w:p>
    <w:p>
      <w:pPr>
        <w:spacing w:after="0" w:line="186"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Mr. Donald Graham has voting and investment power with respect to shares of Class A Stock as follows: sole voting power, 262,314 (14.5%) shares, sole investment power, 262,314 (14.5%) shares, shared voting power, 679,155 (37.6%) shares, and shared investment power, 679,155 (37.6%) shares. Mr. Graham also has voting and investment power with respect to shares of Class B Stock as follows: sole voting power, 1,957,442 (17.8%) shares, sole investment power 229,677 (2.1%) shares, shared voting power 556,691 (5.1%) shares, and shared investment power, 556,691 (5.1%) shares. The holdings of Class B Stock recorded for Mr. Graham includes 35,000 shares held by Mr. Graham's wife, in which he disclaims beneficial ownership, and 941,469 (8.6%) shares issuable upon conversion of shares of Class A Stock beneficially owned by Mr. Graham.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which has a termination date (which may be extended) of February 24, 1997.</w:t>
      </w:r>
    </w:p>
    <w:p>
      <w:pPr>
        <w:spacing w:after="0" w:line="374"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Mr. William Graham has voting and investment power with respect to shares of Class A Stock as follows: sole voting power, 82,514 (4.6%) shares, sole investment power, 82,514 (4.6%), shared voting power, 85,697 (4.7%) shares, and shared investment power, 85,697 (4.7%) shares. In addition, Mr. William Graham, as the beneficiary of trusts even though he has no voting or investment power with respect thereto, is deemed to be the beneficial owner of 124,416 (6.9%) shares of Class A Stock. The holdings of Class B Stock recorded for Mr. Graham, including shares issuable upon conversion of shares of Class A Stock beneficially owned by Mr. Graham, are less than five percent.</w:t>
      </w:r>
    </w:p>
    <w:p>
      <w:pPr>
        <w:spacing w:after="0" w:line="186"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Mr. Stephen Graham has voting and investment power with respect to shares of Class A Stock as follows: sole voting power, 124,976 (6.9%) shares, sole investment power, 124,976 (6.9%) shares, shared voting power, 60,497 (3.4%) shares and shared investment power, 60,497 (3.4%) shares. In addition, Mr. Stephen Graham, as the beneficiary of trusts even though he has no voting or investment power with respect thereto, is deemed to be the beneficial owner of 124,416 (6.9%) shares of Class A Stock. The holdings of Class B Stock recorded for Mr. Graham, including shares issuable upon conversion of shares of Class A Stock beneficially owned by Mr. Graham, are less than five percent.</w:t>
      </w:r>
    </w:p>
    <w:p>
      <w:pPr>
        <w:spacing w:after="0" w:line="186"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Mrs. Weymouth has voting and investment power with respect to shares of Class A Stock as follows: sole voting power, 93,834 (5.2%) shares, sole investment power, 93,834 (5.2%) shares, shared voting power, 248,832 (13.8%) shares, and shared investment power, 248,832 (13.8%) shares. In addition Mrs. Weymouth, as the beneficiary of a trust even though she has no voting or investment power with respect thereto, is deemed the beneficial owner of 62,208 (3.4%) shares of Class A Stock. Mrs. Weymouth also has voting and investment power with respect to shares of Class B Stock as follows: sole voting power, 20,000 ( ( shared investment power, 135,168 (1.2%) shares. In addition, Mrs. Weymouth, as the beneficiary of a trust even though she has no voting or investment power with respect thereto, is deemed the beneficial owner of 20,792 ( B Stock. Mrs. Weymouth is also deemed the beneficial owner of 404,874 (3.7%) of Class B Stock issuable upon conversion of shares of Class A Stock beneficially owned by her.</w:t>
      </w:r>
    </w:p>
    <w:p>
      <w:pPr>
        <w:spacing w:after="0" w:line="187"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(Footnotes continued on following page)</w:t>
      </w:r>
    </w:p>
    <w:p>
      <w:pPr>
        <w:spacing w:after="0" w:line="19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92"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195" w:lineRule="exact"/>
        <w:rPr>
          <w:sz w:val="20"/>
          <w:szCs w:val="20"/>
          <w:color w:val="auto"/>
        </w:rPr>
      </w:pPr>
    </w:p>
    <w:p>
      <w:pPr>
        <w:jc w:val="both"/>
        <w:ind w:left="400" w:right="2399" w:hanging="400"/>
        <w:spacing w:after="0" w:line="249"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Mr. Gillespie, as trustee of various trusts, has voting and investment power with respect to shares of Class A Stock as follows: shared voting power, 455,523 (25.2%) shares, and shared investment power, 455,523 (25.2%) shares. In addition, Mr. Gillespie has voting and investment power with respect to shares of Class B Stock as follows: sole voting power, 619,598 (5.6%) shares, sole investment power, 149,097 (1.4%) shares, shared voting power, 234,823 (2.1%) shares, and shared investment power, 709,324 (6.5%) shares. The holdings of Class B Stock recorded for Mr. Gillespie include 4,000 shares held in trust for the benefit of Mr. Gillespie's wife, in which shares he disclaims any beneficial interest, and 455,523 (4.1%) shares issuable upon conversion of shares of Class A Stock deemed to be beneficially owned by Mr. Gillespie, as trustee of various trusts.</w:t>
      </w:r>
    </w:p>
    <w:p>
      <w:pPr>
        <w:spacing w:after="0" w:line="186"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Berkshire Hathaway, Inc. ("Berkshire") was the beneficial owner of 1,727,765 (15.7%) shares of Class B Stock. The ownership of these shares is through several subsidiaries of Berkshire. Mr. Warren E. Buffett is Chairman of the Board of Berkshire. Mr. Buffett, his wife and a trust of which Mr. Buffett is a trustee, but in which he has no economic interest, own approximately 43.3% of the outstanding shares of Berkshire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(which has a termination date (which may be extended) of February 24, 1997), Mr. Buffett, Berkshire and such subsidiaries have granted Mr. Donald Graham a proxy to vote such shares in his discretion.</w:t>
      </w:r>
    </w:p>
    <w:p>
      <w:pPr>
        <w:spacing w:after="0" w:line="186"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Morgan Guaranty Trust Company of New York ("Morgan"), was the beneficial owner of 534,101 (4.9%) shares of Class B Stock. This number includes shares of Class B Stock as to which Morgan has or shares voting and investment power as follows: sole voting power, 21,810 (&lt;1%) shares, sole investment power, 29,310 (&lt;1%) shares, shared voting power, 28,790 (&lt;1%) shares, and shared investment power, 504,791 (4.6%) shares.</w:t>
      </w:r>
    </w:p>
    <w:p>
      <w:pPr>
        <w:spacing w:after="0" w:line="187"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Mr. Donald Graham, Mrs. Weymouth, and Mr. Gillespie share voting and investment power over 248,832 (13.8%) shares of Class A Stock; Mr. Gillespie and Mr. William Graham share voting and investment power over 25,200 (1.4%) shares of Class A Stock; Mr. Gillespie, Mr. William Graham and Mr. Donald Graham share voting and investment power over 60,497 (3.4%) shares of Class A Stock; Mr. Gillespie, Mr. Stephen Graham and Mr. Donald Graham share voting and investment power over 60,497 (3.4%) shares of Class A Stock; Mr. Donald Graham and Mr. Gillespie share voting and investment power over 60,497 (3.4%) shares of Class A Stock; Mr. Donald Graham, Mrs. Weymouth and Mr. Gillespie share voting and investment power over 135,168 (1.2%) shares of Class B Stock; Mr. Donald Graham and Mr. Gillespie share voting and investment power over 79,995 (7.3%) shares of Class B Stock; Mr. Donald Graham, Mrs. Graham and Mr. Gillespie share voting and investment power of 2,600 ( Donald Graham and Mrs. Graham share voting and investment power over 206,770 (1.9%) shares of Class B Stock held by the Philip L. Graham Trust; and Mr. Gillespie and Morgan share investment powers over 477,101 (4.3%) shares of Class B Stock.</w:t>
      </w:r>
    </w:p>
    <w:p>
      <w:pPr>
        <w:spacing w:after="0" w:line="374"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Southeast Asset Management, Inc. ("Southeast"), was the beneficial owner of 594,951 (5.4%) shares of Class B Stock. This number includes shares of Class B Stock to which Southeast has or shares voting and investment power as follows: sole voting power, 403,401 (3.7%) shares, sole investment power, 429,401 (3.9%) shares and shared voting and investment power, 158,300 (1.4%) shares.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492" w:right="1440" w:bottom="1440" w:gutter="0" w:footer="0" w:header="0"/>
        </w:sectPr>
      </w:pPr>
    </w:p>
    <w:bookmarkStart w:id="13" w:name="page14"/>
    <w:bookmarkEnd w:id="13"/>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table below, which is based upon information furnished to the Company by its Directors and officers, shows as of February 1, 1996,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18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Holdings of Directors and Officers***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5"/>
                <w:szCs w:val="15"/>
                <w:color w:val="auto"/>
              </w:rPr>
            </w:pPr>
          </w:p>
        </w:tc>
        <w:tc>
          <w:tcPr>
            <w:tcW w:w="3620" w:type="dxa"/>
            <w:vAlign w:val="bottom"/>
            <w:gridSpan w:val="2"/>
          </w:tcPr>
          <w:p>
            <w:pPr>
              <w:jc w:val="right"/>
              <w:ind w:right="1179"/>
              <w:spacing w:after="0"/>
              <w:rPr>
                <w:sz w:val="20"/>
                <w:szCs w:val="20"/>
                <w:color w:val="auto"/>
              </w:rPr>
            </w:pPr>
            <w:r>
              <w:rPr>
                <w:rFonts w:ascii="Courier New" w:cs="Courier New" w:eastAsia="Courier New" w:hAnsi="Courier New"/>
                <w:sz w:val="16"/>
                <w:szCs w:val="16"/>
                <w:color w:val="auto"/>
              </w:rPr>
              <w:t>Shares (%)</w:t>
            </w:r>
          </w:p>
        </w:tc>
      </w:tr>
      <w:tr>
        <w:trPr>
          <w:trHeight w:val="188"/>
        </w:trPr>
        <w:tc>
          <w:tcPr>
            <w:tcW w:w="4880" w:type="dxa"/>
            <w:vAlign w:val="bottom"/>
          </w:tcPr>
          <w:p>
            <w:pPr>
              <w:spacing w:after="0"/>
              <w:rPr>
                <w:sz w:val="16"/>
                <w:szCs w:val="16"/>
                <w:color w:val="auto"/>
              </w:rPr>
            </w:pPr>
          </w:p>
        </w:tc>
        <w:tc>
          <w:tcPr>
            <w:tcW w:w="3620" w:type="dxa"/>
            <w:vAlign w:val="bottom"/>
            <w:gridSpan w:val="2"/>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4880" w:type="dxa"/>
            <w:vAlign w:val="bottom"/>
          </w:tcPr>
          <w:p>
            <w:pPr>
              <w:spacing w:after="0"/>
              <w:rPr>
                <w:sz w:val="16"/>
                <w:szCs w:val="16"/>
                <w:color w:val="auto"/>
              </w:rPr>
            </w:pP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Class A</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Class B(g)</w:t>
            </w:r>
          </w:p>
        </w:tc>
      </w:tr>
      <w:tr>
        <w:trPr>
          <w:trHeight w:val="188"/>
        </w:trPr>
        <w:tc>
          <w:tcPr>
            <w:tcW w:w="4880" w:type="dxa"/>
            <w:vAlign w:val="bottom"/>
          </w:tcPr>
          <w:p>
            <w:pPr>
              <w:spacing w:after="0"/>
              <w:rPr>
                <w:sz w:val="16"/>
                <w:szCs w:val="16"/>
                <w:color w:val="auto"/>
              </w:rPr>
            </w:pP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376"/>
        </w:trPr>
        <w:tc>
          <w:tcPr>
            <w:tcW w:w="4880" w:type="dxa"/>
            <w:vAlign w:val="bottom"/>
          </w:tcPr>
          <w:p>
            <w:pPr>
              <w:spacing w:after="0"/>
              <w:rPr>
                <w:sz w:val="20"/>
                <w:szCs w:val="20"/>
                <w:color w:val="auto"/>
              </w:rPr>
            </w:pPr>
            <w:r>
              <w:rPr>
                <w:rFonts w:ascii="Courier New" w:cs="Courier New" w:eastAsia="Courier New" w:hAnsi="Courier New"/>
                <w:sz w:val="16"/>
                <w:szCs w:val="16"/>
                <w:color w:val="auto"/>
              </w:rPr>
              <w:t>Warren E. Buffett****............................</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1,727,765(15.7%)</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Daniel B. Burke..................................</w:t>
            </w:r>
          </w:p>
        </w:tc>
        <w:tc>
          <w:tcPr>
            <w:tcW w:w="1720" w:type="dxa"/>
            <w:vAlign w:val="bottom"/>
          </w:tcPr>
          <w:p>
            <w:pPr>
              <w:spacing w:after="0"/>
              <w:rPr>
                <w:sz w:val="16"/>
                <w:szCs w:val="16"/>
                <w:color w:val="auto"/>
              </w:rPr>
            </w:pP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500*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James E. Burke...................................</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Martin Cohen(a)(f)...............................</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228,075(2.1%)</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George J. Gillespie, III**.......................</w:t>
            </w:r>
          </w:p>
        </w:tc>
        <w:tc>
          <w:tcPr>
            <w:tcW w:w="36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455,523(25.2%) 1,313,944(11.9%)</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Ralph E. Gomory..................................</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1,000*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Donald E. Graham**(f)............................</w:t>
            </w:r>
          </w:p>
        </w:tc>
        <w:tc>
          <w:tcPr>
            <w:tcW w:w="362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941,469(52.2%) 3,490,572(31.5%)</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Katharine Graham**(f)............................</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536,257(29.7%)</w:t>
            </w:r>
          </w:p>
        </w:tc>
        <w:tc>
          <w:tcPr>
            <w:tcW w:w="190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884,724(8.0%)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Donald R. Keough.................................</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500*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Barbara Scott Preiskel...........................</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300*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William J. Ruane(b)..............................</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21,677*</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Richard D. Simmons(c)............................</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12,913*</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Alan G. Spoon(d).................................</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22,591*</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George W. Wilson.................................</w:t>
            </w:r>
          </w:p>
        </w:tc>
        <w:tc>
          <w:tcPr>
            <w:tcW w:w="172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200*</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 group,</w:t>
            </w:r>
          </w:p>
        </w:tc>
        <w:tc>
          <w:tcPr>
            <w:tcW w:w="17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eliminating duplications.........................</w:t>
            </w:r>
          </w:p>
        </w:tc>
        <w:tc>
          <w:tcPr>
            <w:tcW w:w="3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1,502,926(83.3%) 4,779,497(43.5%)(e)</w:t>
            </w:r>
          </w:p>
        </w:tc>
      </w:tr>
      <w:tr>
        <w:trPr>
          <w:trHeight w:val="188"/>
        </w:trPr>
        <w:tc>
          <w:tcPr>
            <w:tcW w:w="4880" w:type="dxa"/>
            <w:vAlign w:val="bottom"/>
          </w:tcPr>
          <w:p>
            <w:pPr>
              <w:spacing w:after="0"/>
              <w:rPr>
                <w:sz w:val="20"/>
                <w:szCs w:val="20"/>
                <w:color w:val="auto"/>
              </w:rPr>
            </w:pPr>
            <w:r>
              <w:rPr>
                <w:rFonts w:ascii="Courier New" w:cs="Courier New" w:eastAsia="Courier New" w:hAnsi="Courier New"/>
                <w:sz w:val="16"/>
                <w:szCs w:val="16"/>
                <w:color w:val="auto"/>
              </w:rPr>
              <w:t>______________</w:t>
            </w:r>
          </w:p>
        </w:tc>
        <w:tc>
          <w:tcPr>
            <w:tcW w:w="1720" w:type="dxa"/>
            <w:vAlign w:val="bottom"/>
          </w:tcPr>
          <w:p>
            <w:pPr>
              <w:spacing w:after="0"/>
              <w:rPr>
                <w:sz w:val="16"/>
                <w:szCs w:val="16"/>
                <w:color w:val="auto"/>
              </w:rPr>
            </w:pPr>
          </w:p>
        </w:tc>
        <w:tc>
          <w:tcPr>
            <w:tcW w:w="1900" w:type="dxa"/>
            <w:vAlign w:val="bottom"/>
          </w:tcPr>
          <w:p>
            <w:pPr>
              <w:spacing w:after="0"/>
              <w:rPr>
                <w:sz w:val="16"/>
                <w:szCs w:val="16"/>
                <w:color w:val="auto"/>
              </w:rPr>
            </w:pPr>
          </w:p>
        </w:tc>
      </w:tr>
    </w:tbl>
    <w:p>
      <w:pPr>
        <w:spacing w:after="0" w:line="380"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 Less than one percent.</w:t>
      </w:r>
    </w:p>
    <w:p>
      <w:pPr>
        <w:spacing w:after="0" w:line="195" w:lineRule="exact"/>
        <w:rPr>
          <w:sz w:val="20"/>
          <w:szCs w:val="20"/>
          <w:color w:val="auto"/>
        </w:rPr>
      </w:pPr>
    </w:p>
    <w:p>
      <w:pPr>
        <w:ind w:left="780" w:hanging="291"/>
        <w:spacing w:after="0"/>
        <w:tabs>
          <w:tab w:leader="none" w:pos="7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Table of "Principal Holders of Stock" on page 8.</w:t>
      </w:r>
    </w:p>
    <w:p>
      <w:pPr>
        <w:spacing w:after="0" w:line="194" w:lineRule="exact"/>
        <w:rPr>
          <w:rFonts w:ascii="Courier New" w:cs="Courier New" w:eastAsia="Courier New" w:hAnsi="Courier New"/>
          <w:sz w:val="16"/>
          <w:szCs w:val="16"/>
          <w:color w:val="auto"/>
        </w:rPr>
      </w:pPr>
    </w:p>
    <w:p>
      <w:pPr>
        <w:ind w:left="780" w:right="2399" w:hanging="389"/>
        <w:spacing w:after="0" w:line="252" w:lineRule="auto"/>
        <w:tabs>
          <w:tab w:leader="none" w:pos="7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indicated, the Directors and officers listed below have sole voting and investment power with respect to such securities.</w:t>
      </w:r>
    </w:p>
    <w:p>
      <w:pPr>
        <w:spacing w:after="0" w:line="183" w:lineRule="exact"/>
        <w:rPr>
          <w:rFonts w:ascii="Courier New" w:cs="Courier New" w:eastAsia="Courier New" w:hAnsi="Courier New"/>
          <w:sz w:val="16"/>
          <w:szCs w:val="16"/>
          <w:color w:val="auto"/>
        </w:rPr>
      </w:pPr>
    </w:p>
    <w:p>
      <w:pPr>
        <w:ind w:left="780" w:right="2799" w:hanging="487"/>
        <w:spacing w:after="0" w:line="252" w:lineRule="auto"/>
        <w:tabs>
          <w:tab w:leader="none" w:pos="7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voting securities which may be beneficially owned by Mr. Buffett, see footnote (g) on page 10.</w:t>
      </w:r>
    </w:p>
    <w:p>
      <w:pPr>
        <w:spacing w:after="0" w:line="1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(Footnotes continued on following page)</w:t>
      </w:r>
    </w:p>
    <w:p>
      <w:pPr>
        <w:spacing w:after="0" w:line="38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49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195" w:lineRule="exact"/>
        <w:rPr>
          <w:sz w:val="20"/>
          <w:szCs w:val="20"/>
          <w:color w:val="auto"/>
        </w:rPr>
      </w:pPr>
    </w:p>
    <w:p>
      <w:pPr>
        <w:jc w:val="both"/>
        <w:ind w:left="400" w:right="2399"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this number includes shares of Class B Stock as to which Mr. Cohen has voting and investment powers as follows: sole voting power, 21,305 ( sole investment power, 21,305 ( power, 206,770 (2.0%) shares, and shared investment power, 206,770 (2.0%) shares.</w:t>
      </w:r>
    </w:p>
    <w:p>
      <w:pPr>
        <w:spacing w:after="0" w:line="187"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information as of February 1, 1996, and available to the Company, this number includes shares of Class B Stock as to which Mr. Ruane has voting and investment power as follows: sole voting power, 20,749 ( and sole investment power, 21,649 ( addition this number includes 20 shares owned by Mr. Ruane's daughter and 8 shares owned by Mr. Ruane's son, in which shares he disclaims any beneficial interest.</w:t>
      </w:r>
    </w:p>
    <w:p>
      <w:pPr>
        <w:spacing w:after="0" w:line="187" w:lineRule="exact"/>
        <w:rPr>
          <w:rFonts w:ascii="Courier New" w:cs="Courier New" w:eastAsia="Courier New" w:hAnsi="Courier New"/>
          <w:sz w:val="16"/>
          <w:szCs w:val="16"/>
          <w:color w:val="auto"/>
        </w:rPr>
      </w:pPr>
    </w:p>
    <w:p>
      <w:pPr>
        <w:jc w:val="both"/>
        <w:ind w:left="400" w:right="2399" w:hanging="400"/>
        <w:spacing w:after="0" w:line="250"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number includes 10,000 shares of Class B Stock as to which Mr. Simmons has a right to acquire on or before April 1, 1996, by exercise of stock options.</w:t>
      </w:r>
    </w:p>
    <w:p>
      <w:pPr>
        <w:spacing w:after="0" w:line="185" w:lineRule="exact"/>
        <w:rPr>
          <w:rFonts w:ascii="Courier New" w:cs="Courier New" w:eastAsia="Courier New" w:hAnsi="Courier New"/>
          <w:sz w:val="16"/>
          <w:szCs w:val="16"/>
          <w:color w:val="auto"/>
        </w:rPr>
      </w:pPr>
    </w:p>
    <w:p>
      <w:pPr>
        <w:jc w:val="both"/>
        <w:ind w:left="400" w:right="2399" w:hanging="400"/>
        <w:spacing w:after="0" w:line="253"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number includes 18,000 shares of Class B Stock as to which Mr. Spoon has a right to acquire on or before April 1, 1996, by exercise of stock option.</w:t>
      </w:r>
    </w:p>
    <w:p>
      <w:pPr>
        <w:spacing w:after="0" w:line="369"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number includes 1,502,926 shares of Class B Stock issuable upon conversion of shares of Class A Stock "beneficially owned" by Directors and officers and 35,875 shares of Class B Stock which Directors and officers have the right to purchase on or before April 1, 1996 pursuant to stock options; it does not include 200,634 shares of Class B Stock held as of February 1, 1996 by the trustee of various savings plans maintained by the Company and its business units over which the trustee has voting and investment powers.</w:t>
      </w:r>
    </w:p>
    <w:p>
      <w:pPr>
        <w:spacing w:after="0" w:line="375" w:lineRule="exact"/>
        <w:rPr>
          <w:rFonts w:ascii="Courier New" w:cs="Courier New" w:eastAsia="Courier New" w:hAnsi="Courier New"/>
          <w:sz w:val="16"/>
          <w:szCs w:val="16"/>
          <w:color w:val="auto"/>
        </w:rPr>
      </w:pPr>
    </w:p>
    <w:p>
      <w:pPr>
        <w:jc w:val="both"/>
        <w:ind w:left="400" w:right="2399" w:hanging="400"/>
        <w:spacing w:after="0" w:line="249"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information set forth in footnote (i) in the Table of "Principal Holders of Stock", Mr. Cohen also shares with Mr. Donald Graham and Mrs. Graham voting and investment power over 206,770 (2.0%) shares of Class B Stock in connection with the Philip L. Graham Fund.</w:t>
      </w:r>
    </w:p>
    <w:p>
      <w:pPr>
        <w:spacing w:after="0" w:line="187" w:lineRule="exact"/>
        <w:rPr>
          <w:rFonts w:ascii="Courier New" w:cs="Courier New" w:eastAsia="Courier New" w:hAnsi="Courier New"/>
          <w:sz w:val="16"/>
          <w:szCs w:val="16"/>
          <w:color w:val="auto"/>
        </w:rPr>
      </w:pPr>
    </w:p>
    <w:p>
      <w:pPr>
        <w:ind w:left="400" w:right="2399" w:hanging="400"/>
        <w:spacing w:after="0" w:line="252" w:lineRule="auto"/>
        <w:tabs>
          <w:tab w:leader="none" w:pos="4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1,804,250 shares of Class B Stock issuable upon conversion of shares of Class A Stock beneficially owned.</w:t>
      </w:r>
    </w:p>
    <w:p>
      <w:pPr>
        <w:spacing w:after="0" w:line="371"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To the Company's knowledge, based solely on a review of such reports and on information furnished to the Company and written representations that no other reports were required, during the fiscal year ended January 1, 1996, all applicable Section 16(a) filing requirements were complied with.</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493" w:right="1440" w:bottom="1440" w:gutter="0" w:footer="0" w:header="0"/>
        </w:sectPr>
      </w:pPr>
    </w:p>
    <w:bookmarkStart w:id="15" w:name="page16"/>
    <w:bookmarkEnd w:id="15"/>
    <w:p>
      <w:pPr>
        <w:ind w:left="2740"/>
        <w:spacing w:after="0"/>
        <w:rPr>
          <w:sz w:val="20"/>
          <w:szCs w:val="20"/>
          <w:color w:val="auto"/>
        </w:rPr>
      </w:pPr>
      <w:r>
        <w:rPr>
          <w:rFonts w:ascii="Courier New" w:cs="Courier New" w:eastAsia="Courier New" w:hAnsi="Courier New"/>
          <w:sz w:val="16"/>
          <w:szCs w:val="16"/>
          <w:color w:val="auto"/>
        </w:rPr>
        <w:t>EXECUTIVE COMPENSATION</w:t>
      </w:r>
    </w:p>
    <w:p>
      <w:pPr>
        <w:spacing w:after="0" w:line="195" w:lineRule="exact"/>
        <w:rPr>
          <w:sz w:val="20"/>
          <w:szCs w:val="20"/>
          <w:color w:val="auto"/>
        </w:rPr>
      </w:pPr>
    </w:p>
    <w:p>
      <w:pPr>
        <w:jc w:val="both"/>
        <w:ind w:right="3700" w:firstLine="293"/>
        <w:spacing w:after="0" w:line="250" w:lineRule="auto"/>
        <w:rPr>
          <w:sz w:val="20"/>
          <w:szCs w:val="20"/>
          <w:color w:val="auto"/>
        </w:rPr>
      </w:pPr>
      <w:r>
        <w:rPr>
          <w:rFonts w:ascii="Courier New" w:cs="Courier New" w:eastAsia="Courier New" w:hAnsi="Courier New"/>
          <w:sz w:val="16"/>
          <w:szCs w:val="16"/>
          <w:color w:val="auto"/>
        </w:rPr>
        <w:t>The following table shows the compensation paid by the Company and its subsidiaries during 1995, 1994 and 1993 to each of the chief executive officer and the four most highly compensated executive officers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20" w:type="dxa"/>
            <w:vAlign w:val="bottom"/>
            <w:gridSpan w:val="5"/>
          </w:tcPr>
          <w:p>
            <w:pPr>
              <w:jc w:val="right"/>
              <w:ind w:right="1299"/>
              <w:spacing w:after="0"/>
              <w:rPr>
                <w:sz w:val="20"/>
                <w:szCs w:val="20"/>
                <w:color w:val="auto"/>
              </w:rPr>
            </w:pPr>
            <w:r>
              <w:rPr>
                <w:rFonts w:ascii="Courier New" w:cs="Courier New" w:eastAsia="Courier New" w:hAnsi="Courier New"/>
                <w:sz w:val="16"/>
                <w:szCs w:val="16"/>
                <w:color w:val="auto"/>
              </w:rPr>
              <w:t>Summary Compensation Table</w:t>
            </w: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2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Annual Compensation</w:t>
            </w:r>
          </w:p>
        </w:tc>
        <w:tc>
          <w:tcPr>
            <w:tcW w:w="740" w:type="dxa"/>
            <w:vAlign w:val="bottom"/>
          </w:tcPr>
          <w:p>
            <w:pPr>
              <w:spacing w:after="0"/>
              <w:rPr>
                <w:sz w:val="16"/>
                <w:szCs w:val="16"/>
                <w:color w:val="auto"/>
              </w:rPr>
            </w:pPr>
          </w:p>
        </w:tc>
        <w:tc>
          <w:tcPr>
            <w:tcW w:w="3760" w:type="dxa"/>
            <w:vAlign w:val="bottom"/>
            <w:gridSpan w:val="4"/>
          </w:tcPr>
          <w:p>
            <w:pPr>
              <w:jc w:val="right"/>
              <w:ind w:right="659"/>
              <w:spacing w:after="0"/>
              <w:rPr>
                <w:sz w:val="20"/>
                <w:szCs w:val="20"/>
                <w:color w:val="auto"/>
              </w:rPr>
            </w:pPr>
            <w:r>
              <w:rPr>
                <w:rFonts w:ascii="Courier New" w:cs="Courier New" w:eastAsia="Courier New" w:hAnsi="Courier New"/>
                <w:sz w:val="16"/>
                <w:szCs w:val="16"/>
                <w:color w:val="auto"/>
              </w:rPr>
              <w:t>Long Term Compensation</w:t>
            </w:r>
          </w:p>
        </w:tc>
        <w:tc>
          <w:tcPr>
            <w:tcW w:w="140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1"/>
              </w:rPr>
              <w:t>-------------------</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760" w:type="dxa"/>
            <w:vAlign w:val="bottom"/>
            <w:gridSpan w:val="4"/>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Other</w:t>
            </w:r>
          </w:p>
        </w:tc>
        <w:tc>
          <w:tcPr>
            <w:tcW w:w="2640" w:type="dxa"/>
            <w:vAlign w:val="bottom"/>
            <w:gridSpan w:val="2"/>
          </w:tcPr>
          <w:p>
            <w:pPr>
              <w:jc w:val="right"/>
              <w:ind w:right="799"/>
              <w:spacing w:after="0"/>
              <w:rPr>
                <w:sz w:val="20"/>
                <w:szCs w:val="20"/>
                <w:color w:val="auto"/>
              </w:rPr>
            </w:pPr>
            <w:r>
              <w:rPr>
                <w:rFonts w:ascii="Courier New" w:cs="Courier New" w:eastAsia="Courier New" w:hAnsi="Courier New"/>
                <w:sz w:val="16"/>
                <w:szCs w:val="16"/>
                <w:color w:val="auto"/>
              </w:rPr>
              <w:t>Awards</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Payouts</w:t>
            </w:r>
          </w:p>
        </w:tc>
        <w:tc>
          <w:tcPr>
            <w:tcW w:w="1400" w:type="dxa"/>
            <w:vAlign w:val="bottom"/>
          </w:tcPr>
          <w:p>
            <w:pPr>
              <w:spacing w:after="0"/>
              <w:rPr>
                <w:sz w:val="16"/>
                <w:szCs w:val="16"/>
                <w:color w:val="auto"/>
              </w:rPr>
            </w:pP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annual</w:t>
            </w:r>
          </w:p>
        </w:tc>
        <w:tc>
          <w:tcPr>
            <w:tcW w:w="1660" w:type="dxa"/>
            <w:vAlign w:val="bottom"/>
          </w:tcPr>
          <w:p>
            <w:pPr>
              <w:ind w:left="100"/>
              <w:spacing w:after="0"/>
              <w:rPr>
                <w:sz w:val="20"/>
                <w:szCs w:val="20"/>
                <w:color w:val="auto"/>
              </w:rPr>
            </w:pPr>
            <w:r>
              <w:rPr>
                <w:rFonts w:ascii="Courier New" w:cs="Courier New" w:eastAsia="Courier New" w:hAnsi="Courier New"/>
                <w:sz w:val="16"/>
                <w:szCs w:val="16"/>
                <w:color w:val="auto"/>
              </w:rPr>
              <w:t>Restricted</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Securities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All other</w:t>
            </w:r>
          </w:p>
        </w:tc>
      </w:tr>
      <w:tr>
        <w:trPr>
          <w:trHeight w:val="188"/>
        </w:trPr>
        <w:tc>
          <w:tcPr>
            <w:tcW w:w="1860" w:type="dxa"/>
            <w:vAlign w:val="bottom"/>
          </w:tcPr>
          <w:p>
            <w:pPr>
              <w:ind w:left="480"/>
              <w:spacing w:after="0"/>
              <w:rPr>
                <w:sz w:val="20"/>
                <w:szCs w:val="20"/>
                <w:color w:val="auto"/>
              </w:rPr>
            </w:pPr>
            <w:r>
              <w:rPr>
                <w:rFonts w:ascii="Courier New" w:cs="Courier New" w:eastAsia="Courier New" w:hAnsi="Courier New"/>
                <w:sz w:val="16"/>
                <w:szCs w:val="16"/>
                <w:color w:val="auto"/>
              </w:rPr>
              <w:t>Name and</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60" w:type="dxa"/>
            <w:vAlign w:val="bottom"/>
            <w:gridSpan w:val="3"/>
          </w:tcPr>
          <w:p>
            <w:pPr>
              <w:jc w:val="right"/>
              <w:ind w:right="319"/>
              <w:spacing w:after="0"/>
              <w:rPr>
                <w:sz w:val="20"/>
                <w:szCs w:val="20"/>
                <w:color w:val="auto"/>
              </w:rPr>
            </w:pPr>
            <w:r>
              <w:rPr>
                <w:rFonts w:ascii="Courier New" w:cs="Courier New" w:eastAsia="Courier New" w:hAnsi="Courier New"/>
                <w:sz w:val="16"/>
                <w:szCs w:val="16"/>
                <w:color w:val="auto"/>
              </w:rPr>
              <w:t>compensa-</w:t>
            </w:r>
          </w:p>
        </w:tc>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stock</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Underlying</w:t>
            </w:r>
          </w:p>
        </w:tc>
        <w:tc>
          <w:tcPr>
            <w:tcW w:w="240" w:type="dxa"/>
            <w:vAlign w:val="bottom"/>
          </w:tcPr>
          <w:p>
            <w:pPr>
              <w:spacing w:after="0"/>
              <w:rPr>
                <w:sz w:val="16"/>
                <w:szCs w:val="16"/>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rPr>
              <w:t>LTIP</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compensa-</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principal position</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Year</w:t>
            </w:r>
          </w:p>
        </w:tc>
        <w:tc>
          <w:tcPr>
            <w:tcW w:w="1160" w:type="dxa"/>
            <w:vAlign w:val="bottom"/>
            <w:gridSpan w:val="3"/>
          </w:tcPr>
          <w:p>
            <w:pPr>
              <w:spacing w:after="0"/>
              <w:rPr>
                <w:sz w:val="20"/>
                <w:szCs w:val="20"/>
                <w:color w:val="auto"/>
              </w:rPr>
            </w:pPr>
            <w:r>
              <w:rPr>
                <w:rFonts w:ascii="Courier New" w:cs="Courier New" w:eastAsia="Courier New" w:hAnsi="Courier New"/>
                <w:sz w:val="16"/>
                <w:szCs w:val="16"/>
                <w:color w:val="auto"/>
              </w:rPr>
              <w:t>Salary ($)</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Bonus($)</w:t>
            </w:r>
          </w:p>
        </w:tc>
        <w:tc>
          <w:tcPr>
            <w:tcW w:w="48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tion($)</w:t>
            </w:r>
          </w:p>
        </w:tc>
        <w:tc>
          <w:tcPr>
            <w:tcW w:w="516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award(s)($)(2)  Options(#)  payouts($)  tion($)(5)</w:t>
            </w:r>
          </w:p>
        </w:tc>
      </w:tr>
      <w:tr>
        <w:trPr>
          <w:trHeight w:val="188"/>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w w:val="95"/>
              </w:rPr>
              <w:t>- ------------------</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60" w:type="dxa"/>
            <w:vAlign w:val="bottom"/>
            <w:gridSpan w:val="3"/>
          </w:tcPr>
          <w:p>
            <w:pPr>
              <w:ind w:left="200"/>
              <w:spacing w:after="0"/>
              <w:rPr>
                <w:sz w:val="20"/>
                <w:szCs w:val="20"/>
                <w:color w:val="auto"/>
              </w:rPr>
            </w:pPr>
            <w:r>
              <w:rPr>
                <w:rFonts w:ascii="Courier New" w:cs="Courier New" w:eastAsia="Courier New" w:hAnsi="Courier New"/>
                <w:sz w:val="16"/>
                <w:szCs w:val="16"/>
                <w:color w:val="auto"/>
                <w:w w:val="97"/>
              </w:rPr>
              <w:t>----------</w:t>
            </w:r>
          </w:p>
        </w:tc>
        <w:tc>
          <w:tcPr>
            <w:tcW w:w="12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2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  ----------</w:t>
            </w:r>
          </w:p>
        </w:tc>
      </w:tr>
      <w:tr>
        <w:trPr>
          <w:trHeight w:val="564"/>
        </w:trPr>
        <w:tc>
          <w:tcPr>
            <w:tcW w:w="1860" w:type="dxa"/>
            <w:vAlign w:val="bottom"/>
          </w:tcPr>
          <w:p>
            <w:pPr>
              <w:spacing w:after="0"/>
              <w:rPr>
                <w:sz w:val="20"/>
                <w:szCs w:val="20"/>
                <w:color w:val="auto"/>
              </w:rPr>
            </w:pPr>
            <w:r>
              <w:rPr>
                <w:rFonts w:ascii="Courier New" w:cs="Courier New" w:eastAsia="Courier New" w:hAnsi="Courier New"/>
                <w:sz w:val="16"/>
                <w:szCs w:val="16"/>
                <w:color w:val="auto"/>
              </w:rPr>
              <w:t>Donald E. Graham  .</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$399,996</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$133,170</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jc w:val="right"/>
              <w:ind w:right="84"/>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450,726</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$ 7,800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Chief Executive</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399,996</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7,800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1993</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399,996</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125,966</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79,642</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11,792</w:t>
            </w: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Alan G. Spoon......</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467,499</w:t>
            </w:r>
          </w:p>
        </w:tc>
        <w:tc>
          <w:tcPr>
            <w:tcW w:w="11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$362,780</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112,143</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525,240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24,310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President and</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1860" w:type="dxa"/>
            <w:vAlign w:val="bottom"/>
          </w:tcPr>
          <w:p>
            <w:pPr>
              <w:ind w:left="200"/>
              <w:spacing w:after="0"/>
              <w:rPr>
                <w:sz w:val="20"/>
                <w:szCs w:val="20"/>
                <w:color w:val="auto"/>
              </w:rPr>
            </w:pPr>
            <w:r>
              <w:rPr>
                <w:rFonts w:ascii="Courier New" w:cs="Courier New" w:eastAsia="Courier New" w:hAnsi="Courier New"/>
                <w:sz w:val="16"/>
                <w:szCs w:val="16"/>
                <w:color w:val="auto"/>
              </w:rPr>
              <w:t>Chief</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429,996</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323,145</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22,360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Operating Officer</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1993</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380,004</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237,500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103,626</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52,503</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19,263</w:t>
            </w: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Richard M.</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Smith((1))........</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325,000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200,000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91,358</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417,450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17,875</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President</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310,000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90,000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361,950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17,050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Newsweek, Inc.</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1993</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298,808</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130,000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85,822</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47,397</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16,434</w:t>
            </w: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G. William</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Ryan((1)).........</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327,000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251,790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91,358</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5"/>
              </w:rPr>
              <w:t>2,000</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621,950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13,080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President</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309,998</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923,000</w:t>
            </w:r>
          </w:p>
        </w:tc>
        <w:tc>
          <w:tcPr>
            <w:tcW w:w="1660" w:type="dxa"/>
            <w:vAlign w:val="bottom"/>
            <w:gridSpan w:val="3"/>
          </w:tcPr>
          <w:p>
            <w:pPr>
              <w:jc w:val="right"/>
              <w:ind w:right="19"/>
              <w:spacing w:after="0"/>
              <w:rPr>
                <w:sz w:val="20"/>
                <w:szCs w:val="20"/>
                <w:color w:val="auto"/>
              </w:rPr>
            </w:pPr>
            <w:r>
              <w:rPr>
                <w:rFonts w:ascii="Courier New" w:cs="Courier New" w:eastAsia="Courier New" w:hAnsi="Courier New"/>
                <w:sz w:val="16"/>
                <w:szCs w:val="16"/>
                <w:color w:val="auto"/>
              </w:rPr>
              <w:t>(3)$135,032(4)</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1,560,000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12,501</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Post-Newsweek</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1993</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298,750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239,000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85,822</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79,642</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11,950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Stations, Inc.</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John B. Morse,</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Jr................</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263,335</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183,912</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67,673</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220,800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13,693</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Vice President and</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243,333</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164,579</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7,864</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Chief Financial</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1993</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223,333</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125,625</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63,839</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35,548</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11,578</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Officer</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Martin Cohen.......</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172,800</w:t>
            </w:r>
          </w:p>
        </w:tc>
        <w:tc>
          <w:tcPr>
            <w:tcW w:w="34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120,684</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40,604</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24"/>
                <w:szCs w:val="24"/>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244,320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8,986</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160,000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108,216</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186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1993</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160,000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160,000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38,898</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52,503</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8,714</w:t>
            </w: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Beverly R. Keil ...</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1995</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232,500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144,336</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51,479</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126,000</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12,090</w:t>
            </w:r>
          </w:p>
        </w:tc>
      </w:tr>
      <w:tr>
        <w:trPr>
          <w:trHeight w:val="188"/>
        </w:trPr>
        <w:tc>
          <w:tcPr>
            <w:tcW w:w="1860" w:type="dxa"/>
            <w:vAlign w:val="bottom"/>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1994</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207,500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124,749</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7,818</w:t>
            </w:r>
          </w:p>
        </w:tc>
      </w:tr>
      <w:tr>
        <w:trPr>
          <w:trHeight w:val="188"/>
        </w:trPr>
        <w:tc>
          <w:tcPr>
            <w:tcW w:w="186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w w:val="98"/>
              </w:rPr>
              <w:t>1993</w:t>
            </w:r>
          </w:p>
        </w:tc>
        <w:tc>
          <w:tcPr>
            <w:tcW w:w="8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177,500</w:t>
            </w:r>
          </w:p>
        </w:tc>
        <w:tc>
          <w:tcPr>
            <w:tcW w:w="340" w:type="dxa"/>
            <w:vAlign w:val="bottom"/>
          </w:tcPr>
          <w:p>
            <w:pPr>
              <w:spacing w:after="0"/>
              <w:rPr>
                <w:sz w:val="16"/>
                <w:szCs w:val="16"/>
                <w:color w:val="auto"/>
              </w:rPr>
            </w:pPr>
          </w:p>
        </w:tc>
        <w:tc>
          <w:tcPr>
            <w:tcW w:w="8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88,750</w:t>
            </w: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48,508</w:t>
            </w:r>
          </w:p>
        </w:tc>
        <w:tc>
          <w:tcPr>
            <w:tcW w:w="9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27,056</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9,009</w:t>
            </w:r>
          </w:p>
        </w:tc>
      </w:tr>
      <w:tr>
        <w:trPr>
          <w:trHeight w:val="376"/>
        </w:trPr>
        <w:tc>
          <w:tcPr>
            <w:tcW w:w="1860" w:type="dxa"/>
            <w:vAlign w:val="bottom"/>
          </w:tcPr>
          <w:p>
            <w:pPr>
              <w:spacing w:after="0"/>
              <w:rPr>
                <w:sz w:val="20"/>
                <w:szCs w:val="20"/>
                <w:color w:val="auto"/>
              </w:rPr>
            </w:pPr>
            <w:r>
              <w:rPr>
                <w:rFonts w:ascii="Courier New" w:cs="Courier New" w:eastAsia="Courier New" w:hAnsi="Courier New"/>
                <w:sz w:val="16"/>
                <w:szCs w:val="16"/>
                <w:color w:val="auto"/>
              </w:rPr>
              <w:t>____________</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64"/>
        </w:trPr>
        <w:tc>
          <w:tcPr>
            <w:tcW w:w="6360" w:type="dxa"/>
            <w:vAlign w:val="bottom"/>
            <w:gridSpan w:val="9"/>
          </w:tcPr>
          <w:p>
            <w:pPr>
              <w:ind w:left="300"/>
              <w:spacing w:after="0"/>
              <w:rPr>
                <w:sz w:val="20"/>
                <w:szCs w:val="20"/>
                <w:color w:val="auto"/>
              </w:rPr>
            </w:pPr>
            <w:r>
              <w:rPr>
                <w:rFonts w:ascii="Courier New" w:cs="Courier New" w:eastAsia="Courier New" w:hAnsi="Courier New"/>
                <w:sz w:val="16"/>
                <w:szCs w:val="16"/>
                <w:color w:val="auto"/>
              </w:rPr>
              <w:t>(1) Until May 1995, also an executive officer of the Company.</w:t>
            </w: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6"/>
        </w:trPr>
        <w:tc>
          <w:tcPr>
            <w:tcW w:w="328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(2) The numbers in this column</w:t>
            </w:r>
          </w:p>
        </w:tc>
        <w:tc>
          <w:tcPr>
            <w:tcW w:w="4740" w:type="dxa"/>
            <w:vAlign w:val="bottom"/>
            <w:gridSpan w:val="7"/>
          </w:tcPr>
          <w:p>
            <w:pPr>
              <w:jc w:val="right"/>
              <w:ind w:right="119"/>
              <w:spacing w:after="0"/>
              <w:rPr>
                <w:sz w:val="20"/>
                <w:szCs w:val="20"/>
                <w:color w:val="auto"/>
              </w:rPr>
            </w:pPr>
            <w:r>
              <w:rPr>
                <w:rFonts w:ascii="Courier New" w:cs="Courier New" w:eastAsia="Courier New" w:hAnsi="Courier New"/>
                <w:sz w:val="16"/>
                <w:szCs w:val="16"/>
                <w:color w:val="auto"/>
              </w:rPr>
              <w:t>represent the dollar value of the  restricted</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rPr>
              <w:t>stock awarded to the named</w:t>
            </w:r>
          </w:p>
        </w:tc>
        <w:tc>
          <w:tcPr>
            <w:tcW w:w="5280" w:type="dxa"/>
            <w:vAlign w:val="bottom"/>
            <w:gridSpan w:val="8"/>
          </w:tcPr>
          <w:p>
            <w:pPr>
              <w:jc w:val="right"/>
              <w:ind w:right="119"/>
              <w:spacing w:after="0"/>
              <w:rPr>
                <w:sz w:val="20"/>
                <w:szCs w:val="20"/>
                <w:color w:val="auto"/>
              </w:rPr>
            </w:pPr>
            <w:r>
              <w:rPr>
                <w:rFonts w:ascii="Courier New" w:cs="Courier New" w:eastAsia="Courier New" w:hAnsi="Courier New"/>
                <w:sz w:val="16"/>
                <w:szCs w:val="16"/>
                <w:color w:val="auto"/>
              </w:rPr>
              <w:t>executive in the relevant fiscal year. As of the end</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560" w:type="dxa"/>
            <w:vAlign w:val="bottom"/>
            <w:gridSpan w:val="4"/>
          </w:tcPr>
          <w:p>
            <w:pPr>
              <w:spacing w:after="0"/>
              <w:rPr>
                <w:sz w:val="20"/>
                <w:szCs w:val="20"/>
                <w:color w:val="auto"/>
              </w:rPr>
            </w:pPr>
            <w:r>
              <w:rPr>
                <w:rFonts w:ascii="Courier New" w:cs="Courier New" w:eastAsia="Courier New" w:hAnsi="Courier New"/>
                <w:sz w:val="16"/>
                <w:szCs w:val="16"/>
                <w:color w:val="auto"/>
              </w:rPr>
              <w:t>of fiscal 1995, the Chief Executive</w:t>
            </w:r>
          </w:p>
        </w:tc>
        <w:tc>
          <w:tcPr>
            <w:tcW w:w="162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Officer and the</w:t>
            </w:r>
          </w:p>
        </w:tc>
        <w:tc>
          <w:tcPr>
            <w:tcW w:w="1180" w:type="dxa"/>
            <w:vAlign w:val="bottom"/>
            <w:gridSpan w:val="2"/>
          </w:tcPr>
          <w:p>
            <w:pPr>
              <w:spacing w:after="0"/>
              <w:rPr>
                <w:sz w:val="20"/>
                <w:szCs w:val="20"/>
                <w:color w:val="auto"/>
              </w:rPr>
            </w:pPr>
            <w:r>
              <w:rPr>
                <w:rFonts w:ascii="Courier New" w:cs="Courier New" w:eastAsia="Courier New" w:hAnsi="Courier New"/>
                <w:sz w:val="16"/>
                <w:szCs w:val="16"/>
                <w:color w:val="auto"/>
              </w:rPr>
              <w:t>other named</w:t>
            </w:r>
          </w:p>
        </w:tc>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executives had</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5180" w:type="dxa"/>
            <w:vAlign w:val="bottom"/>
            <w:gridSpan w:val="7"/>
          </w:tcPr>
          <w:p>
            <w:pPr>
              <w:spacing w:after="0"/>
              <w:rPr>
                <w:sz w:val="20"/>
                <w:szCs w:val="20"/>
                <w:color w:val="auto"/>
              </w:rPr>
            </w:pPr>
            <w:r>
              <w:rPr>
                <w:rFonts w:ascii="Courier New" w:cs="Courier New" w:eastAsia="Courier New" w:hAnsi="Courier New"/>
                <w:sz w:val="16"/>
                <w:szCs w:val="16"/>
                <w:color w:val="auto"/>
              </w:rPr>
              <w:t>the following aggregate  restricted stock holdings:</w:t>
            </w:r>
          </w:p>
        </w:tc>
        <w:tc>
          <w:tcPr>
            <w:tcW w:w="440" w:type="dxa"/>
            <w:vAlign w:val="bottom"/>
          </w:tcPr>
          <w:p>
            <w:pPr>
              <w:spacing w:after="0"/>
              <w:rPr>
                <w:sz w:val="20"/>
                <w:szCs w:val="20"/>
                <w:color w:val="auto"/>
              </w:rPr>
            </w:pPr>
            <w:r>
              <w:rPr>
                <w:rFonts w:ascii="Courier New" w:cs="Courier New" w:eastAsia="Courier New" w:hAnsi="Courier New"/>
                <w:sz w:val="16"/>
                <w:szCs w:val="16"/>
                <w:color w:val="auto"/>
              </w:rPr>
              <w:t>Mr.</w:t>
            </w:r>
          </w:p>
        </w:tc>
        <w:tc>
          <w:tcPr>
            <w:tcW w:w="2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Graham--1,102  shares,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3280" w:type="dxa"/>
            <w:vAlign w:val="bottom"/>
            <w:gridSpan w:val="3"/>
          </w:tcPr>
          <w:p>
            <w:pPr>
              <w:spacing w:after="0"/>
              <w:rPr>
                <w:sz w:val="20"/>
                <w:szCs w:val="20"/>
                <w:color w:val="auto"/>
              </w:rPr>
            </w:pPr>
            <w:r>
              <w:rPr>
                <w:rFonts w:ascii="Courier New" w:cs="Courier New" w:eastAsia="Courier New" w:hAnsi="Courier New"/>
                <w:sz w:val="16"/>
                <w:szCs w:val="16"/>
                <w:color w:val="auto"/>
              </w:rPr>
              <w:t>$310,489; Mr. Spoon--918 shares,</w:t>
            </w:r>
          </w:p>
        </w:tc>
        <w:tc>
          <w:tcPr>
            <w:tcW w:w="4740" w:type="dxa"/>
            <w:vAlign w:val="bottom"/>
            <w:gridSpan w:val="7"/>
          </w:tcPr>
          <w:p>
            <w:pPr>
              <w:jc w:val="right"/>
              <w:ind w:right="119"/>
              <w:spacing w:after="0"/>
              <w:rPr>
                <w:sz w:val="20"/>
                <w:szCs w:val="20"/>
                <w:color w:val="auto"/>
              </w:rPr>
            </w:pPr>
            <w:r>
              <w:rPr>
                <w:rFonts w:ascii="Courier New" w:cs="Courier New" w:eastAsia="Courier New" w:hAnsi="Courier New"/>
                <w:sz w:val="16"/>
                <w:szCs w:val="16"/>
                <w:color w:val="auto"/>
              </w:rPr>
              <w:t>$258,647; Mr. Smith--754 shares, $212,440; Mr.</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Ryan--754 shares,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$212,440;</w:t>
            </w:r>
          </w:p>
        </w:tc>
        <w:tc>
          <w:tcPr>
            <w:tcW w:w="244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Mr. Morse--559  shares,</w:t>
            </w:r>
          </w:p>
        </w:tc>
        <w:tc>
          <w:tcPr>
            <w:tcW w:w="11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$157,498;</w:t>
            </w:r>
          </w:p>
        </w:tc>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Mr. Cohen--338</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1860" w:type="dxa"/>
            <w:vAlign w:val="bottom"/>
          </w:tcPr>
          <w:p>
            <w:pPr>
              <w:spacing w:after="0"/>
              <w:rPr>
                <w:sz w:val="20"/>
                <w:szCs w:val="20"/>
                <w:color w:val="auto"/>
              </w:rPr>
            </w:pPr>
            <w:r>
              <w:rPr>
                <w:rFonts w:ascii="Courier New" w:cs="Courier New" w:eastAsia="Courier New" w:hAnsi="Courier New"/>
                <w:sz w:val="16"/>
                <w:szCs w:val="16"/>
                <w:color w:val="auto"/>
              </w:rPr>
              <w:t>shares,  $95,232;</w:t>
            </w:r>
          </w:p>
        </w:tc>
        <w:tc>
          <w:tcPr>
            <w:tcW w:w="88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and Mrs.</w:t>
            </w:r>
          </w:p>
        </w:tc>
        <w:tc>
          <w:tcPr>
            <w:tcW w:w="19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Keil--425 shares,</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$119,744.</w:t>
            </w:r>
          </w:p>
        </w:tc>
        <w:tc>
          <w:tcPr>
            <w:tcW w:w="24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Dividends are paid on</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2740" w:type="dxa"/>
            <w:vAlign w:val="bottom"/>
            <w:gridSpan w:val="2"/>
          </w:tcPr>
          <w:p>
            <w:pPr>
              <w:spacing w:after="0"/>
              <w:rPr>
                <w:sz w:val="20"/>
                <w:szCs w:val="20"/>
                <w:color w:val="auto"/>
              </w:rPr>
            </w:pPr>
            <w:r>
              <w:rPr>
                <w:rFonts w:ascii="Courier New" w:cs="Courier New" w:eastAsia="Courier New" w:hAnsi="Courier New"/>
                <w:sz w:val="16"/>
                <w:szCs w:val="16"/>
                <w:color w:val="auto"/>
              </w:rPr>
              <w:t>restricted stock and are the</w:t>
            </w:r>
          </w:p>
        </w:tc>
        <w:tc>
          <w:tcPr>
            <w:tcW w:w="5280" w:type="dxa"/>
            <w:vAlign w:val="bottom"/>
            <w:gridSpan w:val="8"/>
          </w:tcPr>
          <w:p>
            <w:pPr>
              <w:ind w:left="100"/>
              <w:spacing w:after="0"/>
              <w:rPr>
                <w:sz w:val="20"/>
                <w:szCs w:val="20"/>
                <w:color w:val="auto"/>
              </w:rPr>
            </w:pPr>
            <w:r>
              <w:rPr>
                <w:rFonts w:ascii="Courier New" w:cs="Courier New" w:eastAsia="Courier New" w:hAnsi="Courier New"/>
                <w:sz w:val="16"/>
                <w:szCs w:val="16"/>
                <w:color w:val="auto"/>
              </w:rPr>
              <w:t>same as dividends on non-restricted stock.</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6"/>
        </w:trPr>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19"/>
              <w:spacing w:after="0"/>
              <w:rPr>
                <w:sz w:val="20"/>
                <w:szCs w:val="20"/>
                <w:color w:val="auto"/>
              </w:rPr>
            </w:pPr>
            <w:r>
              <w:rPr>
                <w:rFonts w:ascii="Courier New" w:cs="Courier New" w:eastAsia="Courier New" w:hAnsi="Courier New"/>
                <w:sz w:val="16"/>
                <w:szCs w:val="16"/>
                <w:color w:val="auto"/>
              </w:rPr>
              <w:t>13</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520"/>
          </w:cols>
          <w:pgMar w:left="240" w:top="493" w:right="139" w:bottom="1440" w:gutter="0" w:footer="0" w:header="0"/>
        </w:sectPr>
      </w:pPr>
    </w:p>
    <w:bookmarkStart w:id="16" w:name="page17"/>
    <w:bookmarkEnd w:id="16"/>
    <w:p>
      <w:pPr>
        <w:ind w:left="680" w:hanging="387"/>
        <w:spacing w:after="0"/>
        <w:tabs>
          <w:tab w:leader="none" w:pos="6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amount includes a special deferred compensation credit of $675,000.</w:t>
      </w:r>
    </w:p>
    <w:p>
      <w:pPr>
        <w:spacing w:after="0" w:line="194" w:lineRule="exact"/>
        <w:rPr>
          <w:rFonts w:ascii="Courier New" w:cs="Courier New" w:eastAsia="Courier New" w:hAnsi="Courier New"/>
          <w:sz w:val="16"/>
          <w:szCs w:val="16"/>
          <w:color w:val="auto"/>
        </w:rPr>
      </w:pPr>
    </w:p>
    <w:p>
      <w:pPr>
        <w:ind w:right="3220" w:firstLine="293"/>
        <w:spacing w:after="0" w:line="252" w:lineRule="auto"/>
        <w:tabs>
          <w:tab w:leader="none" w:pos="68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amount includes $112,940 in relocation allowances and tax gross ups and $22,092 in country club fees.</w:t>
      </w:r>
    </w:p>
    <w:p>
      <w:pPr>
        <w:spacing w:after="0" w:line="183" w:lineRule="exact"/>
        <w:rPr>
          <w:rFonts w:ascii="Courier New" w:cs="Courier New" w:eastAsia="Courier New" w:hAnsi="Courier New"/>
          <w:sz w:val="16"/>
          <w:szCs w:val="16"/>
          <w:color w:val="auto"/>
        </w:rPr>
      </w:pPr>
    </w:p>
    <w:p>
      <w:pPr>
        <w:jc w:val="both"/>
        <w:ind w:right="3220" w:firstLine="293"/>
        <w:spacing w:after="0" w:line="249" w:lineRule="auto"/>
        <w:tabs>
          <w:tab w:leader="none" w:pos="78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Contributions to 401(k) savings plans and the Supplemental Executive Retirement Plan ("SERP") constitute "all other compensation" for 1995 as follows: Mr. Graham--$7,800 in Company contributions to 401(k) plan; Mr. Spoon--$7,800 in Company contributions to 401(k) plan and $16,510 in Company credits to SERP account; Mr. Smith--$8,250 in Company contributions to 401(k) plan and $9,625 in Company credits to SERP account; Mr. Ryan--$6,000 in Company contributions to 401(k) plan and $7,080 in Company credits to SERP account; Mr. Morse--$7,800 in Company contributions to 401(k) plan and $5,893 in Company credits to SERP account; Mr. Cohen--$7,800 in Company contributions to 401(k) plan and $1,186 in Company credits to SERP account; Mrs. Keil--$7,800 in Company contributions to 401(k) plan and $4,290 in Company credits to SERP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Options Grants in Last Fiscal Year</w:t>
      </w:r>
    </w:p>
    <w:p>
      <w:pPr>
        <w:spacing w:after="0" w:line="383" w:lineRule="exact"/>
        <w:rPr>
          <w:sz w:val="20"/>
          <w:szCs w:val="20"/>
          <w:color w:val="auto"/>
        </w:rPr>
      </w:pPr>
    </w:p>
    <w:p>
      <w:pPr>
        <w:ind w:left="200" w:hanging="200"/>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Individual Grants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-------------------------------------------------------------------------------Potential Realizable Value at</w:t>
      </w:r>
    </w:p>
    <w:p>
      <w:pPr>
        <w:spacing w:after="0" w:line="7" w:lineRule="exact"/>
        <w:rPr>
          <w:sz w:val="20"/>
          <w:szCs w:val="20"/>
          <w:color w:val="auto"/>
        </w:rPr>
      </w:pPr>
    </w:p>
    <w:p>
      <w:pPr>
        <w:ind w:left="7720"/>
        <w:spacing w:after="0"/>
        <w:rPr>
          <w:sz w:val="20"/>
          <w:szCs w:val="20"/>
          <w:color w:val="auto"/>
        </w:rPr>
      </w:pPr>
      <w:r>
        <w:rPr>
          <w:rFonts w:ascii="Courier New" w:cs="Courier New" w:eastAsia="Courier New" w:hAnsi="Courier New"/>
          <w:sz w:val="16"/>
          <w:szCs w:val="16"/>
          <w:color w:val="auto"/>
        </w:rPr>
        <w:t>Assumed Annual Rates of Stock</w:t>
      </w:r>
    </w:p>
    <w:p>
      <w:pPr>
        <w:spacing w:after="0" w:line="7" w:lineRule="exact"/>
        <w:rPr>
          <w:sz w:val="20"/>
          <w:szCs w:val="20"/>
          <w:color w:val="auto"/>
        </w:rPr>
      </w:pPr>
    </w:p>
    <w:p>
      <w:pPr>
        <w:ind w:left="7720"/>
        <w:spacing w:after="0"/>
        <w:rPr>
          <w:sz w:val="20"/>
          <w:szCs w:val="20"/>
          <w:color w:val="auto"/>
        </w:rPr>
      </w:pPr>
      <w:r>
        <w:rPr>
          <w:rFonts w:ascii="Courier New" w:cs="Courier New" w:eastAsia="Courier New" w:hAnsi="Courier New"/>
          <w:sz w:val="16"/>
          <w:szCs w:val="16"/>
          <w:color w:val="auto"/>
        </w:rPr>
        <w:t>Price Appreciation for Option Term</w:t>
      </w:r>
    </w:p>
    <w:p>
      <w:pPr>
        <w:spacing w:after="0" w:line="7" w:lineRule="exact"/>
        <w:rPr>
          <w:sz w:val="20"/>
          <w:szCs w:val="20"/>
          <w:color w:val="auto"/>
        </w:rPr>
      </w:pPr>
    </w:p>
    <w:p>
      <w:pPr>
        <w:ind w:left="772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5"/>
                <w:szCs w:val="15"/>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Number</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Percent of</w:t>
            </w:r>
          </w:p>
        </w:tc>
        <w:tc>
          <w:tcPr>
            <w:tcW w:w="1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8"/>
        </w:trPr>
        <w:tc>
          <w:tcPr>
            <w:tcW w:w="190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Securities</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Total Options</w:t>
            </w: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1900" w:type="dxa"/>
            <w:vAlign w:val="bottom"/>
          </w:tcPr>
          <w:p>
            <w:pPr>
              <w:spacing w:after="0"/>
              <w:rPr>
                <w:sz w:val="16"/>
                <w:szCs w:val="16"/>
                <w:color w:val="auto"/>
              </w:rPr>
            </w:pPr>
          </w:p>
        </w:tc>
        <w:tc>
          <w:tcPr>
            <w:tcW w:w="142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Underlying</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Granted to</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Exercise of</w:t>
            </w: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1900" w:type="dxa"/>
            <w:vAlign w:val="bottom"/>
          </w:tcPr>
          <w:p>
            <w:pPr>
              <w:spacing w:after="0"/>
              <w:rPr>
                <w:sz w:val="16"/>
                <w:szCs w:val="16"/>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6"/>
                <w:szCs w:val="16"/>
                <w:color w:val="auto"/>
              </w:rPr>
              <w:t>Option</w:t>
            </w:r>
          </w:p>
        </w:tc>
        <w:tc>
          <w:tcPr>
            <w:tcW w:w="480" w:type="dxa"/>
            <w:vAlign w:val="bottom"/>
          </w:tcPr>
          <w:p>
            <w:pPr>
              <w:spacing w:after="0"/>
              <w:rPr>
                <w:sz w:val="16"/>
                <w:szCs w:val="16"/>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Employees</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Base Price</w:t>
            </w:r>
          </w:p>
        </w:tc>
        <w:tc>
          <w:tcPr>
            <w:tcW w:w="15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Expiration</w:t>
            </w: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940" w:type="dxa"/>
            <w:vAlign w:val="bottom"/>
          </w:tcPr>
          <w:p>
            <w:pPr>
              <w:ind w:left="160"/>
              <w:spacing w:after="0"/>
              <w:rPr>
                <w:sz w:val="20"/>
                <w:szCs w:val="20"/>
                <w:color w:val="auto"/>
              </w:rPr>
            </w:pPr>
            <w:r>
              <w:rPr>
                <w:rFonts w:ascii="Courier New" w:cs="Courier New" w:eastAsia="Courier New" w:hAnsi="Courier New"/>
                <w:sz w:val="16"/>
                <w:szCs w:val="16"/>
                <w:color w:val="auto"/>
              </w:rPr>
              <w:t>Granted</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in Fiscal Year</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($/Sh)</w:t>
            </w:r>
          </w:p>
        </w:tc>
        <w:tc>
          <w:tcPr>
            <w:tcW w:w="1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Date</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2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64"/>
        </w:trPr>
        <w:tc>
          <w:tcPr>
            <w:tcW w:w="1900" w:type="dxa"/>
            <w:vAlign w:val="bottom"/>
          </w:tcPr>
          <w:p>
            <w:pPr>
              <w:spacing w:after="0"/>
              <w:rPr>
                <w:sz w:val="20"/>
                <w:szCs w:val="20"/>
                <w:color w:val="auto"/>
              </w:rPr>
            </w:pPr>
            <w:r>
              <w:rPr>
                <w:rFonts w:ascii="Courier New" w:cs="Courier New" w:eastAsia="Courier New" w:hAnsi="Courier New"/>
                <w:sz w:val="16"/>
                <w:szCs w:val="16"/>
                <w:color w:val="auto"/>
              </w:rPr>
              <w:t>Donald E. Graham .</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24"/>
                <w:szCs w:val="24"/>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Alan G. Spoon.....</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Richard Smith* ...</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G. William Ryan* .</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2,000</w:t>
            </w:r>
          </w:p>
        </w:tc>
        <w:tc>
          <w:tcPr>
            <w:tcW w:w="480" w:type="dxa"/>
            <w:vAlign w:val="bottom"/>
          </w:tcPr>
          <w:p>
            <w:pPr>
              <w:spacing w:after="0"/>
              <w:rPr>
                <w:sz w:val="16"/>
                <w:szCs w:val="16"/>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25%</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$298.75</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12/07/05</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$375,360</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$952,261</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John B. Morse,</w:t>
            </w: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Jr................</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Martin Cohen......</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1900" w:type="dxa"/>
            <w:vAlign w:val="bottom"/>
          </w:tcPr>
          <w:p>
            <w:pPr>
              <w:spacing w:after="0"/>
              <w:rPr>
                <w:sz w:val="20"/>
                <w:szCs w:val="20"/>
                <w:color w:val="auto"/>
              </w:rPr>
            </w:pPr>
            <w:r>
              <w:rPr>
                <w:rFonts w:ascii="Courier New" w:cs="Courier New" w:eastAsia="Courier New" w:hAnsi="Courier New"/>
                <w:sz w:val="16"/>
                <w:szCs w:val="16"/>
                <w:color w:val="auto"/>
              </w:rPr>
              <w:t>Beverly R. Keil ..</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6"/>
                <w:szCs w:val="16"/>
                <w:color w:val="auto"/>
              </w:rPr>
            </w:pPr>
          </w:p>
        </w:tc>
        <w:tc>
          <w:tcPr>
            <w:tcW w:w="16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*Until May 1995, also an executive officer of the Company.</w:t>
      </w:r>
    </w:p>
    <w:p>
      <w:pPr>
        <w:spacing w:after="0" w:line="200" w:lineRule="exact"/>
        <w:rPr>
          <w:sz w:val="20"/>
          <w:szCs w:val="20"/>
          <w:color w:val="auto"/>
        </w:rPr>
      </w:pP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1040"/>
          </w:cols>
          <w:pgMar w:left="240" w:top="493" w:right="619" w:bottom="1440" w:gutter="0" w:footer="0" w:header="0"/>
        </w:sectPr>
      </w:pPr>
    </w:p>
    <w:bookmarkStart w:id="17" w:name="page18"/>
    <w:bookmarkEnd w:id="17"/>
    <w:tbl>
      <w:tblPr>
        <w:tblLayout w:type="fixed"/>
        <w:tblInd w:w="680" w:type="dxa"/>
        <w:tblCellMar>
          <w:top w:w="0" w:type="dxa"/>
          <w:left w:w="0" w:type="dxa"/>
          <w:bottom w:w="0" w:type="dxa"/>
          <w:right w:w="0" w:type="dxa"/>
        </w:tblCellMar>
      </w:tblPr>
      <w:tr>
        <w:trPr>
          <w:trHeight w:val="184"/>
        </w:trPr>
        <w:tc>
          <w:tcPr>
            <w:tcW w:w="680" w:type="dxa"/>
            <w:vAlign w:val="bottom"/>
          </w:tcPr>
          <w:p>
            <w:pPr>
              <w:spacing w:after="0"/>
              <w:rPr>
                <w:sz w:val="15"/>
                <w:szCs w:val="15"/>
                <w:color w:val="auto"/>
              </w:rPr>
            </w:pPr>
          </w:p>
        </w:tc>
        <w:tc>
          <w:tcPr>
            <w:tcW w:w="4840" w:type="dxa"/>
            <w:vAlign w:val="bottom"/>
            <w:gridSpan w:val="3"/>
          </w:tcPr>
          <w:p>
            <w:pPr>
              <w:jc w:val="center"/>
              <w:ind w:left="179"/>
              <w:spacing w:after="0"/>
              <w:rPr>
                <w:sz w:val="20"/>
                <w:szCs w:val="20"/>
                <w:color w:val="auto"/>
              </w:rPr>
            </w:pPr>
            <w:r>
              <w:rPr>
                <w:rFonts w:ascii="Courier New" w:cs="Courier New" w:eastAsia="Courier New" w:hAnsi="Courier New"/>
                <w:sz w:val="16"/>
                <w:szCs w:val="16"/>
                <w:color w:val="auto"/>
              </w:rPr>
              <w:t>Aggregated Option Exercises n Last Fiscal Year</w:t>
            </w:r>
          </w:p>
        </w:tc>
        <w:tc>
          <w:tcPr>
            <w:tcW w:w="1520" w:type="dxa"/>
            <w:vAlign w:val="bottom"/>
          </w:tcPr>
          <w:p>
            <w:pPr>
              <w:spacing w:after="0"/>
              <w:rPr>
                <w:sz w:val="15"/>
                <w:szCs w:val="15"/>
                <w:color w:val="auto"/>
              </w:rPr>
            </w:pPr>
          </w:p>
        </w:tc>
      </w:tr>
      <w:tr>
        <w:trPr>
          <w:trHeight w:val="188"/>
        </w:trPr>
        <w:tc>
          <w:tcPr>
            <w:tcW w:w="680" w:type="dxa"/>
            <w:vAlign w:val="bottom"/>
          </w:tcPr>
          <w:p>
            <w:pPr>
              <w:spacing w:after="0"/>
              <w:rPr>
                <w:sz w:val="16"/>
                <w:szCs w:val="16"/>
                <w:color w:val="auto"/>
              </w:rPr>
            </w:pPr>
          </w:p>
        </w:tc>
        <w:tc>
          <w:tcPr>
            <w:tcW w:w="4840" w:type="dxa"/>
            <w:vAlign w:val="bottom"/>
            <w:gridSpan w:val="3"/>
          </w:tcPr>
          <w:p>
            <w:pPr>
              <w:jc w:val="center"/>
              <w:ind w:left="179"/>
              <w:spacing w:after="0"/>
              <w:rPr>
                <w:sz w:val="20"/>
                <w:szCs w:val="20"/>
                <w:color w:val="auto"/>
              </w:rPr>
            </w:pPr>
            <w:r>
              <w:rPr>
                <w:rFonts w:ascii="Courier New" w:cs="Courier New" w:eastAsia="Courier New" w:hAnsi="Courier New"/>
                <w:sz w:val="16"/>
                <w:szCs w:val="16"/>
                <w:color w:val="auto"/>
              </w:rPr>
              <w:t>and FY-End Option Values</w:t>
            </w:r>
          </w:p>
        </w:tc>
        <w:tc>
          <w:tcPr>
            <w:tcW w:w="1520" w:type="dxa"/>
            <w:vAlign w:val="bottom"/>
          </w:tcPr>
          <w:p>
            <w:pPr>
              <w:spacing w:after="0"/>
              <w:rPr>
                <w:sz w:val="16"/>
                <w:szCs w:val="16"/>
                <w:color w:val="auto"/>
              </w:rPr>
            </w:pPr>
          </w:p>
        </w:tc>
      </w:tr>
      <w:tr>
        <w:trPr>
          <w:trHeight w:val="188"/>
        </w:trPr>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ind w:left="260"/>
              <w:spacing w:after="0"/>
              <w:rPr>
                <w:sz w:val="20"/>
                <w:szCs w:val="20"/>
                <w:color w:val="auto"/>
              </w:rPr>
            </w:pPr>
            <w:r>
              <w:rPr>
                <w:rFonts w:ascii="Courier New" w:cs="Courier New" w:eastAsia="Courier New" w:hAnsi="Courier New"/>
                <w:sz w:val="16"/>
                <w:szCs w:val="16"/>
                <w:color w:val="auto"/>
              </w:rPr>
              <w:t>Value of</w:t>
            </w:r>
          </w:p>
        </w:tc>
      </w:tr>
      <w:tr>
        <w:trPr>
          <w:trHeight w:val="188"/>
        </w:trPr>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Number of</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unexercised</w:t>
            </w:r>
          </w:p>
        </w:tc>
      </w:tr>
      <w:tr>
        <w:trPr>
          <w:trHeight w:val="188"/>
        </w:trPr>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unexercised</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in-the-money</w:t>
            </w:r>
          </w:p>
        </w:tc>
      </w:tr>
      <w:tr>
        <w:trPr>
          <w:trHeight w:val="188"/>
        </w:trPr>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options at</w:t>
            </w:r>
          </w:p>
        </w:tc>
        <w:tc>
          <w:tcPr>
            <w:tcW w:w="1520" w:type="dxa"/>
            <w:vAlign w:val="bottom"/>
          </w:tcPr>
          <w:p>
            <w:pPr>
              <w:ind w:left="260"/>
              <w:spacing w:after="0"/>
              <w:rPr>
                <w:sz w:val="20"/>
                <w:szCs w:val="20"/>
                <w:color w:val="auto"/>
              </w:rPr>
            </w:pPr>
            <w:r>
              <w:rPr>
                <w:rFonts w:ascii="Courier New" w:cs="Courier New" w:eastAsia="Courier New" w:hAnsi="Courier New"/>
                <w:sz w:val="16"/>
                <w:szCs w:val="16"/>
                <w:color w:val="auto"/>
              </w:rPr>
              <w:t>options at</w:t>
            </w:r>
          </w:p>
        </w:tc>
      </w:tr>
      <w:tr>
        <w:trPr>
          <w:trHeight w:val="188"/>
        </w:trPr>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fiscal year-end</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fiscal year-end</w:t>
            </w:r>
          </w:p>
        </w:tc>
      </w:tr>
      <w:tr>
        <w:trPr>
          <w:trHeight w:val="188"/>
        </w:trPr>
        <w:tc>
          <w:tcPr>
            <w:tcW w:w="6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1860" w:type="dxa"/>
            <w:vAlign w:val="bottom"/>
          </w:tcPr>
          <w:p>
            <w:pPr>
              <w:ind w:left="980"/>
              <w:spacing w:after="0"/>
              <w:rPr>
                <w:sz w:val="20"/>
                <w:szCs w:val="20"/>
                <w:color w:val="auto"/>
              </w:rPr>
            </w:pPr>
            <w:r>
              <w:rPr>
                <w:rFonts w:ascii="Courier New" w:cs="Courier New" w:eastAsia="Courier New" w:hAnsi="Courier New"/>
                <w:sz w:val="16"/>
                <w:szCs w:val="16"/>
                <w:color w:val="auto"/>
              </w:rPr>
              <w:t>Shares</w:t>
            </w:r>
          </w:p>
        </w:tc>
        <w:tc>
          <w:tcPr>
            <w:tcW w:w="1280" w:type="dxa"/>
            <w:vAlign w:val="bottom"/>
          </w:tcPr>
          <w:p>
            <w:pPr>
              <w:spacing w:after="0"/>
              <w:rPr>
                <w:sz w:val="16"/>
                <w:szCs w:val="16"/>
                <w:color w:val="auto"/>
              </w:rPr>
            </w:pPr>
          </w:p>
        </w:tc>
        <w:tc>
          <w:tcPr>
            <w:tcW w:w="170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80" w:type="dxa"/>
            <w:vAlign w:val="bottom"/>
          </w:tcPr>
          <w:p>
            <w:pPr>
              <w:spacing w:after="0"/>
              <w:rPr>
                <w:sz w:val="16"/>
                <w:szCs w:val="16"/>
                <w:color w:val="auto"/>
              </w:rPr>
            </w:pPr>
          </w:p>
        </w:tc>
        <w:tc>
          <w:tcPr>
            <w:tcW w:w="1860" w:type="dxa"/>
            <w:vAlign w:val="bottom"/>
          </w:tcPr>
          <w:p>
            <w:pPr>
              <w:ind w:left="700"/>
              <w:spacing w:after="0"/>
              <w:rPr>
                <w:sz w:val="20"/>
                <w:szCs w:val="20"/>
                <w:color w:val="auto"/>
              </w:rPr>
            </w:pPr>
            <w:r>
              <w:rPr>
                <w:rFonts w:ascii="Courier New" w:cs="Courier New" w:eastAsia="Courier New" w:hAnsi="Courier New"/>
                <w:sz w:val="16"/>
                <w:szCs w:val="16"/>
                <w:color w:val="auto"/>
              </w:rPr>
              <w:t>acquired on</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w w:val="99"/>
              </w:rPr>
              <w:t>Value</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Exercisable/</w:t>
            </w:r>
          </w:p>
        </w:tc>
        <w:tc>
          <w:tcPr>
            <w:tcW w:w="15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Exercisable/</w:t>
            </w:r>
          </w:p>
        </w:tc>
      </w:tr>
      <w:tr>
        <w:trPr>
          <w:trHeight w:val="188"/>
        </w:trPr>
        <w:tc>
          <w:tcPr>
            <w:tcW w:w="6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860" w:type="dxa"/>
            <w:vAlign w:val="bottom"/>
          </w:tcPr>
          <w:p>
            <w:pPr>
              <w:ind w:left="700"/>
              <w:spacing w:after="0"/>
              <w:rPr>
                <w:sz w:val="20"/>
                <w:szCs w:val="20"/>
                <w:color w:val="auto"/>
              </w:rPr>
            </w:pPr>
            <w:r>
              <w:rPr>
                <w:rFonts w:ascii="Courier New" w:cs="Courier New" w:eastAsia="Courier New" w:hAnsi="Courier New"/>
                <w:sz w:val="16"/>
                <w:szCs w:val="16"/>
                <w:color w:val="auto"/>
              </w:rPr>
              <w:t>exercise(#)</w:t>
            </w:r>
          </w:p>
        </w:tc>
        <w:tc>
          <w:tcPr>
            <w:tcW w:w="1280" w:type="dxa"/>
            <w:vAlign w:val="bottom"/>
          </w:tcPr>
          <w:p>
            <w:pPr>
              <w:jc w:val="center"/>
              <w:spacing w:after="0"/>
              <w:rPr>
                <w:sz w:val="20"/>
                <w:szCs w:val="20"/>
                <w:color w:val="auto"/>
              </w:rPr>
            </w:pPr>
            <w:r>
              <w:rPr>
                <w:rFonts w:ascii="Courier New" w:cs="Courier New" w:eastAsia="Courier New" w:hAnsi="Courier New"/>
                <w:sz w:val="16"/>
                <w:szCs w:val="16"/>
                <w:color w:val="auto"/>
              </w:rPr>
              <w:t>Realized($)</w:t>
            </w:r>
          </w:p>
        </w:tc>
        <w:tc>
          <w:tcPr>
            <w:tcW w:w="1700" w:type="dxa"/>
            <w:vAlign w:val="bottom"/>
          </w:tcPr>
          <w:p>
            <w:pPr>
              <w:jc w:val="center"/>
              <w:spacing w:after="0"/>
              <w:rPr>
                <w:sz w:val="20"/>
                <w:szCs w:val="20"/>
                <w:color w:val="auto"/>
              </w:rPr>
            </w:pPr>
            <w:r>
              <w:rPr>
                <w:rFonts w:ascii="Courier New" w:cs="Courier New" w:eastAsia="Courier New" w:hAnsi="Courier New"/>
                <w:sz w:val="16"/>
                <w:szCs w:val="16"/>
                <w:color w:val="auto"/>
              </w:rPr>
              <w:t>unexercisable</w:t>
            </w:r>
          </w:p>
        </w:tc>
        <w:tc>
          <w:tcPr>
            <w:tcW w:w="15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unexercisable</w:t>
            </w:r>
          </w:p>
        </w:tc>
      </w:tr>
    </w:tbl>
    <w:p>
      <w:pPr>
        <w:spacing w:after="0" w:line="4" w:lineRule="exact"/>
        <w:rPr>
          <w:sz w:val="20"/>
          <w:szCs w:val="20"/>
          <w:color w:val="auto"/>
        </w:rPr>
      </w:pPr>
    </w:p>
    <w:p>
      <w:pPr>
        <w:ind w:left="2060" w:hanging="1376"/>
        <w:spacing w:after="0"/>
        <w:tabs>
          <w:tab w:leader="none" w:pos="2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20"/>
                <w:szCs w:val="20"/>
                <w:color w:val="auto"/>
              </w:rPr>
            </w:pPr>
            <w:r>
              <w:rPr>
                <w:rFonts w:ascii="Courier New" w:cs="Courier New" w:eastAsia="Courier New" w:hAnsi="Courier New"/>
                <w:sz w:val="16"/>
                <w:szCs w:val="16"/>
                <w:color w:val="auto"/>
              </w:rPr>
              <w:t>Donald E. Graham .</w:t>
            </w: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Alan G. Spoon.....</w:t>
            </w: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400"/>
              <w:spacing w:after="0"/>
              <w:rPr>
                <w:sz w:val="20"/>
                <w:szCs w:val="20"/>
                <w:color w:val="auto"/>
              </w:rPr>
            </w:pPr>
            <w:r>
              <w:rPr>
                <w:rFonts w:ascii="Courier New" w:cs="Courier New" w:eastAsia="Courier New" w:hAnsi="Courier New"/>
                <w:sz w:val="16"/>
                <w:szCs w:val="16"/>
                <w:color w:val="auto"/>
              </w:rPr>
              <w:t>18,000/50,000(1)</w:t>
            </w: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$1,049,125/$0</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Richard M. Smith*.</w:t>
            </w: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500"/>
              <w:spacing w:after="0"/>
              <w:rPr>
                <w:sz w:val="20"/>
                <w:szCs w:val="20"/>
                <w:color w:val="auto"/>
              </w:rPr>
            </w:pPr>
            <w:r>
              <w:rPr>
                <w:rFonts w:ascii="Courier New" w:cs="Courier New" w:eastAsia="Courier New" w:hAnsi="Courier New"/>
                <w:sz w:val="16"/>
                <w:szCs w:val="16"/>
                <w:color w:val="auto"/>
              </w:rPr>
              <w:t>7,000/0</w:t>
            </w: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$408,938/$0</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G. William Ryan* .</w:t>
            </w: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500"/>
              <w:spacing w:after="0"/>
              <w:rPr>
                <w:sz w:val="20"/>
                <w:szCs w:val="20"/>
                <w:color w:val="auto"/>
              </w:rPr>
            </w:pPr>
            <w:r>
              <w:rPr>
                <w:rFonts w:ascii="Courier New" w:cs="Courier New" w:eastAsia="Courier New" w:hAnsi="Courier New"/>
                <w:sz w:val="16"/>
                <w:szCs w:val="16"/>
                <w:color w:val="auto"/>
              </w:rPr>
              <w:t>6,500/2,500</w:t>
            </w: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$287,750/$27,750</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John B. Morse, Jr.</w:t>
            </w: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500"/>
              <w:spacing w:after="0"/>
              <w:rPr>
                <w:sz w:val="20"/>
                <w:szCs w:val="20"/>
                <w:color w:val="auto"/>
              </w:rPr>
            </w:pPr>
            <w:r>
              <w:rPr>
                <w:rFonts w:ascii="Courier New" w:cs="Courier New" w:eastAsia="Courier New" w:hAnsi="Courier New"/>
                <w:sz w:val="16"/>
                <w:szCs w:val="16"/>
                <w:color w:val="auto"/>
              </w:rPr>
              <w:t>2,625/325</w:t>
            </w: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$177,985/$7,116</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Martin Cohen......</w:t>
            </w: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760" w:type="dxa"/>
            <w:vAlign w:val="bottom"/>
          </w:tcPr>
          <w:p>
            <w:pPr>
              <w:ind w:left="680"/>
              <w:spacing w:after="0"/>
              <w:rPr>
                <w:sz w:val="20"/>
                <w:szCs w:val="20"/>
                <w:color w:val="auto"/>
              </w:rPr>
            </w:pPr>
            <w:r>
              <w:rPr>
                <w:rFonts w:ascii="Courier New" w:cs="Courier New" w:eastAsia="Courier New" w:hAnsi="Courier New"/>
                <w:sz w:val="16"/>
                <w:szCs w:val="16"/>
                <w:color w:val="auto"/>
              </w:rPr>
              <w:t>--</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Beverly R. Keil ..</w:t>
            </w: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2160" w:type="dxa"/>
            <w:vAlign w:val="bottom"/>
          </w:tcPr>
          <w:p>
            <w:pPr>
              <w:ind w:left="500"/>
              <w:spacing w:after="0"/>
              <w:rPr>
                <w:sz w:val="20"/>
                <w:szCs w:val="20"/>
                <w:color w:val="auto"/>
              </w:rPr>
            </w:pPr>
            <w:r>
              <w:rPr>
                <w:rFonts w:ascii="Courier New" w:cs="Courier New" w:eastAsia="Courier New" w:hAnsi="Courier New"/>
                <w:sz w:val="16"/>
                <w:szCs w:val="16"/>
                <w:color w:val="auto"/>
              </w:rPr>
              <w:t>2,750/250</w:t>
            </w:r>
          </w:p>
        </w:tc>
        <w:tc>
          <w:tcPr>
            <w:tcW w:w="1760" w:type="dxa"/>
            <w:vAlign w:val="bottom"/>
          </w:tcPr>
          <w:p>
            <w:pPr>
              <w:ind w:left="200"/>
              <w:spacing w:after="0"/>
              <w:rPr>
                <w:sz w:val="20"/>
                <w:szCs w:val="20"/>
                <w:color w:val="auto"/>
              </w:rPr>
            </w:pPr>
            <w:r>
              <w:rPr>
                <w:rFonts w:ascii="Courier New" w:cs="Courier New" w:eastAsia="Courier New" w:hAnsi="Courier New"/>
                <w:sz w:val="16"/>
                <w:szCs w:val="16"/>
                <w:color w:val="auto"/>
              </w:rPr>
              <w:t>$143,250/$13,875</w:t>
            </w:r>
          </w:p>
        </w:tc>
      </w:tr>
      <w:tr>
        <w:trPr>
          <w:trHeight w:val="188"/>
        </w:trPr>
        <w:tc>
          <w:tcPr>
            <w:tcW w:w="1960" w:type="dxa"/>
            <w:vAlign w:val="bottom"/>
          </w:tcPr>
          <w:p>
            <w:pPr>
              <w:spacing w:after="0"/>
              <w:rPr>
                <w:sz w:val="20"/>
                <w:szCs w:val="20"/>
                <w:color w:val="auto"/>
              </w:rPr>
            </w:pPr>
            <w:r>
              <w:rPr>
                <w:rFonts w:ascii="Courier New" w:cs="Courier New" w:eastAsia="Courier New" w:hAnsi="Courier New"/>
                <w:sz w:val="16"/>
                <w:szCs w:val="16"/>
                <w:color w:val="auto"/>
              </w:rPr>
              <w:t>______________</w:t>
            </w: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760" w:type="dxa"/>
            <w:vAlign w:val="bottom"/>
          </w:tcPr>
          <w:p>
            <w:pPr>
              <w:spacing w:after="0"/>
              <w:rPr>
                <w:sz w:val="16"/>
                <w:szCs w:val="16"/>
                <w:color w:val="auto"/>
              </w:rPr>
            </w:pPr>
          </w:p>
        </w:tc>
      </w:tr>
    </w:tbl>
    <w:p>
      <w:pPr>
        <w:spacing w:after="0" w:line="19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 Until May 1995, also an executive officer of the Company.</w:t>
      </w:r>
    </w:p>
    <w:p>
      <w:pPr>
        <w:spacing w:after="0" w:line="195" w:lineRule="exact"/>
        <w:rPr>
          <w:sz w:val="20"/>
          <w:szCs w:val="20"/>
          <w:color w:val="auto"/>
        </w:rPr>
      </w:pPr>
    </w:p>
    <w:p>
      <w:pPr>
        <w:jc w:val="both"/>
        <w:ind w:right="2399" w:firstLine="293"/>
        <w:spacing w:after="0" w:line="249" w:lineRule="auto"/>
        <w:tabs>
          <w:tab w:leader="none" w:pos="68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Mr. Spoon's unexercised options, one option is for 50,000 shares of Class B Stock at a price of $318.50 (compared to a mean market price of $178.1875 on December 19, 1991, the date on which the option was granted), which does not become exercisable until June 30, 1999.</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Long-Term Incentive Plan --</w:t>
            </w:r>
          </w:p>
        </w:tc>
        <w:tc>
          <w:tcPr>
            <w:tcW w:w="29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Awards in Last Fiscal Year(1)</w:t>
            </w:r>
          </w:p>
        </w:tc>
        <w:tc>
          <w:tcPr>
            <w:tcW w:w="1120" w:type="dxa"/>
            <w:vAlign w:val="bottom"/>
          </w:tcPr>
          <w:p>
            <w:pPr>
              <w:spacing w:after="0"/>
              <w:rPr>
                <w:sz w:val="15"/>
                <w:szCs w:val="15"/>
                <w:color w:val="auto"/>
              </w:rPr>
            </w:pPr>
          </w:p>
        </w:tc>
      </w:tr>
      <w:tr>
        <w:trPr>
          <w:trHeight w:val="376"/>
        </w:trPr>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Performance</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rPr>
              <w:t>or other period</w:t>
            </w:r>
          </w:p>
        </w:tc>
        <w:tc>
          <w:tcPr>
            <w:tcW w:w="352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Estimated Future Payouts under</w:t>
            </w: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until</w:t>
            </w:r>
          </w:p>
        </w:tc>
        <w:tc>
          <w:tcPr>
            <w:tcW w:w="540" w:type="dxa"/>
            <w:vAlign w:val="bottom"/>
          </w:tcPr>
          <w:p>
            <w:pPr>
              <w:spacing w:after="0"/>
              <w:rPr>
                <w:sz w:val="16"/>
                <w:szCs w:val="16"/>
                <w:color w:val="auto"/>
              </w:rPr>
            </w:pPr>
          </w:p>
        </w:tc>
        <w:tc>
          <w:tcPr>
            <w:tcW w:w="352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Non-stock Price-Based Plans(2)</w:t>
            </w:r>
          </w:p>
        </w:tc>
      </w:tr>
      <w:tr>
        <w:trPr>
          <w:trHeight w:val="188"/>
        </w:trPr>
        <w:tc>
          <w:tcPr>
            <w:tcW w:w="1860" w:type="dxa"/>
            <w:vAlign w:val="bottom"/>
          </w:tcPr>
          <w:p>
            <w:pPr>
              <w:spacing w:after="0"/>
              <w:rPr>
                <w:sz w:val="16"/>
                <w:szCs w:val="16"/>
                <w:color w:val="auto"/>
              </w:rPr>
            </w:pPr>
          </w:p>
        </w:tc>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Number of</w:t>
            </w:r>
          </w:p>
        </w:tc>
        <w:tc>
          <w:tcPr>
            <w:tcW w:w="15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maturation</w:t>
            </w:r>
          </w:p>
        </w:tc>
        <w:tc>
          <w:tcPr>
            <w:tcW w:w="3520" w:type="dxa"/>
            <w:vAlign w:val="bottom"/>
            <w:gridSpan w:val="3"/>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Name</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units</w:t>
            </w:r>
          </w:p>
        </w:tc>
        <w:tc>
          <w:tcPr>
            <w:tcW w:w="156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w w:val="99"/>
              </w:rPr>
              <w:t>or payout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Threshold</w:t>
            </w:r>
          </w:p>
        </w:tc>
        <w:tc>
          <w:tcPr>
            <w:tcW w:w="11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Target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Maximum</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center"/>
              <w:ind w:right="19"/>
              <w:spacing w:after="0"/>
              <w:rPr>
                <w:sz w:val="20"/>
                <w:szCs w:val="20"/>
                <w:color w:val="auto"/>
              </w:rPr>
            </w:pPr>
            <w:r>
              <w:rPr>
                <w:rFonts w:ascii="Courier New" w:cs="Courier New" w:eastAsia="Courier New" w:hAnsi="Courier New"/>
                <w:sz w:val="16"/>
                <w:szCs w:val="16"/>
                <w:color w:val="auto"/>
                <w:w w:val="99"/>
              </w:rPr>
              <w:t>---------</w:t>
            </w:r>
          </w:p>
        </w:tc>
        <w:tc>
          <w:tcPr>
            <w:tcW w:w="12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r>
      <w:tr>
        <w:trPr>
          <w:trHeight w:val="564"/>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Donald E. Graham .</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6,402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540" w:type="dxa"/>
            <w:vAlign w:val="bottom"/>
          </w:tcPr>
          <w:p>
            <w:pPr>
              <w:spacing w:after="0"/>
              <w:rPr>
                <w:sz w:val="24"/>
                <w:szCs w:val="24"/>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$346,796</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$640,200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$1,173,679</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Alan G. Spoon  ...</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5,394</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5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292,193</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539,400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988,882</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Richard M. Smith*.</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4,392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5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219,600</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439,200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768,600</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G. William Ryan* .</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4,392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5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329,400</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439,200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768,600</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John B. Morse, Jr.</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2,168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5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117,441</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216,800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397,459</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Martin Cohen......</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1,318</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5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71,396</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131,800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241,629</w:t>
            </w:r>
          </w:p>
        </w:tc>
      </w:tr>
      <w:tr>
        <w:trPr>
          <w:trHeight w:val="188"/>
        </w:trPr>
        <w:tc>
          <w:tcPr>
            <w:tcW w:w="1860" w:type="dxa"/>
            <w:vAlign w:val="bottom"/>
          </w:tcPr>
          <w:p>
            <w:pPr>
              <w:jc w:val="center"/>
              <w:ind w:right="19"/>
              <w:spacing w:after="0"/>
              <w:rPr>
                <w:sz w:val="20"/>
                <w:szCs w:val="20"/>
                <w:color w:val="auto"/>
              </w:rPr>
            </w:pPr>
            <w:r>
              <w:rPr>
                <w:rFonts w:ascii="Courier New" w:cs="Courier New" w:eastAsia="Courier New" w:hAnsi="Courier New"/>
                <w:sz w:val="16"/>
                <w:szCs w:val="16"/>
                <w:color w:val="auto"/>
              </w:rPr>
              <w:t>Beverly R. Keil ..</w:t>
            </w: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1,236</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1/3/99</w:t>
            </w:r>
          </w:p>
        </w:tc>
        <w:tc>
          <w:tcPr>
            <w:tcW w:w="540" w:type="dxa"/>
            <w:vAlign w:val="bottom"/>
          </w:tcPr>
          <w:p>
            <w:pPr>
              <w:spacing w:after="0"/>
              <w:rPr>
                <w:sz w:val="16"/>
                <w:szCs w:val="16"/>
                <w:color w:val="auto"/>
              </w:rPr>
            </w:pPr>
          </w:p>
        </w:tc>
        <w:tc>
          <w:tcPr>
            <w:tcW w:w="12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66,954</w:t>
            </w:r>
          </w:p>
        </w:tc>
        <w:tc>
          <w:tcPr>
            <w:tcW w:w="11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123,600</w:t>
            </w:r>
          </w:p>
        </w:tc>
        <w:tc>
          <w:tcPr>
            <w:tcW w:w="11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226,596</w:t>
            </w:r>
          </w:p>
        </w:tc>
      </w:tr>
      <w:tr>
        <w:trPr>
          <w:trHeight w:val="376"/>
        </w:trPr>
        <w:tc>
          <w:tcPr>
            <w:tcW w:w="1860" w:type="dxa"/>
            <w:vAlign w:val="bottom"/>
          </w:tcPr>
          <w:p>
            <w:pPr>
              <w:ind w:left="300"/>
              <w:spacing w:after="0"/>
              <w:rPr>
                <w:sz w:val="20"/>
                <w:szCs w:val="20"/>
                <w:color w:val="auto"/>
              </w:rPr>
            </w:pPr>
            <w:r>
              <w:rPr>
                <w:rFonts w:ascii="Courier New" w:cs="Courier New" w:eastAsia="Courier New" w:hAnsi="Courier New"/>
                <w:sz w:val="16"/>
                <w:szCs w:val="16"/>
                <w:color w:val="auto"/>
              </w:rPr>
              <w:t>*Until May 1995,</w:t>
            </w:r>
          </w:p>
        </w:tc>
        <w:tc>
          <w:tcPr>
            <w:tcW w:w="4840" w:type="dxa"/>
            <w:vAlign w:val="bottom"/>
            <w:gridSpan w:val="5"/>
          </w:tcPr>
          <w:p>
            <w:pPr>
              <w:ind w:left="100"/>
              <w:spacing w:after="0"/>
              <w:rPr>
                <w:sz w:val="20"/>
                <w:szCs w:val="20"/>
                <w:color w:val="auto"/>
              </w:rPr>
            </w:pPr>
            <w:r>
              <w:rPr>
                <w:rFonts w:ascii="Courier New" w:cs="Courier New" w:eastAsia="Courier New" w:hAnsi="Courier New"/>
                <w:sz w:val="16"/>
                <w:szCs w:val="16"/>
                <w:color w:val="auto"/>
              </w:rPr>
              <w:t>also an executive officer of the Company.</w:t>
            </w:r>
          </w:p>
        </w:tc>
        <w:tc>
          <w:tcPr>
            <w:tcW w:w="1120" w:type="dxa"/>
            <w:vAlign w:val="bottom"/>
          </w:tcPr>
          <w:p>
            <w:pPr>
              <w:spacing w:after="0"/>
              <w:rPr>
                <w:sz w:val="24"/>
                <w:szCs w:val="24"/>
                <w:color w:val="auto"/>
              </w:rPr>
            </w:pPr>
          </w:p>
        </w:tc>
      </w:tr>
      <w:tr>
        <w:trPr>
          <w:trHeight w:val="376"/>
        </w:trPr>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(Footnotes continued on following page)</w:t>
            </w:r>
          </w:p>
        </w:tc>
      </w:tr>
      <w:tr>
        <w:trPr>
          <w:trHeight w:val="376"/>
        </w:trPr>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Courier New" w:cs="Courier New" w:eastAsia="Courier New" w:hAnsi="Courier New"/>
                <w:sz w:val="16"/>
                <w:szCs w:val="16"/>
                <w:color w:val="auto"/>
              </w:rPr>
              <w:t>15</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19"/>
          </w:cols>
          <w:pgMar w:left="240" w:top="105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(Footnotes continued from preceding page)</w:t>
      </w:r>
    </w:p>
    <w:p>
      <w:pPr>
        <w:spacing w:after="0" w:line="195" w:lineRule="exact"/>
        <w:rPr>
          <w:sz w:val="20"/>
          <w:szCs w:val="20"/>
          <w:color w:val="auto"/>
        </w:rPr>
      </w:pPr>
    </w:p>
    <w:p>
      <w:pPr>
        <w:jc w:val="both"/>
        <w:ind w:right="2399" w:firstLine="293"/>
        <w:spacing w:after="0" w:line="249" w:lineRule="auto"/>
        <w:tabs>
          <w:tab w:leader="none" w:pos="6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8, 1994, the Compensation Committee of the Board of Directors approved grants of Performance Units effective January 2, 1995, under the Company's Long-Term Plan for the 1995-1998 Award Cycle to various key employees of the Company, including the Chief Executive Officer and the four most highly compensated executive officers as set forth in the table. The payout opportunities will be based on the financial performance of the participant's operating division as compared to that of a peer group of businesses in the case of Mr. Ryan and on the achievement of financial performance targets in the case of Mr. Smith. The payout opportunities for Messrs. Graham, Spoon, Morse, and Cohen and Ms. Keil are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86" w:lineRule="exact"/>
        <w:rPr>
          <w:rFonts w:ascii="Courier New" w:cs="Courier New" w:eastAsia="Courier New" w:hAnsi="Courier New"/>
          <w:sz w:val="16"/>
          <w:szCs w:val="16"/>
          <w:color w:val="auto"/>
        </w:rPr>
      </w:pPr>
    </w:p>
    <w:p>
      <w:pPr>
        <w:jc w:val="both"/>
        <w:ind w:right="2399" w:firstLine="293"/>
        <w:spacing w:after="0" w:line="249" w:lineRule="auto"/>
        <w:tabs>
          <w:tab w:leader="none" w:pos="68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regard to the threshold, target and maximum amounts, for Mr. Smith to receive a threshold payment of $219,600, a target payment of $439,200 or maximum payment of $768,600, Newsweek will have to achieve a specified percentage (corresponding to the payment level) of the operating income goal for the period 1995-98. For Mr. Ryan to receive a threshold payment of $329,400, a target payment of $439,200 or a maximum payment of $768,600, Post-Newsweek Stations' cash flow margins will have to rank at certain designated percentiles (corresponding to the payment level) among the cash flow margins of a group of peer companies during the duration of the award cycle. Payout values of Units awarded to Messrs. Graham, Spoon, Morse, Cohen, and Ms. Keil will be based on the weighted average of the payout values earned by each of the Company's four major operating divisions (66.6% weighting) and the Company's total shareholder return during the Award Cycle compared to total shareholder returns of peer companies (33.3% weighting).</w:t>
      </w:r>
    </w:p>
    <w:p>
      <w:pPr>
        <w:spacing w:after="0" w:line="187" w:lineRule="exact"/>
        <w:rPr>
          <w:sz w:val="20"/>
          <w:szCs w:val="20"/>
          <w:color w:val="auto"/>
        </w:rPr>
      </w:pPr>
    </w:p>
    <w:p>
      <w:pPr>
        <w:jc w:val="center"/>
        <w:ind w:right="2399"/>
        <w:spacing w:after="0"/>
        <w:rPr>
          <w:sz w:val="20"/>
          <w:szCs w:val="20"/>
          <w:color w:val="auto"/>
        </w:rPr>
      </w:pPr>
      <w:r>
        <w:rPr>
          <w:rFonts w:ascii="Courier New" w:cs="Courier New" w:eastAsia="Courier New" w:hAnsi="Courier New"/>
          <w:sz w:val="16"/>
          <w:szCs w:val="16"/>
          <w:color w:val="auto"/>
        </w:rPr>
        <w:t>Retirement Plans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Basic Plans. Most employees of the Company and its Newspaper, Magazine and Broadcasting Divisions, including the individuals identified in the table on page 13, are eligible to participate (subject to minimum service requirements) in one or another of the defined benefit retirement plans maintained by the Company and those Divisions. Benefits under these basic plans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Supplemental Executive Retirement Plan. All amounts over $120,000 that would otherwise be payable under a basic defined benefit retirement plan are currently subject to reduction because of the annual pension limitation imposed by the Tax Equity and Fiscal Responsibility Act of 1982, although the extent of such reductions may vary in individual cases depending on circumstances existing at the time retirement payments commence. In addition, the Omnibus Budget Reconciliation Act of 1993 provides that starting in 1994, with certain exceptions, defined benefit pension benefits and defined contribution plan benefits payable by tax-qualified plans may not be based on annual compensation exceeding $150,000, as indexed.</w:t>
      </w:r>
    </w:p>
    <w:p>
      <w:pPr>
        <w:spacing w:after="0" w:line="187" w:lineRule="exact"/>
        <w:rPr>
          <w:sz w:val="20"/>
          <w:szCs w:val="20"/>
          <w:color w:val="auto"/>
        </w:rPr>
      </w:pPr>
    </w:p>
    <w:p>
      <w:pPr>
        <w:ind w:right="2399" w:firstLine="293"/>
        <w:spacing w:after="0" w:line="249" w:lineRule="auto"/>
        <w:rPr>
          <w:sz w:val="20"/>
          <w:szCs w:val="20"/>
          <w:color w:val="auto"/>
        </w:rPr>
      </w:pPr>
      <w:r>
        <w:rPr>
          <w:rFonts w:ascii="Courier New" w:cs="Courier New" w:eastAsia="Courier New" w:hAnsi="Courier New"/>
          <w:sz w:val="16"/>
          <w:szCs w:val="16"/>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0" w:right="1440" w:bottom="1440" w:gutter="0" w:footer="0" w:header="0"/>
        </w:sectPr>
      </w:pPr>
    </w:p>
    <w:bookmarkStart w:id="19" w:name="page20"/>
    <w:bookmarkEnd w:id="19"/>
    <w:p>
      <w:pPr>
        <w:jc w:val="both"/>
        <w:ind w:right="2399"/>
        <w:spacing w:after="0" w:line="249" w:lineRule="auto"/>
        <w:rPr>
          <w:sz w:val="20"/>
          <w:szCs w:val="20"/>
          <w:color w:val="auto"/>
        </w:rPr>
      </w:pPr>
      <w:r>
        <w:rPr>
          <w:rFonts w:ascii="Courier New" w:cs="Courier New" w:eastAsia="Courier New" w:hAnsi="Courier New"/>
          <w:sz w:val="16"/>
          <w:szCs w:val="16"/>
          <w:color w:val="auto"/>
        </w:rPr>
        <w:t>calculated for certain participating executives (including the executive officers included in the table on page 13) a "supplemented normal retirement benefit", which will be determined under the rules of the applicable qualified defined benefit retirement plan, but without reference to either of the above-mentioned limitations and will also include in earnings not only base salary (as in the past) but also bonuses under the Annual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 those named in the table on page 13 (except that Mr. Graham, who has elected not to participate in savings plan features of the SERP, will be covered only by the retirement plan features of the SERP described above).</w:t>
      </w:r>
    </w:p>
    <w:p>
      <w:pPr>
        <w:spacing w:after="0" w:line="200" w:lineRule="exact"/>
        <w:rPr>
          <w:sz w:val="20"/>
          <w:szCs w:val="20"/>
          <w:color w:val="auto"/>
        </w:rPr>
      </w:pPr>
    </w:p>
    <w:p>
      <w:pPr>
        <w:spacing w:after="0" w:line="361"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As of December 31, 1995, Mr. Graham had 22 years of service under the Company plan, Mr. Spoon had 14 years of service under the Company plan, Mr. Cohen had 25 years of service under the Company plan and 3 years of service under the Newsweek plan, Mr. Morse had 7 years of service under the Company plan, Ms. Keil had 13 years of service under the Company plan and 3 years of service under the Post-Newsweek Stations plan, Mr. Ryan had 22 years of service under the Post-Newsweek Stations plan and Mr. Smith had 25 years of service under the Newsweek plan.</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92" w:right="1440" w:bottom="1440" w:gutter="0" w:footer="0" w:header="0"/>
        </w:sectPr>
      </w:pPr>
    </w:p>
    <w:bookmarkStart w:id="20" w:name="page21"/>
    <w:bookmarkEnd w:id="20"/>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following tables show the estimated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188"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Pension Plan Tables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Estimated Annual Pension (Computed as</w:t>
            </w:r>
          </w:p>
        </w:tc>
        <w:tc>
          <w:tcPr>
            <w:tcW w:w="780" w:type="dxa"/>
            <w:vAlign w:val="bottom"/>
          </w:tcPr>
          <w:p>
            <w:pPr>
              <w:spacing w:after="0"/>
              <w:rPr>
                <w:sz w:val="15"/>
                <w:szCs w:val="15"/>
                <w:color w:val="auto"/>
              </w:rPr>
            </w:pPr>
          </w:p>
        </w:tc>
      </w:tr>
      <w:tr>
        <w:trPr>
          <w:trHeight w:val="188"/>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38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Straight Life Annuity) for</w:t>
            </w:r>
          </w:p>
        </w:tc>
        <w:tc>
          <w:tcPr>
            <w:tcW w:w="780" w:type="dxa"/>
            <w:vAlign w:val="bottom"/>
          </w:tcPr>
          <w:p>
            <w:pPr>
              <w:spacing w:after="0"/>
              <w:rPr>
                <w:sz w:val="16"/>
                <w:szCs w:val="16"/>
                <w:color w:val="auto"/>
              </w:rPr>
            </w:pPr>
          </w:p>
        </w:tc>
      </w:tr>
      <w:tr>
        <w:trPr>
          <w:trHeight w:val="188"/>
        </w:trPr>
        <w:tc>
          <w:tcPr>
            <w:tcW w:w="1660" w:type="dxa"/>
            <w:vAlign w:val="bottom"/>
          </w:tcPr>
          <w:p>
            <w:pPr>
              <w:ind w:left="400"/>
              <w:spacing w:after="0"/>
              <w:rPr>
                <w:sz w:val="20"/>
                <w:szCs w:val="20"/>
                <w:color w:val="auto"/>
              </w:rPr>
            </w:pPr>
            <w:r>
              <w:rPr>
                <w:rFonts w:ascii="Courier New" w:cs="Courier New" w:eastAsia="Courier New" w:hAnsi="Courier New"/>
                <w:sz w:val="16"/>
                <w:szCs w:val="16"/>
                <w:color w:val="auto"/>
              </w:rPr>
              <w:t>Covered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Representative Years of Credited Service</w:t>
            </w:r>
          </w:p>
        </w:tc>
        <w:tc>
          <w:tcPr>
            <w:tcW w:w="780" w:type="dxa"/>
            <w:vAlign w:val="bottom"/>
          </w:tcPr>
          <w:p>
            <w:pPr>
              <w:spacing w:after="0"/>
              <w:rPr>
                <w:sz w:val="16"/>
                <w:szCs w:val="16"/>
                <w:color w:val="auto"/>
              </w:rPr>
            </w:pPr>
          </w:p>
        </w:tc>
      </w:tr>
      <w:tr>
        <w:trPr>
          <w:trHeight w:val="188"/>
        </w:trPr>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Compensation</w:t>
            </w:r>
          </w:p>
        </w:tc>
        <w:tc>
          <w:tcPr>
            <w:tcW w:w="10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9"/>
              </w:rPr>
              <w:t>-----------------------------------------------------------</w:t>
            </w: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264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rPr>
              <w:t>COMPANY PLAN(a)(c)</w:t>
            </w:r>
          </w:p>
        </w:tc>
        <w:tc>
          <w:tcPr>
            <w:tcW w:w="8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10</w:t>
            </w:r>
          </w:p>
        </w:tc>
        <w:tc>
          <w:tcPr>
            <w:tcW w:w="820" w:type="dxa"/>
            <w:vAlign w:val="bottom"/>
          </w:tcPr>
          <w:p>
            <w:pPr>
              <w:ind w:left="300"/>
              <w:spacing w:after="0"/>
              <w:rPr>
                <w:sz w:val="20"/>
                <w:szCs w:val="20"/>
                <w:color w:val="auto"/>
              </w:rPr>
            </w:pPr>
            <w:r>
              <w:rPr>
                <w:rFonts w:ascii="Courier New" w:cs="Courier New" w:eastAsia="Courier New" w:hAnsi="Courier New"/>
                <w:sz w:val="16"/>
                <w:szCs w:val="16"/>
                <w:color w:val="auto"/>
              </w:rPr>
              <w:t>15</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20</w:t>
            </w:r>
          </w:p>
        </w:tc>
        <w:tc>
          <w:tcPr>
            <w:tcW w:w="12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1760" w:type="dxa"/>
            <w:vAlign w:val="bottom"/>
            <w:gridSpan w:val="2"/>
          </w:tcPr>
          <w:p>
            <w:pPr>
              <w:spacing w:after="0"/>
              <w:rPr>
                <w:sz w:val="20"/>
                <w:szCs w:val="20"/>
                <w:color w:val="auto"/>
              </w:rPr>
            </w:pPr>
            <w:r>
              <w:rPr>
                <w:rFonts w:ascii="Courier New" w:cs="Courier New" w:eastAsia="Courier New" w:hAnsi="Courier New"/>
                <w:sz w:val="16"/>
                <w:szCs w:val="16"/>
                <w:color w:val="auto"/>
                <w:w w:val="90"/>
              </w:rPr>
              <w:t>- ------------------</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6"/>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$300,000.......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54,000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$ 81,000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$108,000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$135,000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$162,000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$162,000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71,500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107,250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143,000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178,750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214,500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214,500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80,250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120,375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200,625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240,750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240,750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89,000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133,500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178,000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222,500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267,000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267,000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97,750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146,625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195,500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244,375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293,250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293,250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106,500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159,750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213,000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266,250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319,500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319,500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115,250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172,875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230,500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288,125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345,750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345,750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124,000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186,000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248,000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310,000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372,000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372,000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132,750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198,875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265,000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331,625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398,250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398,250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141,500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212,250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283,000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353,750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424,500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424,500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150,250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225,375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300,500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375,625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450,750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450,750</w:t>
            </w:r>
          </w:p>
        </w:tc>
      </w:tr>
      <w:tr>
        <w:trPr>
          <w:trHeight w:val="376"/>
        </w:trPr>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gridSpan w:val="4"/>
          </w:tcPr>
          <w:p>
            <w:pPr>
              <w:jc w:val="right"/>
              <w:ind w:right="119"/>
              <w:spacing w:after="0"/>
              <w:rPr>
                <w:sz w:val="20"/>
                <w:szCs w:val="20"/>
                <w:color w:val="auto"/>
              </w:rPr>
            </w:pPr>
            <w:r>
              <w:rPr>
                <w:rFonts w:ascii="Courier New" w:cs="Courier New" w:eastAsia="Courier New" w:hAnsi="Courier New"/>
                <w:sz w:val="16"/>
                <w:szCs w:val="16"/>
                <w:color w:val="auto"/>
              </w:rPr>
              <w:t>Estimated Annual Pension (Computed as</w:t>
            </w:r>
          </w:p>
        </w:tc>
        <w:tc>
          <w:tcPr>
            <w:tcW w:w="780" w:type="dxa"/>
            <w:vAlign w:val="bottom"/>
          </w:tcPr>
          <w:p>
            <w:pPr>
              <w:spacing w:after="0"/>
              <w:rPr>
                <w:sz w:val="24"/>
                <w:szCs w:val="24"/>
                <w:color w:val="auto"/>
              </w:rPr>
            </w:pPr>
          </w:p>
        </w:tc>
      </w:tr>
      <w:tr>
        <w:trPr>
          <w:trHeight w:val="188"/>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Straight Life Annuity)</w:t>
            </w:r>
          </w:p>
        </w:tc>
        <w:tc>
          <w:tcPr>
            <w:tcW w:w="108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for</w:t>
            </w:r>
          </w:p>
        </w:tc>
        <w:tc>
          <w:tcPr>
            <w:tcW w:w="780" w:type="dxa"/>
            <w:vAlign w:val="bottom"/>
          </w:tcPr>
          <w:p>
            <w:pPr>
              <w:spacing w:after="0"/>
              <w:rPr>
                <w:sz w:val="16"/>
                <w:szCs w:val="16"/>
                <w:color w:val="auto"/>
              </w:rPr>
            </w:pPr>
          </w:p>
        </w:tc>
      </w:tr>
      <w:tr>
        <w:trPr>
          <w:trHeight w:val="188"/>
        </w:trPr>
        <w:tc>
          <w:tcPr>
            <w:tcW w:w="1660" w:type="dxa"/>
            <w:vAlign w:val="bottom"/>
          </w:tcPr>
          <w:p>
            <w:pPr>
              <w:ind w:left="400"/>
              <w:spacing w:after="0"/>
              <w:rPr>
                <w:sz w:val="20"/>
                <w:szCs w:val="20"/>
                <w:color w:val="auto"/>
              </w:rPr>
            </w:pPr>
            <w:r>
              <w:rPr>
                <w:rFonts w:ascii="Courier New" w:cs="Courier New" w:eastAsia="Courier New" w:hAnsi="Courier New"/>
                <w:sz w:val="16"/>
                <w:szCs w:val="16"/>
                <w:color w:val="auto"/>
              </w:rPr>
              <w:t>Covered</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0" w:type="dxa"/>
            <w:vAlign w:val="bottom"/>
            <w:gridSpan w:val="4"/>
          </w:tcPr>
          <w:p>
            <w:pPr>
              <w:ind w:left="300"/>
              <w:spacing w:after="0"/>
              <w:rPr>
                <w:sz w:val="20"/>
                <w:szCs w:val="20"/>
                <w:color w:val="auto"/>
              </w:rPr>
            </w:pPr>
            <w:r>
              <w:rPr>
                <w:rFonts w:ascii="Courier New" w:cs="Courier New" w:eastAsia="Courier New" w:hAnsi="Courier New"/>
                <w:sz w:val="16"/>
                <w:szCs w:val="16"/>
                <w:color w:val="auto"/>
              </w:rPr>
              <w:t>Representative Years of Credited Service</w:t>
            </w:r>
          </w:p>
        </w:tc>
        <w:tc>
          <w:tcPr>
            <w:tcW w:w="780" w:type="dxa"/>
            <w:vAlign w:val="bottom"/>
          </w:tcPr>
          <w:p>
            <w:pPr>
              <w:spacing w:after="0"/>
              <w:rPr>
                <w:sz w:val="16"/>
                <w:szCs w:val="16"/>
                <w:color w:val="auto"/>
              </w:rPr>
            </w:pPr>
          </w:p>
        </w:tc>
      </w:tr>
      <w:tr>
        <w:trPr>
          <w:trHeight w:val="188"/>
        </w:trPr>
        <w:tc>
          <w:tcPr>
            <w:tcW w:w="16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Compensation</w:t>
            </w:r>
          </w:p>
        </w:tc>
        <w:tc>
          <w:tcPr>
            <w:tcW w:w="980" w:type="dxa"/>
            <w:vAlign w:val="bottom"/>
            <w:gridSpan w:val="2"/>
          </w:tcPr>
          <w:p>
            <w:pPr>
              <w:spacing w:after="0"/>
              <w:rPr>
                <w:sz w:val="20"/>
                <w:szCs w:val="20"/>
                <w:color w:val="auto"/>
              </w:rPr>
            </w:pPr>
            <w:r>
              <w:rPr>
                <w:rFonts w:ascii="Courier New" w:cs="Courier New" w:eastAsia="Courier New" w:hAnsi="Courier New"/>
                <w:sz w:val="3"/>
                <w:szCs w:val="3"/>
                <w:color w:val="auto"/>
                <w:w w:val="85"/>
              </w:rPr>
              <w: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10</w:t>
            </w:r>
          </w:p>
        </w:tc>
        <w:tc>
          <w:tcPr>
            <w:tcW w:w="8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w:t>
            </w:r>
          </w:p>
        </w:tc>
        <w:tc>
          <w:tcPr>
            <w:tcW w:w="108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20</w:t>
            </w:r>
          </w:p>
        </w:tc>
        <w:tc>
          <w:tcPr>
            <w:tcW w:w="122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25</w:t>
            </w:r>
          </w:p>
        </w:tc>
        <w:tc>
          <w:tcPr>
            <w:tcW w:w="108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30</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16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Post-Newsweek</w:t>
            </w:r>
          </w:p>
        </w:tc>
        <w:tc>
          <w:tcPr>
            <w:tcW w:w="100" w:type="dxa"/>
            <w:vAlign w:val="bottom"/>
          </w:tcPr>
          <w:p>
            <w:pPr>
              <w:spacing w:after="0"/>
              <w:rPr>
                <w:sz w:val="16"/>
                <w:szCs w:val="16"/>
                <w:color w:val="auto"/>
              </w:rPr>
            </w:pPr>
          </w:p>
        </w:tc>
        <w:tc>
          <w:tcPr>
            <w:tcW w:w="88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8"/>
        </w:trPr>
        <w:tc>
          <w:tcPr>
            <w:tcW w:w="1660" w:type="dxa"/>
            <w:vAlign w:val="bottom"/>
          </w:tcPr>
          <w:p>
            <w:pPr>
              <w:ind w:left="400"/>
              <w:spacing w:after="0"/>
              <w:rPr>
                <w:sz w:val="20"/>
                <w:szCs w:val="20"/>
                <w:color w:val="auto"/>
              </w:rPr>
            </w:pPr>
            <w:r>
              <w:rPr>
                <w:rFonts w:ascii="Courier New" w:cs="Courier New" w:eastAsia="Courier New" w:hAnsi="Courier New"/>
                <w:sz w:val="16"/>
                <w:szCs w:val="16"/>
                <w:color w:val="auto"/>
              </w:rPr>
              <w:t>Stations</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6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Plan(a)(c)</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16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6"/>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$300,000.......</w:t>
            </w: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53,500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w w:val="98"/>
              </w:rPr>
              <w:t>$ 80,500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$107,500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$134,500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w w:val="98"/>
              </w:rPr>
              <w:t>$161,500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$161,500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71,000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106,750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142,500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178,250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214,000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214,000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79,750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119,875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160,000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200,155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240,250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240,250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88,500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133,000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177,500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222,000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266,500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266,750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97,250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146,125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195,000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243,875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292,750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292,750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106,000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159,250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212,500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265,750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319,000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319,000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114,750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172,375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230,000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287,625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345,250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345,250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123,500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185,500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247,500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309,500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371,500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371,500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132,250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198,375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265,000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331,125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397,500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397,500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800,000.......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141,000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211,750</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282,500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353,250</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424,000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424,000</w:t>
            </w:r>
          </w:p>
        </w:tc>
      </w:tr>
      <w:tr>
        <w:trPr>
          <w:trHeight w:val="188"/>
        </w:trPr>
        <w:tc>
          <w:tcPr>
            <w:tcW w:w="166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850,000.......</w:t>
            </w:r>
          </w:p>
        </w:tc>
        <w:tc>
          <w:tcPr>
            <w:tcW w:w="100" w:type="dxa"/>
            <w:vAlign w:val="bottom"/>
          </w:tcPr>
          <w:p>
            <w:pPr>
              <w:spacing w:after="0"/>
              <w:rPr>
                <w:sz w:val="16"/>
                <w:szCs w:val="16"/>
                <w:color w:val="auto"/>
              </w:rPr>
            </w:pPr>
          </w:p>
        </w:tc>
        <w:tc>
          <w:tcPr>
            <w:tcW w:w="8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149,750</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224,375</w:t>
            </w:r>
          </w:p>
        </w:tc>
        <w:tc>
          <w:tcPr>
            <w:tcW w:w="10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300,000</w:t>
            </w:r>
          </w:p>
        </w:tc>
        <w:tc>
          <w:tcPr>
            <w:tcW w:w="12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375,125</w:t>
            </w:r>
          </w:p>
        </w:tc>
        <w:tc>
          <w:tcPr>
            <w:tcW w:w="10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450,250</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450,250</w:t>
            </w:r>
          </w:p>
        </w:tc>
      </w:tr>
    </w:tbl>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Footnotes appear on page 19.</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492"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Estimated Annual Pension (Computed as</w:t>
            </w:r>
          </w:p>
        </w:tc>
        <w:tc>
          <w:tcPr>
            <w:tcW w:w="840" w:type="dxa"/>
            <w:vAlign w:val="bottom"/>
          </w:tcPr>
          <w:p>
            <w:pPr>
              <w:spacing w:after="0"/>
              <w:rPr>
                <w:sz w:val="15"/>
                <w:szCs w:val="15"/>
                <w:color w:val="auto"/>
              </w:rPr>
            </w:pPr>
          </w:p>
        </w:tc>
      </w:tr>
      <w:tr>
        <w:trPr>
          <w:trHeight w:val="188"/>
        </w:trPr>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Straight Life Annuity)</w:t>
            </w:r>
          </w:p>
        </w:tc>
        <w:tc>
          <w:tcPr>
            <w:tcW w:w="920" w:type="dxa"/>
            <w:vAlign w:val="bottom"/>
          </w:tcPr>
          <w:p>
            <w:pPr>
              <w:jc w:val="right"/>
              <w:ind w:right="439"/>
              <w:spacing w:after="0"/>
              <w:rPr>
                <w:sz w:val="20"/>
                <w:szCs w:val="20"/>
                <w:color w:val="auto"/>
              </w:rPr>
            </w:pPr>
            <w:r>
              <w:rPr>
                <w:rFonts w:ascii="Courier New" w:cs="Courier New" w:eastAsia="Courier New" w:hAnsi="Courier New"/>
                <w:sz w:val="16"/>
                <w:szCs w:val="16"/>
                <w:color w:val="auto"/>
              </w:rPr>
              <w:t>for</w:t>
            </w:r>
          </w:p>
        </w:tc>
        <w:tc>
          <w:tcPr>
            <w:tcW w:w="840" w:type="dxa"/>
            <w:vAlign w:val="bottom"/>
          </w:tcPr>
          <w:p>
            <w:pPr>
              <w:spacing w:after="0"/>
              <w:rPr>
                <w:sz w:val="16"/>
                <w:szCs w:val="16"/>
                <w:color w:val="auto"/>
              </w:rPr>
            </w:pPr>
          </w:p>
        </w:tc>
      </w:tr>
      <w:tr>
        <w:trPr>
          <w:trHeight w:val="188"/>
        </w:trPr>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Newsweek</w:t>
            </w:r>
          </w:p>
        </w:tc>
        <w:tc>
          <w:tcPr>
            <w:tcW w:w="1060" w:type="dxa"/>
            <w:vAlign w:val="bottom"/>
          </w:tcPr>
          <w:p>
            <w:pPr>
              <w:spacing w:after="0"/>
              <w:rPr>
                <w:sz w:val="16"/>
                <w:szCs w:val="16"/>
                <w:color w:val="auto"/>
              </w:rPr>
            </w:pPr>
          </w:p>
        </w:tc>
        <w:tc>
          <w:tcPr>
            <w:tcW w:w="4700" w:type="dxa"/>
            <w:vAlign w:val="bottom"/>
            <w:gridSpan w:val="5"/>
          </w:tcPr>
          <w:p>
            <w:pPr>
              <w:jc w:val="right"/>
              <w:ind w:right="599"/>
              <w:spacing w:after="0"/>
              <w:rPr>
                <w:sz w:val="20"/>
                <w:szCs w:val="20"/>
                <w:color w:val="auto"/>
              </w:rPr>
            </w:pPr>
            <w:r>
              <w:rPr>
                <w:rFonts w:ascii="Courier New" w:cs="Courier New" w:eastAsia="Courier New" w:hAnsi="Courier New"/>
                <w:sz w:val="16"/>
                <w:szCs w:val="16"/>
                <w:color w:val="auto"/>
              </w:rPr>
              <w:t>Representative Years of Credited Service</w:t>
            </w:r>
          </w:p>
        </w:tc>
      </w:tr>
      <w:tr>
        <w:trPr>
          <w:trHeight w:val="188"/>
        </w:trPr>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9"/>
              </w:rPr>
              <w:t>Plan(b)(c)</w:t>
            </w:r>
          </w:p>
        </w:tc>
        <w:tc>
          <w:tcPr>
            <w:tcW w:w="18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8"/>
              </w:rPr>
              <w:t>-----------------------------------------------------------------</w:t>
            </w:r>
          </w:p>
        </w:tc>
        <w:tc>
          <w:tcPr>
            <w:tcW w:w="10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8"/>
        </w:trPr>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10</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20</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30</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35</w:t>
            </w:r>
          </w:p>
        </w:tc>
      </w:tr>
      <w:tr>
        <w:trPr>
          <w:trHeight w:val="188"/>
        </w:trPr>
        <w:tc>
          <w:tcPr>
            <w:tcW w:w="1180" w:type="dxa"/>
            <w:vAlign w:val="bottom"/>
          </w:tcPr>
          <w:p>
            <w:pPr>
              <w:spacing w:after="0"/>
              <w:rPr>
                <w:sz w:val="16"/>
                <w:szCs w:val="16"/>
                <w:color w:val="auto"/>
              </w:rPr>
            </w:pP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$300,000 ..</w:t>
            </w:r>
          </w:p>
        </w:tc>
        <w:tc>
          <w:tcPr>
            <w:tcW w:w="10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$ 47,250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$ 63,000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$ 78,750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8"/>
              </w:rPr>
              <w:t>$ 96,000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$112,500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41,500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62,250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103,750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126,500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148,500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46,500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69,750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116,250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141,750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166,500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51,500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77,250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128,950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157,000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184,500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550,000 ..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56,500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84,750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141,250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172,250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202,500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600,000 ..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61,500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92,250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153,750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187,500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220,500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66,500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99,750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166,250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202,750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238,500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71,500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107,250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178,750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218,000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256,500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76,500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114,750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191,250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233,250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274,500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800,000 ..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81,500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122,250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203,750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248,500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292,500</w:t>
            </w:r>
          </w:p>
        </w:tc>
      </w:tr>
      <w:tr>
        <w:trPr>
          <w:trHeight w:val="188"/>
        </w:trPr>
        <w:tc>
          <w:tcPr>
            <w:tcW w:w="11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850,000 ..</w:t>
            </w:r>
          </w:p>
        </w:tc>
        <w:tc>
          <w:tcPr>
            <w:tcW w:w="1060" w:type="dxa"/>
            <w:vAlign w:val="bottom"/>
          </w:tcPr>
          <w:p>
            <w:pPr>
              <w:jc w:val="center"/>
              <w:ind w:right="22"/>
              <w:spacing w:after="0"/>
              <w:rPr>
                <w:sz w:val="20"/>
                <w:szCs w:val="20"/>
                <w:color w:val="auto"/>
              </w:rPr>
            </w:pPr>
            <w:r>
              <w:rPr>
                <w:rFonts w:ascii="Courier New" w:cs="Courier New" w:eastAsia="Courier New" w:hAnsi="Courier New"/>
                <w:sz w:val="16"/>
                <w:szCs w:val="16"/>
                <w:color w:val="auto"/>
              </w:rPr>
              <w:t>86,500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129,750</w:t>
            </w:r>
          </w:p>
        </w:tc>
        <w:tc>
          <w:tcPr>
            <w:tcW w:w="106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173,000</w:t>
            </w:r>
          </w:p>
        </w:tc>
        <w:tc>
          <w:tcPr>
            <w:tcW w:w="10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216,250</w:t>
            </w:r>
          </w:p>
        </w:tc>
        <w:tc>
          <w:tcPr>
            <w:tcW w:w="9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263,750</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310,500</w:t>
            </w:r>
          </w:p>
        </w:tc>
      </w:tr>
    </w:tbl>
    <w:p>
      <w:pPr>
        <w:spacing w:after="0" w:line="200" w:lineRule="exact"/>
        <w:rPr>
          <w:sz w:val="20"/>
          <w:szCs w:val="20"/>
          <w:color w:val="auto"/>
        </w:rPr>
      </w:pPr>
    </w:p>
    <w:p>
      <w:pPr>
        <w:spacing w:after="0" w:line="368" w:lineRule="exact"/>
        <w:rPr>
          <w:sz w:val="20"/>
          <w:szCs w:val="20"/>
          <w:color w:val="auto"/>
        </w:rPr>
      </w:pPr>
    </w:p>
    <w:p>
      <w:pPr>
        <w:jc w:val="both"/>
        <w:ind w:left="580" w:right="2399" w:hanging="580"/>
        <w:spacing w:after="0" w:line="249" w:lineRule="auto"/>
        <w:tabs>
          <w:tab w:leader="none" w:pos="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deducting the effect on benefits of an offset applicable to benefits paid under the Company Plan and the Post-Newsweek Stations Plan and based on average social security covered compensation over the employee's career. For an individual retiring at age 65 during 1996 the deduction would be as follows for the indicated number of years of credited service: 10 years, $2,068; 15 years, $3,102; 20 years, $4,136; 25 years, $5,171; 30 and 35 years, $6,205.</w:t>
      </w:r>
    </w:p>
    <w:p>
      <w:pPr>
        <w:spacing w:after="0" w:line="187" w:lineRule="exact"/>
        <w:rPr>
          <w:rFonts w:ascii="Courier New" w:cs="Courier New" w:eastAsia="Courier New" w:hAnsi="Courier New"/>
          <w:sz w:val="16"/>
          <w:szCs w:val="16"/>
          <w:color w:val="auto"/>
        </w:rPr>
      </w:pPr>
    </w:p>
    <w:p>
      <w:pPr>
        <w:jc w:val="both"/>
        <w:ind w:left="580" w:right="2399" w:hanging="580"/>
        <w:spacing w:after="0" w:line="250" w:lineRule="auto"/>
        <w:tabs>
          <w:tab w:leader="none" w:pos="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Newsweek's plan required employee contributions until the end of 1982, when it was amended to make the plan non-contributory. The benefits shown in the table are those provided under the amended plan.</w:t>
      </w:r>
    </w:p>
    <w:p>
      <w:pPr>
        <w:spacing w:after="0" w:line="185" w:lineRule="exact"/>
        <w:rPr>
          <w:rFonts w:ascii="Courier New" w:cs="Courier New" w:eastAsia="Courier New" w:hAnsi="Courier New"/>
          <w:sz w:val="16"/>
          <w:szCs w:val="16"/>
          <w:color w:val="auto"/>
        </w:rPr>
      </w:pPr>
    </w:p>
    <w:p>
      <w:pPr>
        <w:jc w:val="both"/>
        <w:ind w:left="580" w:right="2399" w:hanging="580"/>
        <w:spacing w:after="0" w:line="253" w:lineRule="auto"/>
        <w:tabs>
          <w:tab w:leader="none" w:pos="5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provides increased benefits for years of service after 1991. The benefits shown in the table are those provided for service after that year.</w:t>
      </w:r>
    </w:p>
    <w:p>
      <w:pPr>
        <w:spacing w:after="0" w:line="370"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Overall Policy</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Company's executive compensation program is based on the premise that 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492" w:right="1440" w:bottom="1440" w:gutter="0" w:footer="0" w:header="0"/>
        </w:sectPr>
      </w:pPr>
    </w:p>
    <w:bookmarkStart w:id="22" w:name="page23"/>
    <w:bookmarkEnd w:id="22"/>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Each year the Compensation Committee conducts a full review of the Company's executive compensation program. This review includes a comprehensive report from the Company's Vice President of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peer group index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peer group selected for comparison purposes in the Performance Graph consists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186"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Compensation Committee determines the compensation of approximately the 60 most highly compensated corporate and divisional executives, including the chief executive officer and the other individuals whose compensation is detailed in this proxy statement (the "named executives"). In reviewing the individual performance of the named executives, the Compensation Committee takes into account the views of Mr. Graham and Mr. Spoon.</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Base Salaries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Base salaries for executive officers are initially determined by evaluating the responsibilities of the position held and the experience of the individual, and by reference to the competitive marketplace for executive talent, including a comparison to base salaries for comparable positions at other media companies.</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492" w:right="1440" w:bottom="1440" w:gutter="0" w:footer="0" w:header="0"/>
        </w:sectPr>
      </w:pPr>
    </w:p>
    <w:bookmarkStart w:id="23" w:name="page24"/>
    <w:bookmarkEnd w:id="23"/>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186"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With respect to the base salary paid to Mr. Graham in 1995, the Compensation Committee took into account a comparison of base salaries of chief executive officers of peer companies, the Company's results in 1994 and the performance of the Company. The Compensation Committee also took into account Mr. Graham's service to the Company and his performance since 1979 as publisher of The Washington Post. The Compensation Committee noted that Mr. Graham's base salary is significantly below the median of base salaries paid to chief executive officers of peer companies; and furthermore that the performance of the Company in 1995 exceeded budgeted financial goals. However, due to Mr. Graham's request, for personal reasons, to forego a base salary increase, Mr. Graham's base salary in 1995 remained at $400,000, the level established in 1991 upon his promotion to President and chief executive officer.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Incentive Compensation Plans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Company has two incentive compensation plans--the Annual Incentive Compensation Plan and the Long-Term Incentive Compensation Plan--under which awards are made primarily to key management and professional employees, including the Company's executive officers, who have made or are in a position to make significant contributions to the profitability of the Company and enhance shareholder value. Each plan is administered by the Compensation Committee.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Bonus Plan</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Company's Annual Incentive Compensation Plan provides for annual incentive compensation awards based on the Company's and its business units' short-term, i.e., annual, financial performance. At the end of 1994, the Compensation Committee approved a range of incentive payouts for 1995 keyed to performance against specified goals related to budgeted operating income, cash flow or earnings per share, which vary by business unit. In 1995 the Company exceeded</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492" w:right="1440" w:bottom="1440" w:gutter="0" w:footer="0" w:header="0"/>
        </w:sectPr>
      </w:pPr>
    </w:p>
    <w:bookmarkStart w:id="24" w:name="page25"/>
    <w:bookmarkEnd w:id="24"/>
    <w:p>
      <w:pPr>
        <w:jc w:val="both"/>
        <w:ind w:right="2399"/>
        <w:spacing w:after="0" w:line="249" w:lineRule="auto"/>
        <w:rPr>
          <w:sz w:val="20"/>
          <w:szCs w:val="20"/>
          <w:color w:val="auto"/>
        </w:rPr>
      </w:pPr>
      <w:r>
        <w:rPr>
          <w:rFonts w:ascii="Courier New" w:cs="Courier New" w:eastAsia="Courier New" w:hAnsi="Courier New"/>
          <w:sz w:val="16"/>
          <w:szCs w:val="16"/>
          <w:color w:val="auto"/>
        </w:rPr>
        <w:t>its budgeted earnings per share goal and each of its business units exceeded the threshold level of operating income required for earning bonus awards. Mr. Graham waived participation in the Annual Incentive Compensation Plan with respect to 1995. Awards to the other executives whose compensation is detailed in this proxy statement are shown in the column headed "Bonus" in the Summary Compensation Table shown on page 13.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Plan</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To balance the Annual Incentive Compensation Plan, which is intended to reward short-term financial performance, the Company's Long-Term Incentive Compensation Plan (the "Long-Term Plan") provides incentives for improved financial performance over periods of Award Cycles (which beginning in 1983 have consisted, and are expected to continue to consist, of four-year periods starting at two-year intervals).</w:t>
      </w:r>
    </w:p>
    <w:p>
      <w:pPr>
        <w:spacing w:after="0" w:line="18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Performance Units.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In December 1992, executive officers were granted Performance Units, effective January 4, 1993, for the 1993-1996 Award Cycle. Originally, the value of such Units was to be based on financial results in the last two years of the cycle and in accordance with the payout formulas then adopted. In December 1994 the Compensation Committee adopted revised payout formulas that will determine the value of Performance Units which were awarded for this cycle to Messrs. Ryan and Smith. Such revised formulas, which are discussed below, were adopted while results for the measurement years remain totally uncertain. In the case of Mr. Ryan, the revised payout formula is intended to reflect a more appropriate peer group measurement and will include the financial results of the two television stations acquired by the Company during 1995. In the case of Mr. Smith, the revised payout formula was required due to the Company's inability to obtain adequate financial information from the appropriate group of peer companies.</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Under the revised payout formula, the value of Units awarded to Mr. Ryan will be based on his division's cash flow margin over the 1995-1996 measurement period compared to the cash flow margins of a number of peer companies. For Mr. Ryan to receive a threshhold payment of $303,300, a target payment of $448,840 or a maximum payment of $707,700, Post-Newsweek Stations' cash flow margins will have to rank at certain designated percentiles (corresponding to the payment level) among the cash flow margins of a group of peer companies during the duration of the award cycle. The value of Units awarded to Mr. Smith will be based on a combination of the original payout formula which will be applicable to the 1993-1994 period and the revised payout formula which will be applicable to the 1995-1996 period. For Mr. Smith to receive a threshhold payment of $202,200, a target payment of $404,400 or a maximum payment of $606,600, Newsweek will have to achieve (i) a specified percentage (corresponding to the payment level) of the average performance index of several groups of peer companies based on changes in operating income margins with respect to the original payout formula for the 1993-1994 period and (ii) a specified percentage (corresponding to the payment level) of the operating income goal with respect to each of 1995 and</w:t>
      </w:r>
    </w:p>
    <w:p>
      <w:pPr>
        <w:spacing w:after="0" w:line="37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492" w:right="1440" w:bottom="1440" w:gutter="0" w:footer="0" w:header="0"/>
        </w:sectPr>
      </w:pPr>
    </w:p>
    <w:bookmarkStart w:id="25" w:name="page26"/>
    <w:bookmarkEnd w:id="25"/>
    <w:p>
      <w:pPr>
        <w:jc w:val="both"/>
        <w:ind w:right="2399"/>
        <w:spacing w:after="0" w:line="250" w:lineRule="auto"/>
        <w:rPr>
          <w:sz w:val="20"/>
          <w:szCs w:val="20"/>
          <w:color w:val="auto"/>
        </w:rPr>
      </w:pPr>
      <w:r>
        <w:rPr>
          <w:rFonts w:ascii="Courier New" w:cs="Courier New" w:eastAsia="Courier New" w:hAnsi="Courier New"/>
          <w:sz w:val="16"/>
          <w:szCs w:val="16"/>
          <w:color w:val="auto"/>
        </w:rPr>
        <w:t>1996. An additional payment of $50,550 also may be earned if, in the judgement of the Compensation Committee, Newsweek's business performance, including non-operating income measurements, is considered excellent.</w:t>
      </w:r>
    </w:p>
    <w:p>
      <w:pPr>
        <w:spacing w:after="0" w:line="18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Payout values of Units awarded to Mr. Graham and Mr. Spoon and the other Company executive officers named in the Summary Compensation Table shown on page 13 under the 1993-1996 Award Cycle will continue to be determined by the original payout formula which was adopted at the time the Units were awarded and which is based on the weighted average of the payout values earned by each of the Company's four major operating divisions and subject to the attainment of a minimum required return on equity. The weighted average will be based on operating income contribution of each division.</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On December 8, 1994, the Compensation Committee of the Board of Directors approved grants of Performance Units effective January 2, 1995, under Company's Long-Term Plan for the 1995-1998 Award Cycle to various key employees of the Company, including the chief executive officer and the executive officers named in the table on page 13. Pursuant to these grants, the chief executive officer and the named executives received the following: Donald E. Graham, 6,402 Performance Units; Alan G. Spoon, 5,394 Performance Units; Richard M. Smith, 4,392 Performance Units; G. William Ryan, 4,392 Performance Units; John B. Morse, Jr., 2,168 Performance Units; Martin Cohen, 1,318 Performance Units; and Beverly R. Keil, 1,236 Performance Units. Each Performance Unit has a nominal value of $100. The number of Units awarded is determined with reference to an individual's Plan grade. The payout opportunity for Mr. Ryan will be based on the financial performance of the Post-Newsweek Stations division as compared to that of a group of peer companies. The payout opportunity for Mr. Smith will be based on the achievement of financial performance targets for Newsweek, Inc. The payout opportunities for Messrs. Graham, Spoon, Morse and Cohen and for Ms. Keil are based on the simple average of the earned payouts for the major operating divisions of the Company (66.6% weighting), and the Company's total shareholder return during the Award Cycle compared to total shareholder returns of peer companies (33.3% weighting).</w:t>
      </w:r>
    </w:p>
    <w:p>
      <w:pPr>
        <w:spacing w:after="0" w:line="1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Restricted Stock.</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In December 1994, executive officers and other key employees were granted new Restricted Stock for the 1995-98 Award Cycle, effective January 2, 1995, based on the same formula for determining the number of shares of Restricted Stock used in prior years, including 551 shares of Restricted Stock awarded to Mr. Graham. The number of shares of Restricted Stock awarded is determined by dividing an amount equal to 25% of the individual's Plan grade mid-point by the actual market value of the Company's Class B Stock on the trading day immediately preceding the date on which such awards are approved. Awards to the named executives are referenced in the footnote to the column headed "Restricted Stock Awards" in the Summary Compensation Table shown on page 13.</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492" w:right="1440" w:bottom="1440" w:gutter="0" w:footer="0" w:header="0"/>
        </w:sectPr>
      </w:pPr>
    </w:p>
    <w:bookmarkStart w:id="26" w:name="page27"/>
    <w:bookmarkEnd w:id="26"/>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On January 2, 1995, the restrictions terminated on shares of Restricted Stock awarded to Mr. Graham and the other named executives for the 1991-94 Award Cycle. On that date, Mr. Graham received unrestricted title to 525 shares having a fair market value of $126,656 on January 3, 1995.</w:t>
      </w:r>
    </w:p>
    <w:p>
      <w:pPr>
        <w:spacing w:after="0" w:line="18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Special Incentives.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From time to time the Compensation Committee adopts special targeted incentive plans for key executives. These plans provide a one-time special incentive opportunity based on the achievement of special quantifiable operating objectives. In 1994 the Committee adopted special incentive programs for Messrs. Ryan and Smith. In each case, a special incentive may be earned at the end of 1997, based on the attainment of financial goals specified in these plans relating to average annual operating income for Post-Newsweek Stations and Newsweek, respectively. No incentives will be paid if the financial goals are not met.</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Plan</w:t>
      </w:r>
    </w:p>
    <w:p>
      <w:pPr>
        <w:spacing w:after="0" w:line="195" w:lineRule="exact"/>
        <w:rPr>
          <w:sz w:val="20"/>
          <w:szCs w:val="20"/>
          <w:color w:val="auto"/>
        </w:rPr>
      </w:pPr>
    </w:p>
    <w:p>
      <w:pPr>
        <w:jc w:val="both"/>
        <w:ind w:right="2399" w:firstLine="293"/>
        <w:spacing w:after="0" w:line="250" w:lineRule="auto"/>
        <w:rPr>
          <w:sz w:val="20"/>
          <w:szCs w:val="20"/>
          <w:color w:val="auto"/>
        </w:rPr>
      </w:pPr>
      <w:r>
        <w:rPr>
          <w:rFonts w:ascii="Courier New" w:cs="Courier New" w:eastAsia="Courier New" w:hAnsi="Courier New"/>
          <w:sz w:val="16"/>
          <w:szCs w:val="16"/>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373"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approximately 30 key employees who fall within that category.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 key employees to continue to make contributions to the Company. The Compensation Committee does not assign relative weights to such factors.</w:t>
      </w:r>
    </w:p>
    <w:p>
      <w:pPr>
        <w:spacing w:after="0" w:line="187" w:lineRule="exact"/>
        <w:rPr>
          <w:sz w:val="20"/>
          <w:szCs w:val="20"/>
          <w:color w:val="auto"/>
        </w:rPr>
      </w:pPr>
    </w:p>
    <w:p>
      <w:pPr>
        <w:ind w:right="2699" w:firstLine="293"/>
        <w:spacing w:after="0" w:line="251" w:lineRule="auto"/>
        <w:rPr>
          <w:sz w:val="20"/>
          <w:szCs w:val="20"/>
          <w:color w:val="auto"/>
        </w:rPr>
      </w:pPr>
      <w:r>
        <w:rPr>
          <w:rFonts w:ascii="Courier New" w:cs="Courier New" w:eastAsia="Courier New" w:hAnsi="Courier New"/>
          <w:sz w:val="16"/>
          <w:szCs w:val="16"/>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371"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In 1995, a non-qualified stock option was granted to Mr. Ryan with respect to 2,000 shares at fair market value price on the date of the grant. No other stock option awards were granted to the executives whose compensation is detailed in this proxy statement during 1995.</w:t>
      </w:r>
    </w:p>
    <w:p>
      <w:pPr>
        <w:spacing w:after="0" w:line="188"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49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Other Compensation Plans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At various times in the past the Company has adopted certain broad-based employee benefit plans in which the chief executive officer and the other individuals whose compensation is detailed in this proxy statement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187"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1995 no amount was accrued for the benefit of Mr. Graham with respect to an employer credit under the Company's SERP inasmuch as Mr. Graham waived his right for 1995 to maintain a separate unfunded saving plan account under the SERP. The amount accrued to the named executives are shown in the footnote to the column headed "All other compensation" in the Summary Compensation Table shown on page 13. The estimated annual pension amounts set forth in the table on pages 18 and 19 show the benefits payable to Mr. Graham and the named executives to the extent they participate in the applicable basic retirement plan and the supplemental executive retirement plan. The benefits payable to Mr. Graham and the named executives under the SERP are determined with reference to compensation including bonuses under the Annual Incentive Compensation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Conclusion</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Annual Incentive Compensation Plan, the Long-Term Incentive Compensation Plan and the Stock Option Plan meet the performance-based compensation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375"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George W. Wilson, Chairman</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James E. Burke</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Richard D. Simmons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49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5" w:lineRule="exact"/>
        <w:rPr>
          <w:sz w:val="20"/>
          <w:szCs w:val="20"/>
          <w:color w:val="auto"/>
        </w:rPr>
      </w:pPr>
    </w:p>
    <w:p>
      <w:pPr>
        <w:ind w:right="2799" w:firstLine="293"/>
        <w:spacing w:after="0" w:line="252" w:lineRule="auto"/>
        <w:rPr>
          <w:sz w:val="20"/>
          <w:szCs w:val="20"/>
          <w:color w:val="auto"/>
        </w:rPr>
      </w:pPr>
      <w:r>
        <w:rPr>
          <w:rFonts w:ascii="Courier New" w:cs="Courier New" w:eastAsia="Courier New" w:hAnsi="Courier New"/>
          <w:sz w:val="16"/>
          <w:szCs w:val="16"/>
          <w:color w:val="auto"/>
        </w:rPr>
        <w:t>James E. Burke, Richard D. Simmons and George W. Wilson served as members of the Compensation Committee in 1995.</w:t>
      </w:r>
    </w:p>
    <w:p>
      <w:pPr>
        <w:spacing w:after="0" w:line="183"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Mr. Richard D. Simmons, a member of the Compensation Committee of the Board of Directors since May 14, 1992, was the Company's President and Chief Operating Officer from September 1981 to May 9, 1991. During the past fiscal year, Mr. Simmons received $100,000 pursuant to a three-year agreement with the Company entered into following termination of his employment on June 30, 1991, which was extended in July 1994 through March 31, 1996. Under this agreement, Mr. Simmons consults and advises on business matters affecting the Company and oversees the Company's interest in the International Herald Tribune, S.A., including having served as its President and directeur de la publication.</w:t>
      </w:r>
    </w:p>
    <w:p>
      <w:pPr>
        <w:spacing w:after="0" w:line="187" w:lineRule="exact"/>
        <w:rPr>
          <w:sz w:val="20"/>
          <w:szCs w:val="20"/>
          <w:color w:val="auto"/>
        </w:rPr>
      </w:pPr>
    </w:p>
    <w:p>
      <w:pPr>
        <w:jc w:val="center"/>
        <w:ind w:right="2299"/>
        <w:spacing w:after="0"/>
        <w:rPr>
          <w:sz w:val="20"/>
          <w:szCs w:val="20"/>
          <w:color w:val="auto"/>
        </w:rPr>
      </w:pPr>
      <w:r>
        <w:rPr>
          <w:rFonts w:ascii="Courier New" w:cs="Courier New" w:eastAsia="Courier New" w:hAnsi="Courier New"/>
          <w:sz w:val="16"/>
          <w:szCs w:val="16"/>
          <w:color w:val="auto"/>
        </w:rPr>
        <w:t>Performance Graph</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following graph is a comparison of the yearly percentage change in the Company's cumulative total shareholder return with the cumulative total return of the Standard &amp; Poor's 500 Stock Index and a new index, the Standard &amp; Poor's Publishing/Newspapers Index. The graph also includes a comparison with the cumulative total return of a group of peer issuers which had been used in prior years and which will not be used in the future due to the changed nature of the peer group in the last three years. During the period of 1993 through 1995, four of the sixteen companies included in the peer group have been acquired by other companies and are no longer publicly traded entities and in 1996 at least one more company, Capital Cities/ABC, Inc., which has been acquired by the Disney Company, has ceased to be a publicly traded entity.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and Tribune Company, all companies previously included in the peer group comparison, weighted by market capitalization.</w:t>
      </w:r>
    </w:p>
    <w:p>
      <w:pPr>
        <w:spacing w:after="0" w:line="374"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graph reflects the investment of $100 on December 31, 1990 in the Company's Class B Common Stock, the Standard &amp; Poor's 500 Stock Index and the Standard &amp; Poor's Publishing/Newspapers Index. For purposes of this graph, it has been assumed that dividends were reinvested on the date paid in the case of the Company and the group of peer issuers and on quarterly basis in the case of the Standard &amp; Poor's 500 Index and the Standard &amp; Poor's Publishing/Newspaper Index.</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492"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4"/>
        </w:trPr>
        <w:tc>
          <w:tcPr>
            <w:tcW w:w="340" w:type="dxa"/>
            <w:vAlign w:val="bottom"/>
          </w:tcPr>
          <w:p>
            <w:pPr>
              <w:spacing w:after="0"/>
              <w:rPr>
                <w:sz w:val="15"/>
                <w:szCs w:val="15"/>
                <w:color w:val="auto"/>
              </w:rPr>
            </w:pPr>
          </w:p>
        </w:tc>
        <w:tc>
          <w:tcPr>
            <w:tcW w:w="4980" w:type="dxa"/>
            <w:vAlign w:val="bottom"/>
            <w:gridSpan w:val="4"/>
          </w:tcPr>
          <w:p>
            <w:pPr>
              <w:ind w:left="2100"/>
              <w:spacing w:after="0"/>
              <w:rPr>
                <w:sz w:val="20"/>
                <w:szCs w:val="20"/>
                <w:color w:val="auto"/>
              </w:rPr>
            </w:pPr>
            <w:r>
              <w:rPr>
                <w:rFonts w:ascii="Courier New" w:cs="Courier New" w:eastAsia="Courier New" w:hAnsi="Courier New"/>
                <w:sz w:val="16"/>
                <w:szCs w:val="16"/>
                <w:color w:val="auto"/>
              </w:rPr>
              <w:t>The Washington Post Company</w:t>
            </w: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8"/>
        </w:trPr>
        <w:tc>
          <w:tcPr>
            <w:tcW w:w="340" w:type="dxa"/>
            <w:vAlign w:val="bottom"/>
          </w:tcPr>
          <w:p>
            <w:pPr>
              <w:spacing w:after="0"/>
              <w:rPr>
                <w:sz w:val="16"/>
                <w:szCs w:val="16"/>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Cumulative</w:t>
            </w:r>
          </w:p>
        </w:tc>
        <w:tc>
          <w:tcPr>
            <w:tcW w:w="328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Total Shareholder Return for</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340" w:type="dxa"/>
            <w:vAlign w:val="bottom"/>
          </w:tcPr>
          <w:p>
            <w:pPr>
              <w:spacing w:after="0"/>
              <w:rPr>
                <w:sz w:val="16"/>
                <w:szCs w:val="16"/>
                <w:color w:val="auto"/>
              </w:rPr>
            </w:pPr>
          </w:p>
        </w:tc>
        <w:tc>
          <w:tcPr>
            <w:tcW w:w="4980" w:type="dxa"/>
            <w:vAlign w:val="bottom"/>
            <w:gridSpan w:val="4"/>
          </w:tcPr>
          <w:p>
            <w:pPr>
              <w:ind w:left="1420"/>
              <w:spacing w:after="0"/>
              <w:rPr>
                <w:sz w:val="20"/>
                <w:szCs w:val="20"/>
                <w:color w:val="auto"/>
              </w:rPr>
            </w:pPr>
            <w:r>
              <w:rPr>
                <w:rFonts w:ascii="Courier New" w:cs="Courier New" w:eastAsia="Courier New" w:hAnsi="Courier New"/>
                <w:sz w:val="16"/>
                <w:szCs w:val="16"/>
                <w:color w:val="auto"/>
              </w:rPr>
              <w:t>Five-Year Period Ending December 31,</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1995</w:t>
            </w: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564"/>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6"/>
                <w:szCs w:val="16"/>
                <w:color w:val="auto"/>
              </w:rPr>
              <w:t>IMAGE</w:t>
            </w:r>
          </w:p>
        </w:tc>
        <w:tc>
          <w:tcPr>
            <w:tcW w:w="780" w:type="dxa"/>
            <w:vAlign w:val="bottom"/>
          </w:tcPr>
          <w:p>
            <w:pPr>
              <w:ind w:left="60"/>
              <w:spacing w:after="0"/>
              <w:rPr>
                <w:sz w:val="20"/>
                <w:szCs w:val="20"/>
                <w:color w:val="auto"/>
              </w:rPr>
            </w:pPr>
            <w:r>
              <w:rPr>
                <w:rFonts w:ascii="Courier New" w:cs="Courier New" w:eastAsia="Courier New" w:hAnsi="Courier New"/>
                <w:sz w:val="16"/>
                <w:szCs w:val="16"/>
                <w:color w:val="auto"/>
              </w:rPr>
              <w:t>OMITTED</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76"/>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December 31...</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8"/>
              </w:rPr>
              <w:t>1990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w w:val="98"/>
              </w:rPr>
              <w:t>1991</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w w:val="98"/>
              </w:rPr>
              <w:t>1992</w:t>
            </w:r>
          </w:p>
        </w:tc>
        <w:tc>
          <w:tcPr>
            <w:tcW w:w="840" w:type="dxa"/>
            <w:vAlign w:val="bottom"/>
          </w:tcPr>
          <w:p>
            <w:pPr>
              <w:ind w:left="160"/>
              <w:spacing w:after="0"/>
              <w:rPr>
                <w:sz w:val="20"/>
                <w:szCs w:val="20"/>
                <w:color w:val="auto"/>
              </w:rPr>
            </w:pPr>
            <w:r>
              <w:rPr>
                <w:rFonts w:ascii="Courier New" w:cs="Courier New" w:eastAsia="Courier New" w:hAnsi="Courier New"/>
                <w:sz w:val="16"/>
                <w:szCs w:val="16"/>
                <w:color w:val="auto"/>
              </w:rPr>
              <w:t>1993</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1994</w:t>
            </w:r>
          </w:p>
        </w:tc>
        <w:tc>
          <w:tcPr>
            <w:tcW w:w="740" w:type="dxa"/>
            <w:vAlign w:val="bottom"/>
          </w:tcPr>
          <w:p>
            <w:pPr>
              <w:jc w:val="center"/>
              <w:ind w:left="79"/>
              <w:spacing w:after="0"/>
              <w:rPr>
                <w:sz w:val="20"/>
                <w:szCs w:val="20"/>
                <w:color w:val="auto"/>
              </w:rPr>
            </w:pPr>
            <w:r>
              <w:rPr>
                <w:rFonts w:ascii="Courier New" w:cs="Courier New" w:eastAsia="Courier New" w:hAnsi="Courier New"/>
                <w:sz w:val="16"/>
                <w:szCs w:val="16"/>
                <w:color w:val="auto"/>
                <w:w w:val="98"/>
              </w:rPr>
              <w:t>1995</w:t>
            </w:r>
          </w:p>
        </w:tc>
      </w:tr>
      <w:tr>
        <w:trPr>
          <w:trHeight w:val="188"/>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Washington Post</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100.00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100.16</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120.53</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136.05</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131.78</w:t>
            </w:r>
          </w:p>
        </w:tc>
        <w:tc>
          <w:tcPr>
            <w:tcW w:w="740" w:type="dxa"/>
            <w:vAlign w:val="bottom"/>
          </w:tcPr>
          <w:p>
            <w:pPr>
              <w:jc w:val="center"/>
              <w:ind w:left="79"/>
              <w:spacing w:after="0"/>
              <w:rPr>
                <w:sz w:val="20"/>
                <w:szCs w:val="20"/>
                <w:color w:val="auto"/>
              </w:rPr>
            </w:pPr>
            <w:r>
              <w:rPr>
                <w:rFonts w:ascii="Courier New" w:cs="Courier New" w:eastAsia="Courier New" w:hAnsi="Courier New"/>
                <w:sz w:val="16"/>
                <w:szCs w:val="16"/>
                <w:color w:val="auto"/>
              </w:rPr>
              <w:t>155.77</w:t>
            </w:r>
          </w:p>
        </w:tc>
      </w:tr>
      <w:tr>
        <w:trPr>
          <w:trHeight w:val="188"/>
        </w:trPr>
        <w:tc>
          <w:tcPr>
            <w:tcW w:w="34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2540" w:type="dxa"/>
            <w:vAlign w:val="bottom"/>
          </w:tcPr>
          <w:p>
            <w:pPr>
              <w:jc w:val="right"/>
              <w:ind w:right="2119"/>
              <w:spacing w:after="0"/>
              <w:rPr>
                <w:sz w:val="20"/>
                <w:szCs w:val="20"/>
                <w:color w:val="auto"/>
              </w:rPr>
            </w:pPr>
            <w:r>
              <w:rPr>
                <w:rFonts w:ascii="Courier New" w:cs="Courier New" w:eastAsia="Courier New" w:hAnsi="Courier New"/>
                <w:sz w:val="16"/>
                <w:szCs w:val="16"/>
                <w:color w:val="auto"/>
              </w:rPr>
              <w:t>500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100.00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130.34</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140.25</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154.32</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156.42</w:t>
            </w:r>
          </w:p>
        </w:tc>
        <w:tc>
          <w:tcPr>
            <w:tcW w:w="740" w:type="dxa"/>
            <w:vAlign w:val="bottom"/>
          </w:tcPr>
          <w:p>
            <w:pPr>
              <w:jc w:val="center"/>
              <w:ind w:left="79"/>
              <w:spacing w:after="0"/>
              <w:rPr>
                <w:sz w:val="20"/>
                <w:szCs w:val="20"/>
                <w:color w:val="auto"/>
              </w:rPr>
            </w:pPr>
            <w:r>
              <w:rPr>
                <w:rFonts w:ascii="Courier New" w:cs="Courier New" w:eastAsia="Courier New" w:hAnsi="Courier New"/>
                <w:sz w:val="16"/>
                <w:szCs w:val="16"/>
                <w:color w:val="auto"/>
              </w:rPr>
              <w:t>214.99</w:t>
            </w:r>
          </w:p>
        </w:tc>
      </w:tr>
      <w:tr>
        <w:trPr>
          <w:trHeight w:val="188"/>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Peer Group</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100.00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108.61</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126.04</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151.90</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157.11</w:t>
            </w:r>
          </w:p>
        </w:tc>
        <w:tc>
          <w:tcPr>
            <w:tcW w:w="740" w:type="dxa"/>
            <w:vAlign w:val="bottom"/>
          </w:tcPr>
          <w:p>
            <w:pPr>
              <w:jc w:val="center"/>
              <w:ind w:left="79"/>
              <w:spacing w:after="0"/>
              <w:rPr>
                <w:sz w:val="20"/>
                <w:szCs w:val="20"/>
                <w:color w:val="auto"/>
              </w:rPr>
            </w:pPr>
            <w:r>
              <w:rPr>
                <w:rFonts w:ascii="Courier New" w:cs="Courier New" w:eastAsia="Courier New" w:hAnsi="Courier New"/>
                <w:sz w:val="16"/>
                <w:szCs w:val="16"/>
                <w:color w:val="auto"/>
              </w:rPr>
              <w:t>211.05</w:t>
            </w:r>
          </w:p>
        </w:tc>
      </w:tr>
      <w:tr>
        <w:trPr>
          <w:trHeight w:val="188"/>
        </w:trPr>
        <w:tc>
          <w:tcPr>
            <w:tcW w:w="2880" w:type="dxa"/>
            <w:vAlign w:val="bottom"/>
            <w:gridSpan w:val="2"/>
          </w:tcPr>
          <w:p>
            <w:pPr>
              <w:spacing w:after="0"/>
              <w:rPr>
                <w:sz w:val="20"/>
                <w:szCs w:val="20"/>
                <w:color w:val="auto"/>
              </w:rPr>
            </w:pPr>
            <w:r>
              <w:rPr>
                <w:rFonts w:ascii="Courier New" w:cs="Courier New" w:eastAsia="Courier New" w:hAnsi="Courier New"/>
                <w:sz w:val="16"/>
                <w:szCs w:val="16"/>
                <w:color w:val="auto"/>
              </w:rPr>
              <w:t>S&amp;P Publishing (Newspapers)</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100.00</w:t>
            </w:r>
          </w:p>
        </w:tc>
        <w:tc>
          <w:tcPr>
            <w:tcW w:w="780" w:type="dxa"/>
            <w:vAlign w:val="bottom"/>
          </w:tcPr>
          <w:p>
            <w:pPr>
              <w:jc w:val="center"/>
              <w:spacing w:after="0"/>
              <w:rPr>
                <w:sz w:val="20"/>
                <w:szCs w:val="20"/>
                <w:color w:val="auto"/>
              </w:rPr>
            </w:pPr>
            <w:r>
              <w:rPr>
                <w:rFonts w:ascii="Courier New" w:cs="Courier New" w:eastAsia="Courier New" w:hAnsi="Courier New"/>
                <w:sz w:val="16"/>
                <w:szCs w:val="16"/>
                <w:color w:val="auto"/>
              </w:rPr>
              <w:t>121.09</w:t>
            </w:r>
          </w:p>
        </w:tc>
        <w:tc>
          <w:tcPr>
            <w:tcW w:w="880" w:type="dxa"/>
            <w:vAlign w:val="bottom"/>
          </w:tcPr>
          <w:p>
            <w:pPr>
              <w:jc w:val="center"/>
              <w:ind w:right="99"/>
              <w:spacing w:after="0"/>
              <w:rPr>
                <w:sz w:val="20"/>
                <w:szCs w:val="20"/>
                <w:color w:val="auto"/>
              </w:rPr>
            </w:pPr>
            <w:r>
              <w:rPr>
                <w:rFonts w:ascii="Courier New" w:cs="Courier New" w:eastAsia="Courier New" w:hAnsi="Courier New"/>
                <w:sz w:val="16"/>
                <w:szCs w:val="16"/>
                <w:color w:val="auto"/>
              </w:rPr>
              <w:t>135.47</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rPr>
              <w:t>156.92</w:t>
            </w:r>
          </w:p>
        </w:tc>
        <w:tc>
          <w:tcPr>
            <w:tcW w:w="920" w:type="dxa"/>
            <w:vAlign w:val="bottom"/>
          </w:tcPr>
          <w:p>
            <w:pPr>
              <w:jc w:val="center"/>
              <w:spacing w:after="0"/>
              <w:rPr>
                <w:sz w:val="20"/>
                <w:szCs w:val="20"/>
                <w:color w:val="auto"/>
              </w:rPr>
            </w:pPr>
            <w:r>
              <w:rPr>
                <w:rFonts w:ascii="Courier New" w:cs="Courier New" w:eastAsia="Courier New" w:hAnsi="Courier New"/>
                <w:sz w:val="16"/>
                <w:szCs w:val="16"/>
                <w:color w:val="auto"/>
              </w:rPr>
              <w:t>145.03</w:t>
            </w:r>
          </w:p>
        </w:tc>
        <w:tc>
          <w:tcPr>
            <w:tcW w:w="740" w:type="dxa"/>
            <w:vAlign w:val="bottom"/>
          </w:tcPr>
          <w:p>
            <w:pPr>
              <w:jc w:val="center"/>
              <w:ind w:left="79"/>
              <w:spacing w:after="0"/>
              <w:rPr>
                <w:sz w:val="20"/>
                <w:szCs w:val="20"/>
                <w:color w:val="auto"/>
              </w:rPr>
            </w:pPr>
            <w:r>
              <w:rPr>
                <w:rFonts w:ascii="Courier New" w:cs="Courier New" w:eastAsia="Courier New" w:hAnsi="Courier New"/>
                <w:sz w:val="16"/>
                <w:szCs w:val="16"/>
                <w:color w:val="auto"/>
              </w:rPr>
              <w:t>182.63</w:t>
            </w:r>
          </w:p>
        </w:tc>
      </w:tr>
    </w:tbl>
    <w:p>
      <w:pPr>
        <w:spacing w:after="0" w:line="200" w:lineRule="exact"/>
        <w:rPr>
          <w:sz w:val="20"/>
          <w:szCs w:val="20"/>
          <w:color w:val="auto"/>
        </w:rPr>
      </w:pPr>
    </w:p>
    <w:p>
      <w:pPr>
        <w:spacing w:after="0" w:line="368" w:lineRule="exact"/>
        <w:rPr>
          <w:sz w:val="20"/>
          <w:szCs w:val="20"/>
          <w:color w:val="auto"/>
        </w:rPr>
      </w:pPr>
    </w:p>
    <w:p>
      <w:pPr>
        <w:jc w:val="both"/>
        <w:ind w:right="2399" w:firstLine="293"/>
        <w:spacing w:after="0" w:line="249" w:lineRule="auto"/>
        <w:tabs>
          <w:tab w:leader="none" w:pos="68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peer group includes the following companies: Gannett Co. Inc., Knight Ridder, Inc., The New York Times Company, The Times-Mirror Company, Tribune Company, A.H. Belo Corp., Dow Jones and Company, Inc., Lee Enterprises, Inc., McGraw Hill Inc., Media General Inc., Meredith Corp., Pulitzer Publishing Company, Capital Cities/ABC, Inc. Affiliated Publications, Inc., which is included in the peer group returns prior to 1993, is not included in the peer group returns for 1993, 1994 and 1995 because during 1993 Affiliated Publication, Inc., was acquired by The New York Times Company. None of CBS Inc., Multimedia Inc. and Park Communications, Inc., each of which is included in the peer group returns prior to 1995, is included in the peer group returns for 1995 because during that year CBS Inc. was acquired by Westinghouse Electric Corp., Multimedia Inc. was acquired by Gannett Co., Inc. and Park Communications, Inc. was acquired by Park Acquisitions.</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49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6"/>
          <w:szCs w:val="16"/>
          <w:color w:val="auto"/>
        </w:rPr>
        <w:t>Certain Transactions</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The firm of Ruane, Cunniff &amp; Co., Inc., of which Mr. William J. Ruane, a Director of the Company, is Chairman of the Board and a principal owner, is one of two firms that managed the investment of the Company's retirement funds in 1995, for which services it received $1,240,996.</w:t>
      </w:r>
    </w:p>
    <w:p>
      <w:pPr>
        <w:spacing w:after="0" w:line="188"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Effective March 1, 1996, the Company renewed a contract with Mrs. Elizabeth Weymouth, the daughter of Mrs. Katharine Graham and the sister of Mr. Donald Graham, under which she contributes articles to The Washington Post newspaper. After March 1, 1996, Mrs. Weymouth will receive compensation of $80,000 on an annualized basis and reimbursement of certain expenses associated with providing those articles.</w:t>
      </w:r>
    </w:p>
    <w:p>
      <w:pPr>
        <w:spacing w:after="0" w:line="187"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OTHER MATTERS THAT MAY COME BEFORE THE MEETING</w:t>
      </w:r>
    </w:p>
    <w:p>
      <w:pPr>
        <w:spacing w:after="0" w:line="19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As of the date of this Proxy Statement the only matters that the Board of Directors expects to present to the meeting are those discussed herein. If any other matter or matters are properly brought before the meeting or any adjournment thereof, it is the intention of the persons named in the accompanying form of Proxy to vote on those matters in accordance with their best judgment.</w:t>
      </w:r>
    </w:p>
    <w:p>
      <w:pPr>
        <w:spacing w:after="0" w:line="375" w:lineRule="exact"/>
        <w:rPr>
          <w:sz w:val="20"/>
          <w:szCs w:val="20"/>
          <w:color w:val="auto"/>
        </w:rPr>
      </w:pPr>
    </w:p>
    <w:p>
      <w:pPr>
        <w:jc w:val="both"/>
        <w:ind w:right="2399" w:firstLine="293"/>
        <w:spacing w:after="0" w:line="249" w:lineRule="auto"/>
        <w:rPr>
          <w:sz w:val="20"/>
          <w:szCs w:val="20"/>
          <w:color w:val="auto"/>
        </w:rPr>
      </w:pPr>
      <w:r>
        <w:rPr>
          <w:rFonts w:ascii="Courier New" w:cs="Courier New" w:eastAsia="Courier New" w:hAnsi="Courier New"/>
          <w:sz w:val="16"/>
          <w:szCs w:val="16"/>
          <w:color w:val="auto"/>
        </w:rPr>
        <w:t>Upon the recommendation of the Audit Committee, the Board of Directors has selected Price Waterhouse LLP as the Company's independent accountants to audit and report on its financial statements for the fiscal year 1996. The same firm has acted as the Company's independent accountants continuously since the Company was organized in 1946. As in previous years, a representative of Price Waterhouse LLP will be present at the Annual Meeting, will have the opportunity to make any statement he may desire with respect to the Company's financial statements for 1995 and his firm's relationship with the Company, and will be available to respond to appropriate questions from stockholders.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492" w:right="1440" w:bottom="1440" w:gutter="0" w:footer="0" w:header="0"/>
        </w:sectPr>
      </w:pPr>
    </w:p>
    <w:bookmarkStart w:id="31" w:name="page32"/>
    <w:bookmarkEnd w:id="31"/>
    <w:p>
      <w:pPr>
        <w:ind w:left="2120"/>
        <w:spacing w:after="0"/>
        <w:rPr>
          <w:sz w:val="20"/>
          <w:szCs w:val="20"/>
          <w:color w:val="auto"/>
        </w:rPr>
      </w:pPr>
      <w:r>
        <w:rPr>
          <w:rFonts w:ascii="Courier New" w:cs="Courier New" w:eastAsia="Courier New" w:hAnsi="Courier New"/>
          <w:sz w:val="16"/>
          <w:szCs w:val="16"/>
          <w:color w:val="auto"/>
        </w:rPr>
        <w:t>NOTICE OF</w:t>
      </w:r>
    </w:p>
    <w:p>
      <w:pPr>
        <w:spacing w:after="0" w:line="7"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ANNUAL MEETING</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AND</w:t>
      </w:r>
    </w:p>
    <w:p>
      <w:pPr>
        <w:spacing w:after="0" w:line="7"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PROXY STATEMENT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1996</w:t>
      </w:r>
    </w:p>
    <w:p>
      <w:pPr>
        <w:spacing w:after="0" w:line="200" w:lineRule="exact"/>
        <w:rPr>
          <w:sz w:val="20"/>
          <w:szCs w:val="20"/>
          <w:color w:val="auto"/>
        </w:rPr>
      </w:pPr>
    </w:p>
    <w:p>
      <w:pPr>
        <w:spacing w:after="0" w:line="371"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THE WASHINGTON POST COMPANY</w:t>
      </w:r>
    </w:p>
    <w:p>
      <w:pPr>
        <w:spacing w:after="0" w:line="7"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019"/>
          </w:cols>
          <w:pgMar w:left="1440" w:top="868" w:right="1440" w:bottom="1440"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upperLetter"/>
      <w:start w:val="24"/>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a"/>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6"/>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2019-12-12T06:37:14Z</dcterms:created>
  <dcterms:modified xsi:type="dcterms:W3CDTF">2019-12-12T06:37:14Z</dcterms:modified>
</cp:coreProperties>
</file>