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Graham Holdings Company</w:t>
      </w:r>
    </w:p>
    <w:p>
      <w:pPr>
        <w:ind w:left="2120"/>
        <w:spacing w:after="0" w:line="238" w:lineRule="auto"/>
        <w:rPr>
          <w:sz w:val="20"/>
          <w:szCs w:val="20"/>
          <w:color w:val="auto"/>
        </w:rPr>
      </w:pPr>
      <w:r>
        <w:rPr>
          <w:rFonts w:ascii="Courier New" w:cs="Courier New" w:eastAsia="Courier New" w:hAnsi="Courier New"/>
          <w:sz w:val="18"/>
          <w:szCs w:val="18"/>
          <w:color w:val="auto"/>
        </w:rPr>
        <w:t>(formerly The Washington Post Company)</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187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384637104</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300" w:type="dxa"/>
            <w:vAlign w:val="bottom"/>
          </w:tcPr>
          <w:p>
            <w:pPr>
              <w:ind w:left="200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62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110,310 shares</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2"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428,000 shares (Shared)</w:t>
      </w:r>
    </w:p>
    <w:p>
      <w:pPr>
        <w:sectPr>
          <w:pgSz w:w="11900" w:h="16855" w:orient="portrait"/>
          <w:cols w:equalWidth="0" w:num="1">
            <w:col w:w="10219"/>
          </w:cols>
          <w:pgMar w:left="240" w:top="244" w:right="1440" w:bottom="0" w:gutter="0" w:footer="0" w:header="0"/>
        </w:sectPr>
      </w:pPr>
    </w:p>
    <w:bookmarkStart w:id="1" w:name="page2"/>
    <w:bookmarkEnd w:id="1"/>
    <w:p>
      <w:pPr>
        <w:ind w:left="4860"/>
        <w:spacing w:after="0"/>
        <w:rPr>
          <w:sz w:val="20"/>
          <w:szCs w:val="20"/>
          <w:color w:val="auto"/>
        </w:rPr>
      </w:pPr>
      <w:r>
        <w:rPr>
          <w:rFonts w:ascii="Courier New" w:cs="Courier New" w:eastAsia="Courier New" w:hAnsi="Courier New"/>
          <w:sz w:val="18"/>
          <w:szCs w:val="18"/>
          <w:color w:val="auto"/>
        </w:rPr>
        <w:t>4,900 shares (No Vote)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 SOLE DISPOSITIVE POWER</w:t>
      </w:r>
    </w:p>
    <w:p>
      <w:pPr>
        <w:ind w:left="4220"/>
        <w:spacing w:after="0" w:line="238" w:lineRule="auto"/>
        <w:rPr>
          <w:sz w:val="20"/>
          <w:szCs w:val="20"/>
          <w:color w:val="auto"/>
        </w:rPr>
      </w:pPr>
      <w:r>
        <w:rPr>
          <w:rFonts w:ascii="Courier New" w:cs="Courier New" w:eastAsia="Courier New" w:hAnsi="Courier New"/>
          <w:sz w:val="18"/>
          <w:szCs w:val="18"/>
          <w:color w:val="auto"/>
        </w:rPr>
        <w:t>(Discretionary Accounts)</w:t>
      </w: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115,210 shares</w:t>
      </w:r>
    </w:p>
    <w:p>
      <w:pPr>
        <w:spacing w:after="0" w:line="3"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428,000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(Discretionary &amp; Non-discretionary Accounts)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543,210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8.7 %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680" w:type="dxa"/>
            <w:vAlign w:val="bottom"/>
          </w:tcPr>
          <w:p>
            <w:pPr>
              <w:ind w:left="238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tabs>
          <w:tab w:leader="none" w:pos="5880" w:val="left"/>
        </w:tabs>
        <w:rPr>
          <w:sz w:val="20"/>
          <w:szCs w:val="20"/>
          <w:color w:val="auto"/>
        </w:rPr>
      </w:pPr>
      <w:r>
        <w:rPr>
          <w:rFonts w:ascii="Courier New" w:cs="Courier New" w:eastAsia="Courier New" w:hAnsi="Courier New"/>
          <w:sz w:val="18"/>
          <w:szCs w:val="18"/>
          <w:color w:val="auto"/>
        </w:rPr>
        <w:t>Longleaf Partners Small-Cap Fund</w:t>
      </w:r>
      <w:r>
        <w:rPr>
          <w:sz w:val="20"/>
          <w:szCs w:val="20"/>
          <w:color w:val="auto"/>
        </w:rPr>
        <w:tab/>
      </w:r>
      <w:r>
        <w:rPr>
          <w:rFonts w:ascii="Courier New" w:cs="Courier New" w:eastAsia="Courier New" w:hAnsi="Courier New"/>
          <w:sz w:val="16"/>
          <w:szCs w:val="16"/>
          <w:color w:val="auto"/>
        </w:rPr>
        <w:t>I.D. No. 62-1376170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540"/>
        <w:spacing w:after="0"/>
        <w:rPr>
          <w:sz w:val="20"/>
          <w:szCs w:val="20"/>
          <w:color w:val="auto"/>
        </w:rPr>
      </w:pPr>
      <w:r>
        <w:rPr>
          <w:rFonts w:ascii="Courier New" w:cs="Courier New" w:eastAsia="Courier New" w:hAnsi="Courier New"/>
          <w:sz w:val="18"/>
          <w:szCs w:val="18"/>
          <w:color w:val="auto"/>
        </w:rPr>
        <w:t>Massachusetts Business Trust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None</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VOTING POWER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428,000</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:(7) SOLE DISPOSITIVE POWER</w:t>
      </w:r>
    </w:p>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428,000 (Shared)</w:t>
      </w:r>
    </w:p>
    <w:p>
      <w:pPr>
        <w:ind w:left="4220" w:hanging="525"/>
        <w:spacing w:after="0" w:line="238" w:lineRule="auto"/>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428,000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line="238" w:lineRule="auto"/>
        <w:rPr>
          <w:sz w:val="20"/>
          <w:szCs w:val="20"/>
          <w:color w:val="auto"/>
        </w:rPr>
      </w:pPr>
      <w:r>
        <w:rPr>
          <w:rFonts w:ascii="Courier New" w:cs="Courier New" w:eastAsia="Courier New" w:hAnsi="Courier New"/>
          <w:sz w:val="18"/>
          <w:szCs w:val="18"/>
          <w:color w:val="auto"/>
        </w:rPr>
        <w:t>6.9 %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160" w:type="dxa"/>
            <w:vAlign w:val="bottom"/>
          </w:tcPr>
          <w:p>
            <w:pPr>
              <w:ind w:left="18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ectPr>
          <w:pgSz w:w="11900" w:h="16838" w:orient="portrait"/>
          <w:cols w:equalWidth="0" w:num="1">
            <w:col w:w="10219"/>
          </w:cols>
          <w:pgMar w:left="240" w:top="136" w:right="1440" w:bottom="0" w:gutter="0" w:footer="0" w:header="0"/>
        </w:sectPr>
      </w:pPr>
    </w:p>
    <w:bookmarkStart w:id="2" w:name="page3"/>
    <w:bookmarkEnd w:id="2"/>
    <w:p>
      <w:pPr>
        <w:ind w:left="4860"/>
        <w:spacing w:after="0"/>
        <w:rPr>
          <w:sz w:val="20"/>
          <w:szCs w:val="20"/>
          <w:color w:val="auto"/>
        </w:rPr>
      </w:pPr>
      <w:r>
        <w:rPr>
          <w:rFonts w:ascii="Courier New" w:cs="Courier New" w:eastAsia="Courier New" w:hAnsi="Courier New"/>
          <w:sz w:val="18"/>
          <w:szCs w:val="18"/>
          <w:color w:val="auto"/>
        </w:rPr>
        <w:t>(a)</w:t>
      </w:r>
    </w:p>
    <w:p>
      <w:pPr>
        <w:ind w:left="486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:(5)</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bl>
    <w:p>
      <w:pPr>
        <w:spacing w:after="0" w:line="201" w:lineRule="exact"/>
        <w:rPr>
          <w:sz w:val="20"/>
          <w:szCs w:val="20"/>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w:t>
      </w:r>
    </w:p>
    <w:p>
      <w:pPr>
        <w:ind w:left="640"/>
        <w:spacing w:after="0" w:line="238" w:lineRule="auto"/>
        <w:rPr>
          <w:sz w:val="20"/>
          <w:szCs w:val="20"/>
          <w:color w:val="auto"/>
        </w:rPr>
      </w:pPr>
      <w:r>
        <w:rPr>
          <w:rFonts w:ascii="Courier New" w:cs="Courier New" w:eastAsia="Courier New" w:hAnsi="Courier New"/>
          <w:sz w:val="18"/>
          <w:szCs w:val="18"/>
          <w:color w:val="auto"/>
        </w:rPr>
        <w:t>CERTAIN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060" w:right="3579" w:hanging="526"/>
        <w:spacing w:after="0" w:line="235" w:lineRule="auto"/>
        <w:rPr>
          <w:sz w:val="20"/>
          <w:szCs w:val="20"/>
          <w:color w:val="auto"/>
        </w:rPr>
      </w:pPr>
      <w:r>
        <w:rPr>
          <w:rFonts w:ascii="Courier New" w:cs="Courier New" w:eastAsia="Courier New" w:hAnsi="Courier New"/>
          <w:sz w:val="18"/>
          <w:szCs w:val="18"/>
          <w:color w:val="auto"/>
        </w:rPr>
        <w:t>(a). Name of Issuer: Graham Holdings Company (formerly The Washington Post Company) ("Issuer")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1150 15th Street, N.W.</w:t>
      </w:r>
    </w:p>
    <w:p>
      <w:pPr>
        <w:ind w:left="1060"/>
        <w:spacing w:after="0"/>
        <w:tabs>
          <w:tab w:leader="none" w:pos="2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20071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w:t>
      </w:r>
    </w:p>
    <w:p>
      <w:pPr>
        <w:spacing w:after="0" w:line="4" w:lineRule="exact"/>
        <w:rPr>
          <w:rFonts w:ascii="Courier New" w:cs="Courier New" w:eastAsia="Courier New" w:hAnsi="Courier New"/>
          <w:sz w:val="18"/>
          <w:szCs w:val="18"/>
          <w:color w:val="auto"/>
        </w:rPr>
      </w:pPr>
    </w:p>
    <w:p>
      <w:pPr>
        <w:ind w:left="15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6410 Poplar Ave., Suite 900 Memphis, TN 38119</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Longleaf Partners Small-Cap Fund</w:t>
      </w:r>
    </w:p>
    <w:p>
      <w:pPr>
        <w:spacing w:after="0" w:line="4" w:lineRule="exact"/>
        <w:rPr>
          <w:rFonts w:ascii="Courier New" w:cs="Courier New" w:eastAsia="Courier New" w:hAnsi="Courier New"/>
          <w:sz w:val="18"/>
          <w:szCs w:val="18"/>
          <w:color w:val="auto"/>
        </w:rPr>
      </w:pPr>
    </w:p>
    <w:p>
      <w:pPr>
        <w:ind w:left="158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 Southeastern Asset Management, Inc. 6410 Poplar Avenue, Suite 900 Memphis, TN, 38119</w:t>
      </w:r>
    </w:p>
    <w:p>
      <w:pPr>
        <w:spacing w:after="0" w:line="203" w:lineRule="exact"/>
        <w:rPr>
          <w:sz w:val="20"/>
          <w:szCs w:val="20"/>
          <w:color w:val="auto"/>
        </w:rPr>
      </w:pPr>
    </w:p>
    <w:p>
      <w:pPr>
        <w:ind w:left="1580" w:hanging="940"/>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Longleaf Partners Small-Cap Fund, a series of Longleaf Partners Funds Trust, a Massachusetts business trust.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ectPr>
          <w:pgSz w:w="11900" w:h="16838" w:orient="portrait"/>
          <w:cols w:equalWidth="0" w:num="1">
            <w:col w:w="10219"/>
          </w:cols>
          <w:pgMar w:left="240" w:top="136" w:right="1440" w:bottom="0" w:gutter="0" w:footer="0" w:header="0"/>
        </w:sectPr>
      </w:pPr>
    </w:p>
    <w:bookmarkStart w:id="3" w:name="page4"/>
    <w:bookmarkEnd w:id="3"/>
    <w:p>
      <w:pPr>
        <w:ind w:left="1060" w:right="325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384637104</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960" w:right="2939" w:hanging="526"/>
        <w:spacing w:after="0" w:line="236" w:lineRule="auto"/>
        <w:rPr>
          <w:sz w:val="20"/>
          <w:szCs w:val="20"/>
          <w:color w:val="auto"/>
        </w:rPr>
      </w:pPr>
      <w:r>
        <w:rPr>
          <w:rFonts w:ascii="Courier New" w:cs="Courier New" w:eastAsia="Courier New" w:hAnsi="Courier New"/>
          <w:sz w:val="18"/>
          <w:szCs w:val="18"/>
          <w:color w:val="auto"/>
        </w:rPr>
        <w:t>(d). Investment Company registered under Sec. 8 of the Investment Company Act - Longleaf Partners Small-Cap Fund, a series of Longleaf Partners Funds Trust.</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 Investment Adviser registered under Section 203 of the</w:t>
      </w:r>
    </w:p>
    <w:p>
      <w:pPr>
        <w:ind w:left="960"/>
        <w:spacing w:after="0"/>
        <w:tabs>
          <w:tab w:leader="none" w:pos="4520" w:val="left"/>
        </w:tabs>
        <w:rPr>
          <w:sz w:val="20"/>
          <w:szCs w:val="20"/>
          <w:color w:val="auto"/>
        </w:rPr>
      </w:pPr>
      <w:r>
        <w:rPr>
          <w:rFonts w:ascii="Courier New" w:cs="Courier New" w:eastAsia="Courier New" w:hAnsi="Courier New"/>
          <w:sz w:val="18"/>
          <w:szCs w:val="18"/>
          <w:color w:val="auto"/>
        </w:rPr>
        <w:t>Investment Advisers Act of 1940.</w:t>
      </w:r>
      <w:r>
        <w:rPr>
          <w:sz w:val="20"/>
          <w:szCs w:val="20"/>
          <w:color w:val="auto"/>
        </w:rPr>
        <w:tab/>
      </w:r>
      <w:r>
        <w:rPr>
          <w:rFonts w:ascii="Courier New" w:cs="Courier New" w:eastAsia="Courier New" w:hAnsi="Courier New"/>
          <w:sz w:val="16"/>
          <w:szCs w:val="16"/>
          <w:color w:val="auto"/>
        </w:rPr>
        <w:t>This statement is being filed</w:t>
      </w:r>
    </w:p>
    <w:p>
      <w:pPr>
        <w:ind w:left="960"/>
        <w:spacing w:after="0"/>
        <w:rPr>
          <w:sz w:val="20"/>
          <w:szCs w:val="20"/>
          <w:color w:val="auto"/>
        </w:rPr>
      </w:pPr>
      <w:r>
        <w:rPr>
          <w:rFonts w:ascii="Courier New" w:cs="Courier New" w:eastAsia="Courier New" w:hAnsi="Courier New"/>
          <w:sz w:val="18"/>
          <w:szCs w:val="18"/>
          <w:color w:val="auto"/>
        </w:rPr>
        <w:t>by Southeastern Asset Management, Inc. as a registered investment</w:t>
      </w:r>
    </w:p>
    <w:p>
      <w:pPr>
        <w:ind w:left="960"/>
        <w:spacing w:after="0" w:line="237" w:lineRule="auto"/>
        <w:rPr>
          <w:sz w:val="20"/>
          <w:szCs w:val="20"/>
          <w:color w:val="auto"/>
        </w:rPr>
      </w:pPr>
      <w:r>
        <w:rPr>
          <w:rFonts w:ascii="Courier New" w:cs="Courier New" w:eastAsia="Courier New" w:hAnsi="Courier New"/>
          <w:sz w:val="18"/>
          <w:szCs w:val="18"/>
          <w:color w:val="auto"/>
        </w:rPr>
        <w:t>adviser. All of the securities covered by this report are owned</w:t>
      </w:r>
    </w:p>
    <w:p>
      <w:pPr>
        <w:ind w:left="960"/>
        <w:spacing w:after="0" w:line="238" w:lineRule="auto"/>
        <w:rPr>
          <w:sz w:val="20"/>
          <w:szCs w:val="20"/>
          <w:color w:val="auto"/>
        </w:rPr>
      </w:pPr>
      <w:r>
        <w:rPr>
          <w:rFonts w:ascii="Courier New" w:cs="Courier New" w:eastAsia="Courier New" w:hAnsi="Courier New"/>
          <w:sz w:val="18"/>
          <w:szCs w:val="18"/>
          <w:color w:val="auto"/>
        </w:rPr>
        <w:t>legally by Southeastern's investment advisory clients and none</w:t>
      </w:r>
    </w:p>
    <w:p>
      <w:pPr>
        <w:ind w:left="960"/>
        <w:spacing w:after="0"/>
        <w:tabs>
          <w:tab w:leader="none" w:pos="6300" w:val="left"/>
        </w:tabs>
        <w:rPr>
          <w:sz w:val="20"/>
          <w:szCs w:val="20"/>
          <w:color w:val="auto"/>
        </w:rPr>
      </w:pPr>
      <w:r>
        <w:rPr>
          <w:rFonts w:ascii="Courier New" w:cs="Courier New" w:eastAsia="Courier New" w:hAnsi="Courier New"/>
          <w:sz w:val="18"/>
          <w:szCs w:val="18"/>
          <w:color w:val="auto"/>
        </w:rPr>
        <w:t>are owned directly or indirectly by Southeastern.</w:t>
      </w:r>
      <w:r>
        <w:rPr>
          <w:sz w:val="20"/>
          <w:szCs w:val="20"/>
          <w:color w:val="auto"/>
        </w:rPr>
        <w:tab/>
      </w:r>
      <w:r>
        <w:rPr>
          <w:rFonts w:ascii="Courier New" w:cs="Courier New" w:eastAsia="Courier New" w:hAnsi="Courier New"/>
          <w:sz w:val="16"/>
          <w:szCs w:val="16"/>
          <w:color w:val="auto"/>
        </w:rPr>
        <w:t>As permitted</w:t>
      </w:r>
    </w:p>
    <w:p>
      <w:pPr>
        <w:ind w:left="960"/>
        <w:spacing w:after="0" w:line="237" w:lineRule="auto"/>
        <w:rPr>
          <w:sz w:val="20"/>
          <w:szCs w:val="20"/>
          <w:color w:val="auto"/>
        </w:rPr>
      </w:pPr>
      <w:r>
        <w:rPr>
          <w:rFonts w:ascii="Courier New" w:cs="Courier New" w:eastAsia="Courier New" w:hAnsi="Courier New"/>
          <w:sz w:val="18"/>
          <w:szCs w:val="18"/>
          <w:color w:val="auto"/>
        </w:rPr>
        <w:t>by Rule 13d-4, the filing of this statement shall not be construed</w:t>
      </w:r>
    </w:p>
    <w:p>
      <w:pPr>
        <w:ind w:left="960"/>
        <w:spacing w:after="0"/>
        <w:rPr>
          <w:sz w:val="20"/>
          <w:szCs w:val="20"/>
          <w:color w:val="auto"/>
        </w:rPr>
      </w:pPr>
      <w:r>
        <w:rPr>
          <w:rFonts w:ascii="Courier New" w:cs="Courier New" w:eastAsia="Courier New" w:hAnsi="Courier New"/>
          <w:sz w:val="18"/>
          <w:szCs w:val="18"/>
          <w:color w:val="auto"/>
        </w:rPr>
        <w:t>as an admission that Southeastern Asset Management, Inc. is the</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beneficial owner of any of the securities covered by this statement.</w:t>
      </w:r>
    </w:p>
    <w:p>
      <w:pPr>
        <w:spacing w:after="0" w:line="224" w:lineRule="exact"/>
        <w:rPr>
          <w:sz w:val="20"/>
          <w:szCs w:val="20"/>
          <w:color w:val="auto"/>
        </w:rPr>
      </w:pPr>
    </w:p>
    <w:p>
      <w:pPr>
        <w:ind w:left="960" w:right="2199" w:hanging="631"/>
        <w:spacing w:after="0" w:line="237" w:lineRule="auto"/>
        <w:tabs>
          <w:tab w:leader="none" w:pos="94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12/31/13)</w:t>
      </w:r>
    </w:p>
    <w:p>
      <w:pPr>
        <w:ind w:left="1060"/>
        <w:spacing w:after="0" w:line="238" w:lineRule="auto"/>
        <w:rPr>
          <w:sz w:val="20"/>
          <w:szCs w:val="20"/>
          <w:color w:val="auto"/>
        </w:rPr>
      </w:pPr>
      <w:r>
        <w:rPr>
          <w:rFonts w:ascii="Courier New" w:cs="Courier New" w:eastAsia="Courier New" w:hAnsi="Courier New"/>
          <w:sz w:val="18"/>
          <w:szCs w:val="18"/>
          <w:color w:val="auto"/>
        </w:rPr>
        <w:t>543,210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8.7 %</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Above percentage is based on 6,214,516 shares of Class B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110,310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- 428,000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- 428,000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- 4,900</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115,210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- 428,000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- 428,000</w:t>
      </w:r>
    </w:p>
    <w:p>
      <w:pPr>
        <w:sectPr>
          <w:pgSz w:w="11900" w:h="16838" w:orient="portrait"/>
          <w:cols w:equalWidth="0" w:num="1">
            <w:col w:w="10219"/>
          </w:cols>
          <w:pgMar w:left="240" w:top="142" w:right="1440" w:bottom="0" w:gutter="0" w:footer="0" w:header="0"/>
        </w:sectPr>
      </w:pPr>
    </w:p>
    <w:bookmarkStart w:id="4" w:name="page5"/>
    <w:bookmarkEnd w:id="4"/>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10, 2014</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Southeastern Asset Management, Inc.</w:t>
      </w: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10, 2014.</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ectPr>
          <w:pgSz w:w="11900" w:h="16838" w:orient="portrait"/>
          <w:cols w:equalWidth="0" w:num="1">
            <w:col w:w="10219"/>
          </w:cols>
          <w:pgMar w:left="240" w:top="136" w:right="1440" w:bottom="0" w:gutter="0" w:footer="0" w:header="0"/>
        </w:sectPr>
      </w:pPr>
    </w:p>
    <w:bookmarkStart w:id="5" w:name="page6"/>
    <w:bookmarkEnd w:id="5"/>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ind w:left="3160"/>
        <w:spacing w:after="0" w:line="238" w:lineRule="auto"/>
        <w:rPr>
          <w:sz w:val="20"/>
          <w:szCs w:val="20"/>
          <w:color w:val="auto"/>
        </w:rPr>
      </w:pPr>
      <w:r>
        <w:rPr>
          <w:rFonts w:ascii="Courier New" w:cs="Courier New" w:eastAsia="Courier New" w:hAnsi="Courier New"/>
          <w:sz w:val="18"/>
          <w:szCs w:val="18"/>
          <w:color w:val="auto"/>
        </w:rPr>
        <w:t>By: Southeastern Asset Management, Inc.</w:t>
      </w: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WPO13G6.doc</w:t>
      </w:r>
    </w:p>
    <w:p>
      <w:pPr>
        <w:spacing w:after="0"/>
        <w:rPr>
          <w:sz w:val="20"/>
          <w:szCs w:val="20"/>
          <w:color w:val="auto"/>
        </w:rPr>
      </w:pPr>
      <w:r>
        <w:rPr>
          <w:rFonts w:ascii="Courier New" w:cs="Courier New" w:eastAsia="Courier New" w:hAnsi="Courier New"/>
          <w:sz w:val="18"/>
          <w:szCs w:val="18"/>
          <w:color w:val="auto"/>
        </w:rPr>
        <w:t>SCHEDULE 13G - The Washington Post Company ("Issuer")</w:t>
      </w:r>
    </w:p>
    <w:p>
      <w:pPr>
        <w:spacing w:after="0" w:line="237" w:lineRule="auto"/>
        <w:rPr>
          <w:sz w:val="20"/>
          <w:szCs w:val="20"/>
          <w:color w:val="auto"/>
        </w:rPr>
      </w:pPr>
      <w:r>
        <w:rPr>
          <w:rFonts w:ascii="Courier New" w:cs="Courier New" w:eastAsia="Courier New" w:hAnsi="Courier New"/>
          <w:sz w:val="18"/>
          <w:szCs w:val="18"/>
          <w:color w:val="auto"/>
        </w:rPr>
        <w:t>Amendment #6</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WPO13G6.doc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lvl w:ilvl="1">
      <w:lvlJc w:val="left"/>
      <w:lvlText w:val="(%2)"/>
      <w:numFmt w:val="lowerLetter"/>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9"/>
    </w:lvl>
  </w:abstractNum>
  <w:abstractNum w:abstractNumId="5">
    <w:nsid w:val="DED7263"/>
    <w:multiLevelType w:val="hybridMultilevel"/>
    <w:lvl w:ilvl="0">
      <w:lvlJc w:val="left"/>
      <w:lvlText w:val="(%1)"/>
      <w:numFmt w:val="decimal"/>
      <w:start w:val="10"/>
    </w:lvl>
  </w:abstractNum>
  <w:abstractNum w:abstractNumId="6">
    <w:nsid w:val="7FDCC233"/>
    <w:multiLevelType w:val="hybridMultilevel"/>
    <w:lvl w:ilvl="0">
      <w:lvlJc w:val="left"/>
      <w:lvlText w:val="(%1)"/>
      <w:numFmt w:val="decimal"/>
      <w:start w:val="11"/>
    </w:lvl>
  </w:abstractNum>
  <w:abstractNum w:abstractNumId="7">
    <w:nsid w:val="1BEFD79F"/>
    <w:multiLevelType w:val="hybridMultilevel"/>
    <w:lvl w:ilvl="0">
      <w:lvlJc w:val="left"/>
      <w:lvlText w:val="(%1)"/>
      <w:numFmt w:val="decimal"/>
      <w:start w:val="12"/>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lvl w:ilvl="1">
      <w:lvlJc w:val="left"/>
      <w:lvlText w:val="(%2)"/>
      <w:numFmt w:val="lowerLetter"/>
      <w:start w:val="1"/>
    </w:lvl>
  </w:abstractNum>
  <w:abstractNum w:abstractNumId="10">
    <w:nsid w:val="4E6AFB66"/>
    <w:multiLevelType w:val="hybridMultilevel"/>
    <w:lvl w:ilvl="0">
      <w:lvlJc w:val="left"/>
      <w:lvlText w:val="(%1)"/>
      <w:numFmt w:val="decimal"/>
      <w:start w:val="8"/>
    </w:lvl>
    <w:lvl w:ilvl="1">
      <w:lvlJc w:val="left"/>
      <w:lvlText w:val=":"/>
      <w:numFmt w:val="bullet"/>
      <w:start w:val="1"/>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8"/>
    </w:lvl>
    <w:lvl w:ilvl="1">
      <w:lvlJc w:val="left"/>
      <w:lvlText w:val=":"/>
      <w:numFmt w:val="bullet"/>
      <w:start w:val="1"/>
    </w:lvl>
  </w:abstractNum>
  <w:abstractNum w:abstractNumId="17">
    <w:nsid w:val="62BBD95A"/>
    <w:multiLevelType w:val="hybridMultilevel"/>
    <w:lvl w:ilvl="0">
      <w:lvlJc w:val="left"/>
      <w:lvlText w:val="(%1)"/>
      <w:numFmt w:val="decimal"/>
      <w:start w:val="10"/>
    </w:lvl>
  </w:abstractNum>
  <w:abstractNum w:abstractNumId="18">
    <w:nsid w:val="436C6125"/>
    <w:multiLevelType w:val="hybridMultilevel"/>
    <w:lvl w:ilvl="0">
      <w:lvlJc w:val="left"/>
      <w:lvlText w:val="(%1)"/>
      <w:numFmt w:val="decimal"/>
      <w:start w:val="11"/>
    </w:lvl>
  </w:abstractNum>
  <w:abstractNum w:abstractNumId="19">
    <w:nsid w:val="628C895D"/>
    <w:multiLevelType w:val="hybridMultilevel"/>
    <w:lvl w:ilvl="0">
      <w:lvlJc w:val="left"/>
      <w:lvlText w:val="(%1)"/>
      <w:numFmt w:val="decimal"/>
      <w:start w:val="12"/>
    </w:lvl>
  </w:abstractNum>
  <w:abstractNum w:abstractNumId="20">
    <w:nsid w:val="333AB105"/>
    <w:multiLevelType w:val="hybridMultilevel"/>
    <w:lvl w:ilvl="0">
      <w:lvlJc w:val="left"/>
      <w:lvlText w:val="(%1)"/>
      <w:numFmt w:val="lowerLetter"/>
      <w:start w:val="1"/>
    </w:lvl>
    <w:lvl w:ilvl="1">
      <w:lvlJc w:val="left"/>
      <w:lvlText w:val="(%2)"/>
      <w:numFmt w:val="decimal"/>
      <w:start w:val="1"/>
    </w:lvl>
  </w:abstractNum>
  <w:abstractNum w:abstractNumId="21">
    <w:nsid w:val="721DA31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2019-12-05T15:15:47Z</dcterms:created>
  <dcterms:modified xsi:type="dcterms:W3CDTF">2019-12-05T15:15:47Z</dcterms:modified>
</cp:coreProperties>
</file>