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4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Securities Exchange Act of 1934 (Amendment No.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33"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w:t>
      </w:r>
    </w:p>
    <w:p>
      <w:pPr>
        <w:spacing w:after="0" w:line="7" w:lineRule="exact"/>
        <w:rPr>
          <w:rFonts w:ascii="Courier New" w:cs="Courier New" w:eastAsia="Courier New" w:hAnsi="Courier New"/>
          <w:sz w:val="14"/>
          <w:szCs w:val="14"/>
          <w:color w:val="auto"/>
        </w:rPr>
      </w:pPr>
    </w:p>
    <w:p>
      <w:pPr>
        <w:ind w:left="440" w:right="4119" w:hanging="432"/>
        <w:spacing w:after="0" w:line="336" w:lineRule="auto"/>
        <w:tabs>
          <w:tab w:leader="none" w:pos="18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2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Section 240.14a-12</w:t>
      </w:r>
    </w:p>
    <w:p>
      <w:pPr>
        <w:spacing w:after="0" w:line="14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No fee required.</w:t>
      </w:r>
    </w:p>
    <w:p>
      <w:pPr>
        <w:spacing w:after="0" w:line="33" w:lineRule="exact"/>
        <w:rPr>
          <w:sz w:val="24"/>
          <w:szCs w:val="24"/>
          <w:color w:val="auto"/>
        </w:rPr>
      </w:pPr>
    </w:p>
    <w:p>
      <w:pPr>
        <w:ind w:left="440" w:right="4459" w:hanging="432"/>
        <w:spacing w:after="0" w:line="336" w:lineRule="auto"/>
        <w:tabs>
          <w:tab w:leader="none" w:pos="18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26"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46"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80" w:right="3519" w:hanging="341"/>
        <w:spacing w:after="0" w:line="293" w:lineRule="auto"/>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5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46"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46"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paid previously with preliminary materials.</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7" w:lineRule="exact"/>
        <w:rPr>
          <w:rFonts w:ascii="Courier New" w:cs="Courier New" w:eastAsia="Courier New" w:hAnsi="Courier New"/>
          <w:sz w:val="14"/>
          <w:szCs w:val="14"/>
          <w:color w:val="auto"/>
        </w:rPr>
      </w:pPr>
    </w:p>
    <w:p>
      <w:pPr>
        <w:ind w:left="440" w:right="341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55"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46"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46"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46"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3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200" w:lineRule="exact"/>
        <w:rPr>
          <w:sz w:val="20"/>
          <w:szCs w:val="20"/>
          <w:color w:val="auto"/>
        </w:rPr>
      </w:pPr>
    </w:p>
    <w:p>
      <w:pPr>
        <w:spacing w:after="0" w:line="27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March 26, 2004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3"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You are cordially invited to the Company's 2004 Annual Meeting of Stockholders, which will be held in the Community Meeting Room, The Washington Post Building, 1150 15th Street, N.W., Washington, D.C., on Thursday, May 13, 2004, at 8:00 o'clock in the morning.</w:t>
      </w:r>
    </w:p>
    <w:p>
      <w:pPr>
        <w:spacing w:after="0" w:line="56" w:lineRule="exact"/>
        <w:rPr>
          <w:sz w:val="20"/>
          <w:szCs w:val="20"/>
          <w:color w:val="auto"/>
        </w:rPr>
      </w:pPr>
    </w:p>
    <w:p>
      <w:pPr>
        <w:ind w:right="3859" w:firstLine="431"/>
        <w:spacing w:after="0" w:line="375" w:lineRule="auto"/>
        <w:rPr>
          <w:sz w:val="20"/>
          <w:szCs w:val="20"/>
          <w:color w:val="auto"/>
        </w:rPr>
      </w:pPr>
      <w:r>
        <w:rPr>
          <w:rFonts w:ascii="Courier New" w:cs="Courier New" w:eastAsia="Courier New" w:hAnsi="Courier New"/>
          <w:sz w:val="14"/>
          <w:szCs w:val="14"/>
          <w:color w:val="auto"/>
        </w:rPr>
        <w:t>At the meeting there will be a report on the Company's activities and Directors will be elected for the ensuing year.</w:t>
      </w:r>
    </w:p>
    <w:p>
      <w:pPr>
        <w:spacing w:after="0" w:line="1"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69"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Sincerely yours,</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/s/ Donald E. Graham</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DONALD E. GRAHAM</w:t>
      </w:r>
    </w:p>
    <w:p>
      <w:pPr>
        <w:spacing w:after="0" w:line="3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CHAIRMAN</w:t>
      </w:r>
    </w:p>
    <w:p>
      <w:pPr>
        <w:sectPr>
          <w:pgSz w:w="11900" w:h="16838" w:orient="portrait"/>
          <w:cols w:equalWidth="0" w:num="1">
            <w:col w:w="10239"/>
          </w:cols>
          <w:pgMar w:left="220" w:top="59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30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NOTICE OF ANNUAL MEETING OF STOCKHOLDERS/MAY 13, 2004</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The Annual Meeting of Stockholders of The Washington Post Company will be held in the Community Meeting Room, The Washington Post Building, 1150 15th Street, N.W., Washington, D.C., 20071 on Thursday, May 13, 2004, at 8:00 a.m., Eastern Daylight Saving Time, for the following purposes:</w:t>
      </w:r>
    </w:p>
    <w:p>
      <w:pPr>
        <w:spacing w:after="0" w:line="56" w:lineRule="exact"/>
        <w:rPr>
          <w:sz w:val="20"/>
          <w:szCs w:val="20"/>
          <w:color w:val="auto"/>
        </w:rPr>
      </w:pPr>
    </w:p>
    <w:p>
      <w:pPr>
        <w:ind w:left="1300" w:right="3419" w:hanging="430"/>
        <w:spacing w:after="0" w:line="375" w:lineRule="auto"/>
        <w:tabs>
          <w:tab w:leader="none" w:pos="13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for the ensuing year, as more fully described in the accompanying Proxy Statement.</w:t>
      </w:r>
    </w:p>
    <w:p>
      <w:pPr>
        <w:spacing w:after="0" w:line="1" w:lineRule="exact"/>
        <w:rPr>
          <w:rFonts w:ascii="Courier New" w:cs="Courier New" w:eastAsia="Courier New" w:hAnsi="Courier New"/>
          <w:sz w:val="14"/>
          <w:szCs w:val="14"/>
          <w:color w:val="auto"/>
        </w:rPr>
      </w:pPr>
    </w:p>
    <w:p>
      <w:pPr>
        <w:ind w:left="1300" w:right="3519" w:hanging="430"/>
        <w:spacing w:after="0" w:line="375" w:lineRule="auto"/>
        <w:tabs>
          <w:tab w:leader="none" w:pos="13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 w:lineRule="exact"/>
        <w:rPr>
          <w:sz w:val="20"/>
          <w:szCs w:val="20"/>
          <w:color w:val="auto"/>
        </w:rPr>
      </w:pPr>
    </w:p>
    <w:p>
      <w:pPr>
        <w:jc w:val="both"/>
        <w:ind w:right="3519" w:firstLine="431"/>
        <w:spacing w:after="0" w:line="313" w:lineRule="auto"/>
        <w:rPr>
          <w:sz w:val="20"/>
          <w:szCs w:val="20"/>
          <w:color w:val="auto"/>
        </w:rPr>
      </w:pPr>
      <w:r>
        <w:rPr>
          <w:rFonts w:ascii="Courier New" w:cs="Courier New" w:eastAsia="Courier New" w:hAnsi="Courier New"/>
          <w:sz w:val="14"/>
          <w:szCs w:val="14"/>
          <w:color w:val="auto"/>
        </w:rPr>
        <w:t>The Board of Directors has fixed the close of business on March 15, 2004, as the record date for the determination of stockholders entitled to notice of and to vote at the Annual Meeting.</w:t>
      </w:r>
    </w:p>
    <w:p>
      <w:pPr>
        <w:spacing w:after="0" w:line="42" w:lineRule="exact"/>
        <w:rPr>
          <w:sz w:val="20"/>
          <w:szCs w:val="20"/>
          <w:color w:val="auto"/>
        </w:rPr>
      </w:pPr>
    </w:p>
    <w:p>
      <w:pPr>
        <w:ind w:right="3339" w:firstLine="431"/>
        <w:spacing w:after="0" w:line="269" w:lineRule="auto"/>
        <w:rPr>
          <w:sz w:val="20"/>
          <w:szCs w:val="20"/>
          <w:color w:val="auto"/>
        </w:rPr>
      </w:pPr>
      <w:r>
        <w:rPr>
          <w:rFonts w:ascii="Courier New" w:cs="Courier New" w:eastAsia="Courier New" w:hAnsi="Courier New"/>
          <w:sz w:val="14"/>
          <w:szCs w:val="14"/>
          <w:color w:val="auto"/>
        </w:rPr>
        <w:t>It is important that your shares be represented and voted at the meeting, and you should therefore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24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DIANA M. DANIELS,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March 26, 2004</w:t>
      </w:r>
    </w:p>
    <w:p>
      <w:pPr>
        <w:sectPr>
          <w:pgSz w:w="11900" w:h="16838" w:orient="portrait"/>
          <w:cols w:equalWidth="0" w:num="1">
            <w:col w:w="10239"/>
          </w:cols>
          <w:pgMar w:left="220" w:top="59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14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March 26, 2004</w:t>
      </w:r>
    </w:p>
    <w:p>
      <w:pPr>
        <w:spacing w:after="0" w:line="1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4"/>
          <w:szCs w:val="14"/>
          <w:color w:val="auto"/>
        </w:rPr>
        <w:t>This proxy statement contains information relating to the 2004 Annual Meeting of Shareholders of The Washington Post Company (the "Company") to be held at the Company's headquarters, 1150 15th Street, NW, Washington, DC on Thursday, May 13, 2004 at 8:00 a.m., Eastern Daylight Saving time, or any adjournments thereof, for the purposes set forth in the accompanying Notice of the 2004 Annual Meeting of Shareholders. This proxy statement and the accompanying forms of proxy and voting instructions are being delivered to shareholders on or about March 26, 2004. The Board of Directors of the Company is making this proxy solicitation.</w:t>
      </w:r>
    </w:p>
    <w:p>
      <w:pPr>
        <w:spacing w:after="0" w:line="25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QUESTIONS AND ANSWERS</w:t>
      </w:r>
    </w:p>
    <w:p>
      <w:pPr>
        <w:spacing w:after="0" w:line="173"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AM I VOTING ON?</w:t>
      </w:r>
    </w:p>
    <w:p>
      <w:pPr>
        <w:spacing w:after="0" w:line="173" w:lineRule="exact"/>
        <w:rPr>
          <w:sz w:val="20"/>
          <w:szCs w:val="20"/>
          <w:color w:val="auto"/>
        </w:rPr>
      </w:pPr>
    </w:p>
    <w:p>
      <w:pPr>
        <w:ind w:right="3339" w:firstLine="8"/>
        <w:spacing w:after="0" w:line="275"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voting on the election of Directors for a term of one year. A Board of nine Directors is to be elected, six by the holders of Class A Stock voting separately as a class and three by the holders of Class B Stock voting separately as a class. All Directors will hold office until the next Annual Meeting and until their respective successors shall have been elected and shall have qualified or as otherwise provided in the By-laws of the Company.</w:t>
      </w:r>
    </w:p>
    <w:p>
      <w:pPr>
        <w:spacing w:after="0" w:line="69"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In the event any nominee withdraws or for any reason is not able to serve as a director, Donald E. Graham, John B. Morse, Jr., Diana M. Daniels and Gerald M. Rosberg, acting as your proxies, will either vote for such other person as the Board of Directors may nominate or will not vote for anyone to replace such nominee.</w:t>
      </w:r>
    </w:p>
    <w:p>
      <w:pPr>
        <w:spacing w:after="0" w:line="62"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Messrs. Daniel B. Burke and Ralph E. Gomory will not be standing for re-election this year, having reached the mandatory retirement age for Directors who do not also hold Class A Stock or have dispositive power over at least fifteen (15) percent of Class B Common Stock of the Company (as adjusted, including the shares of Class B Stock issuable upon conversion of all shares of Class A Common Stock outstanding).</w:t>
      </w:r>
    </w:p>
    <w:p>
      <w:pPr>
        <w:spacing w:after="0" w:line="69" w:lineRule="exact"/>
        <w:rPr>
          <w:sz w:val="20"/>
          <w:szCs w:val="20"/>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VOTING RECOMMENDATIONS OF THE BOARD?</w:t>
      </w:r>
    </w:p>
    <w:p>
      <w:pPr>
        <w:spacing w:after="0" w:line="173" w:lineRule="exact"/>
        <w:rPr>
          <w:sz w:val="20"/>
          <w:szCs w:val="20"/>
          <w:color w:val="auto"/>
        </w:rPr>
      </w:pPr>
    </w:p>
    <w:p>
      <w:pPr>
        <w:ind w:right="3339" w:firstLine="8"/>
        <w:spacing w:after="0" w:line="313" w:lineRule="auto"/>
        <w:tabs>
          <w:tab w:leader="none" w:pos="43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recommends voting for each of the nominated Directors listed on the proxy card. The Board knows of no reason which would cause any nominee to be unable to act or to refuse to accept nomination or election.</w:t>
      </w:r>
    </w:p>
    <w:p>
      <w:pPr>
        <w:spacing w:after="0" w:line="42" w:lineRule="exact"/>
        <w:rPr>
          <w:sz w:val="20"/>
          <w:szCs w:val="20"/>
          <w:color w:val="auto"/>
        </w:rPr>
      </w:pPr>
    </w:p>
    <w:p>
      <w:pPr>
        <w:ind w:left="440" w:hanging="432"/>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ANY OTHER MATTERS BE VOTED ON?</w:t>
      </w:r>
    </w:p>
    <w:p>
      <w:pPr>
        <w:spacing w:after="0" w:line="173" w:lineRule="exact"/>
        <w:rPr>
          <w:sz w:val="20"/>
          <w:szCs w:val="20"/>
          <w:color w:val="auto"/>
        </w:rPr>
      </w:pPr>
    </w:p>
    <w:p>
      <w:pPr>
        <w:jc w:val="both"/>
        <w:ind w:right="3339" w:firstLine="8"/>
        <w:spacing w:after="0" w:line="292"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not aware of any other matters that you will be asked to vote on at the Meeting. If any other matter is properly brought before the Meeting, Donald E. Graham, John B. Morse, Jr., Diana M. Daniels and Gerald M. Rosberg, acting as your proxies, will vote for you in their discretion.</w:t>
      </w:r>
    </w:p>
    <w:p>
      <w:pPr>
        <w:spacing w:after="0" w:line="56" w:lineRule="exact"/>
        <w:rPr>
          <w:sz w:val="20"/>
          <w:szCs w:val="20"/>
          <w:color w:val="auto"/>
        </w:rPr>
      </w:pPr>
    </w:p>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DO I VOTE?</w:t>
      </w:r>
    </w:p>
    <w:p>
      <w:pPr>
        <w:spacing w:after="0" w:line="173" w:lineRule="exact"/>
        <w:rPr>
          <w:sz w:val="20"/>
          <w:szCs w:val="20"/>
          <w:color w:val="auto"/>
        </w:rPr>
      </w:pPr>
    </w:p>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FOUR WAYS TO VOTE:</w:t>
      </w:r>
    </w:p>
    <w:p>
      <w:pPr>
        <w:spacing w:after="0" w:line="173" w:lineRule="exact"/>
        <w:rPr>
          <w:sz w:val="20"/>
          <w:szCs w:val="20"/>
          <w:color w:val="auto"/>
        </w:rPr>
      </w:pPr>
    </w:p>
    <w:p>
      <w:pPr>
        <w:ind w:left="1040" w:right="3599" w:hanging="179"/>
        <w:spacing w:after="0" w:line="270" w:lineRule="auto"/>
        <w:tabs>
          <w:tab w:leader="none" w:pos="1020" w:val="left"/>
        </w:tabs>
        <w:rPr>
          <w:sz w:val="20"/>
          <w:szCs w:val="20"/>
          <w:color w:val="auto"/>
        </w:rPr>
      </w:pPr>
      <w:r>
        <w:rPr>
          <w:rFonts w:ascii="Courier New" w:cs="Courier New" w:eastAsia="Courier New" w:hAnsi="Courier New"/>
          <w:sz w:val="14"/>
          <w:szCs w:val="14"/>
          <w:color w:val="auto"/>
        </w:rPr>
        <w:t>o</w:t>
        <w:tab/>
        <w:t>By internet at http://www.eproxyvote.com/wpo. We encourage you to vote this way.</w:t>
      </w:r>
    </w:p>
    <w:p>
      <w:pPr>
        <w:ind w:left="860"/>
        <w:spacing w:after="0"/>
        <w:rPr>
          <w:sz w:val="20"/>
          <w:szCs w:val="20"/>
          <w:color w:val="auto"/>
        </w:rPr>
      </w:pPr>
      <w:r>
        <w:rPr>
          <w:rFonts w:ascii="Courier New" w:cs="Courier New" w:eastAsia="Courier New" w:hAnsi="Courier New"/>
          <w:sz w:val="14"/>
          <w:szCs w:val="14"/>
          <w:color w:val="auto"/>
        </w:rPr>
        <w:t>o By toll-free telephone at 877-779-8683.</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 By completing and mailing your proxy card.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 By written ballot at the Meeting.</w:t>
      </w:r>
    </w:p>
    <w:p>
      <w:pPr>
        <w:spacing w:after="0" w:line="147"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If you vote by internet or telephone, your vote must be received by 5 p.m., Eastern Daylight Saving time, of the day before the Meeting. Your shares will be voted as you indicate. If you do not indicate your voting preferences, Donald E. Graham, John B. Morse, Jr., Diana M. Daniels and Gerald M. Rosberg, as your proxies, will vote your shares in favor of the applicable nominated Directors.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sectPr>
      </w:pPr>
    </w:p>
    <w:bookmarkStart w:id="4" w:name="page5"/>
    <w:bookmarkEnd w:id="4"/>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CAN VOTE?</w:t>
      </w:r>
    </w:p>
    <w:p>
      <w:pPr>
        <w:spacing w:after="0" w:line="173" w:lineRule="exact"/>
        <w:rPr>
          <w:sz w:val="20"/>
          <w:szCs w:val="20"/>
          <w:color w:val="auto"/>
        </w:rPr>
      </w:pPr>
    </w:p>
    <w:p>
      <w:pPr>
        <w:ind w:right="3419" w:firstLine="8"/>
        <w:spacing w:after="0" w:line="266" w:lineRule="auto"/>
        <w:tabs>
          <w:tab w:leader="none" w:pos="43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can vote at the Meeting if you were a shareholder of record as of the close of business on March 15, 2004 (the "Record Date"). Each share of Class A and Class B Common Stock is entitled to one vote on all matters on which such class of stock is entitled to vote.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74" w:lineRule="exact"/>
        <w:rPr>
          <w:sz w:val="20"/>
          <w:szCs w:val="20"/>
          <w:color w:val="auto"/>
        </w:rPr>
      </w:pPr>
    </w:p>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CHANGE MY VOTE?</w:t>
      </w:r>
    </w:p>
    <w:p>
      <w:pPr>
        <w:spacing w:after="0" w:line="173" w:lineRule="exact"/>
        <w:rPr>
          <w:sz w:val="20"/>
          <w:szCs w:val="20"/>
          <w:color w:val="auto"/>
        </w:rPr>
      </w:pPr>
    </w:p>
    <w:p>
      <w:pPr>
        <w:ind w:left="440" w:right="3779" w:hanging="432"/>
        <w:spacing w:after="0" w:line="375"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You can change your vote or revoke your proxy any time before the Meeting by:</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 entering a new vote by internet or telephone</w:t>
      </w:r>
    </w:p>
    <w:p>
      <w:pPr>
        <w:spacing w:after="0" w:line="3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 returning a later dated proxy card</w:t>
      </w:r>
    </w:p>
    <w:p>
      <w:pPr>
        <w:spacing w:after="0" w:line="7" w:lineRule="exact"/>
        <w:rPr>
          <w:sz w:val="20"/>
          <w:szCs w:val="20"/>
          <w:color w:val="auto"/>
        </w:rPr>
      </w:pPr>
    </w:p>
    <w:p>
      <w:pPr>
        <w:ind w:left="1040" w:right="3859" w:hanging="179"/>
        <w:spacing w:after="0" w:line="336" w:lineRule="auto"/>
        <w:tabs>
          <w:tab w:leader="none" w:pos="1020" w:val="left"/>
        </w:tabs>
        <w:rPr>
          <w:sz w:val="20"/>
          <w:szCs w:val="20"/>
          <w:color w:val="auto"/>
        </w:rPr>
      </w:pPr>
      <w:r>
        <w:rPr>
          <w:rFonts w:ascii="Courier New" w:cs="Courier New" w:eastAsia="Courier New" w:hAnsi="Courier New"/>
          <w:sz w:val="14"/>
          <w:szCs w:val="14"/>
          <w:color w:val="auto"/>
        </w:rPr>
        <w:t>o</w:t>
        <w:tab/>
        <w:t>voting in person at the Meeting provided you first revoke your previously voted proxy.</w:t>
      </w:r>
    </w:p>
    <w:p>
      <w:pPr>
        <w:spacing w:after="0" w:line="27" w:lineRule="exact"/>
        <w:rPr>
          <w:sz w:val="20"/>
          <w:szCs w:val="20"/>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VOTE IS REQUIRED TO APPROVE A PROPOSAL?</w:t>
      </w:r>
    </w:p>
    <w:p>
      <w:pPr>
        <w:spacing w:after="0" w:line="173" w:lineRule="exact"/>
        <w:rPr>
          <w:sz w:val="20"/>
          <w:szCs w:val="20"/>
          <w:color w:val="auto"/>
        </w:rPr>
      </w:pPr>
    </w:p>
    <w:p>
      <w:pPr>
        <w:ind w:right="3339" w:firstLine="8"/>
        <w:spacing w:after="0" w:line="263" w:lineRule="auto"/>
        <w:tabs>
          <w:tab w:leader="none" w:pos="43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will be elected by a plurality of the votes cast at the Meeting. This means that the six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 Any shares not voted (whether by abstention, broker non-vote or otherwise) will have no impact on the vote, but these shares will be counted for purposes of determining whether a quorum is present.</w:t>
      </w:r>
    </w:p>
    <w:p>
      <w:pPr>
        <w:spacing w:after="0" w:line="76" w:lineRule="exact"/>
        <w:rPr>
          <w:sz w:val="20"/>
          <w:szCs w:val="20"/>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WILL COUNT THE VOTE?</w:t>
      </w:r>
    </w:p>
    <w:p>
      <w:pPr>
        <w:spacing w:after="0" w:line="173" w:lineRule="exact"/>
        <w:rPr>
          <w:sz w:val="20"/>
          <w:szCs w:val="20"/>
          <w:color w:val="auto"/>
        </w:rPr>
      </w:pPr>
    </w:p>
    <w:p>
      <w:pPr>
        <w:ind w:right="3339" w:firstLine="8"/>
        <w:spacing w:after="0" w:line="313" w:lineRule="auto"/>
        <w:tabs>
          <w:tab w:leader="none" w:pos="43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EquiServe Trust Company, N.A. , the Company's transfer agent and registrar, will count the vote. One of its representatives will be included among the inspectors of votes.</w:t>
      </w:r>
    </w:p>
    <w:p>
      <w:pPr>
        <w:spacing w:after="0" w:line="42" w:lineRule="exact"/>
        <w:rPr>
          <w:sz w:val="20"/>
          <w:szCs w:val="20"/>
          <w:color w:val="auto"/>
        </w:rPr>
      </w:pPr>
    </w:p>
    <w:p>
      <w:pPr>
        <w:ind w:left="440" w:hanging="432"/>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CAN ATTEND THE ANNUAL MEETING?</w:t>
      </w:r>
    </w:p>
    <w:p>
      <w:pPr>
        <w:spacing w:after="0" w:line="173" w:lineRule="exact"/>
        <w:rPr>
          <w:sz w:val="20"/>
          <w:szCs w:val="20"/>
          <w:color w:val="auto"/>
        </w:rPr>
      </w:pPr>
    </w:p>
    <w:p>
      <w:pPr>
        <w:ind w:right="3519" w:firstLine="8"/>
        <w:spacing w:after="0" w:line="375" w:lineRule="auto"/>
        <w:tabs>
          <w:tab w:leader="none" w:pos="43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shareholders of record as of the close of business on March 15, 2004, can attend.</w:t>
      </w:r>
    </w:p>
    <w:p>
      <w:pPr>
        <w:spacing w:after="0" w:line="1" w:lineRule="exact"/>
        <w:rPr>
          <w:sz w:val="20"/>
          <w:szCs w:val="20"/>
          <w:color w:val="auto"/>
        </w:rPr>
      </w:pP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DO I NEED TO DO TO ATTEND THE ANNUAL MEETING?</w:t>
      </w:r>
    </w:p>
    <w:p>
      <w:pPr>
        <w:spacing w:after="0" w:line="173" w:lineRule="exact"/>
        <w:rPr>
          <w:sz w:val="20"/>
          <w:szCs w:val="20"/>
          <w:color w:val="auto"/>
        </w:rPr>
      </w:pPr>
    </w:p>
    <w:p>
      <w:pPr>
        <w:ind w:left="440" w:hanging="432"/>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attend the Meeting, please follow these instructions:</w:t>
      </w:r>
    </w:p>
    <w:p>
      <w:pPr>
        <w:spacing w:after="0" w:line="173" w:lineRule="exact"/>
        <w:rPr>
          <w:sz w:val="20"/>
          <w:szCs w:val="20"/>
          <w:color w:val="auto"/>
        </w:rPr>
      </w:pPr>
    </w:p>
    <w:p>
      <w:pPr>
        <w:ind w:left="1040" w:right="3419" w:hanging="179"/>
        <w:spacing w:after="0" w:line="270" w:lineRule="auto"/>
        <w:tabs>
          <w:tab w:leader="none" w:pos="1020" w:val="left"/>
        </w:tabs>
        <w:rPr>
          <w:sz w:val="20"/>
          <w:szCs w:val="20"/>
          <w:color w:val="auto"/>
        </w:rPr>
      </w:pPr>
      <w:r>
        <w:rPr>
          <w:rFonts w:ascii="Courier New" w:cs="Courier New" w:eastAsia="Courier New" w:hAnsi="Courier New"/>
          <w:sz w:val="14"/>
          <w:szCs w:val="14"/>
          <w:color w:val="auto"/>
        </w:rPr>
        <w:t>o</w:t>
        <w:tab/>
        <w:t>If you vote by using the enclosed proxy card, check the appropriate box on the card.</w:t>
      </w:r>
    </w:p>
    <w:p>
      <w:pPr>
        <w:ind w:left="1040" w:right="3939" w:hanging="179"/>
        <w:spacing w:after="0" w:line="250" w:lineRule="auto"/>
        <w:tabs>
          <w:tab w:leader="none" w:pos="1020" w:val="left"/>
        </w:tabs>
        <w:rPr>
          <w:sz w:val="20"/>
          <w:szCs w:val="20"/>
          <w:color w:val="auto"/>
        </w:rPr>
      </w:pPr>
      <w:r>
        <w:rPr>
          <w:rFonts w:ascii="Courier New" w:cs="Courier New" w:eastAsia="Courier New" w:hAnsi="Courier New"/>
          <w:sz w:val="14"/>
          <w:szCs w:val="14"/>
          <w:color w:val="auto"/>
        </w:rPr>
        <w:t>o</w:t>
        <w:tab/>
        <w:t>If you vote by internet or telephone, follow the instructions provided for attendance.</w:t>
      </w:r>
    </w:p>
    <w:p>
      <w:pPr>
        <w:spacing w:after="0" w:line="1" w:lineRule="exact"/>
        <w:rPr>
          <w:sz w:val="20"/>
          <w:szCs w:val="20"/>
          <w:color w:val="auto"/>
        </w:rPr>
      </w:pPr>
    </w:p>
    <w:p>
      <w:pPr>
        <w:ind w:left="1040" w:right="3419" w:hanging="179"/>
        <w:spacing w:after="0" w:line="336" w:lineRule="auto"/>
        <w:tabs>
          <w:tab w:leader="none" w:pos="1020" w:val="left"/>
        </w:tabs>
        <w:rPr>
          <w:sz w:val="20"/>
          <w:szCs w:val="20"/>
          <w:color w:val="auto"/>
        </w:rPr>
      </w:pPr>
      <w:r>
        <w:rPr>
          <w:rFonts w:ascii="Courier New" w:cs="Courier New" w:eastAsia="Courier New" w:hAnsi="Courier New"/>
          <w:sz w:val="14"/>
          <w:szCs w:val="14"/>
          <w:color w:val="auto"/>
        </w:rPr>
        <w:t>o</w:t>
        <w:tab/>
        <w:t>If a broker or other nominee holds your shares, bring proof of your ownership with you to the meeting.</w:t>
      </w:r>
    </w:p>
    <w:p>
      <w:pPr>
        <w:spacing w:after="0" w:line="27" w:lineRule="exact"/>
        <w:rPr>
          <w:sz w:val="20"/>
          <w:szCs w:val="20"/>
          <w:color w:val="auto"/>
        </w:rPr>
      </w:pPr>
    </w:p>
    <w:p>
      <w:pPr>
        <w:ind w:right="3679" w:firstLine="431"/>
        <w:spacing w:after="0" w:line="375" w:lineRule="auto"/>
        <w:rPr>
          <w:sz w:val="20"/>
          <w:szCs w:val="20"/>
          <w:color w:val="auto"/>
        </w:rPr>
      </w:pPr>
      <w:r>
        <w:rPr>
          <w:rFonts w:ascii="Courier New" w:cs="Courier New" w:eastAsia="Courier New" w:hAnsi="Courier New"/>
          <w:sz w:val="14"/>
          <w:szCs w:val="14"/>
          <w:color w:val="auto"/>
        </w:rPr>
        <w:t>Seating at the Meeting will be on a first-come, first-serve basis, upon arrival at the Meeting.</w:t>
      </w:r>
    </w:p>
    <w:p>
      <w:pPr>
        <w:spacing w:after="0" w:line="1" w:lineRule="exact"/>
        <w:rPr>
          <w:sz w:val="20"/>
          <w:szCs w:val="20"/>
          <w:color w:val="auto"/>
        </w:rPr>
      </w:pPr>
    </w:p>
    <w:p>
      <w:pPr>
        <w:ind w:left="440" w:hanging="432"/>
        <w:spacing w:after="0"/>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BRING A GUEST?</w:t>
      </w:r>
    </w:p>
    <w:p>
      <w:pPr>
        <w:spacing w:after="0" w:line="173" w:lineRule="exact"/>
        <w:rPr>
          <w:sz w:val="20"/>
          <w:szCs w:val="20"/>
          <w:color w:val="auto"/>
        </w:rPr>
      </w:pPr>
    </w:p>
    <w:p>
      <w:pPr>
        <w:ind w:left="440" w:hanging="432"/>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The Meeting is for shareholders only.</w:t>
      </w:r>
    </w:p>
    <w:p>
      <w:pPr>
        <w:spacing w:after="0" w:line="173" w:lineRule="exact"/>
        <w:rPr>
          <w:sz w:val="20"/>
          <w:szCs w:val="20"/>
          <w:color w:val="auto"/>
        </w:rPr>
      </w:pPr>
    </w:p>
    <w:p>
      <w:pPr>
        <w:ind w:left="440" w:hanging="432"/>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QUORUM REQUIREMENT OF THE MEETING?</w:t>
      </w:r>
    </w:p>
    <w:p>
      <w:pPr>
        <w:spacing w:after="0" w:line="173" w:lineRule="exact"/>
        <w:rPr>
          <w:sz w:val="20"/>
          <w:szCs w:val="20"/>
          <w:color w:val="auto"/>
        </w:rPr>
      </w:pPr>
    </w:p>
    <w:p>
      <w:pPr>
        <w:ind w:right="3519" w:firstLine="8"/>
        <w:spacing w:after="0" w:line="313" w:lineRule="auto"/>
        <w:tabs>
          <w:tab w:leader="none" w:pos="43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outstanding shares on March 15, 2004, constitutes a quorum for voting at the Annual Meeting. If you vote, your shares will be part of the quorum. Abstentions and broker non-votes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0" w:right="1440" w:bottom="1440" w:gutter="0" w:footer="0" w:header="0"/>
        </w:sectPr>
      </w:pPr>
    </w:p>
    <w:bookmarkStart w:id="5" w:name="page6"/>
    <w:bookmarkEnd w:id="5"/>
    <w:p>
      <w:pPr>
        <w:ind w:right="3339"/>
        <w:spacing w:after="0" w:line="313" w:lineRule="auto"/>
        <w:rPr>
          <w:sz w:val="20"/>
          <w:szCs w:val="20"/>
          <w:color w:val="auto"/>
        </w:rPr>
      </w:pPr>
      <w:r>
        <w:rPr>
          <w:rFonts w:ascii="Courier New" w:cs="Courier New" w:eastAsia="Courier New" w:hAnsi="Courier New"/>
          <w:sz w:val="14"/>
          <w:szCs w:val="14"/>
          <w:color w:val="auto"/>
        </w:rPr>
        <w:t>will be counted in determining the quorum, but neither will be counted as votes cast. On March 15, 2004, there were 1,722,250 shares of Class A Common Stock and 7,836,622 shares of Class B Common Stock outstanding and entitled to vote.</w:t>
      </w:r>
    </w:p>
    <w:p>
      <w:pPr>
        <w:spacing w:after="0" w:line="42" w:lineRule="exact"/>
        <w:rPr>
          <w:sz w:val="20"/>
          <w:szCs w:val="20"/>
          <w:color w:val="auto"/>
        </w:rPr>
      </w:pPr>
    </w:p>
    <w:p>
      <w:pPr>
        <w:ind w:left="440" w:hanging="432"/>
        <w:spacing w:after="0"/>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IS SOLICITING PROXIES?</w:t>
      </w:r>
    </w:p>
    <w:p>
      <w:pPr>
        <w:spacing w:after="0" w:line="173" w:lineRule="exact"/>
        <w:rPr>
          <w:sz w:val="20"/>
          <w:szCs w:val="20"/>
          <w:color w:val="auto"/>
        </w:rPr>
      </w:pPr>
    </w:p>
    <w:p>
      <w:pPr>
        <w:ind w:right="3339" w:firstLine="8"/>
        <w:spacing w:after="0" w:line="271" w:lineRule="auto"/>
        <w:tabs>
          <w:tab w:leader="none" w:pos="43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Solicitation of proxies will be made by the Company's management through the mail, in person or by facsimile or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reimburse them for their expenses in so doing.</w:t>
      </w:r>
    </w:p>
    <w:p>
      <w:pPr>
        <w:spacing w:after="0" w:line="72" w:lineRule="exact"/>
        <w:rPr>
          <w:sz w:val="20"/>
          <w:szCs w:val="20"/>
          <w:color w:val="auto"/>
        </w:rPr>
      </w:pPr>
    </w:p>
    <w:p>
      <w:pPr>
        <w:ind w:left="440" w:hanging="432"/>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ARE THE SHAREHOLDER PROPOSALS DUE FOR THE 2005 ANNUAL MEETING?</w:t>
      </w:r>
    </w:p>
    <w:p>
      <w:pPr>
        <w:spacing w:after="0" w:line="173" w:lineRule="exact"/>
        <w:rPr>
          <w:sz w:val="20"/>
          <w:szCs w:val="20"/>
          <w:color w:val="auto"/>
        </w:rPr>
      </w:pPr>
    </w:p>
    <w:p>
      <w:pPr>
        <w:jc w:val="both"/>
        <w:ind w:right="3339" w:firstLine="8"/>
        <w:spacing w:after="0" w:line="292"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proposals submitted by shareholders entitled to vote on such matters, meeting the requirements of the Securities and Exchange Commission's proxy rules, must be in writing, received by November 26, 2004, and addressed to the Secretary of the Company, 1150 15th Street, NW, Washington, DC 20071.</w:t>
      </w:r>
    </w:p>
    <w:p>
      <w:pPr>
        <w:spacing w:after="0" w:line="56" w:lineRule="exact"/>
        <w:rPr>
          <w:sz w:val="20"/>
          <w:szCs w:val="20"/>
          <w:color w:val="auto"/>
        </w:rPr>
      </w:pPr>
    </w:p>
    <w:p>
      <w:pPr>
        <w:ind w:right="3419" w:firstLine="431"/>
        <w:spacing w:after="0" w:line="268" w:lineRule="auto"/>
        <w:rPr>
          <w:sz w:val="20"/>
          <w:szCs w:val="20"/>
          <w:color w:val="auto"/>
        </w:rPr>
      </w:pPr>
      <w:r>
        <w:rPr>
          <w:rFonts w:ascii="Courier New" w:cs="Courier New" w:eastAsia="Courier New" w:hAnsi="Courier New"/>
          <w:sz w:val="14"/>
          <w:szCs w:val="14"/>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74" w:lineRule="exact"/>
        <w:rPr>
          <w:sz w:val="20"/>
          <w:szCs w:val="20"/>
          <w:color w:val="auto"/>
        </w:rPr>
      </w:pPr>
    </w:p>
    <w:p>
      <w:pPr>
        <w:ind w:left="440" w:hanging="432"/>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OTHER INFORMATION ABOUT THE WASHINGTON POST COMPANY IS AVAILABLE?</w:t>
      </w:r>
    </w:p>
    <w:p>
      <w:pPr>
        <w:spacing w:after="0" w:line="173" w:lineRule="exact"/>
        <w:rPr>
          <w:sz w:val="20"/>
          <w:szCs w:val="20"/>
          <w:color w:val="auto"/>
        </w:rPr>
      </w:pP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information is available:</w:t>
      </w:r>
    </w:p>
    <w:p>
      <w:pPr>
        <w:spacing w:after="0" w:line="173" w:lineRule="exact"/>
        <w:rPr>
          <w:sz w:val="20"/>
          <w:szCs w:val="20"/>
          <w:color w:val="auto"/>
        </w:rPr>
      </w:pPr>
    </w:p>
    <w:p>
      <w:pPr>
        <w:ind w:left="1040" w:right="3419" w:hanging="179"/>
        <w:spacing w:after="0" w:line="260" w:lineRule="auto"/>
        <w:tabs>
          <w:tab w:leader="none" w:pos="1020" w:val="left"/>
        </w:tabs>
        <w:rPr>
          <w:sz w:val="20"/>
          <w:szCs w:val="20"/>
          <w:color w:val="auto"/>
        </w:rPr>
      </w:pPr>
      <w:r>
        <w:rPr>
          <w:rFonts w:ascii="Courier New" w:cs="Courier New" w:eastAsia="Courier New" w:hAnsi="Courier New"/>
          <w:sz w:val="14"/>
          <w:szCs w:val="14"/>
          <w:color w:val="auto"/>
        </w:rPr>
        <w:t>o</w:t>
        <w:tab/>
        <w:t>Annual Report on Form 10-K, which will be furnished without charge (except exhibits) to any stockholder upon written request addressed to the Treasurer of the Company at 1150 15th Street, NW, Washington, DC 20071.</w:t>
      </w:r>
    </w:p>
    <w:p>
      <w:pPr>
        <w:spacing w:after="0" w:line="1" w:lineRule="exact"/>
        <w:rPr>
          <w:sz w:val="20"/>
          <w:szCs w:val="20"/>
          <w:color w:val="auto"/>
        </w:rPr>
      </w:pPr>
    </w:p>
    <w:p>
      <w:pPr>
        <w:ind w:left="1040" w:right="3599" w:hanging="179"/>
        <w:spacing w:after="0" w:line="279" w:lineRule="auto"/>
        <w:tabs>
          <w:tab w:leader="none" w:pos="1020" w:val="left"/>
        </w:tabs>
        <w:rPr>
          <w:sz w:val="20"/>
          <w:szCs w:val="20"/>
          <w:color w:val="auto"/>
        </w:rPr>
      </w:pPr>
      <w:r>
        <w:rPr>
          <w:rFonts w:ascii="Courier New" w:cs="Courier New" w:eastAsia="Courier New" w:hAnsi="Courier New"/>
          <w:sz w:val="14"/>
          <w:szCs w:val="14"/>
          <w:color w:val="auto"/>
        </w:rPr>
        <w:t>o</w:t>
        <w:tab/>
        <w:t>The Company also maintains on its internet website, www.washpostco.com, copies of the Annual Report on Form 10-K and the Annual Report to Shareholders and other information about the Company.</w:t>
      </w:r>
    </w:p>
    <w:p>
      <w:pPr>
        <w:spacing w:after="0" w:line="65" w:lineRule="exact"/>
        <w:rPr>
          <w:sz w:val="20"/>
          <w:szCs w:val="20"/>
          <w:color w:val="auto"/>
        </w:rPr>
      </w:pPr>
    </w:p>
    <w:p>
      <w:pPr>
        <w:ind w:left="440" w:right="4379" w:hanging="432"/>
        <w:spacing w:after="0" w:line="37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RECEIVE MATERIALS RELATING TO ANNUAL SHAREHOLDER MEETINGS ELECTRONICALLY?</w:t>
      </w:r>
    </w:p>
    <w:p>
      <w:pPr>
        <w:spacing w:after="0" w:line="1" w:lineRule="exact"/>
        <w:rPr>
          <w:sz w:val="20"/>
          <w:szCs w:val="20"/>
          <w:color w:val="auto"/>
        </w:rPr>
      </w:pPr>
    </w:p>
    <w:p>
      <w:pPr>
        <w:ind w:right="3419" w:firstLine="8"/>
        <w:spacing w:after="0" w:line="264" w:lineRule="auto"/>
        <w:tabs>
          <w:tab w:leader="none" w:pos="43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your bank or broker for instructions on how to consent to electronic distribution.</w:t>
      </w:r>
    </w:p>
    <w:p>
      <w:pPr>
        <w:spacing w:after="0" w:line="7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NOMINEES FOR ELECTION BY CLASS A STOCKHOLDERS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WARREN E. BUFFETT</w:t>
      </w:r>
    </w:p>
    <w:p>
      <w:pPr>
        <w:spacing w:after="0" w:line="173" w:lineRule="exact"/>
        <w:rPr>
          <w:sz w:val="20"/>
          <w:szCs w:val="20"/>
          <w:color w:val="auto"/>
        </w:rPr>
      </w:pPr>
    </w:p>
    <w:p>
      <w:pPr>
        <w:ind w:left="1040" w:right="3419"/>
        <w:spacing w:after="0" w:line="266" w:lineRule="auto"/>
        <w:rPr>
          <w:sz w:val="20"/>
          <w:szCs w:val="20"/>
          <w:color w:val="auto"/>
        </w:rPr>
      </w:pPr>
      <w:r>
        <w:rPr>
          <w:rFonts w:ascii="Courier New" w:cs="Courier New" w:eastAsia="Courier New" w:hAnsi="Courier New"/>
          <w:sz w:val="14"/>
          <w:szCs w:val="14"/>
          <w:color w:val="auto"/>
        </w:rPr>
        <w:t>Mr. Buffett, age 73, has for more than thirty-three years been Chairman of the Board and Chief Executive Officer of Berkshire Hathaway Inc. (a diversified holding company). He was elected a Director of the Company in May 1996 and serves as Chairman of the Finance Committee and is a member of the Executive Committee of the Board. Mr. Buffett also served as a Director of the Company between 1974 and 1986. He is a director of Berkshire Hathaway Inc. and The Coca-Cola Company. Mr. Buffett is also a Life Trustee of Grinnell College and The Urban Institute.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BARRY DILLER</w:t>
      </w:r>
    </w:p>
    <w:p>
      <w:pPr>
        <w:spacing w:after="0" w:line="173" w:lineRule="exact"/>
        <w:rPr>
          <w:sz w:val="20"/>
          <w:szCs w:val="20"/>
          <w:color w:val="auto"/>
        </w:rPr>
      </w:pPr>
    </w:p>
    <w:p>
      <w:pPr>
        <w:ind w:left="600" w:right="3339"/>
        <w:spacing w:after="0" w:line="257" w:lineRule="auto"/>
        <w:rPr>
          <w:sz w:val="20"/>
          <w:szCs w:val="20"/>
          <w:color w:val="auto"/>
        </w:rPr>
      </w:pPr>
      <w:r>
        <w:rPr>
          <w:rFonts w:ascii="Courier New" w:cs="Courier New" w:eastAsia="Courier New" w:hAnsi="Courier New"/>
          <w:sz w:val="14"/>
          <w:szCs w:val="14"/>
          <w:color w:val="auto"/>
        </w:rPr>
        <w:t>Mr. Diller, age 62, has been Chairman of the Board and Chief Executive Officer of IAC/InterActiveCorp, formerly USA Interactive (an information, entertainment and direct selling company), since August 1995. He was elected a Director of the Company in September 2000 and is a member of the Finance Committee of the Board. Since December 1992, beginning with QVC, Mr. Diller has served as chief executive for a number of predecessor companies engaged in media and interactivity prior to the formation of InterActiveCorp. From October 1984 to April 1992, Mr. Diller served as Chairman and Chief Executive Officer of Fox, Inc. and was responsible for the creation of Fox Broadcasting Company, in addition to Fox's motion picture operations. Prior to joining Fox, Inc., he served for ten years as Chairman of the Board of Directors of Paramount Pictures Corporation. Before joining Paramount, Mr. Diller served as Vice President of Prime Time Television for ABC Entertainment. Mr. Diller is a director of The Coca-Cola Company and he serves on the boards of Conservation International and Channel 13/WNET. He also is a member of the Board of Trustees of New York University and serves on the boards of a number of other educational and not-for-profit organizations.</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J. GILLESPIE, III</w:t>
      </w:r>
    </w:p>
    <w:p>
      <w:pPr>
        <w:spacing w:after="0" w:line="173" w:lineRule="exact"/>
        <w:rPr>
          <w:sz w:val="20"/>
          <w:szCs w:val="20"/>
          <w:color w:val="auto"/>
        </w:rPr>
      </w:pPr>
    </w:p>
    <w:p>
      <w:pPr>
        <w:ind w:left="600" w:right="3339"/>
        <w:spacing w:after="0" w:line="268" w:lineRule="auto"/>
        <w:rPr>
          <w:sz w:val="20"/>
          <w:szCs w:val="20"/>
          <w:color w:val="auto"/>
        </w:rPr>
      </w:pPr>
      <w:r>
        <w:rPr>
          <w:rFonts w:ascii="Courier New" w:cs="Courier New" w:eastAsia="Courier New" w:hAnsi="Courier New"/>
          <w:sz w:val="14"/>
          <w:szCs w:val="14"/>
          <w:color w:val="auto"/>
        </w:rPr>
        <w:t>Mr. Gillespie, age 73, has since 1963 been a partner in Cravath, Swaine &amp; Moore LLP, which is one of several law firms retained by the Company in 2002 and 2003 and which it proposes to retain in 2004. He has been a Director of the Company since 1974 and is a member of the Finance Committee of the Board. Mr. Gillespie is also Chairman of the Board of White Mountain Holdings, Inc, a director of the Museum of Television and Radio and serves on the boards of a number of foundations and other charitable organizations.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173" w:lineRule="exact"/>
        <w:rPr>
          <w:sz w:val="20"/>
          <w:szCs w:val="20"/>
          <w:color w:val="auto"/>
        </w:rPr>
      </w:pPr>
    </w:p>
    <w:p>
      <w:pPr>
        <w:ind w:left="600" w:right="3519"/>
        <w:spacing w:after="0" w:line="254" w:lineRule="auto"/>
        <w:rPr>
          <w:sz w:val="20"/>
          <w:szCs w:val="20"/>
          <w:color w:val="auto"/>
        </w:rPr>
      </w:pPr>
      <w:r>
        <w:rPr>
          <w:rFonts w:ascii="Courier New" w:cs="Courier New" w:eastAsia="Courier New" w:hAnsi="Courier New"/>
          <w:sz w:val="14"/>
          <w:szCs w:val="14"/>
          <w:color w:val="auto"/>
        </w:rPr>
        <w:t>Mr. Graham, age 58, has been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Chairman of the Executive Committee and a member of the Finance Committee of the Board. By virtue of his ownership of 20.7% of the outstanding Class A Stock of the Company and his right to control the vote, as a trustee of certain family trusts, of an additional</w:t>
      </w:r>
    </w:p>
    <w:p>
      <w:pPr>
        <w:spacing w:after="0" w:line="4" w:lineRule="exact"/>
        <w:rPr>
          <w:sz w:val="20"/>
          <w:szCs w:val="20"/>
          <w:color w:val="auto"/>
        </w:rPr>
      </w:pPr>
    </w:p>
    <w:p>
      <w:pPr>
        <w:ind w:left="600" w:right="3339"/>
        <w:spacing w:after="0" w:line="272" w:lineRule="auto"/>
        <w:rPr>
          <w:sz w:val="20"/>
          <w:szCs w:val="20"/>
          <w:color w:val="auto"/>
        </w:rPr>
      </w:pPr>
      <w:r>
        <w:rPr>
          <w:rFonts w:ascii="Courier New" w:cs="Courier New" w:eastAsia="Courier New" w:hAnsi="Courier New"/>
          <w:sz w:val="14"/>
          <w:szCs w:val="14"/>
          <w:color w:val="auto"/>
        </w:rPr>
        <w:t>31.0% of such stock, Mr. Graham effectively votes a total of 51.7% of the Class A shares. Mr. Graham is a trustee of the Federal City Council and the Philip L. Graham Fund, and he serves as Chairman and a director of DC College Access Program and as a director of The Summit Fund of Washington.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w:t>
      </w:r>
    </w:p>
    <w:p>
      <w:pPr>
        <w:spacing w:after="0" w:line="173" w:lineRule="exact"/>
        <w:rPr>
          <w:sz w:val="20"/>
          <w:szCs w:val="20"/>
          <w:color w:val="auto"/>
        </w:rPr>
      </w:pPr>
    </w:p>
    <w:p>
      <w:pPr>
        <w:ind w:left="600" w:right="3339"/>
        <w:spacing w:after="0" w:line="263" w:lineRule="auto"/>
        <w:rPr>
          <w:sz w:val="20"/>
          <w:szCs w:val="20"/>
          <w:color w:val="auto"/>
        </w:rPr>
      </w:pPr>
      <w:r>
        <w:rPr>
          <w:rFonts w:ascii="Courier New" w:cs="Courier New" w:eastAsia="Courier New" w:hAnsi="Courier New"/>
          <w:sz w:val="14"/>
          <w:szCs w:val="14"/>
          <w:color w:val="auto"/>
        </w:rPr>
        <w:t>Mr. Simmons, age 69, has been retired since June 1991; prior to his retirement he had been President and Chief Operating Officer of the Company for nearly ten years. Since September 1981, he has been a Director of the Company and is a member of the Finance and Audit Committees of the Board. Until May 1996, Mr. Simmons was also a member of the Compensation Committee of the Board. From 1989 to 1996, Mr. Simmons served as President of International Herald Tribune, S.A., a French publishing company then owned jointly by the Company and The New York Times Company. Mr. Simmons is a Council Member of the White Burkett Miller Center of Public Affairs at the University of Virginia.</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W. WILSON</w:t>
      </w:r>
    </w:p>
    <w:p>
      <w:pPr>
        <w:spacing w:after="0" w:line="173" w:lineRule="exact"/>
        <w:rPr>
          <w:sz w:val="20"/>
          <w:szCs w:val="20"/>
          <w:color w:val="auto"/>
        </w:rPr>
      </w:pPr>
    </w:p>
    <w:p>
      <w:pPr>
        <w:ind w:left="600" w:right="3419"/>
        <w:spacing w:after="0" w:line="268" w:lineRule="auto"/>
        <w:rPr>
          <w:sz w:val="20"/>
          <w:szCs w:val="20"/>
          <w:color w:val="auto"/>
        </w:rPr>
      </w:pPr>
      <w:r>
        <w:rPr>
          <w:rFonts w:ascii="Courier New" w:cs="Courier New" w:eastAsia="Courier New" w:hAnsi="Courier New"/>
          <w:sz w:val="14"/>
          <w:szCs w:val="14"/>
          <w:color w:val="auto"/>
        </w:rPr>
        <w:t>Mr. Wilson, age 66, has for more than twenty-two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Chairman of the Board of Trustees of The Newspaper Foundation (New Hampshire).</w:t>
      </w:r>
    </w:p>
    <w:p>
      <w:pPr>
        <w:spacing w:after="0" w:line="7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9"/>
          </w:cols>
          <w:pgMar w:left="660" w:top="590" w:right="1440" w:bottom="1440" w:gutter="0" w:footer="0" w:header="0"/>
        </w:sectPr>
      </w:pPr>
    </w:p>
    <w:bookmarkStart w:id="7" w:name="page8"/>
    <w:bookmarkEnd w:id="7"/>
    <w:p>
      <w:pPr>
        <w:ind w:left="1560"/>
        <w:spacing w:after="0"/>
        <w:rPr>
          <w:sz w:val="20"/>
          <w:szCs w:val="20"/>
          <w:color w:val="auto"/>
        </w:rPr>
      </w:pPr>
      <w:r>
        <w:rPr>
          <w:rFonts w:ascii="Courier New" w:cs="Courier New" w:eastAsia="Courier New" w:hAnsi="Courier New"/>
          <w:sz w:val="14"/>
          <w:szCs w:val="14"/>
          <w:color w:val="auto"/>
        </w:rPr>
        <w:t>NOMINEES FOR ELECTION BY CLASS B STOCKHOLDERS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L. DOTSON JR.</w:t>
      </w:r>
    </w:p>
    <w:p>
      <w:pPr>
        <w:spacing w:after="0" w:line="173" w:lineRule="exact"/>
        <w:rPr>
          <w:sz w:val="20"/>
          <w:szCs w:val="20"/>
          <w:color w:val="auto"/>
        </w:rPr>
      </w:pPr>
    </w:p>
    <w:p>
      <w:pPr>
        <w:ind w:left="1040" w:right="3519"/>
        <w:spacing w:after="0" w:line="266" w:lineRule="auto"/>
        <w:rPr>
          <w:sz w:val="20"/>
          <w:szCs w:val="20"/>
          <w:color w:val="auto"/>
        </w:rPr>
      </w:pPr>
      <w:r>
        <w:rPr>
          <w:rFonts w:ascii="Courier New" w:cs="Courier New" w:eastAsia="Courier New" w:hAnsi="Courier New"/>
          <w:sz w:val="14"/>
          <w:szCs w:val="14"/>
          <w:color w:val="auto"/>
        </w:rPr>
        <w:t>Mr. Dotson, age 67, has been retired since June 2001; prior to his retirement he had been President and Publisher of the Akron Beacon Journal. He became a Director of the Company in July 2001 and is a member of the Compensation Committee of the Board. Mr. Dotson is a member of the Board of Directors of the Maynard Institute for Journalism Education, and a member of the Board of Visitors of the University of North Carolina School of Journalism and Mass Communications and the Knight Foundation Journalism Advisory Committee.</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RONALD L. OLSON</w:t>
      </w:r>
    </w:p>
    <w:p>
      <w:pPr>
        <w:spacing w:after="0" w:line="173" w:lineRule="exact"/>
        <w:rPr>
          <w:sz w:val="20"/>
          <w:szCs w:val="20"/>
          <w:color w:val="auto"/>
        </w:rPr>
      </w:pPr>
    </w:p>
    <w:p>
      <w:pPr>
        <w:ind w:left="1040" w:right="3419"/>
        <w:spacing w:after="0" w:line="271" w:lineRule="auto"/>
        <w:rPr>
          <w:sz w:val="20"/>
          <w:szCs w:val="20"/>
          <w:color w:val="auto"/>
        </w:rPr>
      </w:pPr>
      <w:r>
        <w:rPr>
          <w:rFonts w:ascii="Courier New" w:cs="Courier New" w:eastAsia="Courier New" w:hAnsi="Courier New"/>
          <w:sz w:val="14"/>
          <w:szCs w:val="14"/>
          <w:color w:val="auto"/>
        </w:rPr>
        <w:t>Mr. Olson, age 62, has since 1970 been a partner in the law firm of Munger, Tolles &amp; Olson LLP. He became a Director of the Company in September 2003 and is a member of the Audit Committee of the Board. Mr. Olson is also a director of Berkshire Hathaway Inc., Edison International and City National Corporation. He serves on the board of the California Institute of Technology, the RAND Corporation and a number of other not-for-profit organizations.</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ALICE M. RIVLIN</w:t>
      </w:r>
    </w:p>
    <w:p>
      <w:pPr>
        <w:spacing w:after="0" w:line="173" w:lineRule="exact"/>
        <w:rPr>
          <w:sz w:val="20"/>
          <w:szCs w:val="20"/>
          <w:color w:val="auto"/>
        </w:rPr>
      </w:pPr>
    </w:p>
    <w:p>
      <w:pPr>
        <w:ind w:left="1040" w:right="3339"/>
        <w:spacing w:after="0" w:line="257" w:lineRule="auto"/>
        <w:rPr>
          <w:sz w:val="20"/>
          <w:szCs w:val="20"/>
          <w:color w:val="auto"/>
        </w:rPr>
      </w:pPr>
      <w:r>
        <w:rPr>
          <w:rFonts w:ascii="Courier New" w:cs="Courier New" w:eastAsia="Courier New" w:hAnsi="Courier New"/>
          <w:sz w:val="14"/>
          <w:szCs w:val="14"/>
          <w:color w:val="auto"/>
        </w:rPr>
        <w:t>Dr. Rivlin, age 73, is a Professor at Georgetown University and a Senior Fellow in the Economic Studies Program at the Brookings Institute. She became a Director of the Company in July 2002 and is a member of the Audit Committee of the Board. Dr. Rivlin was Vice Chair of the Federal Reserve Board from 1996 to 1999, Director of the White House Office of Management and Budget from 1994 to 1996 and Deputy Director from 1993 to 1994. She served as Chair of the District of Columbia Financial Management Assistance Authority from 1998 to 2001. Dr. Rivlin was the founding Director of the Congressional Budget Office from 1975 to 1983 and Director of the Economic Studies Program at the Brookings Institute from 1983 to 1987. She served as Assistant Secretary for Planning and Evaluation at the U.S. Department of Health, Education and Welfare from 1968 to 1969. Dr. Rivlin has taught at Harvard University, the New School University and George Mason University and has served as President of the American Economic Association. She is currently a member of the Board of Directors of BearingPoint, Inc. (formerly KPMG Consulting, Inc.), Public Agenda, the DC Charter Schools Association and the D.C. Chamber of Commerce.</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jc w:val="both"/>
        <w:ind w:right="4119" w:firstLine="431"/>
        <w:spacing w:after="0" w:line="375" w:lineRule="auto"/>
        <w:rPr>
          <w:sz w:val="20"/>
          <w:szCs w:val="20"/>
          <w:color w:val="auto"/>
        </w:rPr>
      </w:pPr>
      <w:r>
        <w:rPr>
          <w:rFonts w:ascii="Courier New" w:cs="Courier New" w:eastAsia="Courier New" w:hAnsi="Courier New"/>
          <w:sz w:val="14"/>
          <w:szCs w:val="14"/>
          <w:color w:val="auto"/>
        </w:rPr>
        <w:t>The standing committees of the Board include an Audit Committee, a Compensation Committee, an Executive Committee and a Finance Committee.</w:t>
      </w:r>
    </w:p>
    <w:p>
      <w:pPr>
        <w:spacing w:after="0" w:line="1" w:lineRule="exact"/>
        <w:rPr>
          <w:sz w:val="20"/>
          <w:szCs w:val="20"/>
          <w:color w:val="auto"/>
        </w:rPr>
      </w:pPr>
    </w:p>
    <w:p>
      <w:pPr>
        <w:ind w:right="3779" w:firstLine="431"/>
        <w:spacing w:after="0" w:line="275" w:lineRule="auto"/>
        <w:rPr>
          <w:sz w:val="20"/>
          <w:szCs w:val="20"/>
          <w:color w:val="auto"/>
        </w:rPr>
      </w:pPr>
      <w:r>
        <w:rPr>
          <w:rFonts w:ascii="Courier New" w:cs="Courier New" w:eastAsia="Courier New" w:hAnsi="Courier New"/>
          <w:sz w:val="14"/>
          <w:szCs w:val="14"/>
          <w:color w:val="auto"/>
        </w:rPr>
        <w:t>Given the ownership structure of the Company and its status as a "controlled company" (see page 9), the Board does not have a nominating committee. Decisions on nominees to the Board are made through consultation between the Chairman of the Board and the other members of the Board. The Company has not utilized the services of any third party to assist in identifying and evaluating nominees.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173"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auditors, (v) the performance of the Company's internal audit function, (vi) the outside auditors' annual audit of the Company's financial statements and (vii) preparing any report required by the rules and regulations of the Securities and Exchange Commission.</w:t>
      </w:r>
    </w:p>
    <w:p>
      <w:pPr>
        <w:spacing w:after="0" w:line="74"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Ralph E. Gomory, Ronald L. Olson, Alice M. Rivlin, Richard D. Simmons and Daniel B. Burke (chairman) serve on the Audit Committee. The Board of Directors has determined that all members of the Audit Committee are non-employee, "financially literate", "independent" directors within the meaning of the New York Stock Exchange</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0" w:right="1440" w:bottom="1440" w:gutter="0" w:footer="0" w:header="0"/>
        </w:sectPr>
      </w:pPr>
    </w:p>
    <w:bookmarkStart w:id="8" w:name="page9"/>
    <w:bookmarkEnd w:id="8"/>
    <w:p>
      <w:pPr>
        <w:ind w:right="3339"/>
        <w:spacing w:after="0" w:line="268" w:lineRule="auto"/>
        <w:rPr>
          <w:sz w:val="20"/>
          <w:szCs w:val="20"/>
          <w:color w:val="auto"/>
        </w:rPr>
      </w:pPr>
      <w:r>
        <w:rPr>
          <w:rFonts w:ascii="Courier New" w:cs="Courier New" w:eastAsia="Courier New" w:hAnsi="Courier New"/>
          <w:sz w:val="14"/>
          <w:szCs w:val="14"/>
          <w:color w:val="auto"/>
        </w:rPr>
        <w:t>listing standards, and all members of the Audit Committee are "independent" as that term is used in Item 7(d)(3)(iv) of Schedule 14A of the Securities Exchange Act of 1934. None of the members of the Audit Committee has, other than in their capacity as a Committee or Board member, accepted any consulting, advisory or other compensatory fee (other than pension or other forms of deferred compensation for prior service which is not contingent in any way on continued service) from the Company or its affiliates and none of the members of the Audit Committee has a material relationship with the Company.</w:t>
      </w:r>
    </w:p>
    <w:p>
      <w:pPr>
        <w:spacing w:after="0" w:line="74"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The Board has determined that Richard D. Simmons has the requisite background and experience to be and is designated an "audit committee financial expert" within the meaning of Item 401(h) of Regulation S-K. In addition, the Board has determined that all the members of the Audit Committee are well-grounded in financial matters and are familiar with generally accepted accounting principles. All the members of the Audit Committee have a general understanding of internal controls and procedures for financial reporting, as well as an understanding of audit committee functions. To the extent there are matters that come before the Audit Committee that involve accounting issues, the members of the Audit Committee consult with and rely on experts for their expertise.</w:t>
      </w:r>
    </w:p>
    <w:p>
      <w:pPr>
        <w:spacing w:after="0" w:line="25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Audit Committee held eight meetings in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The functions of the Compensation Committee include (i) reviewing the compensation for the Company's chief executive officer, (ii) consulting with the chief executive officer with respect to the compensation of the Company's other executives (including specifically approving all salaries of $200,000 or more per year, all incentive compensation awards and all other bonuses (other than sales bonuses) of $40,000 or more, and also awards of stock options), (iii) overseeing the administration of and determining awards under the Company's compensation plans and (iv) preparing any report on executive compensation required by the rules and regulations of the Securities and Exchange Commission.</w:t>
      </w:r>
    </w:p>
    <w:p>
      <w:pPr>
        <w:spacing w:after="0" w:line="74" w:lineRule="exact"/>
        <w:rPr>
          <w:sz w:val="20"/>
          <w:szCs w:val="20"/>
          <w:color w:val="auto"/>
        </w:rPr>
      </w:pPr>
    </w:p>
    <w:p>
      <w:pPr>
        <w:ind w:right="3519" w:firstLine="431"/>
        <w:spacing w:after="0" w:line="292" w:lineRule="auto"/>
        <w:rPr>
          <w:sz w:val="20"/>
          <w:szCs w:val="20"/>
          <w:color w:val="auto"/>
        </w:rPr>
      </w:pPr>
      <w:r>
        <w:rPr>
          <w:rFonts w:ascii="Courier New" w:cs="Courier New" w:eastAsia="Courier New" w:hAnsi="Courier New"/>
          <w:sz w:val="14"/>
          <w:szCs w:val="14"/>
          <w:color w:val="auto"/>
        </w:rPr>
        <w:t>Daniel B. Burke, John L. Dotson Jr. and George W. Wilson (chairman) serve on the Compensation Committee. All members of the Compensation Committee are non-employee, "independent" directors within the meaning of the listing requirements of the New York Stock Exchange.</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Compensation Committee held five meetings in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COMMITTEE</w:t>
      </w:r>
    </w:p>
    <w:p>
      <w:pPr>
        <w:spacing w:after="0" w:line="173" w:lineRule="exact"/>
        <w:rPr>
          <w:sz w:val="20"/>
          <w:szCs w:val="20"/>
          <w:color w:val="auto"/>
        </w:rPr>
      </w:pPr>
    </w:p>
    <w:p>
      <w:pPr>
        <w:ind w:right="3419" w:firstLine="431"/>
        <w:spacing w:after="0" w:line="277" w:lineRule="auto"/>
        <w:rPr>
          <w:sz w:val="20"/>
          <w:szCs w:val="20"/>
          <w:color w:val="auto"/>
        </w:rPr>
      </w:pPr>
      <w:r>
        <w:rPr>
          <w:rFonts w:ascii="Courier New" w:cs="Courier New" w:eastAsia="Courier New" w:hAnsi="Courier New"/>
          <w:sz w:val="14"/>
          <w:szCs w:val="14"/>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defined benefit plan assets, stock repurchase programs and certain other financial matters.</w:t>
      </w:r>
    </w:p>
    <w:p>
      <w:pPr>
        <w:spacing w:after="0" w:line="244" w:lineRule="exact"/>
        <w:rPr>
          <w:sz w:val="20"/>
          <w:szCs w:val="20"/>
          <w:color w:val="auto"/>
        </w:rPr>
      </w:pPr>
    </w:p>
    <w:p>
      <w:pPr>
        <w:ind w:right="3339" w:firstLine="431"/>
        <w:spacing w:after="0" w:line="375" w:lineRule="auto"/>
        <w:rPr>
          <w:sz w:val="20"/>
          <w:szCs w:val="20"/>
          <w:color w:val="auto"/>
        </w:rPr>
      </w:pPr>
      <w:r>
        <w:rPr>
          <w:rFonts w:ascii="Courier New" w:cs="Courier New" w:eastAsia="Courier New" w:hAnsi="Courier New"/>
          <w:sz w:val="14"/>
          <w:szCs w:val="14"/>
          <w:color w:val="auto"/>
        </w:rPr>
        <w:t>Barry Diller, George J. Gillespie III, Donald E. Graham, Richard D. Simmons and Warren E. Buffett (chairman) serve on the Finance Committee.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Finance Committee held one meeting in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w:t>
      </w:r>
    </w:p>
    <w:p>
      <w:pPr>
        <w:spacing w:after="0" w:line="17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42" w:lineRule="exact"/>
        <w:rPr>
          <w:sz w:val="20"/>
          <w:szCs w:val="20"/>
          <w:color w:val="auto"/>
        </w:rPr>
      </w:pPr>
    </w:p>
    <w:p>
      <w:pPr>
        <w:ind w:right="3599" w:firstLine="431"/>
        <w:spacing w:after="0" w:line="375" w:lineRule="auto"/>
        <w:rPr>
          <w:sz w:val="20"/>
          <w:szCs w:val="20"/>
          <w:color w:val="auto"/>
        </w:rPr>
      </w:pPr>
      <w:r>
        <w:rPr>
          <w:rFonts w:ascii="Courier New" w:cs="Courier New" w:eastAsia="Courier New" w:hAnsi="Courier New"/>
          <w:sz w:val="14"/>
          <w:szCs w:val="14"/>
          <w:color w:val="auto"/>
        </w:rPr>
        <w:t>Warren E. Buffett and Donald E. Graham (chairman) serve on the Executive Committee.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Executive Committee held four meetings in 2003.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MEETING ATTENDANCE</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Board held a total of six meetings in 2003. Each director attended at least 75% of the meetings of the Board and the committees of the Board on which the director served, with the exception of Ronald L. Olson, who was appointed to the Board in September 2003.</w:t>
      </w:r>
    </w:p>
    <w:p>
      <w:pPr>
        <w:spacing w:after="0" w:line="56" w:lineRule="exact"/>
        <w:rPr>
          <w:sz w:val="20"/>
          <w:szCs w:val="20"/>
          <w:color w:val="auto"/>
        </w:rPr>
      </w:pPr>
    </w:p>
    <w:p>
      <w:pPr>
        <w:ind w:right="3599" w:firstLine="431"/>
        <w:spacing w:after="0" w:line="292" w:lineRule="auto"/>
        <w:rPr>
          <w:sz w:val="20"/>
          <w:szCs w:val="20"/>
          <w:color w:val="auto"/>
        </w:rPr>
      </w:pPr>
      <w:r>
        <w:rPr>
          <w:rFonts w:ascii="Courier New" w:cs="Courier New" w:eastAsia="Courier New" w:hAnsi="Courier New"/>
          <w:sz w:val="14"/>
          <w:szCs w:val="14"/>
          <w:color w:val="auto"/>
        </w:rPr>
        <w:t>The Board does not have a policy of requiring directors to attend annual meetings of shareholders and leaves it entirely at the discretion of each director as to whether he or she will attend the meeting. Seven directors attended the 2003 annual meeting of shareholders.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Annual Payments. During 2003, non-employee directors received: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 $60,000 as a retainer,</w:t>
      </w:r>
    </w:p>
    <w:p>
      <w:pPr>
        <w:spacing w:after="0" w:line="33" w:lineRule="exact"/>
        <w:rPr>
          <w:sz w:val="20"/>
          <w:szCs w:val="20"/>
          <w:color w:val="auto"/>
        </w:rPr>
      </w:pPr>
    </w:p>
    <w:p>
      <w:pPr>
        <w:ind w:left="1040" w:right="3939" w:hanging="179"/>
        <w:spacing w:after="0" w:line="250" w:lineRule="auto"/>
        <w:tabs>
          <w:tab w:leader="none" w:pos="1020" w:val="left"/>
        </w:tabs>
        <w:rPr>
          <w:sz w:val="20"/>
          <w:szCs w:val="20"/>
          <w:color w:val="auto"/>
        </w:rPr>
      </w:pPr>
      <w:r>
        <w:rPr>
          <w:rFonts w:ascii="Courier New" w:cs="Courier New" w:eastAsia="Courier New" w:hAnsi="Courier New"/>
          <w:sz w:val="14"/>
          <w:szCs w:val="14"/>
          <w:color w:val="auto"/>
        </w:rPr>
        <w:t>o</w:t>
        <w:tab/>
        <w:t>reimbursement of out-of-pocket expenses for the meetings they attend, and</w:t>
      </w:r>
    </w:p>
    <w:p>
      <w:pPr>
        <w:spacing w:after="0" w:line="1" w:lineRule="exact"/>
        <w:rPr>
          <w:sz w:val="20"/>
          <w:szCs w:val="20"/>
          <w:color w:val="auto"/>
        </w:rPr>
      </w:pPr>
    </w:p>
    <w:p>
      <w:pPr>
        <w:ind w:left="1040" w:right="3939" w:hanging="179"/>
        <w:spacing w:after="0" w:line="336" w:lineRule="auto"/>
        <w:tabs>
          <w:tab w:leader="none" w:pos="1020" w:val="left"/>
        </w:tabs>
        <w:rPr>
          <w:sz w:val="20"/>
          <w:szCs w:val="20"/>
          <w:color w:val="auto"/>
        </w:rPr>
      </w:pPr>
      <w:r>
        <w:rPr>
          <w:rFonts w:ascii="Courier New" w:cs="Courier New" w:eastAsia="Courier New" w:hAnsi="Courier New"/>
          <w:sz w:val="14"/>
          <w:szCs w:val="14"/>
          <w:color w:val="auto"/>
        </w:rPr>
        <w:t>o</w:t>
        <w:tab/>
        <w:t>members of the Audit Committee received an additional $10,000 annually for their service on that committee.</w:t>
      </w:r>
    </w:p>
    <w:p>
      <w:pPr>
        <w:spacing w:after="0" w:line="27" w:lineRule="exact"/>
        <w:rPr>
          <w:sz w:val="20"/>
          <w:szCs w:val="20"/>
          <w:color w:val="auto"/>
        </w:rPr>
      </w:pPr>
    </w:p>
    <w:p>
      <w:pPr>
        <w:ind w:right="3419" w:firstLine="431"/>
        <w:spacing w:after="0" w:line="375" w:lineRule="auto"/>
        <w:rPr>
          <w:sz w:val="20"/>
          <w:szCs w:val="20"/>
          <w:color w:val="auto"/>
        </w:rPr>
      </w:pPr>
      <w:r>
        <w:rPr>
          <w:rFonts w:ascii="Courier New" w:cs="Courier New" w:eastAsia="Courier New" w:hAnsi="Courier New"/>
          <w:sz w:val="14"/>
          <w:szCs w:val="14"/>
          <w:color w:val="auto"/>
        </w:rPr>
        <w:t>The chairmen of Board committees each received an additional $5,000. The employee director received no additional compensation for serving on the Board.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w:t>
      </w:r>
    </w:p>
    <w:p>
      <w:pPr>
        <w:spacing w:after="0" w:line="173" w:lineRule="exact"/>
        <w:rPr>
          <w:sz w:val="20"/>
          <w:szCs w:val="20"/>
          <w:color w:val="auto"/>
        </w:rPr>
      </w:pPr>
    </w:p>
    <w:p>
      <w:pPr>
        <w:jc w:val="both"/>
        <w:ind w:right="3339" w:firstLine="431"/>
        <w:spacing w:after="0" w:line="263" w:lineRule="auto"/>
        <w:rPr>
          <w:sz w:val="20"/>
          <w:szCs w:val="20"/>
          <w:color w:val="auto"/>
        </w:rPr>
      </w:pPr>
      <w:r>
        <w:rPr>
          <w:rFonts w:ascii="Courier New" w:cs="Courier New" w:eastAsia="Courier New" w:hAnsi="Courier New"/>
          <w:sz w:val="14"/>
          <w:szCs w:val="14"/>
          <w:color w:val="auto"/>
        </w:rPr>
        <w:t>The Company has in place a voluntary fee deferral plan for directors of the Company. The plan provides an opportunity for participants to elect to defer the receipt of all or a portion of the fees received for service as a director.</w:t>
      </w:r>
    </w:p>
    <w:p>
      <w:pPr>
        <w:spacing w:after="0" w:line="2"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Elections to defer must be filed in advance of earning such fees.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 COMPANY"</w:t>
      </w:r>
    </w:p>
    <w:p>
      <w:pPr>
        <w:spacing w:after="0" w:line="173" w:lineRule="exact"/>
        <w:rPr>
          <w:sz w:val="20"/>
          <w:szCs w:val="20"/>
          <w:color w:val="auto"/>
        </w:rPr>
      </w:pPr>
    </w:p>
    <w:p>
      <w:pPr>
        <w:ind w:right="3339" w:firstLine="431"/>
        <w:spacing w:after="0" w:line="262" w:lineRule="auto"/>
        <w:rPr>
          <w:sz w:val="20"/>
          <w:szCs w:val="20"/>
          <w:color w:val="auto"/>
        </w:rPr>
      </w:pPr>
      <w:r>
        <w:rPr>
          <w:rFonts w:ascii="Courier New" w:cs="Courier New" w:eastAsia="Courier New" w:hAnsi="Courier New"/>
          <w:sz w:val="14"/>
          <w:szCs w:val="14"/>
          <w:color w:val="auto"/>
        </w:rPr>
        <w:t>The descendants of Katharine Graham (including the Company's chief executive officer and Chairman of the Board) and trusts for the benefit of those descendants own all the shares of Class A Common Stock, which have the right to vote for 70% of the Board of Directors, and thus the Company is a "controlled company" for purposes of Section 303(A) of the New York Stock Exchange Listed Company Manual. As a "controlled company," the Company is exempted from the requirement that it have a nominating/corporate governance committee. Notwithstanding its being a "controlled company", the Board has determined that Warren E. Buffett, Barry Diller, John L. Dotson Jr., Ronald L. Olson, Alice M. Rivlin, Richard D. Simmons and George W. Wilson, who constitute a majority of the board, are "independent" as outlined in Section 303A.02 of the New York Stock Exchange Listed Company Manual.</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OF THE NON-MANAGEMENT DIRECTORS</w:t>
      </w:r>
    </w:p>
    <w:p>
      <w:pPr>
        <w:spacing w:after="0" w:line="173"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The listing requirements of the New York Stock Exchange call for the non-management directors of the Company to meet regularly in executive session without management. The Board has appointed Mr. Warren E. Buffett as lead director and to preside at the executive sessions. The non-management directors met once in November 2003 and expect to meet in executive session in 2004 as appropriate.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COMMUNICATING WITH DIRECTORS</w:t>
      </w:r>
    </w:p>
    <w:p>
      <w:pPr>
        <w:spacing w:after="0" w:line="17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Interested parties may communicate concerns to the lead director or the other directors of the Company through Global Compliance Services, the Company's third party managed hotline (1-866-687-8972).</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0" w:right="1440" w:bottom="1440" w:gutter="0" w:footer="0" w:header="0"/>
        </w:sectPr>
      </w:pPr>
    </w:p>
    <w:bookmarkStart w:id="10" w:name="page11"/>
    <w:bookmarkEnd w:id="10"/>
    <w:p>
      <w:pPr>
        <w:ind w:left="960"/>
        <w:spacing w:after="0"/>
        <w:rPr>
          <w:sz w:val="20"/>
          <w:szCs w:val="20"/>
          <w:color w:val="auto"/>
        </w:rPr>
      </w:pPr>
      <w:r>
        <w:rPr>
          <w:rFonts w:ascii="Courier New" w:cs="Courier New" w:eastAsia="Courier New" w:hAnsi="Courier New"/>
          <w:sz w:val="14"/>
          <w:szCs w:val="14"/>
          <w:color w:val="auto"/>
        </w:rPr>
        <w:t>STOCK HOLDINGS OF CERTAIN BENEFICIAL OWNERS AND MANAGEMENT</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2004,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60" w:type="dxa"/>
            <w:vAlign w:val="bottom"/>
          </w:tcPr>
          <w:p>
            <w:pPr>
              <w:spacing w:after="0"/>
              <w:rPr>
                <w:sz w:val="21"/>
                <w:szCs w:val="21"/>
                <w:color w:val="auto"/>
              </w:rPr>
            </w:pPr>
          </w:p>
        </w:tc>
        <w:tc>
          <w:tcPr>
            <w:tcW w:w="274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PRINCIPAL HOLDERS OF STOCK</w:t>
            </w: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SHARES (%)</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86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 OF</w:t>
            </w:r>
          </w:p>
        </w:tc>
        <w:tc>
          <w:tcPr>
            <w:tcW w:w="5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vMerge w:val="continue"/>
          </w:tcPr>
          <w:p>
            <w:pPr>
              <w:spacing w:after="0"/>
              <w:rPr>
                <w:sz w:val="14"/>
                <w:szCs w:val="14"/>
                <w:color w:val="auto"/>
              </w:rPr>
            </w:pPr>
          </w:p>
        </w:tc>
        <w:tc>
          <w:tcPr>
            <w:tcW w:w="3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CLASS A STOCK</w:t>
            </w:r>
          </w:p>
        </w:tc>
        <w:tc>
          <w:tcPr>
            <w:tcW w:w="25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CLASS B STOCK*</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BENEFICIAL OWNER</w:t>
            </w:r>
          </w:p>
        </w:tc>
        <w:tc>
          <w:tcPr>
            <w:tcW w:w="3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60" w:type="dxa"/>
            <w:vAlign w:val="bottom"/>
          </w:tcPr>
          <w:p>
            <w:pPr>
              <w:spacing w:after="0"/>
              <w:rPr>
                <w:sz w:val="20"/>
                <w:szCs w:val="20"/>
                <w:color w:val="auto"/>
              </w:rPr>
            </w:pPr>
            <w:r>
              <w:rPr>
                <w:rFonts w:ascii="Courier New" w:cs="Courier New" w:eastAsia="Courier New" w:hAnsi="Courier New"/>
                <w:sz w:val="14"/>
                <w:szCs w:val="14"/>
                <w:color w:val="auto"/>
                <w:w w:val="71"/>
              </w:rPr>
              <w:t>Donald E. Graham (a)(i)........................</w:t>
            </w:r>
          </w:p>
        </w:tc>
        <w:tc>
          <w:tcPr>
            <w:tcW w:w="2740" w:type="dxa"/>
            <w:vAlign w:val="bottom"/>
          </w:tcPr>
          <w:p>
            <w:pPr>
              <w:jc w:val="right"/>
              <w:ind w:right="13"/>
              <w:spacing w:after="0"/>
              <w:rPr>
                <w:sz w:val="20"/>
                <w:szCs w:val="20"/>
                <w:color w:val="auto"/>
              </w:rPr>
            </w:pPr>
            <w:r>
              <w:rPr>
                <w:rFonts w:ascii="Courier New" w:cs="Courier New" w:eastAsia="Courier New" w:hAnsi="Courier New"/>
                <w:sz w:val="14"/>
                <w:szCs w:val="14"/>
                <w:color w:val="auto"/>
              </w:rPr>
              <w:t>1,526,232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(88.6%)</w:t>
            </w:r>
          </w:p>
        </w:tc>
        <w:tc>
          <w:tcPr>
            <w:tcW w:w="25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3,493,284 (36.6%)</w:t>
            </w: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1150 15th Street, N.W.</w:t>
            </w:r>
          </w:p>
        </w:tc>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9"/>
                <w:szCs w:val="19"/>
                <w:color w:val="auto"/>
                <w:w w:val="70"/>
                <w:vertAlign w:val="superscript"/>
              </w:rPr>
              <w:t>Washington, D.C.</w:t>
            </w:r>
            <w:r>
              <w:rPr>
                <w:rFonts w:ascii="Courier New" w:cs="Courier New" w:eastAsia="Courier New" w:hAnsi="Courier New"/>
                <w:sz w:val="8"/>
                <w:szCs w:val="8"/>
                <w:color w:val="auto"/>
                <w:w w:val="70"/>
              </w:rPr>
              <w:t>.......................</w:t>
            </w:r>
          </w:p>
        </w:tc>
        <w:tc>
          <w:tcPr>
            <w:tcW w:w="2740" w:type="dxa"/>
            <w:vAlign w:val="bottom"/>
            <w:vMerge w:val="restart"/>
          </w:tcPr>
          <w:p>
            <w:pPr>
              <w:jc w:val="right"/>
              <w:ind w:right="13"/>
              <w:spacing w:after="0"/>
              <w:rPr>
                <w:sz w:val="20"/>
                <w:szCs w:val="20"/>
                <w:color w:val="auto"/>
              </w:rPr>
            </w:pPr>
            <w:r>
              <w:rPr>
                <w:rFonts w:ascii="Courier New" w:cs="Courier New" w:eastAsia="Courier New" w:hAnsi="Courier New"/>
                <w:sz w:val="14"/>
                <w:szCs w:val="14"/>
                <w:color w:val="auto"/>
              </w:rPr>
              <w:t>299,849</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(17.4%)</w:t>
            </w:r>
          </w:p>
        </w:tc>
        <w:tc>
          <w:tcPr>
            <w:tcW w:w="1840" w:type="dxa"/>
            <w:vAlign w:val="bottom"/>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William W. Graham (b)(i)</w:t>
            </w:r>
          </w:p>
        </w:tc>
        <w:tc>
          <w:tcPr>
            <w:tcW w:w="2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11661 San Vincente Blvd., Suite 401</w:t>
            </w: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line="166" w:lineRule="exact"/>
              <w:rPr>
                <w:sz w:val="20"/>
                <w:szCs w:val="20"/>
                <w:color w:val="auto"/>
              </w:rPr>
            </w:pPr>
            <w:r>
              <w:rPr>
                <w:rFonts w:ascii="Courier New" w:cs="Courier New" w:eastAsia="Courier New" w:hAnsi="Courier New"/>
                <w:sz w:val="19"/>
                <w:szCs w:val="19"/>
                <w:color w:val="auto"/>
                <w:w w:val="81"/>
                <w:vertAlign w:val="superscript"/>
              </w:rPr>
              <w:t>Los Angeles, California</w:t>
            </w:r>
            <w:r>
              <w:rPr>
                <w:rFonts w:ascii="Courier New" w:cs="Courier New" w:eastAsia="Courier New" w:hAnsi="Courier New"/>
                <w:sz w:val="11"/>
                <w:szCs w:val="11"/>
                <w:color w:val="auto"/>
                <w:w w:val="81"/>
              </w:rPr>
              <w:t>.......................</w:t>
            </w:r>
          </w:p>
        </w:tc>
        <w:tc>
          <w:tcPr>
            <w:tcW w:w="2740" w:type="dxa"/>
            <w:vAlign w:val="bottom"/>
            <w:vMerge w:val="restart"/>
          </w:tcPr>
          <w:p>
            <w:pPr>
              <w:jc w:val="right"/>
              <w:ind w:right="13"/>
              <w:spacing w:after="0"/>
              <w:rPr>
                <w:sz w:val="20"/>
                <w:szCs w:val="20"/>
                <w:color w:val="auto"/>
              </w:rPr>
            </w:pPr>
            <w:r>
              <w:rPr>
                <w:rFonts w:ascii="Courier New" w:cs="Courier New" w:eastAsia="Courier New" w:hAnsi="Courier New"/>
                <w:sz w:val="14"/>
                <w:szCs w:val="14"/>
                <w:color w:val="auto"/>
              </w:rPr>
              <w:t>361,047</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(21.0%)</w:t>
            </w:r>
          </w:p>
        </w:tc>
        <w:tc>
          <w:tcPr>
            <w:tcW w:w="1840" w:type="dxa"/>
            <w:vAlign w:val="bottom"/>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Stephen M. Graham (c)(i)</w:t>
            </w:r>
          </w:p>
        </w:tc>
        <w:tc>
          <w:tcPr>
            <w:tcW w:w="2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18 E. 78th Street</w:t>
            </w:r>
          </w:p>
        </w:tc>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9"/>
                <w:szCs w:val="19"/>
                <w:color w:val="auto"/>
                <w:w w:val="77"/>
                <w:vertAlign w:val="superscript"/>
              </w:rPr>
              <w:t>New York, N.Y.</w:t>
            </w:r>
            <w:r>
              <w:rPr>
                <w:rFonts w:ascii="Courier New" w:cs="Courier New" w:eastAsia="Courier New" w:hAnsi="Courier New"/>
                <w:sz w:val="5"/>
                <w:szCs w:val="5"/>
                <w:color w:val="auto"/>
                <w:w w:val="77"/>
              </w:rPr>
              <w:t>...................</w:t>
            </w:r>
          </w:p>
        </w:tc>
        <w:tc>
          <w:tcPr>
            <w:tcW w:w="2740" w:type="dxa"/>
            <w:vAlign w:val="bottom"/>
            <w:vMerge w:val="restart"/>
          </w:tcPr>
          <w:p>
            <w:pPr>
              <w:jc w:val="right"/>
              <w:ind w:right="13"/>
              <w:spacing w:after="0"/>
              <w:rPr>
                <w:sz w:val="20"/>
                <w:szCs w:val="20"/>
                <w:color w:val="auto"/>
              </w:rPr>
            </w:pPr>
            <w:r>
              <w:rPr>
                <w:rFonts w:ascii="Courier New" w:cs="Courier New" w:eastAsia="Courier New" w:hAnsi="Courier New"/>
                <w:sz w:val="14"/>
                <w:szCs w:val="14"/>
                <w:color w:val="auto"/>
              </w:rPr>
              <w:t>585,200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(34.0%)</w:t>
            </w:r>
          </w:p>
        </w:tc>
        <w:tc>
          <w:tcPr>
            <w:tcW w:w="18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590,200</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(6.2%)</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Elizabeth G. Weymouth (d)(i)</w:t>
            </w:r>
          </w:p>
        </w:tc>
        <w:tc>
          <w:tcPr>
            <w:tcW w:w="2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251 West 57th Street</w:t>
            </w:r>
          </w:p>
        </w:tc>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9"/>
                <w:szCs w:val="19"/>
                <w:color w:val="auto"/>
                <w:w w:val="93"/>
                <w:vertAlign w:val="superscript"/>
              </w:rPr>
              <w:t>New York, N.Y.</w:t>
            </w:r>
            <w:r>
              <w:rPr>
                <w:rFonts w:ascii="Courier New" w:cs="Courier New" w:eastAsia="Courier New" w:hAnsi="Courier New"/>
                <w:sz w:val="2"/>
                <w:szCs w:val="2"/>
                <w:color w:val="auto"/>
                <w:w w:val="93"/>
              </w:rPr>
              <w:t>................</w:t>
            </w:r>
          </w:p>
        </w:tc>
        <w:tc>
          <w:tcPr>
            <w:tcW w:w="2740" w:type="dxa"/>
            <w:vAlign w:val="bottom"/>
            <w:vMerge w:val="restart"/>
          </w:tcPr>
          <w:p>
            <w:pPr>
              <w:jc w:val="right"/>
              <w:ind w:right="13"/>
              <w:spacing w:after="0"/>
              <w:rPr>
                <w:sz w:val="20"/>
                <w:szCs w:val="20"/>
                <w:color w:val="auto"/>
              </w:rPr>
            </w:pPr>
            <w:r>
              <w:rPr>
                <w:rFonts w:ascii="Courier New" w:cs="Courier New" w:eastAsia="Courier New" w:hAnsi="Courier New"/>
                <w:sz w:val="14"/>
                <w:szCs w:val="14"/>
                <w:color w:val="auto"/>
              </w:rPr>
              <w:t>612,990</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(35.6%)</w:t>
            </w:r>
          </w:p>
        </w:tc>
        <w:tc>
          <w:tcPr>
            <w:tcW w:w="254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994,200 (10.4%)</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George J. Gillespie, III (e)(i)</w:t>
            </w:r>
          </w:p>
        </w:tc>
        <w:tc>
          <w:tcPr>
            <w:tcW w:w="2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825 Eighth Avenue</w:t>
            </w:r>
          </w:p>
        </w:tc>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9"/>
                <w:szCs w:val="19"/>
                <w:color w:val="auto"/>
                <w:w w:val="76"/>
                <w:vertAlign w:val="superscript"/>
              </w:rPr>
              <w:t>New York, N.Y</w:t>
            </w:r>
            <w:r>
              <w:rPr>
                <w:rFonts w:ascii="Courier New" w:cs="Courier New" w:eastAsia="Courier New" w:hAnsi="Courier New"/>
                <w:sz w:val="8"/>
                <w:szCs w:val="8"/>
                <w:color w:val="auto"/>
                <w:w w:val="76"/>
              </w:rPr>
              <w:t>........................</w:t>
            </w:r>
          </w:p>
        </w:tc>
        <w:tc>
          <w:tcPr>
            <w:tcW w:w="2740" w:type="dxa"/>
            <w:vAlign w:val="bottom"/>
            <w:vMerge w:val="restart"/>
          </w:tcPr>
          <w:p>
            <w:pPr>
              <w:jc w:val="right"/>
              <w:ind w:right="13"/>
              <w:spacing w:after="0"/>
              <w:rPr>
                <w:sz w:val="20"/>
                <w:szCs w:val="20"/>
                <w:color w:val="auto"/>
              </w:rPr>
            </w:pPr>
            <w:r>
              <w:rPr>
                <w:rFonts w:ascii="Courier New" w:cs="Courier New" w:eastAsia="Courier New" w:hAnsi="Courier New"/>
                <w:sz w:val="14"/>
                <w:szCs w:val="14"/>
                <w:color w:val="auto"/>
              </w:rPr>
              <w:t>668,908</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(38.8%)</w:t>
            </w:r>
          </w:p>
        </w:tc>
        <w:tc>
          <w:tcPr>
            <w:tcW w:w="18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672,033</w:t>
            </w:r>
          </w:p>
        </w:tc>
        <w:tc>
          <w:tcPr>
            <w:tcW w:w="7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(7.0%)</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Daniel L. Mosley (f)(i)</w:t>
            </w:r>
          </w:p>
        </w:tc>
        <w:tc>
          <w:tcPr>
            <w:tcW w:w="2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825 Eighth Avenue</w:t>
            </w:r>
          </w:p>
        </w:tc>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9"/>
                <w:szCs w:val="19"/>
                <w:color w:val="auto"/>
                <w:w w:val="72"/>
                <w:vertAlign w:val="superscript"/>
              </w:rPr>
              <w:t>New York, N.Y</w:t>
            </w:r>
            <w:r>
              <w:rPr>
                <w:rFonts w:ascii="Courier New" w:cs="Courier New" w:eastAsia="Courier New" w:hAnsi="Courier New"/>
                <w:sz w:val="6"/>
                <w:szCs w:val="6"/>
                <w:color w:val="auto"/>
                <w:w w:val="72"/>
              </w:rPr>
              <w:t>....................</w:t>
            </w:r>
          </w:p>
        </w:tc>
        <w:tc>
          <w:tcPr>
            <w:tcW w:w="2740" w:type="dxa"/>
            <w:vAlign w:val="bottom"/>
            <w:vMerge w:val="restart"/>
          </w:tcPr>
          <w:p>
            <w:pPr>
              <w:jc w:val="right"/>
              <w:ind w:right="13"/>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254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1,727,765 (18.1%)</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Berkshire Hathaway Inc. (g)</w:t>
            </w:r>
          </w:p>
        </w:tc>
        <w:tc>
          <w:tcPr>
            <w:tcW w:w="27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1440 Kiewit Plaza</w:t>
            </w:r>
          </w:p>
        </w:tc>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Omaha, Nebraska</w:t>
            </w:r>
          </w:p>
        </w:tc>
        <w:tc>
          <w:tcPr>
            <w:tcW w:w="2740" w:type="dxa"/>
            <w:vAlign w:val="bottom"/>
            <w:vMerge w:val="restart"/>
          </w:tcPr>
          <w:p>
            <w:pPr>
              <w:jc w:val="right"/>
              <w:ind w:right="13"/>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2540" w:type="dxa"/>
            <w:vAlign w:val="bottom"/>
            <w:gridSpan w:val="2"/>
            <w:vMerge w:val="restart"/>
          </w:tcPr>
          <w:p>
            <w:pPr>
              <w:jc w:val="right"/>
              <w:ind w:right="108"/>
              <w:spacing w:after="0"/>
              <w:rPr>
                <w:sz w:val="20"/>
                <w:szCs w:val="20"/>
                <w:color w:val="auto"/>
              </w:rPr>
            </w:pPr>
            <w:r>
              <w:rPr>
                <w:rFonts w:ascii="Courier New" w:cs="Courier New" w:eastAsia="Courier New" w:hAnsi="Courier New"/>
                <w:sz w:val="14"/>
                <w:szCs w:val="14"/>
                <w:color w:val="auto"/>
              </w:rPr>
              <w:t>554,493 (5.8%)</w:t>
            </w:r>
          </w:p>
        </w:tc>
        <w:tc>
          <w:tcPr>
            <w:tcW w:w="0" w:type="dxa"/>
            <w:vAlign w:val="bottom"/>
          </w:tcPr>
          <w:p>
            <w:pPr>
              <w:spacing w:after="0"/>
              <w:rPr>
                <w:sz w:val="1"/>
                <w:szCs w:val="1"/>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Franklin Mutual Advisers, LLC (h)</w:t>
            </w:r>
          </w:p>
        </w:tc>
        <w:tc>
          <w:tcPr>
            <w:tcW w:w="27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51 John F. Kennedy Parkway</w:t>
            </w:r>
          </w:p>
        </w:tc>
        <w:tc>
          <w:tcPr>
            <w:tcW w:w="2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860" w:type="dxa"/>
            <w:vAlign w:val="bottom"/>
          </w:tcPr>
          <w:p>
            <w:pPr>
              <w:ind w:left="180"/>
              <w:spacing w:after="0"/>
              <w:rPr>
                <w:sz w:val="20"/>
                <w:szCs w:val="20"/>
                <w:color w:val="auto"/>
              </w:rPr>
            </w:pPr>
            <w:r>
              <w:rPr>
                <w:rFonts w:ascii="Courier New" w:cs="Courier New" w:eastAsia="Courier New" w:hAnsi="Courier New"/>
                <w:sz w:val="14"/>
                <w:szCs w:val="14"/>
                <w:color w:val="auto"/>
              </w:rPr>
              <w:t>Short Hills, NJ</w:t>
            </w:r>
          </w:p>
        </w:tc>
        <w:tc>
          <w:tcPr>
            <w:tcW w:w="2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440" w:right="1359" w:hanging="432"/>
        <w:spacing w:after="0" w:line="313"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calculations set forth in this table relating to percentage ownership of Class B Stock include 1,722,250 shares of Class B Stock issuable upon conversion of shares of Class A Stock beneficially owned.</w:t>
      </w:r>
    </w:p>
    <w:p>
      <w:pPr>
        <w:spacing w:after="0" w:line="4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Less than five percent.</w:t>
      </w:r>
    </w:p>
    <w:p>
      <w:pPr>
        <w:spacing w:after="0" w:line="338"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0" w:right="1440" w:bottom="1440" w:gutter="0" w:footer="0" w:header="0"/>
        </w:sectPr>
      </w:pPr>
    </w:p>
    <w:bookmarkStart w:id="11" w:name="page12"/>
    <w:bookmarkEnd w:id="11"/>
    <w:p>
      <w:pPr>
        <w:spacing w:after="0" w:line="102" w:lineRule="exact"/>
        <w:rPr>
          <w:sz w:val="20"/>
          <w:szCs w:val="20"/>
          <w:color w:val="auto"/>
        </w:rPr>
      </w:pPr>
    </w:p>
    <w:p>
      <w:pPr>
        <w:jc w:val="center"/>
        <w:ind w:right="-11"/>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338" w:lineRule="exact"/>
        <w:rPr>
          <w:sz w:val="20"/>
          <w:szCs w:val="20"/>
          <w:color w:val="auto"/>
        </w:rPr>
      </w:pPr>
    </w:p>
    <w:p>
      <w:pPr>
        <w:ind w:left="432" w:right="3339" w:hanging="432"/>
        <w:spacing w:after="0" w:line="256"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2004 and available to the Company, Mr. Donald Graham has voting and investment power with respect to shares of Class A Stock as follows: sole voting power, 356,318 (20.7%) shares, sole investment power, 356,318 (20.7%) shares, shared voting power, 1,162,714 (67.5%) shares, and shared investment power, 1,162,714 (67.5%) shares. The holdings of Class A Stock recorded for Mr. Graham include 7,200 shares held by Mr. Graham's wife, in which he disclaims beneficial ownership. Mr. Graham also has voting and investment power with respect to shares of Class B Stock as follows: sole voting power, 1,847,588 (19.4%) shares, sole investment power 119,223 (1.3%) shares, shared voting power 84,464 (&lt;1%) shares, and shared investment power, 84,464 (&lt;1%) shares. The holdings of Class B Stock recorded for Mr. Graham include 35,000 shares of Class B Stock held by Mr. Graham's wife, in which he disclaims beneficial ownership and 1,526,232 (16.0%) shares issuable upon conversion of shares of Class A Stock deemed to be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91" w:lineRule="exact"/>
        <w:rPr>
          <w:rFonts w:ascii="Courier New" w:cs="Courier New" w:eastAsia="Courier New" w:hAnsi="Courier New"/>
          <w:sz w:val="14"/>
          <w:szCs w:val="14"/>
          <w:color w:val="auto"/>
        </w:rPr>
      </w:pPr>
    </w:p>
    <w:p>
      <w:pPr>
        <w:ind w:left="432" w:right="3339" w:hanging="432"/>
        <w:spacing w:after="0" w:line="264"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2004, and available to the Company, Mr. William Graham has voting and investment power with respect to shares of Class A Stock as follows: shared voting power, 107,849 (6.3%) shares, and shared investment power, 107,849 (6.3%) shares. In addition, Mr. William Graham, as the beneficiary of trusts even though he has no voting or investment power with respect thereto, is deemed to be the beneficial owner of 192,000 (11.2%) shares of Class A Stock. The holdings of Class B Stock recorded for Mr. William Graham, including shares issuable upon conversion of shares of Class A Stock deemed to be beneficially owned by Mr. Graham, are less than five percent.</w:t>
      </w:r>
    </w:p>
    <w:p>
      <w:pPr>
        <w:spacing w:after="0" w:line="77" w:lineRule="exact"/>
        <w:rPr>
          <w:rFonts w:ascii="Courier New" w:cs="Courier New" w:eastAsia="Courier New" w:hAnsi="Courier New"/>
          <w:sz w:val="14"/>
          <w:szCs w:val="14"/>
          <w:color w:val="auto"/>
        </w:rPr>
      </w:pPr>
    </w:p>
    <w:p>
      <w:pPr>
        <w:ind w:left="432" w:right="3339" w:hanging="432"/>
        <w:spacing w:after="0" w:line="264"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2004, and available to the Company, Mr. Stephen Graham has voting and investment power with respect to shares of Class A Stock as follows: shared voting power, 203,047 (11.8%) shares, and shared investment power, 203,047 (11.8%) shares. In addition, Mr. Stephen Graham, as the beneficiary of trusts even though he has no voting or investment power with respect thereto, is deemed to be the beneficial owner of 158,000 (9.2%) shares of Class A Stock. The holdings of Class B Stock recorded for Mr. Stephen Graham, including shares issuable upon conversion of shares of Class A Stock deemed to be beneficially owned by Mr. Graham, are less than five percent.</w:t>
      </w:r>
    </w:p>
    <w:p>
      <w:pPr>
        <w:spacing w:after="0" w:line="77" w:lineRule="exact"/>
        <w:rPr>
          <w:rFonts w:ascii="Courier New" w:cs="Courier New" w:eastAsia="Courier New" w:hAnsi="Courier New"/>
          <w:sz w:val="14"/>
          <w:szCs w:val="14"/>
          <w:color w:val="auto"/>
        </w:rPr>
      </w:pPr>
    </w:p>
    <w:p>
      <w:pPr>
        <w:ind w:left="432" w:right="3419" w:hanging="432"/>
        <w:spacing w:after="0" w:line="261"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2004, and available to the Company, Mrs. Weymouth has voting and investment power with respect to shares of Class A Stock as follows: sole voting power, 76,834 (4.5%) shares, sole investment power, 76,834 (4.5%) shares, shared voting power, 425,366 (24.7%) shares, and shared investment power, 425,366 (24.7%) shares. In addition Mrs. Weymouth, as the beneficiary of a trust even though she has no voting or investment power with respect thereto, is deemed the beneficial owner of 83,000 (4.8%) shares of Class A Stock. Mrs. Weymouth also has voting and investment power with respect to shares of Class B Stock as follows: sole voting power, 5,000 (&lt;1%) shares, and sole investment power, 5,000 (&lt;1%) shares. The holdings of Class B Stock recorded for Mrs. Weymouth include 585,200 (6.1%) shares issuable upon conversion of shares of Class A Stock deemed to beneficially owned by her.</w:t>
      </w:r>
    </w:p>
    <w:p>
      <w:pPr>
        <w:spacing w:after="0" w:line="76" w:lineRule="exact"/>
        <w:rPr>
          <w:rFonts w:ascii="Courier New" w:cs="Courier New" w:eastAsia="Courier New" w:hAnsi="Courier New"/>
          <w:sz w:val="14"/>
          <w:szCs w:val="14"/>
          <w:color w:val="auto"/>
        </w:rPr>
      </w:pPr>
    </w:p>
    <w:p>
      <w:pPr>
        <w:ind w:left="432" w:right="3339" w:hanging="432"/>
        <w:spacing w:after="0" w:line="263"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2004, and available to the Company, Mr. Gillespie, as trustee of various trusts, has voting and investment power with respect to shares of Class A Stock as follows: shared voting power, 612,990 (35.6%) shares, and shared investment power, 612,990 (35.6%) shares. In addition, Mr. Gillespie has voting and investment power with respect to shares of Class B Stock as follows: sole voting power, 342,730 (3.6%) shares, shared voting power, 38,480 (&lt;1%) shares, and shared investment power, 377,210 (4.0%) shares. The holdings of Class B Stock recorded for Mr. Gillespie include 612,990 (6.4%) shares issuable upon conversion of shares of Class A Stock deemed to be beneficially owned by Mr. Gillespie, as trustee of various trusts.</w:t>
      </w:r>
    </w:p>
    <w:p>
      <w:pPr>
        <w:spacing w:after="0" w:line="75" w:lineRule="exact"/>
        <w:rPr>
          <w:rFonts w:ascii="Courier New" w:cs="Courier New" w:eastAsia="Courier New" w:hAnsi="Courier New"/>
          <w:sz w:val="14"/>
          <w:szCs w:val="14"/>
          <w:color w:val="auto"/>
        </w:rPr>
      </w:pPr>
    </w:p>
    <w:p>
      <w:pPr>
        <w:ind w:left="432" w:right="3339" w:hanging="432"/>
        <w:spacing w:after="0" w:line="269"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2004, and available to the Company, Mr. Mosley, as trustee of various trusts, has voting and investment power with respect to shares of Class A Stock as follows: shared voting power, 668,908 (38.8%) shares, and shared investment power, 668,908 (38.8%) shares. The holdings of Class B Stock recorded for Mr. Mosley include 668,908 (7.0%) shares issuable upon conversion of shares of Class A Stock deemed to be beneficially owned by Mr. Mosley, as trustee of various trusts.</w:t>
      </w:r>
    </w:p>
    <w:p>
      <w:pPr>
        <w:spacing w:after="0" w:line="246" w:lineRule="exact"/>
        <w:rPr>
          <w:rFonts w:ascii="Courier New" w:cs="Courier New" w:eastAsia="Courier New" w:hAnsi="Courier New"/>
          <w:sz w:val="14"/>
          <w:szCs w:val="14"/>
          <w:color w:val="auto"/>
        </w:rPr>
      </w:pPr>
    </w:p>
    <w:p>
      <w:pPr>
        <w:ind w:left="432" w:right="3339" w:hanging="432"/>
        <w:spacing w:after="0" w:line="259"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2004, and available to the Company, Berkshire Hathaway Inc. ("Berkshire") is the beneficial owner of 1,727,765 (18.1%) shares of Class B Stock. The ownership of these shares is through several subsidiaries of Berkshire. Mr. Warren Buffett is Chairman of the Board of Berkshire. Mr. Buffett, his wife and certain trusts of which Mr. Buffett is a trustee, but in which he has no economic interest, own approximately 33.2%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 termination date (which may be extended) of February 24, 2007), Mr. Buffett, Berkshire and such subsidiaries have granted Mr. Donald Graham a proxy to vote such</w:t>
      </w:r>
    </w:p>
    <w:p>
      <w:pPr>
        <w:sectPr>
          <w:pgSz w:w="11900" w:h="16941" w:orient="portrait"/>
          <w:cols w:equalWidth="0" w:num="1">
            <w:col w:w="10231"/>
          </w:cols>
          <w:pgMar w:left="228" w:top="590" w:right="1440" w:bottom="0" w:gutter="0" w:footer="0" w:header="0"/>
        </w:sectPr>
      </w:pPr>
    </w:p>
    <w:bookmarkStart w:id="12" w:name="page13"/>
    <w:bookmarkEnd w:id="12"/>
    <w:p>
      <w:pPr>
        <w:ind w:left="432"/>
        <w:spacing w:after="0"/>
        <w:rPr>
          <w:sz w:val="20"/>
          <w:szCs w:val="20"/>
          <w:color w:val="auto"/>
        </w:rPr>
      </w:pPr>
      <w:r>
        <w:rPr>
          <w:rFonts w:ascii="Courier New" w:cs="Courier New" w:eastAsia="Courier New" w:hAnsi="Courier New"/>
          <w:sz w:val="14"/>
          <w:szCs w:val="14"/>
          <w:color w:val="auto"/>
        </w:rPr>
        <w:t>shares in his discretion.</w:t>
      </w:r>
    </w:p>
    <w:p>
      <w:pPr>
        <w:spacing w:after="0" w:line="173" w:lineRule="exact"/>
        <w:rPr>
          <w:sz w:val="20"/>
          <w:szCs w:val="20"/>
          <w:color w:val="auto"/>
        </w:rPr>
      </w:pPr>
    </w:p>
    <w:p>
      <w:pPr>
        <w:ind w:left="432" w:right="3339" w:hanging="432"/>
        <w:spacing w:after="0" w:line="275" w:lineRule="auto"/>
        <w:tabs>
          <w:tab w:leader="none" w:pos="43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based on the Schedule 13G filed by Franklin Mutual Advisers, LLC on February 9, 2004, Franklin Mutual Advisers, LLC ("Franklin"), was deemed to be the beneficial owner of 554,493 (5.8%) shares of Class B Stock. Shares held in such name are believed to be held for the accounts of a number of beneficial owners. Franklin has sole voting and investment power over 554,493 (5.8%) shares of Class B Stock.</w:t>
      </w:r>
    </w:p>
    <w:p>
      <w:pPr>
        <w:spacing w:after="0" w:line="69" w:lineRule="exact"/>
        <w:rPr>
          <w:rFonts w:ascii="Courier New" w:cs="Courier New" w:eastAsia="Courier New" w:hAnsi="Courier New"/>
          <w:sz w:val="14"/>
          <w:szCs w:val="14"/>
          <w:color w:val="auto"/>
        </w:rPr>
      </w:pPr>
    </w:p>
    <w:p>
      <w:pPr>
        <w:ind w:left="432" w:right="3339" w:hanging="432"/>
        <w:spacing w:after="0" w:line="253" w:lineRule="auto"/>
        <w:tabs>
          <w:tab w:leader="none" w:pos="43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2004, and available to the Company, Mr. Donald Graham, Mrs. Weymouth, and Mr. Gillespie share voting and investment power over 425,366 (24.7%) shares of Class A Stock; Mr. Gillespie and Mr. William Graham share voting and investment power over 18,000 (1.1%) shares of Class A Stock; Mr. Gillespie, Mr. William Graham and Mr. Donald Graham share voting and investment power over 36,452 (2.1%) shares of Class A Stock; Mr. Gillespie, Mr. Stephen Graham and Mr. Donald Graham share voting and investment power over 41,366 (2.4%) shares of Class A Stock; Mr. Donald Graham and Mr. Gillespie share voting and investment power over 91,806 (5.3%) shares of Class A Stock; Mr. Donald Graham and Mr. Daniel L. Mosley share voting and investment power over 453,830 (26.4%) shares of Class A Stock; Mr. Donald Graham, Mr. Mosley and Mr. William Graham share voting and investment power over 53,397 (3.1%) shares of Class A Stock; Mr. Donald Graham, Mr. Mosley and Mr. Stephen Graham share voting and investment power over 60,497 (3.5%) shares of Class A Stock; Mr. Stephen Graham and Mr. Mosley share voting and investment power over</w:t>
      </w:r>
    </w:p>
    <w:p>
      <w:pPr>
        <w:spacing w:after="0" w:line="1" w:lineRule="exact"/>
        <w:rPr>
          <w:rFonts w:ascii="Courier New" w:cs="Courier New" w:eastAsia="Courier New" w:hAnsi="Courier New"/>
          <w:sz w:val="14"/>
          <w:szCs w:val="14"/>
          <w:color w:val="auto"/>
        </w:rPr>
      </w:pPr>
    </w:p>
    <w:p>
      <w:pPr>
        <w:ind w:left="432" w:right="333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101,184 (5.9%) shares of Class A Stock; Mr. Donald Graham and Mr. Gillespie share voting and investment power over 30,000 (&lt;1%) shares of Class B Stock; Mr. Donald Graham and Mr. Mosley share voting and investment power over 3,125 (&lt;1%) shares of Class B Stock; Mr. Donald Graham, Mr. William Graham and Mr. Gillespie share voting and investment power over 5,000 (&lt;1%) shares of Class B Stock; Mr. Donald Graham shares voting and investment power over 46,399 (&lt;1%) shares of Class B Stock held by the Philip L. Graham Trust; Mr. Gillespie shares voting power over 3,480 (&lt;1%) shares of Class B Stock and investment power over 342,210 (3.6%) of Class B Stock held by various trusts for the benefit of other descendants of Eugene Meyer.</w:t>
      </w:r>
    </w:p>
    <w:p>
      <w:pPr>
        <w:spacing w:after="0" w:line="25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1"/>
          </w:cols>
          <w:pgMar w:left="228" w:top="115" w:right="1440" w:bottom="1440" w:gutter="0" w:footer="0" w:header="0"/>
        </w:sectPr>
      </w:pPr>
    </w:p>
    <w:bookmarkStart w:id="13" w:name="page14"/>
    <w:bookmarkEnd w:id="13"/>
    <w:p>
      <w:pPr>
        <w:ind w:right="3339" w:firstLine="431"/>
        <w:spacing w:after="0" w:line="264" w:lineRule="auto"/>
        <w:rPr>
          <w:sz w:val="20"/>
          <w:szCs w:val="20"/>
          <w:color w:val="auto"/>
        </w:rPr>
      </w:pPr>
      <w:r>
        <w:rPr>
          <w:rFonts w:ascii="Courier New" w:cs="Courier New" w:eastAsia="Courier New" w:hAnsi="Courier New"/>
          <w:sz w:val="14"/>
          <w:szCs w:val="14"/>
          <w:color w:val="auto"/>
        </w:rPr>
        <w:t>The table below, which is based upon information furnished to the Company by its Directors and officers, shows as of February 1, 2004,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60" w:type="dxa"/>
            <w:vAlign w:val="bottom"/>
          </w:tcPr>
          <w:p>
            <w:pPr>
              <w:spacing w:after="0"/>
              <w:rPr>
                <w:sz w:val="14"/>
                <w:szCs w:val="14"/>
                <w:color w:val="auto"/>
              </w:rPr>
            </w:pPr>
          </w:p>
        </w:tc>
        <w:tc>
          <w:tcPr>
            <w:tcW w:w="418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SHARES (%)</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4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2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CLASS A</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CLASS B (A)</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60" w:type="dxa"/>
            <w:vAlign w:val="bottom"/>
          </w:tcPr>
          <w:p>
            <w:pPr>
              <w:spacing w:after="0"/>
              <w:rPr>
                <w:sz w:val="20"/>
                <w:szCs w:val="20"/>
                <w:color w:val="auto"/>
              </w:rPr>
            </w:pPr>
            <w:r>
              <w:rPr>
                <w:rFonts w:ascii="Courier New" w:cs="Courier New" w:eastAsia="Courier New" w:hAnsi="Courier New"/>
                <w:sz w:val="14"/>
                <w:szCs w:val="14"/>
                <w:color w:val="auto"/>
              </w:rPr>
              <w:t>Warren E. Buffett****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1,727,765(18.1%)</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Barry Diller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John L. Dotson Jr.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George J. Gillespie, III**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612,990(35.6%)</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994,200(10.4%)</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Donald E. Graham**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1,562,232(88.6%)</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3,493,284 (36.6%)</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Ronald L. Olson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Alice M. Rivlin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Richard D. Simmons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7,428*</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George W. Wilson(b) ................................</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22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1,544,232(89.7%)</w:t>
            </w:r>
          </w:p>
        </w:tc>
        <w:tc>
          <w:tcPr>
            <w:tcW w:w="1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3,884,758 (40.7%)(c)</w:t>
            </w:r>
          </w:p>
        </w:tc>
        <w:tc>
          <w:tcPr>
            <w:tcW w:w="0" w:type="dxa"/>
            <w:vAlign w:val="bottom"/>
          </w:tcPr>
          <w:p>
            <w:pPr>
              <w:spacing w:after="0"/>
              <w:rPr>
                <w:sz w:val="1"/>
                <w:szCs w:val="1"/>
                <w:color w:val="auto"/>
              </w:rPr>
            </w:pPr>
          </w:p>
        </w:tc>
      </w:tr>
      <w:tr>
        <w:trPr>
          <w:trHeight w:val="242"/>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eliminating duplications ........................</w:t>
            </w:r>
          </w:p>
        </w:tc>
        <w:tc>
          <w:tcPr>
            <w:tcW w:w="2240" w:type="dxa"/>
            <w:vAlign w:val="bottom"/>
            <w:vMerge w:val="continue"/>
          </w:tcPr>
          <w:p>
            <w:pPr>
              <w:spacing w:after="0"/>
              <w:rPr>
                <w:sz w:val="21"/>
                <w:szCs w:val="21"/>
                <w:color w:val="auto"/>
              </w:rPr>
            </w:pPr>
          </w:p>
        </w:tc>
        <w:tc>
          <w:tcPr>
            <w:tcW w:w="1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Table of "Principal Holders of Stock" on page 10.</w:t>
      </w:r>
    </w:p>
    <w:p>
      <w:pPr>
        <w:spacing w:after="0" w:line="173" w:lineRule="exact"/>
        <w:rPr>
          <w:sz w:val="20"/>
          <w:szCs w:val="20"/>
          <w:color w:val="auto"/>
        </w:rPr>
      </w:pPr>
    </w:p>
    <w:p>
      <w:pPr>
        <w:ind w:left="440" w:right="1279" w:hanging="432"/>
        <w:spacing w:after="0" w:line="375" w:lineRule="auto"/>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 w:lineRule="exact"/>
        <w:rPr>
          <w:rFonts w:ascii="Courier New" w:cs="Courier New" w:eastAsia="Courier New" w:hAnsi="Courier New"/>
          <w:sz w:val="14"/>
          <w:szCs w:val="14"/>
          <w:color w:val="auto"/>
        </w:rPr>
      </w:pPr>
    </w:p>
    <w:p>
      <w:pPr>
        <w:ind w:left="440" w:right="1359" w:hanging="432"/>
        <w:spacing w:after="0" w:line="375"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voting securities which may be beneficially owned by Mr. Buffett, see footnote (g) on page 11.</w:t>
      </w:r>
    </w:p>
    <w:p>
      <w:pPr>
        <w:spacing w:after="0" w:line="1" w:lineRule="exact"/>
        <w:rPr>
          <w:sz w:val="20"/>
          <w:szCs w:val="20"/>
          <w:color w:val="auto"/>
        </w:rPr>
      </w:pPr>
    </w:p>
    <w:p>
      <w:pPr>
        <w:ind w:left="440" w:right="1699" w:hanging="432"/>
        <w:spacing w:after="0" w:line="375"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1,722,250 shares of Class B Stock issuable upon conversion of shares of Class A Stock beneficially owned.</w:t>
      </w:r>
    </w:p>
    <w:p>
      <w:pPr>
        <w:spacing w:after="0" w:line="1" w:lineRule="exact"/>
        <w:rPr>
          <w:rFonts w:ascii="Courier New" w:cs="Courier New" w:eastAsia="Courier New" w:hAnsi="Courier New"/>
          <w:sz w:val="14"/>
          <w:szCs w:val="14"/>
          <w:color w:val="auto"/>
        </w:rPr>
      </w:pPr>
    </w:p>
    <w:p>
      <w:pPr>
        <w:ind w:left="440" w:right="1539" w:hanging="432"/>
        <w:spacing w:after="0" w:line="375"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 shares of Class B Stock owned by Mr. Wilson's wife in which he disclaims beneficial ownership.</w:t>
      </w:r>
    </w:p>
    <w:p>
      <w:pPr>
        <w:spacing w:after="0" w:line="1" w:lineRule="exact"/>
        <w:rPr>
          <w:rFonts w:ascii="Courier New" w:cs="Courier New" w:eastAsia="Courier New" w:hAnsi="Courier New"/>
          <w:sz w:val="14"/>
          <w:szCs w:val="14"/>
          <w:color w:val="auto"/>
        </w:rPr>
      </w:pPr>
    </w:p>
    <w:p>
      <w:pPr>
        <w:ind w:left="440" w:right="1179" w:hanging="432"/>
        <w:spacing w:after="0" w:line="275" w:lineRule="auto"/>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1,544,232 shares of Class B Stock issuable upon conversion of shares of Class A Stock "beneficially owned" by Directors and officers and 10,750 shares of Class B Stock which Directors and officers have the right to purchase on or before April 1, 2004 pursuant to stock options; it does not include 101,634 shares of Class B Stock held as of February 1, 2004 by the trustee of various savings plans maintained by the Company and its business units over which the trustee has voting and investment powers.</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62"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To the Company's knowledge, based solely on a review of such reports and on information furnished to the Company and written representations that no other reports were required, during the fiscal year ended December 28, 2003, all applicable Section 16(a) filing requirements were complied with, except for two late filings by Donald E. Graham with respect to his becoming a trustee of a family trust in one case and on his ceasing to be a trustee of a family trust in the other.</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0" w:right="1440" w:bottom="1440" w:gutter="0" w:footer="0" w:header="0"/>
        </w:sectPr>
      </w:pPr>
    </w:p>
    <w:bookmarkStart w:id="14" w:name="page15"/>
    <w:bookmarkEnd w:id="14"/>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shows the compensation paid by the Company during 2001,</w:t>
      </w:r>
    </w:p>
    <w:p>
      <w:pPr>
        <w:spacing w:after="0" w:line="33" w:lineRule="exact"/>
        <w:rPr>
          <w:sz w:val="20"/>
          <w:szCs w:val="20"/>
          <w:color w:val="auto"/>
        </w:rPr>
      </w:pPr>
    </w:p>
    <w:p>
      <w:pPr>
        <w:ind w:right="4740"/>
        <w:spacing w:after="0" w:line="336" w:lineRule="auto"/>
        <w:rPr>
          <w:sz w:val="20"/>
          <w:szCs w:val="20"/>
          <w:color w:val="auto"/>
        </w:rPr>
      </w:pPr>
      <w:r>
        <w:rPr>
          <w:rFonts w:ascii="Courier New" w:cs="Courier New" w:eastAsia="Courier New" w:hAnsi="Courier New"/>
          <w:sz w:val="14"/>
          <w:szCs w:val="14"/>
          <w:color w:val="auto"/>
        </w:rPr>
        <w:t>2002 and 2003 to each of the chief executive officer and the four most highly compensated executive officers of the Company.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SUMMARY COMPENSATION</w:t>
            </w:r>
          </w:p>
        </w:tc>
        <w:tc>
          <w:tcPr>
            <w:tcW w:w="1720" w:type="dxa"/>
            <w:vAlign w:val="bottom"/>
            <w:gridSpan w:val="2"/>
          </w:tcPr>
          <w:p>
            <w:pPr>
              <w:jc w:val="right"/>
              <w:ind w:right="1208"/>
              <w:spacing w:after="0"/>
              <w:rPr>
                <w:sz w:val="20"/>
                <w:szCs w:val="20"/>
                <w:color w:val="auto"/>
              </w:rPr>
            </w:pPr>
            <w:r>
              <w:rPr>
                <w:rFonts w:ascii="Courier New" w:cs="Courier New" w:eastAsia="Courier New" w:hAnsi="Courier New"/>
                <w:sz w:val="14"/>
                <w:szCs w:val="14"/>
                <w:color w:val="auto"/>
                <w:w w:val="99"/>
              </w:rPr>
              <w:t>TABLE</w:t>
            </w: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w w:val="95"/>
              </w:rPr>
              <w:t>- --------------------------------------</w:t>
            </w:r>
          </w:p>
        </w:tc>
        <w:tc>
          <w:tcPr>
            <w:tcW w:w="3140" w:type="dxa"/>
            <w:vAlign w:val="bottom"/>
            <w:gridSpan w:val="4"/>
            <w:vMerge w:val="restart"/>
          </w:tcPr>
          <w:p>
            <w:pPr>
              <w:jc w:val="right"/>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ANNUALCOMPENSATION</w:t>
            </w:r>
          </w:p>
        </w:tc>
        <w:tc>
          <w:tcPr>
            <w:tcW w:w="3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380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LONG-TERM COMPENSATION</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940"/>
              <w:spacing w:after="0"/>
              <w:rPr>
                <w:sz w:val="20"/>
                <w:szCs w:val="20"/>
                <w:color w:val="auto"/>
              </w:rPr>
            </w:pPr>
            <w:r>
              <w:rPr>
                <w:rFonts w:ascii="Courier New" w:cs="Courier New" w:eastAsia="Courier New" w:hAnsi="Courier New"/>
                <w:sz w:val="14"/>
                <w:szCs w:val="14"/>
                <w:color w:val="auto"/>
                <w:w w:val="99"/>
              </w:rPr>
              <w:t>AWARDS</w:t>
            </w:r>
          </w:p>
        </w:tc>
        <w:tc>
          <w:tcPr>
            <w:tcW w:w="960" w:type="dxa"/>
            <w:vAlign w:val="bottom"/>
          </w:tcPr>
          <w:p>
            <w:pPr>
              <w:spacing w:after="0"/>
              <w:rPr>
                <w:sz w:val="14"/>
                <w:szCs w:val="14"/>
                <w:color w:val="auto"/>
              </w:rPr>
            </w:pP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PAYOUTS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21"/>
                <w:szCs w:val="21"/>
                <w:color w:val="auto"/>
              </w:rPr>
            </w:pPr>
          </w:p>
        </w:tc>
        <w:tc>
          <w:tcPr>
            <w:tcW w:w="2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RESTRICTED</w:t>
            </w:r>
          </w:p>
        </w:tc>
        <w:tc>
          <w:tcPr>
            <w:tcW w:w="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w w:val="99"/>
              </w:rPr>
              <w:t>SECURITIES</w:t>
            </w:r>
          </w:p>
        </w:tc>
        <w:tc>
          <w:tcPr>
            <w:tcW w:w="1380" w:type="dxa"/>
            <w:vAlign w:val="bottom"/>
          </w:tcPr>
          <w:p>
            <w:pPr>
              <w:spacing w:after="0"/>
              <w:rPr>
                <w:sz w:val="7"/>
                <w:szCs w:val="7"/>
                <w:color w:val="auto"/>
              </w:rPr>
            </w:pPr>
          </w:p>
        </w:tc>
        <w:tc>
          <w:tcPr>
            <w:tcW w:w="12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ALL OTHER</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w w:val="99"/>
              </w:rPr>
              <w:t>ANNUAL</w:t>
            </w: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8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LTIP</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PRINCIPAL POSITION</w:t>
            </w:r>
          </w:p>
        </w:tc>
        <w:tc>
          <w:tcPr>
            <w:tcW w:w="480" w:type="dxa"/>
            <w:vAlign w:val="bottom"/>
            <w:vMerge w:val="restart"/>
          </w:tcPr>
          <w:p>
            <w:pPr>
              <w:spacing w:after="0"/>
              <w:rPr>
                <w:sz w:val="20"/>
                <w:szCs w:val="20"/>
                <w:color w:val="auto"/>
              </w:rPr>
            </w:pPr>
            <w:r>
              <w:rPr>
                <w:rFonts w:ascii="Courier New" w:cs="Courier New" w:eastAsia="Courier New" w:hAnsi="Courier New"/>
                <w:sz w:val="14"/>
                <w:szCs w:val="14"/>
                <w:color w:val="auto"/>
              </w:rPr>
              <w:t>YEAR</w:t>
            </w:r>
          </w:p>
        </w:tc>
        <w:tc>
          <w:tcPr>
            <w:tcW w:w="10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SALARY($)</w:t>
            </w:r>
          </w:p>
        </w:tc>
        <w:tc>
          <w:tcPr>
            <w:tcW w:w="108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COMPEN-</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STOCK</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UNDERLYING</w:t>
            </w:r>
          </w:p>
        </w:tc>
        <w:tc>
          <w:tcPr>
            <w:tcW w:w="1380" w:type="dxa"/>
            <w:vAlign w:val="bottom"/>
            <w:vMerge w:val="continue"/>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COMPEN-</w:t>
            </w: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060" w:type="dxa"/>
            <w:vAlign w:val="bottom"/>
            <w:gridSpan w:val="3"/>
          </w:tcPr>
          <w:p>
            <w:pPr>
              <w:spacing w:after="0"/>
              <w:rPr>
                <w:sz w:val="20"/>
                <w:szCs w:val="20"/>
                <w:color w:val="auto"/>
              </w:rPr>
            </w:pPr>
            <w:r>
              <w:rPr>
                <w:rFonts w:ascii="Courier New" w:cs="Courier New" w:eastAsia="Courier New" w:hAnsi="Courier New"/>
                <w:sz w:val="14"/>
                <w:szCs w:val="14"/>
                <w:color w:val="auto"/>
              </w:rPr>
              <w:t>BONUS($)(1)   SATION($)</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AWARDS($)(2)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OPTIONS(#)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PAYOUTS($)(1)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SATION($)(3)</w:t>
            </w:r>
          </w:p>
        </w:tc>
        <w:tc>
          <w:tcPr>
            <w:tcW w:w="0" w:type="dxa"/>
            <w:vAlign w:val="bottom"/>
          </w:tcPr>
          <w:p>
            <w:pPr>
              <w:spacing w:after="0"/>
              <w:rPr>
                <w:sz w:val="1"/>
                <w:szCs w:val="1"/>
                <w:color w:val="auto"/>
              </w:rPr>
            </w:pPr>
          </w:p>
        </w:tc>
      </w:tr>
      <w:tr>
        <w:trPr>
          <w:trHeight w:val="242"/>
        </w:trPr>
        <w:tc>
          <w:tcPr>
            <w:tcW w:w="3240" w:type="dxa"/>
            <w:vAlign w:val="bottom"/>
            <w:gridSpan w:val="2"/>
          </w:tcPr>
          <w:p>
            <w:pPr>
              <w:jc w:val="center"/>
              <w:ind w:left="2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$10,658</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$216,113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$10,658</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399,996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8,840</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327,555</w:t>
            </w:r>
          </w:p>
        </w:tc>
        <w:tc>
          <w:tcPr>
            <w:tcW w:w="7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335,400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28,302</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Vice President and Chief</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277,197</w:t>
            </w:r>
          </w:p>
        </w:tc>
        <w:tc>
          <w:tcPr>
            <w:tcW w:w="7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144,075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24,922</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0"/>
                <w:szCs w:val="20"/>
                <w:color w:val="auto"/>
              </w:rPr>
            </w:pPr>
            <w:r>
              <w:rPr>
                <w:rFonts w:ascii="Courier New" w:cs="Courier New" w:eastAsia="Courier New" w:hAnsi="Courier New"/>
                <w:sz w:val="14"/>
                <w:szCs w:val="14"/>
                <w:color w:val="auto"/>
              </w:rPr>
              <w:t>Financial Officer</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384,996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303,600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23,116</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Gerald M. Rosberg...........</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197,989</w:t>
            </w:r>
          </w:p>
        </w:tc>
        <w:tc>
          <w:tcPr>
            <w:tcW w:w="7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212,850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17,938</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201,600</w:t>
            </w:r>
          </w:p>
        </w:tc>
        <w:tc>
          <w:tcPr>
            <w:tcW w:w="7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90,047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16,638</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311,250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16,185</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Diana M. Daniels............</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189,254</w:t>
            </w:r>
          </w:p>
        </w:tc>
        <w:tc>
          <w:tcPr>
            <w:tcW w:w="7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193,500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18,722</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195,195</w:t>
            </w:r>
          </w:p>
        </w:tc>
        <w:tc>
          <w:tcPr>
            <w:tcW w:w="7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90,047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16,840</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298,746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193,200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15,742</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Ann L. McDaniel.............</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174,696</w:t>
            </w:r>
          </w:p>
        </w:tc>
        <w:tc>
          <w:tcPr>
            <w:tcW w:w="7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96,750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16,662</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172,800</w:t>
            </w:r>
          </w:p>
        </w:tc>
        <w:tc>
          <w:tcPr>
            <w:tcW w:w="7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108,056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15,881</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4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248,750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12,975</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hanging="432"/>
        <w:spacing w:after="0"/>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be in the form of cash or deferred cash.</w:t>
      </w:r>
    </w:p>
    <w:p>
      <w:pPr>
        <w:spacing w:after="0" w:line="172" w:lineRule="exact"/>
        <w:rPr>
          <w:rFonts w:ascii="Courier New" w:cs="Courier New" w:eastAsia="Courier New" w:hAnsi="Courier New"/>
          <w:sz w:val="14"/>
          <w:szCs w:val="14"/>
          <w:color w:val="auto"/>
        </w:rPr>
      </w:pPr>
    </w:p>
    <w:p>
      <w:pPr>
        <w:ind w:left="440" w:right="180" w:hanging="432"/>
        <w:spacing w:after="0" w:line="266"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this column represent the dollar value of the restricted stock awarded to the named executive in the relevant fiscal year, regardless of the effective date of the award, which may in some cases be the next fiscal year. In December 2002, the Compensation Committee of the Board of Directors approved grants of restricted stock for the 2003-2006 Award Cycle, effective December 30, 2002, to various key employees of the Company, including the chief executive officer and the other named executives as follows: Mr. Graham--300 shares; Mr. Morse--200 shares; Mr. Rosberg--125 shares; Ms. Daniels--125 shares and Ms. McDaniel--150 shares. As of the end of fiscal 2003, the chief executive officer and the other named executives had the following aggregate restricted stock holdings: Mr. Graham--600 shares, $476,904; Mr. Morse--375 shares, $298,065; Mr. Rosberg--250 shares, $198,710; Ms. Daniels--250 shares, $198,710 and Ms. McDaniel--275 shares, $218,581. Dividends are paid on restricted stock and are the same as dividends on non-restricted stock.</w:t>
      </w:r>
    </w:p>
    <w:p>
      <w:pPr>
        <w:spacing w:after="0" w:line="74" w:lineRule="exact"/>
        <w:rPr>
          <w:rFonts w:ascii="Courier New" w:cs="Courier New" w:eastAsia="Courier New" w:hAnsi="Courier New"/>
          <w:sz w:val="14"/>
          <w:szCs w:val="14"/>
          <w:color w:val="auto"/>
        </w:rPr>
      </w:pPr>
    </w:p>
    <w:p>
      <w:pPr>
        <w:ind w:left="440" w:right="80" w:hanging="432"/>
        <w:spacing w:after="0" w:line="266"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 Retirement Plan ("SERP") constitute "all other compensation" for 2003 as follows: Mr. Graham--$10,400 in Company contributions to 401(k) plan; Mr. Morse--$10,400 in Company contributions to 401(k) plan and $13,000 in Company credits to SERP account; Mr. Rosberg--$10,400 in Company contributions to 401(k) plan and $7,280 in Company credits to SERP account; Ms. Daniels--$10,400 in Company contributions to 401(k) and $6,500 in Company credits to SERP account; and Ms. McDaniel--$10,400 in Company contributions to 401(k) plan and $5,200 in Company credits to SERP account. In addition, Mr. Graham had $258 of life insurance imputed income, Mr. Morse had $4,902 of life insurance imputed income, Mr. Rosberg had $258 of life insurance imputed income, Ms. Daniels had $1,822 of life insurance imputed income and Ms. McDaniel had $1,062 of life insurance imputed income, which, in each case, is included under "all other compensation."</w:t>
      </w: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380"/>
          </w:cols>
          <w:pgMar w:left="220" w:top="590" w:right="299" w:bottom="1440" w:gutter="0" w:footer="0" w:header="0"/>
        </w:sectPr>
      </w:pPr>
    </w:p>
    <w:bookmarkStart w:id="15" w:name="page16"/>
    <w:bookmarkEnd w:id="15"/>
    <w:p>
      <w:pPr>
        <w:jc w:val="center"/>
        <w:ind w:right="-99"/>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33"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REALIZABLE</w:t>
      </w:r>
    </w:p>
    <w:tbl>
      <w:tblPr>
        <w:tblLayout w:type="fixed"/>
        <w:tblInd w:w="0" w:type="dxa"/>
        <w:tblCellMar>
          <w:top w:w="0" w:type="dxa"/>
          <w:left w:w="0" w:type="dxa"/>
          <w:bottom w:w="0" w:type="dxa"/>
          <w:right w:w="0" w:type="dxa"/>
        </w:tblCellMar>
      </w:tblPr>
      <w:tr>
        <w:trPr>
          <w:trHeight w:val="147"/>
        </w:trPr>
        <w:tc>
          <w:tcPr>
            <w:tcW w:w="3200" w:type="dxa"/>
            <w:vAlign w:val="bottom"/>
          </w:tcPr>
          <w:p>
            <w:pPr>
              <w:spacing w:after="0"/>
              <w:rPr>
                <w:sz w:val="12"/>
                <w:szCs w:val="12"/>
                <w:color w:val="auto"/>
              </w:rPr>
            </w:pPr>
          </w:p>
        </w:tc>
        <w:tc>
          <w:tcPr>
            <w:tcW w:w="2620" w:type="dxa"/>
            <w:vAlign w:val="bottom"/>
            <w:gridSpan w:val="2"/>
          </w:tcPr>
          <w:p>
            <w:pPr>
              <w:jc w:val="right"/>
              <w:ind w:right="748"/>
              <w:spacing w:after="0" w:line="147" w:lineRule="exact"/>
              <w:rPr>
                <w:sz w:val="20"/>
                <w:szCs w:val="20"/>
                <w:color w:val="auto"/>
              </w:rPr>
            </w:pPr>
            <w:r>
              <w:rPr>
                <w:rFonts w:ascii="Courier New" w:cs="Courier New" w:eastAsia="Courier New" w:hAnsi="Courier New"/>
                <w:sz w:val="14"/>
                <w:szCs w:val="14"/>
                <w:color w:val="auto"/>
              </w:rPr>
              <w:t>INDIVIDUAL GRANTS</w:t>
            </w:r>
          </w:p>
        </w:tc>
        <w:tc>
          <w:tcPr>
            <w:tcW w:w="1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gridSpan w:val="2"/>
          </w:tcPr>
          <w:p>
            <w:pPr>
              <w:ind w:left="560"/>
              <w:spacing w:after="0" w:line="147" w:lineRule="exact"/>
              <w:rPr>
                <w:sz w:val="20"/>
                <w:szCs w:val="20"/>
                <w:color w:val="auto"/>
              </w:rPr>
            </w:pPr>
            <w:r>
              <w:rPr>
                <w:rFonts w:ascii="Courier New" w:cs="Courier New" w:eastAsia="Courier New" w:hAnsi="Courier New"/>
                <w:sz w:val="14"/>
                <w:szCs w:val="14"/>
                <w:color w:val="auto"/>
              </w:rPr>
              <w:t>VALUE AT ASSUMED</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ANNUAL RATES OF</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STOCK PRICE APPRECIATION</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FOR OPTION TERM</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w w:val="99"/>
              </w:rPr>
              <w:t>- ------------------------------------</w:t>
            </w:r>
          </w:p>
        </w:tc>
        <w:tc>
          <w:tcPr>
            <w:tcW w:w="1080" w:type="dxa"/>
            <w:vAlign w:val="bottom"/>
            <w:vMerge w:val="restart"/>
          </w:tcPr>
          <w:p>
            <w:pPr>
              <w:spacing w:after="0"/>
              <w:rPr>
                <w:sz w:val="20"/>
                <w:szCs w:val="20"/>
                <w:color w:val="auto"/>
              </w:rPr>
            </w:pPr>
            <w:r>
              <w:rPr>
                <w:rFonts w:ascii="Courier New" w:cs="Courier New" w:eastAsia="Courier New" w:hAnsi="Courier New"/>
                <w:sz w:val="22"/>
                <w:szCs w:val="22"/>
                <w:color w:val="auto"/>
                <w:w w:val="74"/>
                <w:vertAlign w:val="subscript"/>
              </w:rPr>
              <w:t>NUMBER</w:t>
            </w: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OF</w:t>
            </w:r>
          </w:p>
        </w:tc>
        <w:tc>
          <w:tcPr>
            <w:tcW w:w="15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PERCENT OF</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TOTAL OPTIONS</w:t>
            </w:r>
          </w:p>
        </w:tc>
        <w:tc>
          <w:tcPr>
            <w:tcW w:w="13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EXERCISE OF</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UNDERLYING</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GRANTED TO</w:t>
            </w:r>
          </w:p>
        </w:tc>
        <w:tc>
          <w:tcPr>
            <w:tcW w:w="1300" w:type="dxa"/>
            <w:vAlign w:val="bottom"/>
            <w:vMerge w:val="continue"/>
          </w:tcPr>
          <w:p>
            <w:pPr>
              <w:spacing w:after="0"/>
              <w:rPr>
                <w:sz w:val="14"/>
                <w:szCs w:val="14"/>
                <w:color w:val="auto"/>
              </w:rPr>
            </w:pPr>
          </w:p>
        </w:tc>
        <w:tc>
          <w:tcPr>
            <w:tcW w:w="12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EXPIRATION</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OPTION</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EMPLOYEES</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BASE PRICE</w:t>
            </w:r>
          </w:p>
        </w:tc>
        <w:tc>
          <w:tcPr>
            <w:tcW w:w="1280" w:type="dxa"/>
            <w:vAlign w:val="bottom"/>
            <w:vMerge w:val="continue"/>
          </w:tcPr>
          <w:p>
            <w:pPr>
              <w:spacing w:after="0"/>
              <w:rPr>
                <w:sz w:val="14"/>
                <w:szCs w:val="14"/>
                <w:color w:val="auto"/>
              </w:rPr>
            </w:pPr>
          </w:p>
        </w:tc>
        <w:tc>
          <w:tcPr>
            <w:tcW w:w="11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5%($)</w:t>
            </w:r>
          </w:p>
        </w:tc>
        <w:tc>
          <w:tcPr>
            <w:tcW w:w="13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IN FISCAL YEAR</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DATE</w:t>
            </w:r>
          </w:p>
        </w:tc>
        <w:tc>
          <w:tcPr>
            <w:tcW w:w="11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Donald E. Graham............</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John B. Morse, Jr...........</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Gerald M. Rosberg...........</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Diana M. Daniels............</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Ann L. McDaniel.............</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$816.05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12/02/13</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$513,210</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$1,300,570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60" w:type="dxa"/>
            <w:vAlign w:val="bottom"/>
          </w:tcPr>
          <w:p>
            <w:pPr>
              <w:spacing w:after="0"/>
              <w:rPr>
                <w:sz w:val="21"/>
                <w:szCs w:val="21"/>
                <w:color w:val="auto"/>
              </w:rPr>
            </w:pPr>
          </w:p>
        </w:tc>
        <w:tc>
          <w:tcPr>
            <w:tcW w:w="25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AND FY-END OPTION VALUES</w:t>
            </w:r>
          </w:p>
        </w:tc>
        <w:tc>
          <w:tcPr>
            <w:tcW w:w="15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vMerge w:val="restart"/>
          </w:tcPr>
          <w:p>
            <w:pPr>
              <w:jc w:val="center"/>
              <w:ind w:right="188"/>
              <w:spacing w:after="0"/>
              <w:rPr>
                <w:sz w:val="20"/>
                <w:szCs w:val="20"/>
                <w:color w:val="auto"/>
              </w:rPr>
            </w:pPr>
            <w:r>
              <w:rPr>
                <w:rFonts w:ascii="Courier New" w:cs="Courier New" w:eastAsia="Courier New" w:hAnsi="Courier New"/>
                <w:sz w:val="14"/>
                <w:szCs w:val="14"/>
                <w:color w:val="auto"/>
              </w:rPr>
              <w:t>NUMBER OF</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VALUE OF</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UNEXERCISED</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UNEXERCISED</w:t>
            </w:r>
          </w:p>
        </w:tc>
        <w:tc>
          <w:tcPr>
            <w:tcW w:w="1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IN-THE-MONEY</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OPTIONS AT</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OPTIONS AT</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FISCAL YEAR-END</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FISCAL YEAR-END</w:t>
            </w:r>
          </w:p>
        </w:tc>
        <w:tc>
          <w:tcPr>
            <w:tcW w:w="0" w:type="dxa"/>
            <w:vAlign w:val="bottom"/>
          </w:tcPr>
          <w:p>
            <w:pPr>
              <w:spacing w:after="0"/>
              <w:rPr>
                <w:sz w:val="1"/>
                <w:szCs w:val="1"/>
                <w:color w:val="auto"/>
              </w:rPr>
            </w:pPr>
          </w:p>
        </w:tc>
      </w:tr>
      <w:tr>
        <w:trPr>
          <w:trHeight w:val="166"/>
        </w:trPr>
        <w:tc>
          <w:tcPr>
            <w:tcW w:w="40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8"/>
              </w:rPr>
              <w:t>-----------------------------------------------</w:t>
            </w:r>
          </w:p>
        </w:tc>
        <w:tc>
          <w:tcPr>
            <w:tcW w:w="14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SHARES</w:t>
            </w:r>
          </w:p>
        </w:tc>
        <w:tc>
          <w:tcPr>
            <w:tcW w:w="11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VALUE</w:t>
            </w:r>
          </w:p>
        </w:tc>
        <w:tc>
          <w:tcPr>
            <w:tcW w:w="15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EXERCISABLE/</w:t>
            </w:r>
          </w:p>
        </w:tc>
        <w:tc>
          <w:tcPr>
            <w:tcW w:w="19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EXERCISABLE/</w:t>
            </w:r>
          </w:p>
        </w:tc>
        <w:tc>
          <w:tcPr>
            <w:tcW w:w="0" w:type="dxa"/>
            <w:vAlign w:val="bottom"/>
          </w:tcPr>
          <w:p>
            <w:pPr>
              <w:spacing w:after="0"/>
              <w:rPr>
                <w:sz w:val="1"/>
                <w:szCs w:val="1"/>
                <w:color w:val="auto"/>
              </w:rPr>
            </w:pPr>
          </w:p>
        </w:tc>
      </w:tr>
      <w:tr>
        <w:trPr>
          <w:trHeight w:val="166"/>
        </w:trPr>
        <w:tc>
          <w:tcPr>
            <w:tcW w:w="40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ACQUIRED ON</w:t>
            </w:r>
          </w:p>
        </w:tc>
        <w:tc>
          <w:tcPr>
            <w:tcW w:w="11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vMerge w:val="continue"/>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EXERCISE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REALIZED($)</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UNEXERCISABLE</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Donald E. Graham.......................</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John B. Morse, Jr......................</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$410,812</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3,500/500</w:t>
            </w:r>
          </w:p>
        </w:tc>
        <w:tc>
          <w:tcPr>
            <w:tcW w:w="1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$843,440/$104,670</w:t>
            </w:r>
          </w:p>
        </w:tc>
        <w:tc>
          <w:tcPr>
            <w:tcW w:w="0" w:type="dxa"/>
            <w:vAlign w:val="bottom"/>
          </w:tcPr>
          <w:p>
            <w:pPr>
              <w:spacing w:after="0"/>
              <w:rPr>
                <w:sz w:val="1"/>
                <w:szCs w:val="1"/>
                <w:color w:val="auto"/>
              </w:rPr>
            </w:pPr>
          </w:p>
        </w:tc>
      </w:tr>
      <w:tr>
        <w:trPr>
          <w:trHeight w:val="166"/>
        </w:trPr>
        <w:tc>
          <w:tcPr>
            <w:tcW w:w="40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Gerald M. Rosberg......................</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5,500/500</w:t>
            </w:r>
          </w:p>
        </w:tc>
        <w:tc>
          <w:tcPr>
            <w:tcW w:w="1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$1,543,680/$104,670</w:t>
            </w:r>
          </w:p>
        </w:tc>
        <w:tc>
          <w:tcPr>
            <w:tcW w:w="0" w:type="dxa"/>
            <w:vAlign w:val="bottom"/>
          </w:tcPr>
          <w:p>
            <w:pPr>
              <w:spacing w:after="0"/>
              <w:rPr>
                <w:sz w:val="1"/>
                <w:szCs w:val="1"/>
                <w:color w:val="auto"/>
              </w:rPr>
            </w:pPr>
          </w:p>
        </w:tc>
      </w:tr>
      <w:tr>
        <w:trPr>
          <w:trHeight w:val="166"/>
        </w:trPr>
        <w:tc>
          <w:tcPr>
            <w:tcW w:w="40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Diana M. Daniels.......................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410,812</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w:t>
            </w:r>
          </w:p>
        </w:tc>
        <w:tc>
          <w:tcPr>
            <w:tcW w:w="1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$251,840/$0</w:t>
            </w:r>
          </w:p>
        </w:tc>
        <w:tc>
          <w:tcPr>
            <w:tcW w:w="0" w:type="dxa"/>
            <w:vAlign w:val="bottom"/>
          </w:tcPr>
          <w:p>
            <w:pPr>
              <w:spacing w:after="0"/>
              <w:rPr>
                <w:sz w:val="1"/>
                <w:szCs w:val="1"/>
                <w:color w:val="auto"/>
              </w:rPr>
            </w:pPr>
          </w:p>
        </w:tc>
      </w:tr>
      <w:tr>
        <w:trPr>
          <w:trHeight w:val="242"/>
        </w:trPr>
        <w:tc>
          <w:tcPr>
            <w:tcW w:w="40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Ann L. McDaniel........................</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225,635</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750/1,500</w:t>
            </w:r>
          </w:p>
        </w:tc>
        <w:tc>
          <w:tcPr>
            <w:tcW w:w="1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$195,328/$138,815</w:t>
            </w:r>
          </w:p>
        </w:tc>
        <w:tc>
          <w:tcPr>
            <w:tcW w:w="0" w:type="dxa"/>
            <w:vAlign w:val="bottom"/>
          </w:tcPr>
          <w:p>
            <w:pPr>
              <w:spacing w:after="0"/>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20" w:type="dxa"/>
            <w:vAlign w:val="bottom"/>
          </w:tcPr>
          <w:p>
            <w:pPr>
              <w:spacing w:after="0"/>
              <w:rPr>
                <w:sz w:val="14"/>
                <w:szCs w:val="14"/>
                <w:color w:val="auto"/>
              </w:rPr>
            </w:pPr>
          </w:p>
        </w:tc>
        <w:tc>
          <w:tcPr>
            <w:tcW w:w="25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LONG-TERM INCENTIVE PLANS --</w:t>
            </w:r>
          </w:p>
        </w:tc>
        <w:tc>
          <w:tcPr>
            <w:tcW w:w="11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AWARDS</w:t>
            </w: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25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IN THE LAST FISCAL YEAR1</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w w:val="97"/>
              </w:rPr>
              <w:t>- -------------------------------------------</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w w:val="99"/>
              </w:rPr>
              <w:t>-----------</w:t>
            </w:r>
          </w:p>
        </w:tc>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PERFORMANCE</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OF SHARES</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OR</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UNITS OR</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OTHER PERIOD</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OTHER</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UNTIL</w:t>
            </w:r>
          </w:p>
        </w:tc>
        <w:tc>
          <w:tcPr>
            <w:tcW w:w="4040" w:type="dxa"/>
            <w:vAlign w:val="bottom"/>
            <w:gridSpan w:val="3"/>
            <w:vMerge w:val="restart"/>
          </w:tcPr>
          <w:p>
            <w:pPr>
              <w:ind w:left="80"/>
              <w:spacing w:after="0"/>
              <w:rPr>
                <w:sz w:val="20"/>
                <w:szCs w:val="20"/>
                <w:color w:val="auto"/>
              </w:rPr>
            </w:pPr>
            <w:r>
              <w:rPr>
                <w:rFonts w:ascii="Courier New" w:cs="Courier New" w:eastAsia="Courier New" w:hAnsi="Courier New"/>
                <w:sz w:val="14"/>
                <w:szCs w:val="14"/>
                <w:color w:val="auto"/>
              </w:rPr>
              <w:t>ESTIMATED FUTURE PAYOUTS UNDER NON-STOCK</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RIGHTS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MATURATION</w:t>
            </w:r>
          </w:p>
        </w:tc>
        <w:tc>
          <w:tcPr>
            <w:tcW w:w="4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OR PAYOUT</w:t>
            </w:r>
          </w:p>
        </w:tc>
        <w:tc>
          <w:tcPr>
            <w:tcW w:w="110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PRICE-BASED PLANS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3"/>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THRESHOLD</w:t>
            </w:r>
          </w:p>
        </w:tc>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T  ARGET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MAXIMUM</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spacing w:after="0"/>
              <w:rPr>
                <w:sz w:val="14"/>
                <w:szCs w:val="14"/>
                <w:color w:val="auto"/>
              </w:rPr>
            </w:pPr>
          </w:p>
        </w:tc>
        <w:tc>
          <w:tcPr>
            <w:tcW w:w="122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OR #)</w:t>
            </w:r>
          </w:p>
        </w:tc>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 OR #)</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 OR #)</w:t>
            </w: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continue"/>
          </w:tcPr>
          <w:p>
            <w:pPr>
              <w:spacing w:after="0"/>
              <w:rPr>
                <w:sz w:val="21"/>
                <w:szCs w:val="21"/>
                <w:color w:val="auto"/>
              </w:rPr>
            </w:pPr>
          </w:p>
        </w:tc>
        <w:tc>
          <w:tcPr>
            <w:tcW w:w="4040" w:type="dxa"/>
            <w:vAlign w:val="bottom"/>
            <w:gridSpan w:val="3"/>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w w:val="99"/>
              </w:rPr>
              <w:t>Donald E. Graham.......................</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7,500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12/31/06</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$375,000</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$400,000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$400,000</w:t>
            </w:r>
          </w:p>
        </w:tc>
        <w:tc>
          <w:tcPr>
            <w:tcW w:w="0" w:type="dxa"/>
            <w:vAlign w:val="bottom"/>
          </w:tcPr>
          <w:p>
            <w:pPr>
              <w:spacing w:after="0"/>
              <w:rPr>
                <w:sz w:val="1"/>
                <w:szCs w:val="1"/>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w w:val="99"/>
              </w:rPr>
              <w:t>John B. Morse, Jr......................</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4,000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12/31/06</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$200,000</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$400,000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$700,000</w:t>
            </w:r>
          </w:p>
        </w:tc>
        <w:tc>
          <w:tcPr>
            <w:tcW w:w="0" w:type="dxa"/>
            <w:vAlign w:val="bottom"/>
          </w:tcPr>
          <w:p>
            <w:pPr>
              <w:spacing w:after="0"/>
              <w:rPr>
                <w:sz w:val="1"/>
                <w:szCs w:val="1"/>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w w:val="99"/>
              </w:rPr>
              <w:t>Gerald M. Rosberg......................</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2,500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12/31/06</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$125,000</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$250,000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$437,500</w:t>
            </w:r>
          </w:p>
        </w:tc>
        <w:tc>
          <w:tcPr>
            <w:tcW w:w="0" w:type="dxa"/>
            <w:vAlign w:val="bottom"/>
          </w:tcPr>
          <w:p>
            <w:pPr>
              <w:spacing w:after="0"/>
              <w:rPr>
                <w:sz w:val="1"/>
                <w:szCs w:val="1"/>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w w:val="99"/>
              </w:rPr>
              <w:t>Diana M. Daniels.......................</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1,700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12/31/06</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$ 85,000</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$170,000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$297,500</w:t>
            </w:r>
          </w:p>
        </w:tc>
        <w:tc>
          <w:tcPr>
            <w:tcW w:w="0" w:type="dxa"/>
            <w:vAlign w:val="bottom"/>
          </w:tcPr>
          <w:p>
            <w:pPr>
              <w:spacing w:after="0"/>
              <w:rPr>
                <w:sz w:val="1"/>
                <w:szCs w:val="1"/>
                <w:color w:val="auto"/>
              </w:rPr>
            </w:pPr>
          </w:p>
        </w:tc>
      </w:tr>
      <w:tr>
        <w:trPr>
          <w:trHeight w:val="242"/>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w w:val="99"/>
              </w:rPr>
              <w:t>Ann L. McDaniel........................</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2,500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12/31/06</w:t>
            </w:r>
          </w:p>
        </w:tc>
        <w:tc>
          <w:tcPr>
            <w:tcW w:w="1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$125,000</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$250,000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$437,500</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440" w:right="780" w:hanging="432"/>
        <w:spacing w:after="0" w:line="267" w:lineRule="auto"/>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2002, the Compensation Committee of the Board of Directors approved grants of Performance Units for the 2003-2006 Award Cycle to various key employees of the Company, including the chief executive officer and the most highly compensated executive officers as set forth in the table. The payout opportunities will be based on the achievement of various financial targets for major operating units of the Company and for the Company's consolidated operations. At Mr. Graham's request, the Compensation Committee set a maximum value of $400,000 on the 7,500 Performance Units awarded to him.</w:t>
      </w:r>
    </w:p>
    <w:p>
      <w:pPr>
        <w:spacing w:after="0" w:line="24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860"/>
          </w:cols>
          <w:pgMar w:left="220" w:top="922" w:right="819" w:bottom="1440" w:gutter="0" w:footer="0" w:header="0"/>
        </w:sectPr>
      </w:pPr>
    </w:p>
    <w:bookmarkStart w:id="16" w:name="page17"/>
    <w:bookmarkEnd w:id="16"/>
    <w:p>
      <w:pPr>
        <w:jc w:val="center"/>
        <w:ind w:right="-259"/>
        <w:spacing w:after="0"/>
        <w:rPr>
          <w:sz w:val="20"/>
          <w:szCs w:val="20"/>
          <w:color w:val="auto"/>
        </w:rPr>
      </w:pPr>
      <w:r>
        <w:rPr>
          <w:rFonts w:ascii="Courier New" w:cs="Courier New" w:eastAsia="Courier New" w:hAnsi="Courier New"/>
          <w:sz w:val="14"/>
          <w:szCs w:val="14"/>
          <w:color w:val="auto"/>
        </w:rPr>
        <w:t>EQUITY COMPENSATION PLAN INFORMATION1</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tbl>
      <w:tblPr>
        <w:tblLayout w:type="fixed"/>
        <w:tblInd w:w="3360" w:type="dxa"/>
        <w:tblCellMar>
          <w:top w:w="0" w:type="dxa"/>
          <w:left w:w="0" w:type="dxa"/>
          <w:bottom w:w="0" w:type="dxa"/>
          <w:right w:w="0" w:type="dxa"/>
        </w:tblCellMar>
      </w:tblPr>
      <w:tr>
        <w:trPr>
          <w:trHeight w:val="147"/>
        </w:trPr>
        <w:tc>
          <w:tcPr>
            <w:tcW w:w="26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NUMBER OF SECURITIES TO BE</w:t>
            </w:r>
          </w:p>
        </w:tc>
        <w:tc>
          <w:tcPr>
            <w:tcW w:w="258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NUMBER</w:t>
            </w:r>
          </w:p>
        </w:tc>
        <w:tc>
          <w:tcPr>
            <w:tcW w:w="2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OF</w:t>
            </w:r>
          </w:p>
        </w:tc>
        <w:tc>
          <w:tcPr>
            <w:tcW w:w="176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SECURITIES REMAINING</w:t>
            </w:r>
          </w:p>
        </w:tc>
        <w:tc>
          <w:tcPr>
            <w:tcW w:w="0" w:type="dxa"/>
            <w:vAlign w:val="bottom"/>
          </w:tcPr>
          <w:p>
            <w:pPr>
              <w:spacing w:after="0"/>
              <w:rPr>
                <w:sz w:val="1"/>
                <w:szCs w:val="1"/>
                <w:color w:val="auto"/>
              </w:rPr>
            </w:pPr>
          </w:p>
        </w:tc>
      </w:tr>
      <w:tr>
        <w:trPr>
          <w:trHeight w:val="166"/>
        </w:trPr>
        <w:tc>
          <w:tcPr>
            <w:tcW w:w="2600" w:type="dxa"/>
            <w:vAlign w:val="bottom"/>
            <w:vMerge w:val="continue"/>
          </w:tcPr>
          <w:p>
            <w:pPr>
              <w:spacing w:after="0"/>
              <w:rPr>
                <w:sz w:val="14"/>
                <w:szCs w:val="14"/>
                <w:color w:val="auto"/>
              </w:rPr>
            </w:pPr>
          </w:p>
        </w:tc>
        <w:tc>
          <w:tcPr>
            <w:tcW w:w="258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WEIGHTED-AVERAGE EXERCISE</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AVAILABLE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FOR FUTURE ISSUANCE</w:t>
            </w:r>
          </w:p>
        </w:tc>
        <w:tc>
          <w:tcPr>
            <w:tcW w:w="0" w:type="dxa"/>
            <w:vAlign w:val="bottom"/>
          </w:tcPr>
          <w:p>
            <w:pPr>
              <w:spacing w:after="0"/>
              <w:rPr>
                <w:sz w:val="1"/>
                <w:szCs w:val="1"/>
                <w:color w:val="auto"/>
              </w:rPr>
            </w:pPr>
          </w:p>
        </w:tc>
      </w:tr>
      <w:tr>
        <w:trPr>
          <w:trHeight w:val="166"/>
        </w:trPr>
        <w:tc>
          <w:tcPr>
            <w:tcW w:w="26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ISSUED UPON EXERCISE OF</w:t>
            </w:r>
          </w:p>
        </w:tc>
        <w:tc>
          <w:tcPr>
            <w:tcW w:w="2580" w:type="dxa"/>
            <w:vAlign w:val="bottom"/>
            <w:vMerge w:val="continue"/>
          </w:tcPr>
          <w:p>
            <w:pPr>
              <w:spacing w:after="0"/>
              <w:rPr>
                <w:sz w:val="14"/>
                <w:szCs w:val="14"/>
                <w:color w:val="auto"/>
              </w:rPr>
            </w:pPr>
          </w:p>
        </w:tc>
        <w:tc>
          <w:tcPr>
            <w:tcW w:w="26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UNDER EQUITY COMPENSATION</w:t>
            </w:r>
          </w:p>
        </w:tc>
        <w:tc>
          <w:tcPr>
            <w:tcW w:w="0" w:type="dxa"/>
            <w:vAlign w:val="bottom"/>
          </w:tcPr>
          <w:p>
            <w:pPr>
              <w:spacing w:after="0"/>
              <w:rPr>
                <w:sz w:val="1"/>
                <w:szCs w:val="1"/>
                <w:color w:val="auto"/>
              </w:rPr>
            </w:pPr>
          </w:p>
        </w:tc>
      </w:tr>
      <w:tr>
        <w:trPr>
          <w:trHeight w:val="166"/>
        </w:trPr>
        <w:tc>
          <w:tcPr>
            <w:tcW w:w="26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OUTSTANDING OPTIONS, WARRANTS</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PRICE OF OUTSTANDING OPTIONS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PLANS</w:t>
            </w:r>
          </w:p>
        </w:tc>
        <w:tc>
          <w:tcPr>
            <w:tcW w:w="2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(EXCLUDING SECURITIES</w:t>
            </w:r>
          </w:p>
        </w:tc>
        <w:tc>
          <w:tcPr>
            <w:tcW w:w="0" w:type="dxa"/>
            <w:vAlign w:val="bottom"/>
          </w:tcPr>
          <w:p>
            <w:pPr>
              <w:spacing w:after="0"/>
              <w:rPr>
                <w:sz w:val="1"/>
                <w:szCs w:val="1"/>
                <w:color w:val="auto"/>
              </w:rPr>
            </w:pPr>
          </w:p>
        </w:tc>
      </w:tr>
      <w:tr>
        <w:trPr>
          <w:trHeight w:val="192"/>
        </w:trPr>
        <w:tc>
          <w:tcPr>
            <w:tcW w:w="2600" w:type="dxa"/>
            <w:vAlign w:val="bottom"/>
          </w:tcPr>
          <w:p>
            <w:pPr>
              <w:ind w:left="860"/>
              <w:spacing w:after="0"/>
              <w:rPr>
                <w:sz w:val="20"/>
                <w:szCs w:val="20"/>
                <w:color w:val="auto"/>
              </w:rPr>
            </w:pPr>
            <w:r>
              <w:rPr>
                <w:rFonts w:ascii="Courier New" w:cs="Courier New" w:eastAsia="Courier New" w:hAnsi="Courier New"/>
                <w:sz w:val="14"/>
                <w:szCs w:val="14"/>
                <w:color w:val="auto"/>
              </w:rPr>
              <w:t>AND RIGHTS</w:t>
            </w:r>
          </w:p>
        </w:tc>
        <w:tc>
          <w:tcPr>
            <w:tcW w:w="2580" w:type="dxa"/>
            <w:vAlign w:val="bottom"/>
          </w:tcPr>
          <w:p>
            <w:pPr>
              <w:ind w:left="500"/>
              <w:spacing w:after="0"/>
              <w:rPr>
                <w:sz w:val="20"/>
                <w:szCs w:val="20"/>
                <w:color w:val="auto"/>
              </w:rPr>
            </w:pPr>
            <w:r>
              <w:rPr>
                <w:rFonts w:ascii="Courier New" w:cs="Courier New" w:eastAsia="Courier New" w:hAnsi="Courier New"/>
                <w:sz w:val="14"/>
                <w:szCs w:val="14"/>
                <w:color w:val="auto"/>
              </w:rPr>
              <w:t>WARRANTS AND RIGHTS</w:t>
            </w:r>
          </w:p>
        </w:tc>
        <w:tc>
          <w:tcPr>
            <w:tcW w:w="26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REFLECTED IN COLUMN (A))</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p>
      <w:pPr>
        <w:ind w:left="440"/>
        <w:spacing w:after="0"/>
        <w:tabs>
          <w:tab w:leader="none" w:pos="4460" w:val="left"/>
          <w:tab w:leader="none" w:pos="7300" w:val="left"/>
          <w:tab w:leader="none" w:pos="9900" w:val="left"/>
        </w:tabs>
        <w:rPr>
          <w:sz w:val="20"/>
          <w:szCs w:val="20"/>
          <w:color w:val="auto"/>
        </w:rPr>
      </w:pPr>
      <w:r>
        <w:rPr>
          <w:rFonts w:ascii="Courier New" w:cs="Courier New" w:eastAsia="Courier New" w:hAnsi="Courier New"/>
          <w:sz w:val="14"/>
          <w:szCs w:val="14"/>
          <w:color w:val="auto"/>
        </w:rPr>
        <w:t>PLAN CATEGORY</w:t>
      </w:r>
      <w:r>
        <w:rPr>
          <w:sz w:val="20"/>
          <w:szCs w:val="20"/>
          <w:color w:val="auto"/>
        </w:rPr>
        <w:tab/>
      </w: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Equity compensation</w:t>
            </w:r>
          </w:p>
        </w:tc>
        <w:tc>
          <w:tcPr>
            <w:tcW w:w="2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plans approved by</w:t>
            </w:r>
          </w:p>
        </w:tc>
        <w:tc>
          <w:tcPr>
            <w:tcW w:w="232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152,475</w:t>
            </w:r>
          </w:p>
        </w:tc>
        <w:tc>
          <w:tcPr>
            <w:tcW w:w="2720" w:type="dxa"/>
            <w:vAlign w:val="bottom"/>
            <w:vMerge w:val="restart"/>
          </w:tcPr>
          <w:p>
            <w:pPr>
              <w:jc w:val="right"/>
              <w:ind w:right="928"/>
              <w:spacing w:after="0"/>
              <w:rPr>
                <w:sz w:val="20"/>
                <w:szCs w:val="20"/>
                <w:color w:val="auto"/>
              </w:rPr>
            </w:pPr>
            <w:r>
              <w:rPr>
                <w:rFonts w:ascii="Courier New" w:cs="Courier New" w:eastAsia="Courier New" w:hAnsi="Courier New"/>
                <w:sz w:val="14"/>
                <w:szCs w:val="14"/>
                <w:color w:val="auto"/>
              </w:rPr>
              <w:t>$530.81</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301,875</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0"/>
                <w:szCs w:val="20"/>
                <w:color w:val="auto"/>
              </w:rPr>
            </w:pPr>
            <w:r>
              <w:rPr>
                <w:rFonts w:ascii="Courier New" w:cs="Courier New" w:eastAsia="Courier New" w:hAnsi="Courier New"/>
                <w:sz w:val="14"/>
                <w:szCs w:val="14"/>
                <w:color w:val="auto"/>
              </w:rPr>
              <w:t>security holders...............</w:t>
            </w:r>
          </w:p>
        </w:tc>
        <w:tc>
          <w:tcPr>
            <w:tcW w:w="232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0"/>
                <w:szCs w:val="20"/>
                <w:color w:val="auto"/>
              </w:rPr>
            </w:pPr>
            <w:r>
              <w:rPr>
                <w:rFonts w:ascii="Courier New" w:cs="Courier New" w:eastAsia="Courier New" w:hAnsi="Courier New"/>
                <w:sz w:val="14"/>
                <w:szCs w:val="14"/>
                <w:color w:val="auto"/>
              </w:rPr>
              <w:t>Equity compensation</w:t>
            </w:r>
          </w:p>
        </w:tc>
        <w:tc>
          <w:tcPr>
            <w:tcW w:w="23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plans not approved by</w:t>
            </w:r>
          </w:p>
        </w:tc>
        <w:tc>
          <w:tcPr>
            <w:tcW w:w="232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2720" w:type="dxa"/>
            <w:vAlign w:val="bottom"/>
            <w:vMerge w:val="restart"/>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security holders...............</w:t>
            </w:r>
          </w:p>
        </w:tc>
        <w:tc>
          <w:tcPr>
            <w:tcW w:w="2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280" w:type="dxa"/>
            <w:vAlign w:val="bottom"/>
          </w:tcPr>
          <w:p>
            <w:pPr>
              <w:ind w:left="1460"/>
              <w:spacing w:after="0"/>
              <w:rPr>
                <w:sz w:val="20"/>
                <w:szCs w:val="20"/>
                <w:color w:val="auto"/>
              </w:rPr>
            </w:pPr>
            <w:r>
              <w:rPr>
                <w:rFonts w:ascii="Courier New" w:cs="Courier New" w:eastAsia="Courier New" w:hAnsi="Courier New"/>
                <w:sz w:val="14"/>
                <w:szCs w:val="14"/>
                <w:color w:val="auto"/>
              </w:rPr>
              <w:t>Total.........</w:t>
            </w:r>
          </w:p>
        </w:tc>
        <w:tc>
          <w:tcPr>
            <w:tcW w:w="23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152,475</w:t>
            </w:r>
          </w:p>
        </w:tc>
        <w:tc>
          <w:tcPr>
            <w:tcW w:w="27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$530.81</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301,875</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180" w:hanging="432"/>
        <w:spacing w:after="0" w:line="268"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does not include information relating to restricted stock grants awarded under The Washington Post Company Incentive Compensation Plan, which plan was approved by the Class A Shareholders of the Company. As of the end of the fiscal year 2003, there were 14,285 shares of restricted stock outstanding under the 2001-2004 Award Cycle and 15,560 shares of restricted stock outstanding under the 2003-2006 Award Cycle that had been awarded to employees of the Company and its subsidiaries (including those executives named in the summary compensation table on page 13). On January 3, 2003, the restrictions lapsed on 12,740 shares of restricted stock previously awarded in the 1999-2002 Award Cycle. Due to forfeitures, as of February 1, 2004, there were a total of 29,595 shares of restricted stock outstanding under The Washington Post Company Incentive Compensation Plan. There are 24,675 shares of restricted stock available for further issuance under that Plan.</w:t>
      </w:r>
    </w:p>
    <w:p>
      <w:pPr>
        <w:spacing w:after="0" w:line="73" w:lineRule="exact"/>
        <w:rPr>
          <w:rFonts w:ascii="Courier New" w:cs="Courier New" w:eastAsia="Courier New" w:hAnsi="Courier New"/>
          <w:sz w:val="14"/>
          <w:szCs w:val="14"/>
          <w:color w:val="auto"/>
        </w:rPr>
      </w:pPr>
    </w:p>
    <w:p>
      <w:pPr>
        <w:ind w:left="440" w:right="260"/>
        <w:spacing w:after="0" w:line="29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Company has from time to time awarded special discretionary grants of restricted stock to employees of the Company and its subsidiaries. On February 1, 2004, there were a total of 5,088 shares of restricted stock outstanding under special discretionary grants approved by the Compensation Committee of the Board of Directors, none of which were granted to those executives named in the summary compensation table on page 13.</w:t>
      </w:r>
    </w:p>
    <w:p>
      <w:pPr>
        <w:spacing w:after="0" w:line="22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RETIREMENT PLANS</w:t>
      </w:r>
    </w:p>
    <w:p>
      <w:pPr>
        <w:spacing w:after="0" w:line="173" w:lineRule="exact"/>
        <w:rPr>
          <w:sz w:val="20"/>
          <w:szCs w:val="20"/>
          <w:color w:val="auto"/>
        </w:rPr>
      </w:pPr>
    </w:p>
    <w:p>
      <w:pPr>
        <w:ind w:right="4480" w:firstLine="431"/>
        <w:spacing w:after="0" w:line="269" w:lineRule="auto"/>
        <w:rPr>
          <w:sz w:val="20"/>
          <w:szCs w:val="20"/>
          <w:color w:val="auto"/>
        </w:rPr>
      </w:pPr>
      <w:r>
        <w:rPr>
          <w:rFonts w:ascii="Courier New" w:cs="Courier New" w:eastAsia="Courier New" w:hAnsi="Courier New"/>
          <w:sz w:val="14"/>
          <w:szCs w:val="14"/>
          <w:color w:val="auto"/>
        </w:rPr>
        <w:t>BASIC PLAN. Most employees of the Company, including the executives named in the summary compensation table, are eligible to participate (subject to minimum service requirements) in the Company's defined benefit retirement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246" w:lineRule="exact"/>
        <w:rPr>
          <w:sz w:val="20"/>
          <w:szCs w:val="20"/>
          <w:color w:val="auto"/>
        </w:rPr>
      </w:pPr>
    </w:p>
    <w:p>
      <w:pPr>
        <w:ind w:right="4480" w:firstLine="431"/>
        <w:spacing w:after="0" w:line="264" w:lineRule="auto"/>
        <w:rPr>
          <w:sz w:val="20"/>
          <w:szCs w:val="20"/>
          <w:color w:val="auto"/>
        </w:rPr>
      </w:pPr>
      <w:r>
        <w:rPr>
          <w:rFonts w:ascii="Courier New" w:cs="Courier New" w:eastAsia="Courier New" w:hAnsi="Courier New"/>
          <w:sz w:val="14"/>
          <w:szCs w:val="14"/>
          <w:color w:val="auto"/>
        </w:rPr>
        <w:t>SUPPLEMENTAL EXECUTIVE RETIREMENT PLAN. All amounts over $160,000 (effective January 1, 2002) that would otherwise be payable under a basic defined benefit retirement plan are currently subject to reduction because of the annual pension limitation imposed by the Internal Revenue Code of 1986, as amended,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Internal Revenue Code of 1986, as amended ($200,000 per year effective January 1, 2002).</w:t>
      </w:r>
    </w:p>
    <w:p>
      <w:pPr>
        <w:spacing w:after="0" w:line="77" w:lineRule="exact"/>
        <w:rPr>
          <w:sz w:val="20"/>
          <w:szCs w:val="20"/>
          <w:color w:val="auto"/>
        </w:rPr>
      </w:pPr>
    </w:p>
    <w:p>
      <w:pPr>
        <w:ind w:right="4480" w:firstLine="431"/>
        <w:spacing w:after="0" w:line="256"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named in the summary compensation table)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said executive officers)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w:t>
      </w: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380"/>
          </w:cols>
          <w:pgMar w:left="220" w:top="921" w:right="299" w:bottom="1440" w:gutter="0" w:footer="0" w:header="0"/>
        </w:sectPr>
      </w:pPr>
    </w:p>
    <w:bookmarkStart w:id="17" w:name="page18"/>
    <w:bookmarkEnd w:id="17"/>
    <w:p>
      <w:pPr>
        <w:ind w:right="3339"/>
        <w:spacing w:after="0" w:line="266" w:lineRule="auto"/>
        <w:rPr>
          <w:sz w:val="20"/>
          <w:szCs w:val="20"/>
          <w:color w:val="auto"/>
        </w:rPr>
      </w:pPr>
      <w:r>
        <w:rPr>
          <w:rFonts w:ascii="Courier New" w:cs="Courier New" w:eastAsia="Courier New" w:hAnsi="Courier New"/>
          <w:sz w:val="14"/>
          <w:szCs w:val="14"/>
          <w:color w:val="auto"/>
        </w:rPr>
        <w:t>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summary compensation table (except that Mr. Graham, who has elected not to participate in savings plan features of the SERP, will be covered only by the retirement plan features of the SERP described above).</w:t>
      </w:r>
    </w:p>
    <w:p>
      <w:pPr>
        <w:spacing w:after="0" w:line="74" w:lineRule="exact"/>
        <w:rPr>
          <w:sz w:val="20"/>
          <w:szCs w:val="20"/>
          <w:color w:val="auto"/>
        </w:rPr>
      </w:pPr>
    </w:p>
    <w:p>
      <w:pPr>
        <w:ind w:right="3339" w:firstLine="431"/>
        <w:spacing w:after="0" w:line="284" w:lineRule="auto"/>
        <w:rPr>
          <w:sz w:val="20"/>
          <w:szCs w:val="20"/>
          <w:color w:val="auto"/>
        </w:rPr>
      </w:pPr>
      <w:r>
        <w:rPr>
          <w:rFonts w:ascii="Courier New" w:cs="Courier New" w:eastAsia="Courier New" w:hAnsi="Courier New"/>
          <w:sz w:val="14"/>
          <w:szCs w:val="14"/>
          <w:color w:val="auto"/>
        </w:rPr>
        <w:t>As of December 31, 2003, Mr. Graham had 30 years of service under the Company plan, Mr. Morse had 15 years of service under the Company plan, Mr. Rosberg had 8 years of service under the Company plan, Ms. Daniels had 26 years of service under the Company plan and Ms. McDaniel had 20 years of service under the Company plan.</w:t>
      </w:r>
    </w:p>
    <w:p>
      <w:pPr>
        <w:spacing w:after="0" w:line="243" w:lineRule="exact"/>
        <w:rPr>
          <w:sz w:val="20"/>
          <w:szCs w:val="20"/>
          <w:color w:val="auto"/>
        </w:rPr>
      </w:pPr>
    </w:p>
    <w:p>
      <w:pPr>
        <w:ind w:right="3599" w:firstLine="431"/>
        <w:spacing w:after="0" w:line="282" w:lineRule="auto"/>
        <w:rPr>
          <w:sz w:val="20"/>
          <w:szCs w:val="20"/>
          <w:color w:val="auto"/>
        </w:rPr>
      </w:pPr>
      <w:r>
        <w:rPr>
          <w:rFonts w:ascii="Courier New" w:cs="Courier New" w:eastAsia="Courier New" w:hAnsi="Courier New"/>
          <w:sz w:val="14"/>
          <w:szCs w:val="14"/>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executive officers named in the summary compensation table):</w:t>
      </w:r>
    </w:p>
    <w:p>
      <w:pPr>
        <w:spacing w:after="0" w:line="393" w:lineRule="exact"/>
        <w:rPr>
          <w:sz w:val="20"/>
          <w:szCs w:val="20"/>
          <w:color w:val="auto"/>
        </w:rPr>
      </w:pPr>
    </w:p>
    <w:tbl>
      <w:tblPr>
        <w:tblLayout w:type="fixed"/>
        <w:tblInd w:w="860" w:type="dxa"/>
        <w:tblCellMar>
          <w:top w:w="0" w:type="dxa"/>
          <w:left w:w="0" w:type="dxa"/>
          <w:bottom w:w="0" w:type="dxa"/>
          <w:right w:w="0" w:type="dxa"/>
        </w:tblCellMar>
      </w:tblPr>
      <w:tr>
        <w:trPr>
          <w:trHeight w:val="242"/>
        </w:trPr>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PENSION PLAN TABLES</w:t>
            </w: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2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120" w:type="dxa"/>
            <w:vAlign w:val="bottom"/>
            <w:vMerge w:val="restart"/>
          </w:tcPr>
          <w:p>
            <w:pPr>
              <w:spacing w:after="0"/>
              <w:rPr>
                <w:sz w:val="20"/>
                <w:szCs w:val="20"/>
                <w:color w:val="auto"/>
              </w:rPr>
            </w:pPr>
            <w:r>
              <w:rPr>
                <w:rFonts w:ascii="Courier New" w:cs="Courier New" w:eastAsia="Courier New" w:hAnsi="Courier New"/>
                <w:sz w:val="14"/>
                <w:szCs w:val="14"/>
                <w:color w:val="auto"/>
              </w:rPr>
              <w:t>COVERED</w:t>
            </w:r>
          </w:p>
        </w:tc>
        <w:tc>
          <w:tcPr>
            <w:tcW w:w="1040" w:type="dxa"/>
            <w:vAlign w:val="bottom"/>
          </w:tcPr>
          <w:p>
            <w:pPr>
              <w:spacing w:after="0"/>
              <w:rPr>
                <w:sz w:val="14"/>
                <w:szCs w:val="14"/>
                <w:color w:val="auto"/>
              </w:rPr>
            </w:pPr>
          </w:p>
        </w:tc>
        <w:tc>
          <w:tcPr>
            <w:tcW w:w="414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ESTIMATED MAXIMUM ANNUAL PENSION</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414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(COMPUTED AS STRAIGHT LIFE ANNUITY)</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COMPENSATION</w:t>
            </w:r>
          </w:p>
        </w:tc>
        <w:tc>
          <w:tcPr>
            <w:tcW w:w="1040" w:type="dxa"/>
            <w:vAlign w:val="bottom"/>
          </w:tcPr>
          <w:p>
            <w:pPr>
              <w:spacing w:after="0"/>
              <w:rPr>
                <w:sz w:val="14"/>
                <w:szCs w:val="14"/>
                <w:color w:val="auto"/>
              </w:rPr>
            </w:pPr>
          </w:p>
        </w:tc>
        <w:tc>
          <w:tcPr>
            <w:tcW w:w="508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FOR REPRESENTATIVE YEARS OF CREDITED SERVICE(A)</w:t>
            </w:r>
          </w:p>
        </w:tc>
        <w:tc>
          <w:tcPr>
            <w:tcW w:w="0" w:type="dxa"/>
            <w:vAlign w:val="bottom"/>
          </w:tcPr>
          <w:p>
            <w:pPr>
              <w:spacing w:after="0"/>
              <w:rPr>
                <w:sz w:val="1"/>
                <w:szCs w:val="1"/>
                <w:color w:val="auto"/>
              </w:rPr>
            </w:pPr>
          </w:p>
        </w:tc>
      </w:tr>
      <w:tr>
        <w:trPr>
          <w:trHeight w:val="166"/>
        </w:trPr>
        <w:tc>
          <w:tcPr>
            <w:tcW w:w="72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0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0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10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10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10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94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PLAN(b)(c)</w:t>
            </w:r>
          </w:p>
        </w:tc>
        <w:tc>
          <w:tcPr>
            <w:tcW w:w="10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$54,500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$81,750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$109,000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$136,250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$163,500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$163,500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72,000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108,000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144,000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216,000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80,750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121,125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161,500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201,875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242,250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89,500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134,250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179,000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223,750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268,500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268,500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550,000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98,250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147,375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196,500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245,625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294,750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107,000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160,500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267,500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321,000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650,000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115,750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173,625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231,500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289,375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347,250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124,500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186,750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249,000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311,250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373,500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373,500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750,000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133,250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199,875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266,500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333,125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399,750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399,750</w:t>
            </w:r>
          </w:p>
        </w:tc>
        <w:tc>
          <w:tcPr>
            <w:tcW w:w="0" w:type="dxa"/>
            <w:vAlign w:val="bottom"/>
          </w:tcPr>
          <w:p>
            <w:pPr>
              <w:spacing w:after="0"/>
              <w:rPr>
                <w:sz w:val="1"/>
                <w:szCs w:val="1"/>
                <w:color w:val="auto"/>
              </w:rPr>
            </w:pPr>
          </w:p>
        </w:tc>
      </w:tr>
      <w:tr>
        <w:trPr>
          <w:trHeight w:val="166"/>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142,000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213,000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284,000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355,000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426,000</w:t>
            </w:r>
          </w:p>
        </w:tc>
        <w:tc>
          <w:tcPr>
            <w:tcW w:w="0" w:type="dxa"/>
            <w:vAlign w:val="bottom"/>
          </w:tcPr>
          <w:p>
            <w:pPr>
              <w:spacing w:after="0"/>
              <w:rPr>
                <w:sz w:val="1"/>
                <w:szCs w:val="1"/>
                <w:color w:val="auto"/>
              </w:rPr>
            </w:pPr>
          </w:p>
        </w:tc>
      </w:tr>
      <w:tr>
        <w:trPr>
          <w:trHeight w:val="242"/>
        </w:trPr>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850,000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150,750</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226,125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301,500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376,875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452,250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452,250</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1799" w:hanging="432"/>
        <w:spacing w:after="0" w:line="282" w:lineRule="auto"/>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certain benefits paid under the Company Plan and based on average social security covered compensation over the employee's career. For an individual retiring at age 65 during 2004 the deduction would be as follows for the indicated number of years of credited service: 10 years, $2,638; 15 years, $3,957; 20 years, $5,276; 25 years, $6,595; 30 and 35 years, $7,915.</w:t>
      </w:r>
    </w:p>
    <w:p>
      <w:pPr>
        <w:spacing w:after="0" w:line="62" w:lineRule="exact"/>
        <w:rPr>
          <w:rFonts w:ascii="Courier New" w:cs="Courier New" w:eastAsia="Courier New" w:hAnsi="Courier New"/>
          <w:sz w:val="14"/>
          <w:szCs w:val="14"/>
          <w:color w:val="auto"/>
        </w:rPr>
      </w:pPr>
    </w:p>
    <w:p>
      <w:pPr>
        <w:ind w:left="440" w:right="1959" w:hanging="432"/>
        <w:spacing w:after="0" w:line="375" w:lineRule="auto"/>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1991.</w:t>
      </w:r>
    </w:p>
    <w:p>
      <w:pPr>
        <w:spacing w:after="0" w:line="1" w:lineRule="exact"/>
        <w:rPr>
          <w:rFonts w:ascii="Courier New" w:cs="Courier New" w:eastAsia="Courier New" w:hAnsi="Courier New"/>
          <w:sz w:val="14"/>
          <w:szCs w:val="14"/>
          <w:color w:val="auto"/>
        </w:rPr>
      </w:pPr>
    </w:p>
    <w:p>
      <w:pPr>
        <w:ind w:left="440" w:right="1799" w:hanging="432"/>
        <w:spacing w:after="0" w:line="292" w:lineRule="auto"/>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does not include estimated annual pension calculations for individuals who, commencing in 2003, meet the "Rule of 90" (i.e., the participant's age when added to his or her years of service adds to 90) and thus became eligible to receive an actuarially unreduced pension upon retirement before age 65.</w:t>
      </w:r>
    </w:p>
    <w:p>
      <w:pPr>
        <w:spacing w:after="0" w:line="22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POLICY</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0" w:right="1440" w:bottom="1440" w:gutter="0" w:footer="0" w:header="0"/>
        </w:sectPr>
      </w:pPr>
    </w:p>
    <w:bookmarkStart w:id="18" w:name="page19"/>
    <w:bookmarkEnd w:id="18"/>
    <w:p>
      <w:pPr>
        <w:ind w:right="3339"/>
        <w:spacing w:after="0" w:line="275" w:lineRule="auto"/>
        <w:rPr>
          <w:sz w:val="20"/>
          <w:szCs w:val="20"/>
          <w:color w:val="auto"/>
        </w:rPr>
      </w:pPr>
      <w:r>
        <w:rPr>
          <w:rFonts w:ascii="Courier New" w:cs="Courier New" w:eastAsia="Courier New" w:hAnsi="Courier New"/>
          <w:sz w:val="14"/>
          <w:szCs w:val="14"/>
          <w:color w:val="auto"/>
        </w:rPr>
        <w:t>Company seeks to offer compensation that will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69" w:lineRule="exact"/>
        <w:rPr>
          <w:sz w:val="20"/>
          <w:szCs w:val="20"/>
          <w:color w:val="auto"/>
        </w:rPr>
      </w:pPr>
    </w:p>
    <w:p>
      <w:pPr>
        <w:ind w:right="3339" w:firstLine="431"/>
        <w:spacing w:after="0" w:line="256"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division-by-division basis and, thus, are not necessarily identical to the Standard &amp; Poor's Publishing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companies included in the indices selected for comparison purposes in the Performance Graph consist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250" w:lineRule="exact"/>
        <w:rPr>
          <w:sz w:val="20"/>
          <w:szCs w:val="20"/>
          <w:color w:val="auto"/>
        </w:rPr>
      </w:pPr>
    </w:p>
    <w:p>
      <w:pPr>
        <w:ind w:right="3339" w:firstLine="431"/>
        <w:spacing w:after="0" w:line="277" w:lineRule="auto"/>
        <w:rPr>
          <w:sz w:val="20"/>
          <w:szCs w:val="20"/>
          <w:color w:val="auto"/>
        </w:rPr>
      </w:pPr>
      <w:r>
        <w:rPr>
          <w:rFonts w:ascii="Courier New" w:cs="Courier New" w:eastAsia="Courier New" w:hAnsi="Courier New"/>
          <w:sz w:val="14"/>
          <w:szCs w:val="14"/>
          <w:color w:val="auto"/>
        </w:rPr>
        <w:t>The Compensation Committee determines the compensation of approximately the 102 most highly compensated corporate and divisional executives, including the chief executive officer and the other executives named in the summary compensation table. In reviewing the individual performance of the named executives, the Compensation Committee takes into account the views of Mr. Graham.</w:t>
      </w:r>
    </w:p>
    <w:p>
      <w:pPr>
        <w:spacing w:after="0" w:line="244"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Base salaries for executive officers are initially determined by evaluating the responsibilities of the position held and the experience of the individual, and by reference to the competitive marketplace for executive talent, including, where available, a comparison to base salaries for comparable positions at other media and for-profit education companies, as applicable.</w:t>
      </w:r>
    </w:p>
    <w:p>
      <w:pPr>
        <w:spacing w:after="0" w:line="62"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or for-profit education companies, as applicable. In order to preserve flexibility in setting compensation, the Compensation</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0" w:right="1440" w:bottom="1440" w:gutter="0" w:footer="0" w:header="0"/>
        </w:sectPr>
      </w:pPr>
    </w:p>
    <w:bookmarkStart w:id="19" w:name="page20"/>
    <w:bookmarkEnd w:id="19"/>
    <w:p>
      <w:pPr>
        <w:ind w:right="3599"/>
        <w:spacing w:after="0" w:line="292" w:lineRule="auto"/>
        <w:rPr>
          <w:sz w:val="20"/>
          <w:szCs w:val="20"/>
          <w:color w:val="auto"/>
        </w:rPr>
      </w:pPr>
      <w:r>
        <w:rPr>
          <w:rFonts w:ascii="Courier New" w:cs="Courier New" w:eastAsia="Courier New" w:hAnsi="Courier New"/>
          <w:sz w:val="14"/>
          <w:szCs w:val="14"/>
          <w:color w:val="auto"/>
        </w:rPr>
        <w:t>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56"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With respect to the base salary paid to Mr. Graham in 2003, the Compensation Committee took into account a comparison of base salaries of chief executive officers of peer companies, the Company's results in 2002 and the performance of the Company. The Compensation Committee also took into account Mr. Graham's service to the Company and his performance since 1979 when he became publisher of The Washington Post. The Compensation Committee noted that Mr. Graham's base salary is significantly below the median of base salaries paid to chief executive officers of peer companies. However, because of Mr. Graham's continued request, for personal reasons, to forego a base salary increase, Mr. Graham's base salary in 2003 remained at $400,000, the level established in 1991 upon his promotion to President and chief executive officer. The Compensation Committee does not give significance to the below market salary of Mr. Graham when reviewing and establishing base salary levels for other executives.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PLAN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has an incentive compensation plan made up of two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components--annual and long-term--under which awards are made primarily to key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professional employees, including the Company's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who have made or are in a position to make significant contributions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profitability of the Company and enhance shareholder value. The plan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administered by the Compensation Committee.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COMPONENT</w:t>
      </w:r>
    </w:p>
    <w:p>
      <w:pPr>
        <w:spacing w:after="0" w:line="173"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The annual component of the Incentive Compensation Plan provides for annual incentive compensation awards based on the Company's and its business units' short-term, i.e., annual, financial performance. At the end of 2002, the Compensation Committee approved a range of incentive payouts for 2003 keyed to performance against specified goals related to budgeted operating income, cash flow or earnings per share, which vary by business unit. Mr. Graham waived participation in the annual component of the Incentive Compensation Plan with respect to 2003. In 2003 the Company exceeded its budgeted earnings per share goal. Annual incentive compensation awards were paid to the executive officers named in the summary compensation table on page 13.</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COMPONENT</w:t>
      </w:r>
    </w:p>
    <w:p>
      <w:pPr>
        <w:spacing w:after="0" w:line="173"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To balance the annual component of the Incentive Compensation Plan, which is intended to reward short-term financial performance, the long-term component provides incentives for improved financial performance over periods of Award Cycles (which beginning in 1983 have consisted, and are expected to continue to consist, of four-year periods starting at two-year intervals).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UNITS.</w:t>
      </w:r>
    </w:p>
    <w:p>
      <w:pPr>
        <w:spacing w:after="0" w:line="173" w:lineRule="exact"/>
        <w:rPr>
          <w:sz w:val="20"/>
          <w:szCs w:val="20"/>
          <w:color w:val="auto"/>
        </w:rPr>
      </w:pPr>
    </w:p>
    <w:p>
      <w:pPr>
        <w:ind w:right="3339" w:firstLine="431"/>
        <w:spacing w:after="0" w:line="261" w:lineRule="auto"/>
        <w:rPr>
          <w:sz w:val="20"/>
          <w:szCs w:val="20"/>
          <w:color w:val="auto"/>
        </w:rPr>
      </w:pPr>
      <w:r>
        <w:rPr>
          <w:rFonts w:ascii="Courier New" w:cs="Courier New" w:eastAsia="Courier New" w:hAnsi="Courier New"/>
          <w:sz w:val="14"/>
          <w:szCs w:val="14"/>
          <w:color w:val="auto"/>
        </w:rPr>
        <w:t>In December 2002, the Compensation Committee of the Board of Directors approved grants of Performance Units for the 2003-2006 Award Cycle to various key employees of the Company, including the chief executive officer and the named executives. Pursuant to these grants, the chief executive officer and the named executives received the following: Donald E. Graham, 7,500 Performance Units; John B. Morse, Jr., 4,000 Performance Units; Gerald M. Rosberg, 2,500 Performance Units; Diana M. Daniels, 1,700 Performance Units; and Ann L. McDaniel, 2,500 Performance Units. Each Performance Unit has a nominal value of $100. The number of Units awarded was determined with reference to an individual's scope of responsibilities and level of Plan participation. The payout opportunities for the 2003-2006 Award Cycle for Performance Units granted to these individuals will be based on the achievement of financial and operating goals of certain of the major operating divisions.</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0" w:right="1440" w:bottom="1440" w:gutter="0" w:footer="0" w:header="0"/>
        </w:sectPr>
      </w:pPr>
    </w:p>
    <w:bookmarkStart w:id="20" w:name="page21"/>
    <w:bookmarkEnd w:id="20"/>
    <w:p>
      <w:pPr>
        <w:ind w:right="3339" w:firstLine="431"/>
        <w:spacing w:after="0" w:line="262" w:lineRule="auto"/>
        <w:rPr>
          <w:sz w:val="20"/>
          <w:szCs w:val="20"/>
          <w:color w:val="auto"/>
        </w:rPr>
      </w:pPr>
      <w:r>
        <w:rPr>
          <w:rFonts w:ascii="Courier New" w:cs="Courier New" w:eastAsia="Courier New" w:hAnsi="Courier New"/>
          <w:sz w:val="14"/>
          <w:szCs w:val="14"/>
          <w:color w:val="auto"/>
        </w:rPr>
        <w:t>In December 2000, executive officers of the Company, including the chief executive officer and the named executives, were granted Performance Units for the 2001-2004 Award Cycle. Pursuant to these grants, the chief executive officer and the named executives received the following: Donald E. Graham, 7,500 Performance Units; John B. Morse, Jr., 2,800 Performance Units; Gerald M. Rosberg, 2,000 Performance Units; Diana M. Daniels, 1,600 Performance Units; and Ann L. McDaniel, 1,500 Performance Units. As in the past, each Performance Unit has a nominal value of $100. The number of Units awarded is determined with reference to an individual's scope of responsibilities and level of Plan participation. The payout opportunities for the 2001-2004 Award Cycle for Performance Units granted to these individuals will be based on the achievement of financial and operating goals of certain of the major operating divisions.</w:t>
      </w:r>
    </w:p>
    <w:p>
      <w:pPr>
        <w:spacing w:after="0" w:line="76" w:lineRule="exact"/>
        <w:rPr>
          <w:sz w:val="20"/>
          <w:szCs w:val="20"/>
          <w:color w:val="auto"/>
        </w:rPr>
      </w:pPr>
    </w:p>
    <w:p>
      <w:pPr>
        <w:ind w:right="3339" w:firstLine="431"/>
        <w:spacing w:after="0" w:line="256" w:lineRule="auto"/>
        <w:rPr>
          <w:sz w:val="20"/>
          <w:szCs w:val="20"/>
          <w:color w:val="auto"/>
        </w:rPr>
      </w:pPr>
      <w:r>
        <w:rPr>
          <w:rFonts w:ascii="Courier New" w:cs="Courier New" w:eastAsia="Courier New" w:hAnsi="Courier New"/>
          <w:sz w:val="14"/>
          <w:szCs w:val="14"/>
          <w:color w:val="auto"/>
        </w:rPr>
        <w:t>In December 1998, the Compensation Committee of the Board of Directors approved grants of Performance Units for the 1999-2002 Award Cycle to various key employees of the Company, including the chief executive officer and certain of the named executives. Pursuant to these grants, the chief executive officer and the named executives received the following: Donald E. Graham, 7,500 Performance Units; John B. Morse, Jr., 2,600 Performance Units; and Diana M. Daniels, 1,500 Performance Units. In January 1999, Gerald M. Rosberg was granted 1,650 Performance Units and in December 2000, the Compensation Committee approved a grant of 750 Performance Units to Ann L. McDaniel for the 1999-2002 Award Cycle. Each Performance Unit has a nominal value of $100. The number of Units awarded was determined with reference to an individual's scope of responsibilities and level of Plan participation. The payout opportunities for the 1999-2002 Award Cycle for Performance Units for these individuals was based on the following criteria: the simple average of the earned payouts for the major operating divisions of the Company determined by their achievement of financial and operating goals (60% weighting), a determination of the increase in the value created at another significant operating division (15% weighting), the Company's total shareholder return during the Award Cycle compared to total shareholder returns of peer companies (20% weighting) and management's efforts toward long-term growth of the Company (5% weighting). The final Unit valuation for the 1999-2002 Award Cycle was determined by the Compensation Committee in May 2003. For the 1999-2002 Award Cycle, Mr. Graham received $400,000 in payout of his 7,500 Performance Units.</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In December 2002, the named executives and other key employees were granted new Restricted Stock for the 2003-2006 Award Cycle, based on plan levels similar to those used for determining the number of shares of Restricted Stock in prior years, including 300 shares of Restricted Stock awarded to Mr. Graham.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13.</w:t>
      </w:r>
    </w:p>
    <w:p>
      <w:pPr>
        <w:spacing w:after="0" w:line="74"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In December 2000, the named executives and other key employees were granted new Restricted Stock for the 2001-2004 Award Cycle, based on plan levels similar to those used for determining the number of shares of Restricted Stock in prior years, including 300 shares of Restricted Stock awarded to Mr. Graham.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13.</w:t>
      </w:r>
    </w:p>
    <w:p>
      <w:pPr>
        <w:spacing w:after="0" w:line="74"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On January 3, 2003, the restrictions terminated on shares of Restricted Stock awarded to Mr. Graham and the other named executives for the 1999-2002 Award Cycle. Mr. Graham received unrestricted title to 300 shares having a fair market value of $224,625 on January 3, 2003.</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INCENTIVES.</w:t>
      </w:r>
    </w:p>
    <w:p>
      <w:pPr>
        <w:spacing w:after="0" w:line="173" w:lineRule="exact"/>
        <w:rPr>
          <w:sz w:val="20"/>
          <w:szCs w:val="20"/>
          <w:color w:val="auto"/>
        </w:rPr>
      </w:pPr>
    </w:p>
    <w:p>
      <w:pPr>
        <w:ind w:right="3339" w:firstLine="775"/>
        <w:spacing w:after="0" w:line="263"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w:t>
      </w:r>
    </w:p>
    <w:p>
      <w:pPr>
        <w:spacing w:after="0" w:line="2" w:lineRule="exact"/>
        <w:rPr>
          <w:sz w:val="20"/>
          <w:szCs w:val="20"/>
          <w:color w:val="auto"/>
        </w:rPr>
      </w:pPr>
    </w:p>
    <w:p>
      <w:pPr>
        <w:ind w:right="3339" w:firstLine="344"/>
        <w:spacing w:after="0" w:line="336" w:lineRule="auto"/>
        <w:rPr>
          <w:sz w:val="20"/>
          <w:szCs w:val="20"/>
          <w:color w:val="auto"/>
        </w:rPr>
      </w:pPr>
      <w:r>
        <w:rPr>
          <w:rFonts w:ascii="Courier New" w:cs="Courier New" w:eastAsia="Courier New" w:hAnsi="Courier New"/>
          <w:sz w:val="14"/>
          <w:szCs w:val="14"/>
          <w:color w:val="auto"/>
        </w:rPr>
        <w:t>objectives. No special incentive plans are currently in place for any of the named executives.</w:t>
      </w:r>
    </w:p>
    <w:p>
      <w:pPr>
        <w:spacing w:after="0" w:line="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STOCK OPTION PLAN</w:t>
      </w:r>
    </w:p>
    <w:p>
      <w:pPr>
        <w:spacing w:after="0" w:line="173" w:lineRule="exact"/>
        <w:rPr>
          <w:sz w:val="20"/>
          <w:szCs w:val="20"/>
          <w:color w:val="auto"/>
        </w:rPr>
      </w:pPr>
    </w:p>
    <w:p>
      <w:pPr>
        <w:ind w:right="3419" w:firstLine="431"/>
        <w:spacing w:after="0" w:line="284" w:lineRule="auto"/>
        <w:rPr>
          <w:sz w:val="20"/>
          <w:szCs w:val="20"/>
          <w:color w:val="auto"/>
        </w:rPr>
      </w:pPr>
      <w:r>
        <w:rPr>
          <w:rFonts w:ascii="Courier New" w:cs="Courier New" w:eastAsia="Courier New" w:hAnsi="Courier New"/>
          <w:sz w:val="14"/>
          <w:szCs w:val="14"/>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243"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52 key employees who fall within that category and have been awarded stock options.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251"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42" w:lineRule="exact"/>
        <w:rPr>
          <w:sz w:val="20"/>
          <w:szCs w:val="20"/>
          <w:color w:val="auto"/>
        </w:rPr>
      </w:pPr>
    </w:p>
    <w:p>
      <w:pPr>
        <w:ind w:right="3419" w:firstLine="431"/>
        <w:spacing w:after="0" w:line="375" w:lineRule="auto"/>
        <w:rPr>
          <w:sz w:val="20"/>
          <w:szCs w:val="20"/>
          <w:color w:val="auto"/>
        </w:rPr>
      </w:pPr>
      <w:r>
        <w:rPr>
          <w:rFonts w:ascii="Courier New" w:cs="Courier New" w:eastAsia="Courier New" w:hAnsi="Courier New"/>
          <w:sz w:val="14"/>
          <w:szCs w:val="14"/>
          <w:color w:val="auto"/>
        </w:rPr>
        <w:t>One stock option award was granted to the executives whose compensation is detailed in this proxy statement during 2003.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COMPENSATION PLANS</w:t>
      </w:r>
    </w:p>
    <w:p>
      <w:pPr>
        <w:spacing w:after="0" w:line="173" w:lineRule="exact"/>
        <w:rPr>
          <w:sz w:val="20"/>
          <w:szCs w:val="20"/>
          <w:color w:val="auto"/>
        </w:rPr>
      </w:pPr>
    </w:p>
    <w:p>
      <w:pPr>
        <w:ind w:right="3419" w:firstLine="431"/>
        <w:spacing w:after="0" w:line="271" w:lineRule="auto"/>
        <w:rPr>
          <w:sz w:val="20"/>
          <w:szCs w:val="20"/>
          <w:color w:val="auto"/>
        </w:rPr>
      </w:pPr>
      <w:r>
        <w:rPr>
          <w:rFonts w:ascii="Courier New" w:cs="Courier New" w:eastAsia="Courier New" w:hAnsi="Courier New"/>
          <w:sz w:val="14"/>
          <w:szCs w:val="14"/>
          <w:color w:val="auto"/>
        </w:rPr>
        <w:t>At various times in the past the Company has adopted certain broad-based employee benefit plans in which the chief executive officer and the other named executives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72"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because of tax law limitations. In 2003 no amount was accrued for the benefit of Mr. Graham with respect to an employer credit under the Company's SERP inasmuch as Mr. Graham waived his right for 2003 to maintain a separate unfunded savings plan account under the SERP. The amount accrued to the named executives are shown in the footnote to the column headed "All other compensation" in the Summary Compensation Table shown on page 13. The estimated annual pension amounts set forth in the table on page 16 show the maximum benefits payable to Mr. Graham and the named executives upon retirement at age 65, to the extent they participate in the basic retirement plan and the supplemental executive retirement plan. The benefits payable to Mr. Graham and the named executives under the SERP are determined with reference to compensation including annual bonuses under the Incentive Compensation Plan.</w:t>
      </w:r>
    </w:p>
    <w:p>
      <w:pPr>
        <w:spacing w:after="0" w:line="83" w:lineRule="exact"/>
        <w:rPr>
          <w:sz w:val="20"/>
          <w:szCs w:val="20"/>
          <w:color w:val="auto"/>
        </w:rPr>
      </w:pPr>
    </w:p>
    <w:p>
      <w:pPr>
        <w:ind w:right="3339" w:firstLine="431"/>
        <w:spacing w:after="0" w:line="268" w:lineRule="auto"/>
        <w:rPr>
          <w:sz w:val="20"/>
          <w:szCs w:val="20"/>
          <w:color w:val="auto"/>
        </w:rPr>
      </w:pPr>
      <w:r>
        <w:rPr>
          <w:rFonts w:ascii="Courier New" w:cs="Courier New" w:eastAsia="Courier New" w:hAnsi="Courier New"/>
          <w:sz w:val="14"/>
          <w:szCs w:val="14"/>
          <w:color w:val="auto"/>
        </w:rPr>
        <w:t>The Company has in place a voluntary deferred compensation plan for senior executives. The plan provides an opportunity for participants to elect to defer the receipt of all or a portion of cash awards under the annual and/or long-term components of the Incentive Compensation Plan. Elections to defer must be filed in advance of earning such awards.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CONCLUSION</w:t>
      </w:r>
    </w:p>
    <w:p>
      <w:pPr>
        <w:spacing w:after="0" w:line="173" w:lineRule="exact"/>
        <w:rPr>
          <w:sz w:val="20"/>
          <w:szCs w:val="20"/>
          <w:color w:val="auto"/>
        </w:rPr>
      </w:pPr>
    </w:p>
    <w:p>
      <w:pPr>
        <w:ind w:right="3339" w:firstLine="431"/>
        <w:spacing w:after="0" w:line="263"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the requirements of Section 162(m) resulting in compensation payments that are not deductible by the Company, if such programs are otherwise in the best interests of the Company.</w:t>
      </w:r>
    </w:p>
    <w:p>
      <w:pPr>
        <w:spacing w:after="0" w:line="76"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George W. Wilson, Chairman</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Daniel B. Burke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John L. Dotson Jr.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431"/>
        <w:spacing w:after="0" w:line="376" w:lineRule="auto"/>
        <w:rPr>
          <w:sz w:val="20"/>
          <w:szCs w:val="20"/>
          <w:color w:val="auto"/>
        </w:rPr>
      </w:pPr>
      <w:r>
        <w:rPr>
          <w:rFonts w:ascii="Courier New" w:cs="Courier New" w:eastAsia="Courier New" w:hAnsi="Courier New"/>
          <w:sz w:val="14"/>
          <w:szCs w:val="14"/>
          <w:color w:val="auto"/>
        </w:rPr>
        <w:t>Daniel B. Burke, John L. Dotson Jr. and George W. Wilson served as members of the Compensation Committee in 2003.</w:t>
      </w:r>
    </w:p>
    <w:p>
      <w:pPr>
        <w:spacing w:after="0" w:line="166"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AUDIT COMMITTEE REPORT</w:t>
      </w:r>
    </w:p>
    <w:p>
      <w:pPr>
        <w:spacing w:after="0" w:line="173" w:lineRule="exact"/>
        <w:rPr>
          <w:sz w:val="20"/>
          <w:szCs w:val="20"/>
          <w:color w:val="auto"/>
        </w:rPr>
      </w:pPr>
    </w:p>
    <w:p>
      <w:pPr>
        <w:ind w:right="3419" w:firstLine="431"/>
        <w:spacing w:after="0" w:line="256" w:lineRule="auto"/>
        <w:rPr>
          <w:sz w:val="20"/>
          <w:szCs w:val="20"/>
          <w:color w:val="auto"/>
        </w:rPr>
      </w:pPr>
      <w:r>
        <w:rPr>
          <w:rFonts w:ascii="Courier New" w:cs="Courier New" w:eastAsia="Courier New" w:hAnsi="Courier New"/>
          <w:sz w:val="14"/>
          <w:szCs w:val="14"/>
          <w:color w:val="auto"/>
        </w:rPr>
        <w:t>One of the standing committees of the Board of Directors of the Company is the Audit Committee. Currently there are five non-employee members of the Board on the Audit Committee -- Ralph E. Gomory, Ronald L. Olson, Alice M. Rivlin, Richard D. Simmons and Daniel B. Burke, who serves as chairman of the Audit Committee. The Audit Committee operates under a mandate from the Board of Directors, which has determined that each Committee member is "independent" under the listing standards of the New York Stock Exchange and Item 7 of Rule</w:t>
      </w:r>
    </w:p>
    <w:p>
      <w:pPr>
        <w:spacing w:after="0" w:line="1"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14a-101 of the Security Exchange Act of 1934. Specifically, the Board determined that none of the members of the Audit Committee (or any immediate family member)</w:t>
      </w:r>
    </w:p>
    <w:p>
      <w:pPr>
        <w:spacing w:after="0" w:line="1" w:lineRule="exact"/>
        <w:rPr>
          <w:sz w:val="20"/>
          <w:szCs w:val="20"/>
          <w:color w:val="auto"/>
        </w:rPr>
      </w:pPr>
    </w:p>
    <w:p>
      <w:pPr>
        <w:ind w:right="3419" w:firstLine="8"/>
        <w:spacing w:after="0" w:line="262"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had been employed by or affiliated with the Company within the past three years, (ii) received any compensation from the Company other than director and committee fees and pension or other forms of deferred compensation (not contingent in any way on continued service), (iii) is an executive officer of a company that makes payments to or receives payments from the Company in an amount which exceeds the greater of $1 million or 2% of such other company's consolidated gross revenues within the past three years or (iv) has a material relationship with the Company.</w:t>
      </w:r>
    </w:p>
    <w:p>
      <w:pPr>
        <w:spacing w:after="0" w:line="80" w:lineRule="exact"/>
        <w:rPr>
          <w:sz w:val="20"/>
          <w:szCs w:val="20"/>
          <w:color w:val="auto"/>
        </w:rPr>
      </w:pPr>
    </w:p>
    <w:p>
      <w:pPr>
        <w:ind w:right="3599" w:firstLine="431"/>
        <w:spacing w:after="0" w:line="375" w:lineRule="auto"/>
        <w:rPr>
          <w:sz w:val="20"/>
          <w:szCs w:val="20"/>
          <w:color w:val="auto"/>
        </w:rPr>
      </w:pPr>
      <w:r>
        <w:rPr>
          <w:rFonts w:ascii="Courier New" w:cs="Courier New" w:eastAsia="Courier New" w:hAnsi="Courier New"/>
          <w:sz w:val="14"/>
          <w:szCs w:val="14"/>
          <w:color w:val="auto"/>
        </w:rPr>
        <w:t>The Board of Directors of the Company has approved a revised charter for the Audit Committee, a copy of which is attached Exhibit A hereto.</w:t>
      </w:r>
    </w:p>
    <w:p>
      <w:pPr>
        <w:spacing w:after="0" w:line="1" w:lineRule="exact"/>
        <w:rPr>
          <w:sz w:val="20"/>
          <w:szCs w:val="20"/>
          <w:color w:val="auto"/>
        </w:rPr>
      </w:pPr>
    </w:p>
    <w:p>
      <w:pPr>
        <w:ind w:right="3419" w:firstLine="431"/>
        <w:spacing w:after="0" w:line="259" w:lineRule="auto"/>
        <w:rPr>
          <w:sz w:val="20"/>
          <w:szCs w:val="20"/>
          <w:color w:val="auto"/>
        </w:rPr>
      </w:pPr>
      <w:r>
        <w:rPr>
          <w:rFonts w:ascii="Courier New" w:cs="Courier New" w:eastAsia="Courier New" w:hAnsi="Courier New"/>
          <w:sz w:val="14"/>
          <w:szCs w:val="14"/>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auditors, PricewaterhouseCoopers LLP, are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auditors. The Audit Committee has relied in undertaking its monitoring and review responsibilities, without independent verification, on management's representation that the financial statements have been prepared with integrity and objectivity and in conformity with generally accepted accounting procedures in the United States of America and on the representations of PricewaterhouseCoopers LLP included in their report on the Company's financial statements.</w:t>
      </w:r>
    </w:p>
    <w:p>
      <w:pPr>
        <w:spacing w:after="0" w:line="83" w:lineRule="exact"/>
        <w:rPr>
          <w:sz w:val="20"/>
          <w:szCs w:val="20"/>
          <w:color w:val="auto"/>
        </w:rPr>
      </w:pPr>
    </w:p>
    <w:p>
      <w:pPr>
        <w:ind w:right="3339" w:firstLine="431"/>
        <w:spacing w:after="0" w:line="313" w:lineRule="auto"/>
        <w:rPr>
          <w:sz w:val="20"/>
          <w:szCs w:val="20"/>
          <w:color w:val="auto"/>
        </w:rPr>
      </w:pPr>
      <w:r>
        <w:rPr>
          <w:rFonts w:ascii="Courier New" w:cs="Courier New" w:eastAsia="Courier New" w:hAnsi="Courier New"/>
          <w:sz w:val="14"/>
          <w:szCs w:val="14"/>
          <w:color w:val="auto"/>
        </w:rPr>
        <w:t>The Audit Committee has reviewed and discussed the audited fiscal year 2003 financial statements with the Company's management. In addition, the Audit Committee has discussed with PricewaterhouseCoopers LLP the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0" w:right="1440" w:bottom="1440" w:gutter="0" w:footer="0" w:header="0"/>
        </w:sectPr>
      </w:pPr>
    </w:p>
    <w:bookmarkStart w:id="23" w:name="page24"/>
    <w:bookmarkEnd w:id="23"/>
    <w:p>
      <w:pPr>
        <w:ind w:right="3339"/>
        <w:spacing w:after="0" w:line="266" w:lineRule="auto"/>
        <w:rPr>
          <w:sz w:val="20"/>
          <w:szCs w:val="20"/>
          <w:color w:val="auto"/>
        </w:rPr>
      </w:pPr>
      <w:r>
        <w:rPr>
          <w:rFonts w:ascii="Courier New" w:cs="Courier New" w:eastAsia="Courier New" w:hAnsi="Courier New"/>
          <w:sz w:val="14"/>
          <w:szCs w:val="14"/>
          <w:color w:val="auto"/>
        </w:rPr>
        <w:t>matters required to be discussed by Statement on Accounting Standards No. 61 (Communication with Audit Committees), as modified or supplemented. The Audit Committee has received the written disclosures and the letter from PricewaterhouseCoopers LLP required by Independence Standards Board Standard No. 1 (Independence Discussions with Audit Committees), as modified or supplemented, and has discussed with the independent auditors their independence from the Company and its management. The Audit Committee has also considered whether PricewaterhouseCoopers LLP's provision of non-audit services to the Company is compatible with the independence of such firm.</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PRE-APPROVAL POLICY</w:t>
      </w:r>
    </w:p>
    <w:p>
      <w:pPr>
        <w:spacing w:after="0" w:line="173" w:lineRule="exact"/>
        <w:rPr>
          <w:sz w:val="20"/>
          <w:szCs w:val="20"/>
          <w:color w:val="auto"/>
        </w:rPr>
      </w:pPr>
    </w:p>
    <w:p>
      <w:pPr>
        <w:ind w:right="3339" w:firstLine="431"/>
        <w:spacing w:after="0" w:line="260" w:lineRule="auto"/>
        <w:rPr>
          <w:sz w:val="20"/>
          <w:szCs w:val="20"/>
          <w:color w:val="auto"/>
        </w:rPr>
      </w:pPr>
      <w:r>
        <w:rPr>
          <w:rFonts w:ascii="Courier New" w:cs="Courier New" w:eastAsia="Courier New" w:hAnsi="Courier New"/>
          <w:sz w:val="14"/>
          <w:szCs w:val="14"/>
          <w:color w:val="auto"/>
        </w:rPr>
        <w:t>In 2003, the Audit Committee reviewed and re-authorized its policies and procedures with regard to the pre-approval of audit and non-audit services performed by the independent auditor in order to assure that the provision of such services do not impair the auditor's independence. Unless a type of service to be provided by the independent auditor has received general pre-approval, it will require specific pre-approval by the Audit Committee. Any proposed services exceeding pre-approved cost levels will require specific pre-approval by the Audit Committee. The term of any general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general pre-approved services from time to time, based on subsequent determinations.</w:t>
      </w:r>
    </w:p>
    <w:p>
      <w:pPr>
        <w:spacing w:after="0" w:line="251"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The Audit Committee will not delegate its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general pre-approval for other audit services, which are those services that only the independent auditor reasonably can provide.</w:t>
      </w:r>
    </w:p>
    <w:p>
      <w:pPr>
        <w:spacing w:after="0" w:line="77" w:lineRule="exact"/>
        <w:rPr>
          <w:sz w:val="20"/>
          <w:szCs w:val="20"/>
          <w:color w:val="auto"/>
        </w:rPr>
      </w:pPr>
    </w:p>
    <w:p>
      <w:pPr>
        <w:ind w:right="3599" w:firstLine="431"/>
        <w:spacing w:after="0" w:line="282" w:lineRule="auto"/>
        <w:rPr>
          <w:sz w:val="20"/>
          <w:szCs w:val="20"/>
          <w:color w:val="auto"/>
        </w:rPr>
      </w:pPr>
      <w:r>
        <w:rPr>
          <w:rFonts w:ascii="Courier New" w:cs="Courier New" w:eastAsia="Courier New" w:hAnsi="Courier New"/>
          <w:sz w:val="14"/>
          <w:szCs w:val="14"/>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62"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72" w:lineRule="exact"/>
        <w:rPr>
          <w:sz w:val="20"/>
          <w:szCs w:val="20"/>
          <w:color w:val="auto"/>
        </w:rPr>
      </w:pPr>
    </w:p>
    <w:p>
      <w:pPr>
        <w:ind w:right="3339" w:firstLine="431"/>
        <w:spacing w:after="0" w:line="272" w:lineRule="auto"/>
        <w:rPr>
          <w:sz w:val="20"/>
          <w:szCs w:val="20"/>
          <w:color w:val="auto"/>
        </w:rPr>
      </w:pPr>
      <w:r>
        <w:rPr>
          <w:rFonts w:ascii="Courier New" w:cs="Courier New" w:eastAsia="Courier New" w:hAnsi="Courier New"/>
          <w:sz w:val="14"/>
          <w:szCs w:val="14"/>
          <w:color w:val="auto"/>
        </w:rPr>
        <w:t>The Audit Committee may grant general pre-approval to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247"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Requests or applications to provide services that require specific approval by the Audit Committee will be submitted to the Audit Committee by both the independent auditor and the Chief Financial Officer or Controller (or other designated officer), and must include a joint statement as to whether, in their view, the request or application is consistent with the SEC's rules on auditor independence.</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0" w:right="1440" w:bottom="1440" w:gutter="0" w:footer="0" w:header="0"/>
        </w:sectPr>
      </w:pPr>
    </w:p>
    <w:bookmarkStart w:id="24" w:name="page25"/>
    <w:bookmarkEnd w:id="24"/>
    <w:p>
      <w:pPr>
        <w:ind w:right="3339" w:firstLine="431"/>
        <w:spacing w:after="0" w:line="275" w:lineRule="auto"/>
        <w:rPr>
          <w:sz w:val="20"/>
          <w:szCs w:val="20"/>
          <w:color w:val="auto"/>
        </w:rPr>
      </w:pPr>
      <w:r>
        <w:rPr>
          <w:rFonts w:ascii="Courier New" w:cs="Courier New" w:eastAsia="Courier New" w:hAnsi="Courier New"/>
          <w:sz w:val="14"/>
          <w:szCs w:val="14"/>
          <w:color w:val="auto"/>
        </w:rPr>
        <w:t>In addition, the Audit Committee established additional procedures for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 managed telephone hotline.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FEES</w:t>
      </w:r>
    </w:p>
    <w:p>
      <w:pPr>
        <w:spacing w:after="0" w:line="173" w:lineRule="exact"/>
        <w:rPr>
          <w:sz w:val="20"/>
          <w:szCs w:val="20"/>
          <w:color w:val="auto"/>
        </w:rPr>
      </w:pPr>
    </w:p>
    <w:p>
      <w:pPr>
        <w:ind w:right="3339" w:firstLine="431"/>
        <w:spacing w:after="0" w:line="292" w:lineRule="auto"/>
        <w:rPr>
          <w:sz w:val="20"/>
          <w:szCs w:val="20"/>
          <w:color w:val="auto"/>
        </w:rPr>
      </w:pPr>
      <w:r>
        <w:rPr>
          <w:rFonts w:ascii="Courier New" w:cs="Courier New" w:eastAsia="Courier New" w:hAnsi="Courier New"/>
          <w:sz w:val="14"/>
          <w:szCs w:val="14"/>
          <w:color w:val="auto"/>
        </w:rPr>
        <w:t>The fees paid to PricewaterhouseCoopers LLP for the annual audit, statutory audits and review of financial statements included in the Company's Form 10-Qs, including reimbursable expenses, were $1,574,000 in 2003 and $1,070,000 in 2002, which fees were reviewed and approved by the Audit Committee.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AUDIT-RELATED FEES</w:t>
      </w:r>
    </w:p>
    <w:p>
      <w:pPr>
        <w:spacing w:after="0" w:line="173"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fees paid to PricewaterhouseCoopers LLP for assurance and related services reasonably related to the performance of the audit or review of financial statements and not included under "Audit Fees" above, including reimbursable expenses, were $414,000 in 2003 and $315,000 in 2002, which fees were reviewed and approved by the Audit Committee. These fees were primarily for financial due diligence and transaction analysis, audits of employee retirement and savings plans, and other audit-related reports.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FEES</w:t>
      </w:r>
    </w:p>
    <w:p>
      <w:pPr>
        <w:spacing w:after="0" w:line="173" w:lineRule="exact"/>
        <w:rPr>
          <w:sz w:val="20"/>
          <w:szCs w:val="20"/>
          <w:color w:val="auto"/>
        </w:rPr>
      </w:pPr>
    </w:p>
    <w:p>
      <w:pPr>
        <w:ind w:right="3419" w:firstLine="431"/>
        <w:spacing w:after="0" w:line="282" w:lineRule="auto"/>
        <w:rPr>
          <w:sz w:val="20"/>
          <w:szCs w:val="20"/>
          <w:color w:val="auto"/>
        </w:rPr>
      </w:pPr>
      <w:r>
        <w:rPr>
          <w:rFonts w:ascii="Courier New" w:cs="Courier New" w:eastAsia="Courier New" w:hAnsi="Courier New"/>
          <w:sz w:val="14"/>
          <w:szCs w:val="14"/>
          <w:color w:val="auto"/>
        </w:rPr>
        <w:t>The fees paid to PricewaterhouseCoopers LLP for tax compliance, tax advice and tax planning, including reimbursable expenses, were $1,499,000 in 2003 and $815,000 in 2002, which fees were reviewed and approved by the Audit Committee. These fees were primarily for tax due diligence and transaction analysis, expatriate tax services, and Federal, multi-state and foreign tax consulting.</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173" w:lineRule="exact"/>
        <w:rPr>
          <w:sz w:val="20"/>
          <w:szCs w:val="20"/>
          <w:color w:val="auto"/>
        </w:rPr>
      </w:pPr>
    </w:p>
    <w:p>
      <w:pPr>
        <w:ind w:right="3599" w:firstLine="431"/>
        <w:spacing w:after="0" w:line="282" w:lineRule="auto"/>
        <w:rPr>
          <w:sz w:val="20"/>
          <w:szCs w:val="20"/>
          <w:color w:val="auto"/>
        </w:rPr>
      </w:pPr>
      <w:r>
        <w:rPr>
          <w:rFonts w:ascii="Courier New" w:cs="Courier New" w:eastAsia="Courier New" w:hAnsi="Courier New"/>
          <w:sz w:val="14"/>
          <w:szCs w:val="14"/>
          <w:color w:val="auto"/>
        </w:rPr>
        <w:t>The fees paid to PricewaterhouseCoopers LLP for all other products and services provided by PricewaterhouseCoopers LLP, specifically software tools, were $4,000 in 2003 and $0 in 2002. There were no fees paid to PricewaterhouseCoopers LLP for financial information systems design or implementation in either 2003 or 2002.</w:t>
      </w:r>
    </w:p>
    <w:p>
      <w:pPr>
        <w:spacing w:after="0" w:line="62"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28, 2003, for filing with the Securities and Exchange Commission.</w:t>
      </w:r>
    </w:p>
    <w:p>
      <w:pPr>
        <w:spacing w:after="0" w:line="6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Daniel B. Burke, Chairman</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Ralph E. Gomory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Ronald L. Olson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Alice M. Rivlin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Richard D. Simmons</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0" w:right="1440" w:bottom="1440" w:gutter="0" w:footer="0" w:header="0"/>
        </w:sectPr>
      </w:pPr>
    </w:p>
    <w:bookmarkStart w:id="25" w:name="page26"/>
    <w:bookmarkEnd w:id="25"/>
    <w:p>
      <w:pPr>
        <w:ind w:left="276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339" w:firstLine="431"/>
        <w:spacing w:after="0" w:line="264"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the Standard &amp; Poor's Publishing Index. The Standard &amp; Poor's 500 Stock Index is comprised of 500 U.S. companies in the industrial, transportation, utilities and financial industries, weighted by market capitalization. The Standard &amp; Poor's Publishing Index is comprised of Dow Jones &amp; Company, Inc., Gannett Co., Inc., Knight-Ridder, Inc., The McGraw-Hill Companies, Meredith Corporation, The New York Times Company, The Times Mirror Company (through the date of its acquisition by Tribune Company in May 2000) and Tribune Company, weighted by market capitalization.</w:t>
      </w:r>
    </w:p>
    <w:p>
      <w:pPr>
        <w:spacing w:after="0" w:line="77"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The graph reflects the investment of $100 on December 31, 1998, in the Company's Class B Common Stock, the Standard &amp; Poor's 500 Stock Index and the Standard &amp; Poor's Publishing Index. For purposes of this graph, it has been assumed that dividends were reinvested on the date paid in the case of the Company and on a quarterly basis in the case of the Standard &amp; Poor's 500 Index and the Standard &amp; Poor's Publishing Index.</w:t>
      </w:r>
    </w:p>
    <w:p>
      <w:pPr>
        <w:spacing w:after="0" w:line="23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CUMULATIVE TOTAL SHAREHOLDER RETURN FOR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FIVE-YEAR PERIOD ENDING DECEMBER 31, 2003</w:t>
      </w:r>
    </w:p>
    <w:p>
      <w:pPr>
        <w:spacing w:after="0" w:line="14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COMPARISON OF CUMULATIVE FIVE YEAR TOTAL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31...</w:t>
            </w:r>
          </w:p>
        </w:tc>
        <w:tc>
          <w:tcPr>
            <w:tcW w:w="10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center"/>
              <w:ind w:right="9"/>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166"/>
        </w:trPr>
        <w:tc>
          <w:tcPr>
            <w:tcW w:w="1900" w:type="dxa"/>
            <w:vAlign w:val="bottom"/>
            <w:gridSpan w:val="2"/>
            <w:vMerge w:val="restart"/>
          </w:tcPr>
          <w:p>
            <w:pPr>
              <w:spacing w:after="0"/>
              <w:rPr>
                <w:sz w:val="20"/>
                <w:szCs w:val="20"/>
                <w:color w:val="auto"/>
              </w:rPr>
            </w:pPr>
            <w:r>
              <w:rPr>
                <w:rFonts w:ascii="Courier New" w:cs="Courier New" w:eastAsia="Courier New" w:hAnsi="Courier New"/>
                <w:sz w:val="9"/>
                <w:szCs w:val="9"/>
                <w:color w:val="auto"/>
                <w:w w:val="70"/>
              </w:rPr>
              <w:t xml:space="preserve">- </w:t>
            </w:r>
            <w:r>
              <w:rPr>
                <w:rFonts w:ascii="Courier New" w:cs="Courier New" w:eastAsia="Courier New" w:hAnsi="Courier New"/>
                <w:sz w:val="13"/>
                <w:szCs w:val="13"/>
                <w:color w:val="auto"/>
                <w:w w:val="70"/>
                <w:vertAlign w:val="subscript"/>
              </w:rPr>
              <w:t>Washington</w:t>
            </w:r>
            <w:r>
              <w:rPr>
                <w:rFonts w:ascii="Courier New" w:cs="Courier New" w:eastAsia="Courier New" w:hAnsi="Courier New"/>
                <w:sz w:val="9"/>
                <w:szCs w:val="9"/>
                <w:color w:val="auto"/>
                <w:w w:val="70"/>
              </w:rPr>
              <w:t>----------------------------------</w:t>
            </w:r>
            <w:r>
              <w:rPr>
                <w:rFonts w:ascii="Courier New" w:cs="Courier New" w:eastAsia="Courier New" w:hAnsi="Courier New"/>
                <w:sz w:val="13"/>
                <w:szCs w:val="13"/>
                <w:color w:val="auto"/>
                <w:w w:val="70"/>
                <w:vertAlign w:val="subscript"/>
              </w:rPr>
              <w:t>Post</w:t>
            </w:r>
          </w:p>
        </w:tc>
        <w:tc>
          <w:tcPr>
            <w:tcW w:w="1080" w:type="dxa"/>
            <w:vAlign w:val="bottom"/>
            <w:vMerge w:val="restart"/>
          </w:tcPr>
          <w:p>
            <w:pPr>
              <w:jc w:val="center"/>
              <w:ind w:left="248"/>
              <w:spacing w:after="0"/>
              <w:rPr>
                <w:sz w:val="20"/>
                <w:szCs w:val="20"/>
                <w:color w:val="auto"/>
              </w:rPr>
            </w:pPr>
            <w:r>
              <w:rPr>
                <w:rFonts w:ascii="Courier New" w:cs="Courier New" w:eastAsia="Courier New" w:hAnsi="Courier New"/>
                <w:sz w:val="14"/>
                <w:szCs w:val="14"/>
                <w:color w:val="auto"/>
              </w:rPr>
              <w:t>100.00</w:t>
            </w:r>
          </w:p>
        </w:tc>
        <w:tc>
          <w:tcPr>
            <w:tcW w:w="860" w:type="dxa"/>
            <w:vAlign w:val="bottom"/>
            <w:vMerge w:val="restart"/>
          </w:tcPr>
          <w:p>
            <w:pPr>
              <w:jc w:val="right"/>
              <w:spacing w:after="0"/>
              <w:rPr>
                <w:sz w:val="20"/>
                <w:szCs w:val="20"/>
                <w:color w:val="auto"/>
              </w:rPr>
            </w:pPr>
            <w:r>
              <w:rPr>
                <w:rFonts w:ascii="Courier New" w:cs="Courier New" w:eastAsia="Courier New" w:hAnsi="Courier New"/>
                <w:sz w:val="27"/>
                <w:szCs w:val="27"/>
                <w:color w:val="auto"/>
                <w:w w:val="70"/>
                <w:vertAlign w:val="subscript"/>
              </w:rPr>
              <w:t>97.08</w:t>
            </w:r>
            <w:r>
              <w:rPr>
                <w:rFonts w:ascii="Courier New" w:cs="Courier New" w:eastAsia="Courier New" w:hAnsi="Courier New"/>
                <w:sz w:val="14"/>
                <w:szCs w:val="14"/>
                <w:color w:val="auto"/>
                <w:w w:val="70"/>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166"/>
        </w:trPr>
        <w:tc>
          <w:tcPr>
            <w:tcW w:w="190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108.88</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94.48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132.72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143.48</w:t>
            </w:r>
          </w:p>
        </w:tc>
        <w:tc>
          <w:tcPr>
            <w:tcW w:w="0" w:type="dxa"/>
            <w:vAlign w:val="bottom"/>
          </w:tcPr>
          <w:p>
            <w:pPr>
              <w:spacing w:after="0"/>
              <w:rPr>
                <w:sz w:val="1"/>
                <w:szCs w:val="1"/>
                <w:color w:val="auto"/>
              </w:rPr>
            </w:pPr>
          </w:p>
        </w:tc>
      </w:tr>
      <w:tr>
        <w:trPr>
          <w:trHeight w:val="166"/>
        </w:trPr>
        <w:tc>
          <w:tcPr>
            <w:tcW w:w="1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S&amp;P 500 Index</w:t>
            </w:r>
          </w:p>
        </w:tc>
        <w:tc>
          <w:tcPr>
            <w:tcW w:w="108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121.04</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110.02</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96.95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75.52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97.18</w:t>
            </w:r>
          </w:p>
        </w:tc>
        <w:tc>
          <w:tcPr>
            <w:tcW w:w="0" w:type="dxa"/>
            <w:vAlign w:val="bottom"/>
          </w:tcPr>
          <w:p>
            <w:pPr>
              <w:spacing w:after="0"/>
              <w:rPr>
                <w:sz w:val="1"/>
                <w:szCs w:val="1"/>
                <w:color w:val="auto"/>
              </w:rPr>
            </w:pPr>
          </w:p>
        </w:tc>
      </w:tr>
      <w:tr>
        <w:trPr>
          <w:trHeight w:val="242"/>
        </w:trPr>
        <w:tc>
          <w:tcPr>
            <w:tcW w:w="1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S&amp;P Publishing</w:t>
            </w:r>
          </w:p>
        </w:tc>
        <w:tc>
          <w:tcPr>
            <w:tcW w:w="108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100.00</w:t>
            </w:r>
          </w:p>
        </w:tc>
        <w:tc>
          <w:tcPr>
            <w:tcW w:w="86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133.94</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120.16</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124.35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132.49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157.40</w:t>
            </w:r>
          </w:p>
        </w:tc>
        <w:tc>
          <w:tcPr>
            <w:tcW w:w="0" w:type="dxa"/>
            <w:vAlign w:val="bottom"/>
          </w:tcPr>
          <w:p>
            <w:pPr>
              <w:spacing w:after="0"/>
              <w:rPr>
                <w:sz w:val="1"/>
                <w:szCs w:val="1"/>
                <w:color w:val="auto"/>
              </w:rPr>
            </w:pPr>
          </w:p>
        </w:tc>
      </w:tr>
      <w:tr>
        <w:trPr>
          <w:trHeight w:val="497"/>
        </w:trPr>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39" w:firstLine="431"/>
        <w:spacing w:after="0" w:line="275" w:lineRule="auto"/>
        <w:rPr>
          <w:sz w:val="20"/>
          <w:szCs w:val="20"/>
          <w:color w:val="auto"/>
        </w:rPr>
      </w:pPr>
      <w:r>
        <w:rPr>
          <w:rFonts w:ascii="Courier New" w:cs="Courier New" w:eastAsia="Courier New" w:hAnsi="Courier New"/>
          <w:sz w:val="14"/>
          <w:szCs w:val="14"/>
          <w:color w:val="auto"/>
        </w:rPr>
        <w:t>Effective September 2003, the Company renewed for one year a contract with Mrs. Elizabeth Weymouth, the daughter of the late Mrs. Katharine Graham and the sister of Mr. Donald E. Graham, under which she contributes articles to The Washington Post newspaper and is to be compensated at the rate of $25,000 annually. In addition, Mrs. Weymouth is employed full-time as a Senior Editor at Newsweek magazine with an annualized base compensation of $170,000.</w:t>
      </w:r>
    </w:p>
    <w:p>
      <w:pPr>
        <w:spacing w:after="0" w:line="23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OTHER MATTERS THAT MAY COME BEFORE THE MEETING</w:t>
      </w:r>
    </w:p>
    <w:p>
      <w:pPr>
        <w:spacing w:after="0" w:line="173"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69" w:lineRule="exact"/>
        <w:rPr>
          <w:sz w:val="20"/>
          <w:szCs w:val="20"/>
          <w:color w:val="auto"/>
        </w:rPr>
      </w:pPr>
    </w:p>
    <w:p>
      <w:pPr>
        <w:ind w:right="3419" w:firstLine="431"/>
        <w:spacing w:after="0" w:line="266"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PricewaterhouseCoopers LLP as the Company's independent accountants to audit and report on its financial statements for the fiscal year 2004. The same firm has acted as the Company's independent accountants continuously since the Company was organized in 1946. As in previous years, a representative of PricewaterhouseCoopers LLP will be present at the Annual Meeting, will have the opportunity to make any statement he may desire with respect to the Company's financial statements for 2003 and his firm's relationship with the Company, and will be available to respond to appropriate questions from stockholders.</w:t>
      </w: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590" w:right="1440" w:bottom="1440" w:gutter="0" w:footer="0" w:header="0"/>
        </w:sectPr>
      </w:pPr>
    </w:p>
    <w:bookmarkStart w:id="27" w:name="page28"/>
    <w:bookmarkEnd w:id="27"/>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AUDIT COMMITTEE CHARTER</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(as amended and restated effective March 4, 2004)</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599" w:firstLine="431"/>
        <w:spacing w:after="0" w:line="275" w:lineRule="auto"/>
        <w:rPr>
          <w:sz w:val="20"/>
          <w:szCs w:val="20"/>
          <w:color w:val="auto"/>
        </w:rPr>
      </w:pPr>
      <w:r>
        <w:rPr>
          <w:rFonts w:ascii="Courier New" w:cs="Courier New" w:eastAsia="Courier New" w:hAnsi="Courier New"/>
          <w:sz w:val="14"/>
          <w:szCs w:val="14"/>
          <w:color w:val="auto"/>
        </w:rPr>
        <w:t>The primary function of the Audit Committee of the Board of Directors of The Washington Post Company is assisting the Board in fulfilling its responsibility for overseeing (i) the integrity of the Company's financial statements, (ii) the qualifications and independence of the Company's independent accountants, and (iii) the performance of the Company's internal audit staff and independent accountants.</w:t>
      </w:r>
    </w:p>
    <w:p>
      <w:pPr>
        <w:spacing w:after="0" w:line="69" w:lineRule="exact"/>
        <w:rPr>
          <w:sz w:val="20"/>
          <w:szCs w:val="20"/>
          <w:color w:val="auto"/>
        </w:rPr>
      </w:pPr>
    </w:p>
    <w:p>
      <w:pPr>
        <w:jc w:val="both"/>
        <w:ind w:right="3679" w:firstLine="431"/>
        <w:spacing w:after="0" w:line="313" w:lineRule="auto"/>
        <w:rPr>
          <w:sz w:val="20"/>
          <w:szCs w:val="20"/>
          <w:color w:val="auto"/>
        </w:rPr>
      </w:pPr>
      <w:r>
        <w:rPr>
          <w:rFonts w:ascii="Courier New" w:cs="Courier New" w:eastAsia="Courier New" w:hAnsi="Courier New"/>
          <w:sz w:val="14"/>
          <w:szCs w:val="14"/>
          <w:color w:val="auto"/>
        </w:rPr>
        <w:t>The Committee is to exercise its business judgment in carrying out the responsibilities described in this Charter in a manner the Committee members believe to be in the best interests of the Company and its stockholders.</w:t>
      </w:r>
    </w:p>
    <w:p>
      <w:pPr>
        <w:spacing w:after="0" w:line="42" w:lineRule="exact"/>
        <w:rPr>
          <w:sz w:val="20"/>
          <w:szCs w:val="20"/>
          <w:color w:val="auto"/>
        </w:rPr>
      </w:pPr>
    </w:p>
    <w:p>
      <w:pPr>
        <w:ind w:right="3339" w:firstLine="431"/>
        <w:spacing w:after="0" w:line="258" w:lineRule="auto"/>
        <w:rPr>
          <w:sz w:val="20"/>
          <w:szCs w:val="20"/>
          <w:color w:val="auto"/>
        </w:rPr>
      </w:pPr>
      <w:r>
        <w:rPr>
          <w:rFonts w:ascii="Courier New" w:cs="Courier New" w:eastAsia="Courier New" w:hAnsi="Courier New"/>
          <w:sz w:val="14"/>
          <w:szCs w:val="14"/>
          <w:color w:val="auto"/>
        </w:rPr>
        <w:t>In carrying out its functions, the Committee shall independently and objectively (i) monitor management's conduct of the Company's financial reporting process (including development and maintenance of systems of internal accounting and financial and disclosure controls), (ii) review and appraise the audit efforts of the Company's independent accountants and internal audit staff,</w:t>
      </w:r>
    </w:p>
    <w:p>
      <w:pPr>
        <w:spacing w:after="0" w:line="2" w:lineRule="exact"/>
        <w:rPr>
          <w:sz w:val="20"/>
          <w:szCs w:val="20"/>
          <w:color w:val="auto"/>
        </w:rPr>
      </w:pPr>
    </w:p>
    <w:p>
      <w:pPr>
        <w:ind w:right="3339" w:firstLine="8"/>
        <w:spacing w:after="0" w:line="250" w:lineRule="auto"/>
        <w:tabs>
          <w:tab w:leader="none" w:pos="51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ensure open, ongoing communications concerning the Company's financial position and affairs between and among the Board and/or its representatives and the independent accountants, the Company's financial and senior management and the Company's internal audit staff, (iv) review the Company's policies and compliance procedures regarding ethics and business conduct, (v) prepare the required Audit Committee Report for inclusion in the annual proxy statement, and</w:t>
      </w:r>
    </w:p>
    <w:p>
      <w:pPr>
        <w:spacing w:after="0" w:line="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regularly to the Board regarding the execution of its duties.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MEMBERSHIP</w:t>
      </w:r>
    </w:p>
    <w:p>
      <w:pPr>
        <w:spacing w:after="0" w:line="173" w:lineRule="exact"/>
        <w:rPr>
          <w:sz w:val="20"/>
          <w:szCs w:val="20"/>
          <w:color w:val="auto"/>
        </w:rPr>
      </w:pPr>
    </w:p>
    <w:p>
      <w:pPr>
        <w:ind w:right="3339" w:firstLine="431"/>
        <w:spacing w:after="0" w:line="266" w:lineRule="auto"/>
        <w:rPr>
          <w:sz w:val="20"/>
          <w:szCs w:val="20"/>
          <w:color w:val="auto"/>
        </w:rPr>
      </w:pPr>
      <w:r>
        <w:rPr>
          <w:rFonts w:ascii="Courier New" w:cs="Courier New" w:eastAsia="Courier New" w:hAnsi="Courier New"/>
          <w:sz w:val="14"/>
          <w:szCs w:val="14"/>
          <w:color w:val="auto"/>
        </w:rPr>
        <w:t>The Committee shall consist of at least three directors, who shall be appointed by the Board from among its members in accordance with the By-Laws of the Company and who shall meet the independence and experience requirements of the New York Stock Exchange and any other applicable laws or regulations and who shall be subject to removal by the Board. Each member of the Committee shall be "financially literate" or will become "financially literate" within a reasonable period of time after appointment to the Committee. The determination of any member's qualifications to serve on the Committee shall be made by the Board in keeping with the applicable requirements of the New York Stock Exchange.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ADVISORS</w:t>
      </w:r>
    </w:p>
    <w:p>
      <w:pPr>
        <w:spacing w:after="0" w:line="173" w:lineRule="exact"/>
        <w:rPr>
          <w:sz w:val="20"/>
          <w:szCs w:val="20"/>
          <w:color w:val="auto"/>
        </w:rPr>
      </w:pPr>
    </w:p>
    <w:p>
      <w:pPr>
        <w:ind w:right="3419" w:firstLine="431"/>
        <w:spacing w:after="0" w:line="271" w:lineRule="auto"/>
        <w:rPr>
          <w:sz w:val="20"/>
          <w:szCs w:val="20"/>
          <w:color w:val="auto"/>
        </w:rPr>
      </w:pPr>
      <w:r>
        <w:rPr>
          <w:rFonts w:ascii="Courier New" w:cs="Courier New" w:eastAsia="Courier New" w:hAnsi="Courier New"/>
          <w:sz w:val="14"/>
          <w:szCs w:val="14"/>
          <w:color w:val="auto"/>
        </w:rPr>
        <w:t>The Committee may obtain advice, assistance and investigative support from outside legal, accounting or other advisors as it deems appropriate to perform its duties and the Company shall provide appropriate funding, as determined by the Committee, for any such advisors. The Committee may request any officer or employee of the Company, including its affiliates, or the Company's outside counsel or independent accountants to attend a meeting of the Committee or to meet with any members of, or consultants to, the Committee.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w:t>
      </w:r>
    </w:p>
    <w:p>
      <w:pPr>
        <w:spacing w:after="0" w:line="173" w:lineRule="exact"/>
        <w:rPr>
          <w:sz w:val="20"/>
          <w:szCs w:val="20"/>
          <w:color w:val="auto"/>
        </w:rPr>
      </w:pPr>
    </w:p>
    <w:p>
      <w:pPr>
        <w:ind w:right="3339" w:firstLine="431"/>
        <w:spacing w:after="0" w:line="282" w:lineRule="auto"/>
        <w:rPr>
          <w:sz w:val="20"/>
          <w:szCs w:val="20"/>
          <w:color w:val="auto"/>
        </w:rPr>
      </w:pPr>
      <w:r>
        <w:rPr>
          <w:rFonts w:ascii="Courier New" w:cs="Courier New" w:eastAsia="Courier New" w:hAnsi="Courier New"/>
          <w:sz w:val="14"/>
          <w:szCs w:val="14"/>
          <w:color w:val="auto"/>
        </w:rPr>
        <w:t>The Board shall designate one person of the Committee to act as its chairperson. The Committee shall meet in person or telephonically at least quarterly at such times and places determined by the Committee chairperson, with further meetings to occur, or actions to be taken by unanimous written consent, when deemed necessary or desirable by the Committee or its chairperson.</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90" w:right="1440" w:bottom="1440" w:gutter="0" w:footer="0" w:header="0"/>
        </w:sectPr>
      </w:pPr>
    </w:p>
    <w:bookmarkStart w:id="28" w:name="page29"/>
    <w:bookmarkEnd w:id="28"/>
    <w:p>
      <w:pPr>
        <w:ind w:right="3339" w:firstLine="431"/>
        <w:spacing w:after="0" w:line="277" w:lineRule="auto"/>
        <w:rPr>
          <w:sz w:val="20"/>
          <w:szCs w:val="20"/>
          <w:color w:val="auto"/>
        </w:rPr>
      </w:pPr>
      <w:r>
        <w:rPr>
          <w:rFonts w:ascii="Courier New" w:cs="Courier New" w:eastAsia="Courier New" w:hAnsi="Courier New"/>
          <w:sz w:val="14"/>
          <w:szCs w:val="14"/>
          <w:color w:val="auto"/>
        </w:rPr>
        <w:t>The Committee shall maintain independence both in establishing its agenda and directly accessing management of the Company and its subsidiaries. Annually, the Committee will reassess the adequacy of this charter, evaluate its performance and report these and other actions to the Board with any recommendations. The format of the self-assessment shall be determined by the Committee.</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w:t>
      </w:r>
    </w:p>
    <w:p>
      <w:pPr>
        <w:spacing w:after="0" w:line="173" w:lineRule="exact"/>
        <w:rPr>
          <w:sz w:val="20"/>
          <w:szCs w:val="20"/>
          <w:color w:val="auto"/>
        </w:rPr>
      </w:pPr>
    </w:p>
    <w:p>
      <w:pPr>
        <w:ind w:right="3419" w:firstLine="431"/>
        <w:spacing w:after="0" w:line="275" w:lineRule="auto"/>
        <w:rPr>
          <w:sz w:val="20"/>
          <w:szCs w:val="20"/>
          <w:color w:val="auto"/>
        </w:rPr>
      </w:pPr>
      <w:r>
        <w:rPr>
          <w:rFonts w:ascii="Courier New" w:cs="Courier New" w:eastAsia="Courier New" w:hAnsi="Courier New"/>
          <w:sz w:val="14"/>
          <w:szCs w:val="14"/>
          <w:color w:val="auto"/>
        </w:rPr>
        <w:t>No member of the Committee may receive, directly or indirectly, any compensation from the Company other than (i) fees paid to directors for service on the Board, (ii) fees paid to directors for service on a committee of the Board (including the Audit Committee) and (iii) a pension or other deferred compensation for prior service that is not contingent on future service on the Board.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RESPONSIBILITIES AND DUTIES</w:t>
      </w:r>
    </w:p>
    <w:p>
      <w:pPr>
        <w:spacing w:after="0" w:line="173" w:lineRule="exact"/>
        <w:rPr>
          <w:sz w:val="20"/>
          <w:szCs w:val="20"/>
          <w:color w:val="auto"/>
        </w:rPr>
      </w:pPr>
    </w:p>
    <w:p>
      <w:pPr>
        <w:ind w:right="3419" w:firstLine="431"/>
        <w:spacing w:after="0" w:line="272" w:lineRule="auto"/>
        <w:rPr>
          <w:sz w:val="20"/>
          <w:szCs w:val="20"/>
          <w:color w:val="auto"/>
        </w:rPr>
      </w:pPr>
      <w:r>
        <w:rPr>
          <w:rFonts w:ascii="Courier New" w:cs="Courier New" w:eastAsia="Courier New" w:hAnsi="Courier New"/>
          <w:sz w:val="14"/>
          <w:szCs w:val="14"/>
          <w:color w:val="auto"/>
        </w:rPr>
        <w:t>It is the responsibility of management of the Company to develop and maintain systems of internal accounting and financial controls and to prepare the Company's financial statements in accordance with accounting principles generally accepted in the United States. It is the responsibility of the independent accountants to plan and perform an audit of the Company's financial statements in accordance with accounting principles generally accepted in the United States.</w:t>
      </w:r>
    </w:p>
    <w:p>
      <w:pPr>
        <w:spacing w:after="0" w:line="247"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The Committee's role is one of oversight. The Committee shall make regular reports to the Board. In carrying out its responsibilities, the Committee's practices and policies should remain flexible in order for the Committee to respond to changing facts and circumstances.</w:t>
      </w:r>
    </w:p>
    <w:p>
      <w:pPr>
        <w:spacing w:after="0" w:line="56" w:lineRule="exact"/>
        <w:rPr>
          <w:sz w:val="20"/>
          <w:szCs w:val="20"/>
          <w:color w:val="auto"/>
        </w:rPr>
      </w:pPr>
    </w:p>
    <w:p>
      <w:pPr>
        <w:ind w:right="3599" w:firstLine="431"/>
        <w:spacing w:after="0" w:line="375" w:lineRule="auto"/>
        <w:rPr>
          <w:sz w:val="20"/>
          <w:szCs w:val="20"/>
          <w:color w:val="auto"/>
        </w:rPr>
      </w:pPr>
      <w:r>
        <w:rPr>
          <w:rFonts w:ascii="Courier New" w:cs="Courier New" w:eastAsia="Courier New" w:hAnsi="Courier New"/>
          <w:sz w:val="14"/>
          <w:szCs w:val="14"/>
          <w:color w:val="auto"/>
        </w:rPr>
        <w:t>Among the activities in carrying out its responsibilities, the Committee shall undertake the following: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ACCOUNTANTS</w:t>
      </w:r>
    </w:p>
    <w:p>
      <w:pPr>
        <w:spacing w:after="0" w:line="173" w:lineRule="exact"/>
        <w:rPr>
          <w:sz w:val="20"/>
          <w:szCs w:val="20"/>
          <w:color w:val="auto"/>
        </w:rPr>
      </w:pPr>
    </w:p>
    <w:p>
      <w:pPr>
        <w:ind w:left="700" w:right="3419" w:hanging="261"/>
        <w:spacing w:after="0" w:line="271" w:lineRule="auto"/>
        <w:tabs>
          <w:tab w:leader="none" w:pos="70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 authority and direct responsibility for the retention, compensation, termination and oversight of the work of the Company's independent accountants. The independent accountants are accountable to the Committee and the Board. The Committee shall approve the audit engagement fees and pre-approve any non-audit services to be provided by the independent accountants. The authority for such approval and preapproval may be delegated to one or more members of the Committee.</w:t>
      </w:r>
    </w:p>
    <w:p>
      <w:pPr>
        <w:spacing w:after="0" w:line="71" w:lineRule="exact"/>
        <w:rPr>
          <w:rFonts w:ascii="Courier New" w:cs="Courier New" w:eastAsia="Courier New" w:hAnsi="Courier New"/>
          <w:sz w:val="14"/>
          <w:szCs w:val="14"/>
          <w:color w:val="auto"/>
        </w:rPr>
      </w:pPr>
    </w:p>
    <w:p>
      <w:pPr>
        <w:ind w:left="700" w:right="3599" w:hanging="261"/>
        <w:spacing w:after="0" w:line="292" w:lineRule="auto"/>
        <w:tabs>
          <w:tab w:leader="none" w:pos="70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discuss with the independent accountants any relationships or services that may impact their objectivity and independence and taking appropriate action in response to the independent accountants' report to satisfy the Committee of the accountants' independence.</w:t>
      </w:r>
    </w:p>
    <w:p>
      <w:pPr>
        <w:spacing w:after="0" w:line="56" w:lineRule="exact"/>
        <w:rPr>
          <w:rFonts w:ascii="Courier New" w:cs="Courier New" w:eastAsia="Courier New" w:hAnsi="Courier New"/>
          <w:sz w:val="14"/>
          <w:szCs w:val="14"/>
          <w:color w:val="auto"/>
        </w:rPr>
      </w:pPr>
    </w:p>
    <w:p>
      <w:pPr>
        <w:ind w:left="700" w:right="3859" w:hanging="261"/>
        <w:spacing w:after="0" w:line="292" w:lineRule="auto"/>
        <w:tabs>
          <w:tab w:leader="none" w:pos="70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independent accountants any material written communications between the independent accountants and management, including any audit problems or difficulties with management's response.</w:t>
      </w:r>
    </w:p>
    <w:p>
      <w:pPr>
        <w:spacing w:after="0" w:line="56" w:lineRule="exact"/>
        <w:rPr>
          <w:rFonts w:ascii="Courier New" w:cs="Courier New" w:eastAsia="Courier New" w:hAnsi="Courier New"/>
          <w:sz w:val="14"/>
          <w:szCs w:val="14"/>
          <w:color w:val="auto"/>
        </w:rPr>
      </w:pPr>
    </w:p>
    <w:p>
      <w:pPr>
        <w:ind w:left="700" w:right="3419" w:hanging="261"/>
        <w:spacing w:after="0" w:line="313" w:lineRule="auto"/>
        <w:tabs>
          <w:tab w:leader="none" w:pos="70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Ensure that rotation of the independent accountants' audit partners satisfies regulatory requirements and set policies about hiring current or former employees of the independent accountants.</w:t>
      </w:r>
    </w:p>
    <w:p>
      <w:pPr>
        <w:spacing w:after="0" w:line="42" w:lineRule="exact"/>
        <w:rPr>
          <w:rFonts w:ascii="Courier New" w:cs="Courier New" w:eastAsia="Courier New" w:hAnsi="Courier New"/>
          <w:sz w:val="14"/>
          <w:szCs w:val="14"/>
          <w:color w:val="auto"/>
        </w:rPr>
      </w:pPr>
    </w:p>
    <w:p>
      <w:pPr>
        <w:ind w:left="700" w:right="3519" w:hanging="261"/>
        <w:spacing w:after="0" w:line="271" w:lineRule="auto"/>
        <w:tabs>
          <w:tab w:leader="none" w:pos="70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with the independent accountants (i) their internal quality control procedures, (ii) any material issues raised by the most recent internal quality control review, PCAOB review, peer review or regulatory inquiry within the preceding five years, and (iii) all relationships between the independent accountants and the Company, including the matters covered by Independence Standards Board (ISB) Standard No. 1.*</w:t>
      </w:r>
    </w:p>
    <w:p>
      <w:pPr>
        <w:spacing w:after="0" w:line="71" w:lineRule="exact"/>
        <w:rPr>
          <w:rFonts w:ascii="Courier New" w:cs="Courier New" w:eastAsia="Courier New" w:hAnsi="Courier New"/>
          <w:sz w:val="14"/>
          <w:szCs w:val="14"/>
          <w:color w:val="auto"/>
        </w:rPr>
      </w:pPr>
    </w:p>
    <w:p>
      <w:pPr>
        <w:ind w:left="700" w:right="3939" w:hanging="261"/>
        <w:spacing w:after="0" w:line="375" w:lineRule="auto"/>
        <w:tabs>
          <w:tab w:leader="none" w:pos="70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regularly and separately with the independent accountants in executive sessions.</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
        <w:spacing w:after="0" w:line="269" w:lineRule="auto"/>
        <w:tabs>
          <w:tab w:leader="none" w:pos="17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Independence Standards Board Standard Number 1, at least annually, the independent accountants must: (a) disclose to the Audit Committee, in writing, all relationships between the independent accountants and their related entities and the Company and its related entities that in the auditor's professional judgment may reasonably be thought to bear on independence; (b) confirm in the letter that, in its professional judgment, it is independent of the Company within the meaning of the Acts; and (c) discuss the auditor's independence with the Audit Committee.</w:t>
      </w:r>
    </w:p>
    <w:p>
      <w:pPr>
        <w:spacing w:after="0" w:line="2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59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700" w:right="3419" w:hanging="261"/>
        <w:spacing w:after="0" w:line="268" w:lineRule="auto"/>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management and the independent accountants the annual audited financial statements and quarterly financial statements prior to filing, including the Company's disclosures in "Management's Discussion and Analysis of Financial Condition and Results of Operations", the Company's earnings announcements prior to release, and the results of the independent accountants' reviews. The Committee may delegate to one or more members of the Committee the review of the earnings announcements.</w:t>
      </w:r>
    </w:p>
    <w:p>
      <w:pPr>
        <w:spacing w:after="0" w:line="73" w:lineRule="exact"/>
        <w:rPr>
          <w:rFonts w:ascii="Courier New" w:cs="Courier New" w:eastAsia="Courier New" w:hAnsi="Courier New"/>
          <w:sz w:val="14"/>
          <w:szCs w:val="14"/>
          <w:color w:val="auto"/>
        </w:rPr>
      </w:pPr>
    </w:p>
    <w:p>
      <w:pPr>
        <w:ind w:left="700" w:right="3419" w:hanging="261"/>
        <w:spacing w:after="0" w:line="268" w:lineRule="auto"/>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critical accounting policies, financial reporting and accounting standards and principles, including any changes in the selection or application of accounting principles and alternative treatments of financial information within generally accepted accounting principles. Review key accounting decisions affecting the Company's financial statements, including the effect of regulatory or accounting initiatives, on the Company's financial statements. The review shall include the rationales for such choices and possible alternatives.</w:t>
      </w:r>
    </w:p>
    <w:p>
      <w:pPr>
        <w:spacing w:after="0" w:line="73" w:lineRule="exact"/>
        <w:rPr>
          <w:rFonts w:ascii="Courier New" w:cs="Courier New" w:eastAsia="Courier New" w:hAnsi="Courier New"/>
          <w:sz w:val="14"/>
          <w:szCs w:val="14"/>
          <w:color w:val="auto"/>
        </w:rPr>
      </w:pPr>
    </w:p>
    <w:p>
      <w:pPr>
        <w:ind w:left="700" w:right="3519" w:hanging="261"/>
        <w:spacing w:after="0" w:line="275" w:lineRule="auto"/>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Company's financial reporting process, including disclosure controls and procedures, internal controls and procedures, any significant control deficiencies or material weaknesses, any fraud involving management or others significantly involved in the Company's internal controls and procedures, and the independent accountants' attestation of management's internal control report.</w:t>
      </w:r>
    </w:p>
    <w:p>
      <w:pPr>
        <w:spacing w:after="0" w:line="69" w:lineRule="exact"/>
        <w:rPr>
          <w:rFonts w:ascii="Courier New" w:cs="Courier New" w:eastAsia="Courier New" w:hAnsi="Courier New"/>
          <w:sz w:val="14"/>
          <w:szCs w:val="14"/>
          <w:color w:val="auto"/>
        </w:rPr>
      </w:pPr>
    </w:p>
    <w:p>
      <w:pPr>
        <w:ind w:left="700" w:right="3859" w:hanging="261"/>
        <w:spacing w:after="0" w:line="375" w:lineRule="auto"/>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any disclosure of significant deficiencies in the design or operation of internal controls.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AUDIT</w:t>
      </w:r>
    </w:p>
    <w:p>
      <w:pPr>
        <w:spacing w:after="0" w:line="173" w:lineRule="exact"/>
        <w:rPr>
          <w:sz w:val="20"/>
          <w:szCs w:val="20"/>
          <w:color w:val="auto"/>
        </w:rPr>
      </w:pPr>
    </w:p>
    <w:p>
      <w:pPr>
        <w:ind w:left="700" w:right="3599" w:hanging="261"/>
        <w:spacing w:after="0" w:line="375" w:lineRule="auto"/>
        <w:tabs>
          <w:tab w:leader="none" w:pos="7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performance of the internal audit department, the proposed audit plans for the coming year and the results of internal audits.</w:t>
      </w:r>
    </w:p>
    <w:p>
      <w:pPr>
        <w:spacing w:after="0" w:line="1" w:lineRule="exact"/>
        <w:rPr>
          <w:rFonts w:ascii="Courier New" w:cs="Courier New" w:eastAsia="Courier New" w:hAnsi="Courier New"/>
          <w:sz w:val="14"/>
          <w:szCs w:val="14"/>
          <w:color w:val="auto"/>
        </w:rPr>
      </w:pPr>
    </w:p>
    <w:p>
      <w:pPr>
        <w:ind w:left="700" w:right="3599" w:hanging="261"/>
        <w:spacing w:after="0" w:line="375" w:lineRule="auto"/>
        <w:tabs>
          <w:tab w:leader="none" w:pos="7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qualifications of the head of the Company's internal audit department.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w:t>
      </w:r>
    </w:p>
    <w:p>
      <w:pPr>
        <w:spacing w:after="0" w:line="173" w:lineRule="exact"/>
        <w:rPr>
          <w:sz w:val="20"/>
          <w:szCs w:val="20"/>
          <w:color w:val="auto"/>
        </w:rPr>
      </w:pPr>
    </w:p>
    <w:p>
      <w:pPr>
        <w:ind w:left="700" w:right="3419" w:hanging="261"/>
        <w:spacing w:after="0" w:line="292"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reports from management and the Company's head of internal audit relating to the Company and its subsidiaries and foreign affiliates being in conformity with applicable legal requirements and Company codes of business conduct and ethics.</w:t>
      </w:r>
    </w:p>
    <w:p>
      <w:pPr>
        <w:spacing w:after="0" w:line="56" w:lineRule="exact"/>
        <w:rPr>
          <w:rFonts w:ascii="Courier New" w:cs="Courier New" w:eastAsia="Courier New" w:hAnsi="Courier New"/>
          <w:sz w:val="14"/>
          <w:szCs w:val="14"/>
          <w:color w:val="auto"/>
        </w:rPr>
      </w:pPr>
    </w:p>
    <w:p>
      <w:pPr>
        <w:ind w:left="700" w:right="3519" w:hanging="261"/>
        <w:spacing w:after="0" w:line="375"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Company's policies with respect to risk assessment and risk management.</w:t>
      </w:r>
    </w:p>
    <w:p>
      <w:pPr>
        <w:spacing w:after="0" w:line="1" w:lineRule="exact"/>
        <w:rPr>
          <w:rFonts w:ascii="Courier New" w:cs="Courier New" w:eastAsia="Courier New" w:hAnsi="Courier New"/>
          <w:sz w:val="14"/>
          <w:szCs w:val="14"/>
          <w:color w:val="auto"/>
        </w:rPr>
      </w:pPr>
    </w:p>
    <w:p>
      <w:pPr>
        <w:ind w:left="700" w:right="3519" w:hanging="261"/>
        <w:spacing w:after="0" w:line="313"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regularly and separately the management of the Company (specifically, on an individual basis with the chief financial officer and the head of internal audit in separate executive sessions).</w:t>
      </w:r>
    </w:p>
    <w:p>
      <w:pPr>
        <w:spacing w:after="0" w:line="42" w:lineRule="exact"/>
        <w:rPr>
          <w:rFonts w:ascii="Courier New" w:cs="Courier New" w:eastAsia="Courier New" w:hAnsi="Courier New"/>
          <w:sz w:val="14"/>
          <w:szCs w:val="14"/>
          <w:color w:val="auto"/>
        </w:rPr>
      </w:pPr>
    </w:p>
    <w:p>
      <w:pPr>
        <w:ind w:left="700" w:right="3599" w:hanging="261"/>
        <w:spacing w:after="0" w:line="292" w:lineRule="auto"/>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procedures for review and handling complaints or concerns received by the Company regarding accounting, internal audit controls or auditing matters, including enabling employees to submit concerns confidentially and anonymously.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AND COMPLIANCE</w:t>
      </w:r>
    </w:p>
    <w:p>
      <w:pPr>
        <w:spacing w:after="0" w:line="173" w:lineRule="exact"/>
        <w:rPr>
          <w:sz w:val="20"/>
          <w:szCs w:val="20"/>
          <w:color w:val="auto"/>
        </w:rPr>
      </w:pPr>
    </w:p>
    <w:p>
      <w:pPr>
        <w:jc w:val="both"/>
        <w:ind w:left="780" w:right="3779" w:hanging="255"/>
        <w:spacing w:after="0" w:line="313" w:lineRule="auto"/>
        <w:tabs>
          <w:tab w:leader="none" w:pos="7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procedures and compliance processes pertaining to corporate ethics and standards of business conduct as embodied in applicable Company codes of business conduct and ethics.</w:t>
      </w:r>
    </w:p>
    <w:p>
      <w:pPr>
        <w:spacing w:after="0" w:line="42" w:lineRule="exact"/>
        <w:rPr>
          <w:rFonts w:ascii="Courier New" w:cs="Courier New" w:eastAsia="Courier New" w:hAnsi="Courier New"/>
          <w:sz w:val="14"/>
          <w:szCs w:val="14"/>
          <w:color w:val="auto"/>
        </w:rPr>
      </w:pPr>
    </w:p>
    <w:p>
      <w:pPr>
        <w:ind w:left="780" w:right="3339" w:hanging="255"/>
        <w:spacing w:after="0" w:line="375" w:lineRule="auto"/>
        <w:tabs>
          <w:tab w:leader="none" w:pos="7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the report required by the rules of the Securities and Exchange Commission to be included in the Company's annual proxy statement.</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59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COMMITTEE AUTHORITY</w:t>
      </w:r>
    </w:p>
    <w:p>
      <w:pPr>
        <w:spacing w:after="0" w:line="173" w:lineRule="exact"/>
        <w:rPr>
          <w:sz w:val="20"/>
          <w:szCs w:val="20"/>
          <w:color w:val="auto"/>
        </w:rPr>
      </w:pPr>
    </w:p>
    <w:p>
      <w:pPr>
        <w:ind w:right="3339" w:firstLine="431"/>
        <w:spacing w:after="0" w:line="271" w:lineRule="auto"/>
        <w:rPr>
          <w:sz w:val="20"/>
          <w:szCs w:val="20"/>
          <w:color w:val="auto"/>
        </w:rPr>
      </w:pPr>
      <w:r>
        <w:rPr>
          <w:rFonts w:ascii="Courier New" w:cs="Courier New" w:eastAsia="Courier New" w:hAnsi="Courier New"/>
          <w:sz w:val="14"/>
          <w:szCs w:val="14"/>
          <w:color w:val="auto"/>
        </w:rPr>
        <w:t>The Committee may exercise such other powers and authority as the Board may, from time to time, confer upon it. The Committee may diverge from the above list of responsibilities, as appropriate, if circumstances or regulatory requirements change. In addition to these activities, the Committee will perform such other function as necessary or appropriate under law, NYSE rules, the Company's certificate of incorporation and by-laws and the resolutions and other directives of the Board. Notice of Annual Meeting and Proxy Statement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0" w:right="1440" w:bottom="1440" w:gutter="0" w:footer="0" w:header="0"/>
        </w:sectPr>
      </w:pPr>
    </w:p>
    <w:bookmarkStart w:id="31" w:name="page32"/>
    <w:bookmarkEnd w:id="31"/>
    <w:p>
      <w:pPr>
        <w:ind w:left="1800"/>
        <w:spacing w:after="0"/>
        <w:rPr>
          <w:sz w:val="20"/>
          <w:szCs w:val="20"/>
          <w:color w:val="auto"/>
        </w:rPr>
      </w:pPr>
      <w:r>
        <w:rPr>
          <w:rFonts w:ascii="Courier New" w:cs="Courier New" w:eastAsia="Courier New" w:hAnsi="Courier New"/>
          <w:sz w:val="14"/>
          <w:szCs w:val="14"/>
          <w:color w:val="auto"/>
        </w:rPr>
        <w:t>NOTICE OF</w:t>
      </w:r>
    </w:p>
    <w:p>
      <w:pPr>
        <w:spacing w:after="0" w:line="3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1253" w:right="1440" w:bottom="1440" w:gutter="0" w:footer="0" w:header="0"/>
        </w:sectPr>
      </w:pPr>
    </w:p>
    <w:bookmarkStart w:id="32" w:name="page33"/>
    <w:bookmarkEnd w:id="32"/>
    <w:p>
      <w:pPr>
        <w:spacing w:after="0" w:line="31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VOTER CONTROL NUMBER</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DETACH HERE IF YOU ARE RETURNING YOUR PROXY CARD BY MAIL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left="10680"/>
        <w:spacing w:after="0"/>
        <w:rPr>
          <w:sz w:val="20"/>
          <w:szCs w:val="20"/>
          <w:color w:val="auto"/>
        </w:rPr>
      </w:pPr>
      <w:r>
        <w:rPr>
          <w:rFonts w:ascii="Courier New" w:cs="Courier New" w:eastAsia="Courier New" w:hAnsi="Courier New"/>
          <w:sz w:val="14"/>
          <w:szCs w:val="14"/>
          <w:color w:val="auto"/>
        </w:rPr>
        <w:t>0577</w:t>
      </w:r>
    </w:p>
    <w:p>
      <w:pPr>
        <w:spacing w:after="0" w:line="33" w:lineRule="exact"/>
        <w:rPr>
          <w:sz w:val="20"/>
          <w:szCs w:val="20"/>
          <w:color w:val="auto"/>
        </w:rPr>
      </w:pPr>
    </w:p>
    <w:p>
      <w:pPr>
        <w:ind w:left="100"/>
        <w:spacing w:after="0"/>
        <w:tabs>
          <w:tab w:leader="none" w:pos="60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PLEASE MARK YOUR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VOTES AS IN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THIS EXAMPLE.</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will be voted as specified. If no direction is given, proxy will be voted "FOR" proposals 1 and 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84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1. Election of Directors (Check only one box)</w:t>
            </w:r>
          </w:p>
        </w:tc>
        <w:tc>
          <w:tcPr>
            <w:tcW w:w="37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2. To transact such other business</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FOR</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8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ABSTAIN</w:t>
            </w:r>
          </w:p>
        </w:tc>
        <w:tc>
          <w:tcPr>
            <w:tcW w:w="0" w:type="dxa"/>
            <w:vAlign w:val="bottom"/>
          </w:tcPr>
          <w:p>
            <w:pPr>
              <w:spacing w:after="0"/>
              <w:rPr>
                <w:sz w:val="1"/>
                <w:szCs w:val="1"/>
                <w:color w:val="auto"/>
              </w:rPr>
            </w:pPr>
          </w:p>
        </w:tc>
      </w:tr>
      <w:tr>
        <w:trPr>
          <w:trHeight w:val="90"/>
        </w:trPr>
        <w:tc>
          <w:tcPr>
            <w:tcW w:w="4840" w:type="dxa"/>
            <w:vAlign w:val="bottom"/>
            <w:gridSpan w:val="3"/>
            <w:vMerge w:val="continue"/>
          </w:tcPr>
          <w:p>
            <w:pPr>
              <w:spacing w:after="0"/>
              <w:rPr>
                <w:sz w:val="7"/>
                <w:szCs w:val="7"/>
                <w:color w:val="auto"/>
              </w:rPr>
            </w:pPr>
          </w:p>
        </w:tc>
        <w:tc>
          <w:tcPr>
            <w:tcW w:w="374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 /</w:t>
            </w:r>
          </w:p>
        </w:tc>
        <w:tc>
          <w:tcPr>
            <w:tcW w:w="10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 /</w:t>
            </w:r>
          </w:p>
        </w:tc>
        <w:tc>
          <w:tcPr>
            <w:tcW w:w="8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484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Nominees: Warren E. Buffett, Barry Diller,</w:t>
            </w:r>
          </w:p>
        </w:tc>
        <w:tc>
          <w:tcPr>
            <w:tcW w:w="3740" w:type="dxa"/>
            <w:vAlign w:val="bottom"/>
          </w:tcPr>
          <w:p>
            <w:pPr>
              <w:ind w:left="600"/>
              <w:spacing w:after="0"/>
              <w:rPr>
                <w:sz w:val="20"/>
                <w:szCs w:val="20"/>
                <w:color w:val="auto"/>
              </w:rPr>
            </w:pPr>
            <w:r>
              <w:rPr>
                <w:rFonts w:ascii="Courier New" w:cs="Courier New" w:eastAsia="Courier New" w:hAnsi="Courier New"/>
                <w:sz w:val="14"/>
                <w:szCs w:val="14"/>
                <w:color w:val="auto"/>
              </w:rPr>
              <w:t>as may properly come before said</w:t>
            </w:r>
          </w:p>
        </w:tc>
        <w:tc>
          <w:tcPr>
            <w:tcW w:w="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gridSpan w:val="3"/>
            <w:vMerge w:val="continue"/>
          </w:tcPr>
          <w:p>
            <w:pPr>
              <w:spacing w:after="0"/>
              <w:rPr>
                <w:sz w:val="14"/>
                <w:szCs w:val="14"/>
                <w:color w:val="auto"/>
              </w:rPr>
            </w:pPr>
          </w:p>
        </w:tc>
        <w:tc>
          <w:tcPr>
            <w:tcW w:w="3740" w:type="dxa"/>
            <w:vAlign w:val="bottom"/>
          </w:tcPr>
          <w:p>
            <w:pPr>
              <w:ind w:left="600"/>
              <w:spacing w:after="0"/>
              <w:rPr>
                <w:sz w:val="20"/>
                <w:szCs w:val="20"/>
                <w:color w:val="auto"/>
              </w:rPr>
            </w:pPr>
            <w:r>
              <w:rPr>
                <w:rFonts w:ascii="Courier New" w:cs="Courier New" w:eastAsia="Courier New" w:hAnsi="Courier New"/>
                <w:sz w:val="14"/>
                <w:szCs w:val="14"/>
                <w:color w:val="auto"/>
              </w:rPr>
              <w:t>meeting or any adjournment thereof.</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4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George J. Gillespie III, Donald E. Graham,</w:t>
            </w:r>
          </w:p>
        </w:tc>
        <w:tc>
          <w:tcPr>
            <w:tcW w:w="3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84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Richard D. Simmons and George W. Wilson</w:t>
            </w:r>
          </w:p>
        </w:tc>
        <w:tc>
          <w:tcPr>
            <w:tcW w:w="3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520" w:type="dxa"/>
            <w:vAlign w:val="bottom"/>
            <w:vMerge w:val="restart"/>
          </w:tcPr>
          <w:p>
            <w:pPr>
              <w:ind w:left="960"/>
              <w:spacing w:after="0"/>
              <w:rPr>
                <w:sz w:val="20"/>
                <w:szCs w:val="20"/>
                <w:color w:val="auto"/>
              </w:rPr>
            </w:pPr>
            <w:r>
              <w:rPr>
                <w:rFonts w:ascii="Courier New" w:cs="Courier New" w:eastAsia="Courier New" w:hAnsi="Courier New"/>
                <w:sz w:val="14"/>
                <w:szCs w:val="14"/>
                <w:color w:val="auto"/>
              </w:rPr>
              <w:t>FOR</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FOR</w:t>
            </w:r>
          </w:p>
        </w:tc>
        <w:tc>
          <w:tcPr>
            <w:tcW w:w="25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WITHHELD</w:t>
            </w:r>
          </w:p>
        </w:tc>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520" w:type="dxa"/>
            <w:vAlign w:val="bottom"/>
            <w:vMerge w:val="continue"/>
          </w:tcPr>
          <w:p>
            <w:pPr>
              <w:spacing w:after="0"/>
              <w:rPr>
                <w:sz w:val="14"/>
                <w:szCs w:val="14"/>
                <w:color w:val="auto"/>
              </w:rPr>
            </w:pPr>
          </w:p>
        </w:tc>
        <w:tc>
          <w:tcPr>
            <w:tcW w:w="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WITHHELD</w:t>
            </w:r>
          </w:p>
        </w:tc>
        <w:tc>
          <w:tcPr>
            <w:tcW w:w="3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960"/>
              <w:spacing w:after="0"/>
              <w:rPr>
                <w:sz w:val="20"/>
                <w:szCs w:val="20"/>
                <w:color w:val="auto"/>
              </w:rPr>
            </w:pPr>
            <w:r>
              <w:rPr>
                <w:rFonts w:ascii="Courier New" w:cs="Courier New" w:eastAsia="Courier New" w:hAnsi="Courier New"/>
                <w:sz w:val="14"/>
                <w:szCs w:val="14"/>
                <w:color w:val="auto"/>
              </w:rPr>
              <w:t>ALL</w:t>
            </w:r>
          </w:p>
        </w:tc>
        <w:tc>
          <w:tcPr>
            <w:tcW w:w="780" w:type="dxa"/>
            <w:vAlign w:val="bottom"/>
            <w:vMerge w:val="continue"/>
          </w:tcPr>
          <w:p>
            <w:pPr>
              <w:spacing w:after="0"/>
              <w:rPr>
                <w:sz w:val="14"/>
                <w:szCs w:val="14"/>
                <w:color w:val="auto"/>
              </w:rPr>
            </w:pPr>
          </w:p>
        </w:tc>
        <w:tc>
          <w:tcPr>
            <w:tcW w:w="2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   FROM ALL</w:t>
            </w:r>
          </w:p>
        </w:tc>
        <w:tc>
          <w:tcPr>
            <w:tcW w:w="3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520" w:type="dxa"/>
            <w:vAlign w:val="bottom"/>
          </w:tcPr>
          <w:p>
            <w:pPr>
              <w:ind w:left="700"/>
              <w:spacing w:after="0"/>
              <w:rPr>
                <w:sz w:val="20"/>
                <w:szCs w:val="20"/>
                <w:color w:val="auto"/>
              </w:rPr>
            </w:pPr>
            <w:r>
              <w:rPr>
                <w:rFonts w:ascii="Courier New" w:cs="Courier New" w:eastAsia="Courier New" w:hAnsi="Courier New"/>
                <w:sz w:val="14"/>
                <w:szCs w:val="14"/>
                <w:color w:val="auto"/>
              </w:rPr>
              <w:t>NOMINEES</w:t>
            </w:r>
          </w:p>
        </w:tc>
        <w:tc>
          <w:tcPr>
            <w:tcW w:w="780" w:type="dxa"/>
            <w:vAlign w:val="bottom"/>
          </w:tcPr>
          <w:p>
            <w:pPr>
              <w:spacing w:after="0"/>
              <w:rPr>
                <w:sz w:val="21"/>
                <w:szCs w:val="21"/>
                <w:color w:val="auto"/>
              </w:rPr>
            </w:pPr>
          </w:p>
        </w:tc>
        <w:tc>
          <w:tcPr>
            <w:tcW w:w="2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NOMINEES</w:t>
            </w:r>
          </w:p>
        </w:tc>
        <w:tc>
          <w:tcPr>
            <w:tcW w:w="3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040" w:hanging="343"/>
        <w:spacing w:after="0"/>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__________________________________</w:t>
      </w:r>
    </w:p>
    <w:p>
      <w:pPr>
        <w:spacing w:after="0" w:line="3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all nominees (except as stockholder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may indicate above)</w:t>
      </w:r>
    </w:p>
    <w:p>
      <w:pPr>
        <w:spacing w:after="0" w:line="147" w:lineRule="exact"/>
        <w:rPr>
          <w:sz w:val="20"/>
          <w:szCs w:val="20"/>
          <w:color w:val="auto"/>
        </w:rPr>
      </w:pPr>
    </w:p>
    <w:p>
      <w:pPr>
        <w:ind w:left="8100"/>
        <w:spacing w:after="0"/>
        <w:tabs>
          <w:tab w:leader="none" w:pos="10580" w:val="left"/>
        </w:tabs>
        <w:rPr>
          <w:sz w:val="20"/>
          <w:szCs w:val="20"/>
          <w:color w:val="auto"/>
        </w:rPr>
      </w:pPr>
      <w:r>
        <w:rPr>
          <w:rFonts w:ascii="Courier New" w:cs="Courier New" w:eastAsia="Courier New" w:hAnsi="Courier New"/>
          <w:sz w:val="14"/>
          <w:szCs w:val="14"/>
          <w:color w:val="auto"/>
        </w:rPr>
        <w:t>I will attend the meeting.</w:t>
      </w:r>
      <w:r>
        <w:rPr>
          <w:sz w:val="20"/>
          <w:szCs w:val="20"/>
          <w:color w:val="auto"/>
        </w:rPr>
        <w:tab/>
      </w:r>
      <w:r>
        <w:rPr>
          <w:rFonts w:ascii="Courier New" w:cs="Courier New" w:eastAsia="Courier New" w:hAnsi="Courier New"/>
          <w:sz w:val="14"/>
          <w:szCs w:val="14"/>
          <w:color w:val="auto"/>
        </w:rPr>
        <w:t>/ /</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Please sign exactly as name appears hereon. Joint owners should</w:t>
      </w:r>
    </w:p>
    <w:p>
      <w:pPr>
        <w:spacing w:after="0" w:line="3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each sign. When signing as attorney, executor, administrator,</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trustee or guardian, please give full title as such. If the</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signer is a corporation, please sign full corporate name by duly</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authorized officer.</w:t>
      </w:r>
    </w:p>
    <w:p>
      <w:pPr>
        <w:spacing w:after="0" w:line="312" w:lineRule="exact"/>
        <w:rPr>
          <w:sz w:val="20"/>
          <w:szCs w:val="20"/>
          <w:color w:val="auto"/>
        </w:rPr>
      </w:pPr>
    </w:p>
    <w:p>
      <w:pPr>
        <w:spacing w:after="0"/>
        <w:tabs>
          <w:tab w:leader="none" w:pos="4120" w:val="left"/>
          <w:tab w:leader="none" w:pos="5500" w:val="left"/>
        </w:tabs>
        <w:rPr>
          <w:sz w:val="20"/>
          <w:szCs w:val="20"/>
          <w:color w:val="auto"/>
        </w:rPr>
      </w:pPr>
      <w:r>
        <w:rPr>
          <w:rFonts w:ascii="Courier New" w:cs="Courier New" w:eastAsia="Courier New" w:hAnsi="Courier New"/>
          <w:sz w:val="14"/>
          <w:szCs w:val="14"/>
          <w:color w:val="auto"/>
        </w:rPr>
        <w:t>Signature:____________________________________</w:t>
        <w:tab/>
        <w:t>Date:_________</w:t>
        <w:tab/>
        <w:t>Signature:____________________________________ Date:___________</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200"/>
          </w:cols>
          <w:pgMar w:left="220" w:top="1440" w:right="47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DETACH HERE IF YOU ARE RETURNING YOUR PROXY CARD BY MAIL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THE WASHINGTON POST COMPANY</w:t>
      </w:r>
    </w:p>
    <w:p>
      <w:pPr>
        <w:spacing w:after="0" w:line="3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CLASS A COMMON STOCK</w:t>
      </w:r>
    </w:p>
    <w:p>
      <w:pPr>
        <w:spacing w:after="0" w:line="14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PROXY-- ANNUAL MEETING OF STOCKHOLDERS-- MAY 13, 2004</w:t>
      </w:r>
    </w:p>
    <w:p>
      <w:pPr>
        <w:spacing w:after="0" w:line="3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SOLICITED ON BEHALF OF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t>
      </w:r>
    </w:p>
    <w:p>
      <w:pPr>
        <w:spacing w:after="0" w:line="147" w:lineRule="exact"/>
        <w:rPr>
          <w:sz w:val="20"/>
          <w:szCs w:val="20"/>
          <w:color w:val="auto"/>
        </w:rPr>
      </w:pPr>
    </w:p>
    <w:p>
      <w:pPr>
        <w:ind w:left="780" w:right="860" w:hanging="772"/>
        <w:spacing w:after="0" w:line="270" w:lineRule="auto"/>
        <w:tabs>
          <w:tab w:leader="none" w:pos="7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appoints Donald E. Graham, John B. Morse, Jr., Diana M. Daniels and Gerald M. Rosberg, and each of them, his/her true and lawful agents and proxies, with full power of substitution in each, to represent the</w:t>
      </w:r>
    </w:p>
    <w:p>
      <w:pPr>
        <w:ind w:left="780" w:right="860" w:hanging="772"/>
        <w:spacing w:after="0" w:line="250" w:lineRule="auto"/>
        <w:tabs>
          <w:tab w:leader="none" w:pos="7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undersigned, and to vote as indicated on the reverse of this Proxy all shares of Class A Common Stock which the undersigned is entitled to vote, at the Annual Meeting of Stockholders of THE WASHINGTON POST COMPANY to be held on</w:t>
      </w:r>
    </w:p>
    <w:p>
      <w:pPr>
        <w:spacing w:after="0" w:line="1" w:lineRule="exact"/>
        <w:rPr>
          <w:sz w:val="20"/>
          <w:szCs w:val="20"/>
          <w:color w:val="auto"/>
        </w:rPr>
      </w:pPr>
    </w:p>
    <w:p>
      <w:pPr>
        <w:ind w:left="780" w:hanging="772"/>
        <w:spacing w:after="0"/>
        <w:tabs>
          <w:tab w:leader="none" w:pos="7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13, 2004, and at any adjournments thereof, on all matters coming before said meeting.</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w:t>
      </w:r>
    </w:p>
    <w:p>
      <w:pPr>
        <w:spacing w:after="0" w:line="173" w:lineRule="exact"/>
        <w:rPr>
          <w:sz w:val="20"/>
          <w:szCs w:val="20"/>
          <w:color w:val="auto"/>
        </w:rPr>
      </w:pPr>
    </w:p>
    <w:p>
      <w:pPr>
        <w:ind w:left="780"/>
        <w:spacing w:after="0"/>
        <w:tabs>
          <w:tab w:leader="none" w:pos="6800" w:val="left"/>
        </w:tabs>
        <w:rPr>
          <w:sz w:val="20"/>
          <w:szCs w:val="20"/>
          <w:color w:val="auto"/>
        </w:rPr>
      </w:pPr>
      <w:r>
        <w:rPr>
          <w:rFonts w:ascii="Courier New" w:cs="Courier New" w:eastAsia="Courier New" w:hAnsi="Courier New"/>
          <w:sz w:val="14"/>
          <w:szCs w:val="14"/>
          <w:color w:val="auto"/>
        </w:rPr>
        <w:t>THIS PROXY WILL BE VOTED AS SPECIFIED ON THE REVERSE SIDE</w:t>
      </w:r>
      <w:r>
        <w:rPr>
          <w:sz w:val="20"/>
          <w:szCs w:val="20"/>
          <w:color w:val="auto"/>
        </w:rPr>
        <w:tab/>
      </w:r>
      <w:r>
        <w:rPr>
          <w:rFonts w:ascii="Courier New" w:cs="Courier New" w:eastAsia="Courier New" w:hAnsi="Courier New"/>
          <w:sz w:val="14"/>
          <w:szCs w:val="14"/>
          <w:color w:val="auto"/>
        </w:rPr>
        <w:t>(CONTINUED, AND TO BE SIGNED ON REVERSE SIDE)</w:t>
      </w:r>
    </w:p>
    <w:p>
      <w:pPr>
        <w:sectPr>
          <w:pgSz w:w="11900" w:h="16838" w:orient="portrait"/>
          <w:cols w:equalWidth="0" w:num="1">
            <w:col w:w="11540"/>
          </w:cols>
          <w:pgMar w:left="220" w:top="1440" w:right="1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VOTER CONTROL NUMBER</w:t>
      </w:r>
    </w:p>
    <w:p>
      <w:pPr>
        <w:spacing w:after="0" w:line="3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YOUR VOTE IS IMPORTANT. PLEASE VOTE IMMEDIATELY.</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42"/>
        </w:trPr>
        <w:tc>
          <w:tcPr>
            <w:tcW w:w="3060" w:type="dxa"/>
            <w:vAlign w:val="bottom"/>
            <w:gridSpan w:val="2"/>
          </w:tcPr>
          <w:p>
            <w:pPr>
              <w:spacing w:after="0"/>
              <w:rPr>
                <w:sz w:val="20"/>
                <w:szCs w:val="20"/>
                <w:color w:val="auto"/>
              </w:rPr>
            </w:pPr>
            <w:r>
              <w:rPr>
                <w:rFonts w:ascii="Courier New" w:cs="Courier New" w:eastAsia="Courier New" w:hAnsi="Courier New"/>
                <w:sz w:val="12"/>
                <w:szCs w:val="12"/>
                <w:color w:val="auto"/>
                <w:w w:val="72"/>
              </w:rPr>
              <w:t>----------------------------------------------------------</w:t>
            </w:r>
          </w:p>
        </w:tc>
        <w:tc>
          <w:tcPr>
            <w:tcW w:w="1900" w:type="dxa"/>
            <w:vAlign w:val="bottom"/>
          </w:tcPr>
          <w:p>
            <w:pPr>
              <w:spacing w:after="0"/>
              <w:rPr>
                <w:sz w:val="21"/>
                <w:szCs w:val="21"/>
                <w:color w:val="auto"/>
              </w:rPr>
            </w:pPr>
          </w:p>
        </w:tc>
        <w:tc>
          <w:tcPr>
            <w:tcW w:w="6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40" w:type="dxa"/>
            <w:vAlign w:val="bottom"/>
          </w:tcPr>
          <w:p>
            <w:pPr>
              <w:spacing w:after="0"/>
              <w:rPr>
                <w:sz w:val="24"/>
                <w:szCs w:val="24"/>
                <w:color w:val="auto"/>
              </w:rPr>
            </w:pP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VOTE-BY-INTERNET</w:t>
            </w: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[PICTURE]</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OR</w:t>
            </w:r>
          </w:p>
        </w:tc>
        <w:tc>
          <w:tcPr>
            <w:tcW w:w="2920" w:type="dxa"/>
            <w:vAlign w:val="bottom"/>
          </w:tcPr>
          <w:p>
            <w:pPr>
              <w:ind w:left="1060"/>
              <w:spacing w:after="0"/>
              <w:rPr>
                <w:sz w:val="20"/>
                <w:szCs w:val="20"/>
                <w:color w:val="auto"/>
              </w:rPr>
            </w:pPr>
            <w:r>
              <w:rPr>
                <w:rFonts w:ascii="Courier New" w:cs="Courier New" w:eastAsia="Courier New" w:hAnsi="Courier New"/>
                <w:sz w:val="14"/>
                <w:szCs w:val="14"/>
                <w:color w:val="auto"/>
              </w:rPr>
              <w:t>VOTE-BY-TELEPHONE</w:t>
            </w:r>
          </w:p>
        </w:tc>
        <w:tc>
          <w:tcPr>
            <w:tcW w:w="17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[PICTURE]</w:t>
            </w:r>
          </w:p>
        </w:tc>
        <w:tc>
          <w:tcPr>
            <w:tcW w:w="0" w:type="dxa"/>
            <w:vAlign w:val="bottom"/>
          </w:tcPr>
          <w:p>
            <w:pPr>
              <w:spacing w:after="0"/>
              <w:rPr>
                <w:sz w:val="1"/>
                <w:szCs w:val="1"/>
                <w:color w:val="auto"/>
              </w:rPr>
            </w:pPr>
          </w:p>
        </w:tc>
      </w:tr>
      <w:tr>
        <w:trPr>
          <w:trHeight w:val="255"/>
        </w:trPr>
        <w:tc>
          <w:tcPr>
            <w:tcW w:w="340" w:type="dxa"/>
            <w:vAlign w:val="bottom"/>
            <w:vMerge w:val="restart"/>
          </w:tcPr>
          <w:p>
            <w:pPr>
              <w:spacing w:after="0"/>
              <w:rPr>
                <w:sz w:val="20"/>
                <w:szCs w:val="20"/>
                <w:color w:val="auto"/>
              </w:rPr>
            </w:pPr>
            <w:r>
              <w:rPr>
                <w:rFonts w:ascii="Courier New" w:cs="Courier New" w:eastAsia="Courier New" w:hAnsi="Courier New"/>
                <w:sz w:val="1"/>
                <w:szCs w:val="1"/>
                <w:color w:val="auto"/>
                <w:w w:val="87"/>
              </w:rPr>
              <w:t>----------------------------------------------------------</w:t>
            </w:r>
            <w:r>
              <w:rPr>
                <w:rFonts w:ascii="Courier New" w:cs="Courier New" w:eastAsia="Courier New" w:hAnsi="Courier New"/>
                <w:sz w:val="2"/>
                <w:szCs w:val="2"/>
                <w:color w:val="auto"/>
                <w:w w:val="87"/>
                <w:vertAlign w:val="subscript"/>
              </w:rPr>
              <w:t>1.</w:t>
            </w:r>
          </w:p>
        </w:tc>
        <w:tc>
          <w:tcPr>
            <w:tcW w:w="2720" w:type="dxa"/>
            <w:vAlign w:val="bottom"/>
            <w:vMerge w:val="restart"/>
          </w:tcPr>
          <w:p>
            <w:pPr>
              <w:spacing w:after="0"/>
              <w:rPr>
                <w:sz w:val="20"/>
                <w:szCs w:val="20"/>
                <w:color w:val="auto"/>
              </w:rPr>
            </w:pPr>
            <w:r>
              <w:rPr>
                <w:rFonts w:ascii="Courier New" w:cs="Courier New" w:eastAsia="Courier New" w:hAnsi="Courier New"/>
                <w:sz w:val="14"/>
                <w:szCs w:val="14"/>
                <w:color w:val="auto"/>
              </w:rPr>
              <w:t>Access the WEBSITE</w:t>
            </w:r>
          </w:p>
        </w:tc>
        <w:tc>
          <w:tcPr>
            <w:tcW w:w="1900" w:type="dxa"/>
            <w:vAlign w:val="bottom"/>
          </w:tcPr>
          <w:p>
            <w:pPr>
              <w:spacing w:after="0"/>
              <w:rPr>
                <w:sz w:val="22"/>
                <w:szCs w:val="22"/>
                <w:color w:val="auto"/>
              </w:rPr>
            </w:pPr>
          </w:p>
        </w:tc>
        <w:tc>
          <w:tcPr>
            <w:tcW w:w="6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Call TOLL-FREE using a Touch Tone phone</w:t>
            </w: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30"/>
              <w:spacing w:after="0"/>
              <w:rPr>
                <w:sz w:val="20"/>
                <w:szCs w:val="20"/>
                <w:color w:val="auto"/>
              </w:rPr>
            </w:pPr>
            <w:r>
              <w:rPr>
                <w:rFonts w:ascii="Courier New" w:cs="Courier New" w:eastAsia="Courier New" w:hAnsi="Courier New"/>
                <w:sz w:val="14"/>
                <w:szCs w:val="14"/>
                <w:color w:val="auto"/>
              </w:rPr>
              <w:t>2.</w:t>
            </w: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HTTP://WWW.EPROXYVOTE.COM/WPO</w:t>
            </w:r>
          </w:p>
        </w:tc>
        <w:tc>
          <w:tcPr>
            <w:tcW w:w="19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1-877-PRX-VOTE (1-877-779-8683)</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Enter your Voter Control Number listed above and</w:t>
            </w:r>
          </w:p>
        </w:tc>
        <w:tc>
          <w:tcPr>
            <w:tcW w:w="1380" w:type="dxa"/>
            <w:vAlign w:val="bottom"/>
            <w:vMerge w:val="continue"/>
          </w:tcPr>
          <w:p>
            <w:pPr>
              <w:spacing w:after="0"/>
              <w:rPr>
                <w:sz w:val="14"/>
                <w:szCs w:val="14"/>
                <w:color w:val="auto"/>
              </w:rPr>
            </w:pPr>
          </w:p>
        </w:tc>
        <w:tc>
          <w:tcPr>
            <w:tcW w:w="4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Enter your Voter Control Number listed above and</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follow the easy steps outlined on the secured</w:t>
            </w:r>
          </w:p>
        </w:tc>
        <w:tc>
          <w:tcPr>
            <w:tcW w:w="1380" w:type="dxa"/>
            <w:vAlign w:val="bottom"/>
          </w:tcPr>
          <w:p>
            <w:pPr>
              <w:spacing w:after="0"/>
              <w:rPr>
                <w:sz w:val="14"/>
                <w:szCs w:val="14"/>
                <w:color w:val="auto"/>
              </w:rPr>
            </w:pPr>
          </w:p>
        </w:tc>
        <w:tc>
          <w:tcPr>
            <w:tcW w:w="4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follow the easy recorded instructions.</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website.</w:t>
            </w:r>
          </w:p>
        </w:tc>
        <w:tc>
          <w:tcPr>
            <w:tcW w:w="1900" w:type="dxa"/>
            <w:vAlign w:val="bottom"/>
          </w:tcPr>
          <w:p>
            <w:pPr>
              <w:spacing w:after="0"/>
              <w:rPr>
                <w:sz w:val="14"/>
                <w:szCs w:val="14"/>
                <w:color w:val="auto"/>
              </w:rPr>
            </w:pPr>
          </w:p>
        </w:tc>
        <w:tc>
          <w:tcPr>
            <w:tcW w:w="60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060" w:type="dxa"/>
            <w:vAlign w:val="bottom"/>
            <w:gridSpan w:val="2"/>
          </w:tcPr>
          <w:p>
            <w:pPr>
              <w:spacing w:after="0"/>
              <w:rPr>
                <w:sz w:val="20"/>
                <w:szCs w:val="20"/>
                <w:color w:val="auto"/>
              </w:rPr>
            </w:pPr>
            <w:r>
              <w:rPr>
                <w:rFonts w:ascii="Courier New" w:cs="Courier New" w:eastAsia="Courier New" w:hAnsi="Courier New"/>
                <w:sz w:val="12"/>
                <w:szCs w:val="12"/>
                <w:color w:val="auto"/>
                <w:w w:val="72"/>
              </w:rPr>
              <w:t>----------------------------------------------------------</w:t>
            </w:r>
          </w:p>
        </w:tc>
        <w:tc>
          <w:tcPr>
            <w:tcW w:w="1900" w:type="dxa"/>
            <w:vAlign w:val="bottom"/>
          </w:tcPr>
          <w:p>
            <w:pPr>
              <w:spacing w:after="0"/>
              <w:rPr>
                <w:sz w:val="21"/>
                <w:szCs w:val="21"/>
                <w:color w:val="auto"/>
              </w:rPr>
            </w:pPr>
          </w:p>
        </w:tc>
        <w:tc>
          <w:tcPr>
            <w:tcW w:w="60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DETACH HERE IF YOU ARE RETURNING YOUR PROXY CARD BY MAIL</w:t>
      </w:r>
    </w:p>
    <w:p>
      <w:pPr>
        <w:spacing w:after="0" w:line="173"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YOUR</w:t>
      </w:r>
    </w:p>
    <w:p>
      <w:pPr>
        <w:spacing w:after="0" w:line="7" w:lineRule="exact"/>
        <w:rPr>
          <w:rFonts w:ascii="Courier New" w:cs="Courier New" w:eastAsia="Courier New" w:hAnsi="Courier New"/>
          <w:sz w:val="14"/>
          <w:szCs w:val="14"/>
          <w:color w:val="auto"/>
        </w:rPr>
      </w:pPr>
    </w:p>
    <w:p>
      <w:pPr>
        <w:ind w:left="520" w:right="9900" w:hanging="339"/>
        <w:spacing w:after="0" w:line="336" w:lineRule="auto"/>
        <w:tabs>
          <w:tab w:leader="none" w:pos="52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VOTES AS IN THIS EXAMPLE.</w:t>
      </w:r>
    </w:p>
    <w:p>
      <w:pPr>
        <w:spacing w:after="0" w:line="19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This proxy will be voted as specified. If no direction is given, proxy will be voted "FOR" proposals 1 and 2.</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5220" w:type="dxa"/>
            <w:vAlign w:val="bottom"/>
            <w:gridSpan w:val="4"/>
            <w:vMerge w:val="restart"/>
          </w:tcPr>
          <w:p>
            <w:pPr>
              <w:spacing w:after="0"/>
              <w:rPr>
                <w:sz w:val="20"/>
                <w:szCs w:val="20"/>
                <w:color w:val="auto"/>
              </w:rPr>
            </w:pPr>
            <w:r>
              <w:rPr>
                <w:rFonts w:ascii="Courier New" w:cs="Courier New" w:eastAsia="Courier New" w:hAnsi="Courier New"/>
                <w:sz w:val="14"/>
                <w:szCs w:val="14"/>
                <w:color w:val="auto"/>
              </w:rPr>
              <w:t>1. Election of Directors (Check only one box)</w:t>
            </w:r>
          </w:p>
        </w:tc>
        <w:tc>
          <w:tcPr>
            <w:tcW w:w="4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FOR</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ABSTAIN</w:t>
            </w:r>
          </w:p>
        </w:tc>
        <w:tc>
          <w:tcPr>
            <w:tcW w:w="0" w:type="dxa"/>
            <w:vAlign w:val="bottom"/>
          </w:tcPr>
          <w:p>
            <w:pPr>
              <w:spacing w:after="0"/>
              <w:rPr>
                <w:sz w:val="1"/>
                <w:szCs w:val="1"/>
                <w:color w:val="auto"/>
              </w:rPr>
            </w:pPr>
          </w:p>
        </w:tc>
      </w:tr>
      <w:tr>
        <w:trPr>
          <w:trHeight w:val="166"/>
        </w:trPr>
        <w:tc>
          <w:tcPr>
            <w:tcW w:w="5220" w:type="dxa"/>
            <w:vAlign w:val="bottom"/>
            <w:gridSpan w:val="4"/>
            <w:vMerge w:val="continue"/>
          </w:tcPr>
          <w:p>
            <w:pPr>
              <w:spacing w:after="0"/>
              <w:rPr>
                <w:sz w:val="14"/>
                <w:szCs w:val="14"/>
                <w:color w:val="auto"/>
              </w:rPr>
            </w:pPr>
          </w:p>
        </w:tc>
        <w:tc>
          <w:tcPr>
            <w:tcW w:w="4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 To transact such other business as may   [ ]</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6"/>
        </w:trPr>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Nominees: 01</w:t>
            </w:r>
          </w:p>
        </w:tc>
        <w:tc>
          <w:tcPr>
            <w:tcW w:w="3880" w:type="dxa"/>
            <w:vAlign w:val="bottom"/>
            <w:gridSpan w:val="3"/>
            <w:vMerge w:val="restart"/>
          </w:tcPr>
          <w:p>
            <w:pPr>
              <w:ind w:left="40"/>
              <w:spacing w:after="0"/>
              <w:rPr>
                <w:sz w:val="20"/>
                <w:szCs w:val="20"/>
                <w:color w:val="auto"/>
              </w:rPr>
            </w:pPr>
            <w:r>
              <w:rPr>
                <w:rFonts w:ascii="Courier New" w:cs="Courier New" w:eastAsia="Courier New" w:hAnsi="Courier New"/>
                <w:sz w:val="14"/>
                <w:szCs w:val="14"/>
                <w:color w:val="auto"/>
              </w:rPr>
              <w:t>John L. Dotson Jr., 02 Ronald L. Olson, and</w:t>
            </w:r>
          </w:p>
        </w:tc>
        <w:tc>
          <w:tcPr>
            <w:tcW w:w="4300" w:type="dxa"/>
            <w:vAlign w:val="bottom"/>
          </w:tcPr>
          <w:p>
            <w:pPr>
              <w:ind w:left="380"/>
              <w:spacing w:after="0"/>
              <w:rPr>
                <w:sz w:val="20"/>
                <w:szCs w:val="20"/>
                <w:color w:val="auto"/>
              </w:rPr>
            </w:pPr>
            <w:r>
              <w:rPr>
                <w:rFonts w:ascii="Courier New" w:cs="Courier New" w:eastAsia="Courier New" w:hAnsi="Courier New"/>
                <w:sz w:val="14"/>
                <w:szCs w:val="14"/>
                <w:color w:val="auto"/>
              </w:rPr>
              <w:t>properly come before said meeting or</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40" w:type="dxa"/>
            <w:vAlign w:val="bottom"/>
            <w:vMerge w:val="continue"/>
          </w:tcPr>
          <w:p>
            <w:pPr>
              <w:spacing w:after="0"/>
              <w:rPr>
                <w:sz w:val="14"/>
                <w:szCs w:val="14"/>
                <w:color w:val="auto"/>
              </w:rPr>
            </w:pPr>
          </w:p>
        </w:tc>
        <w:tc>
          <w:tcPr>
            <w:tcW w:w="3880" w:type="dxa"/>
            <w:vAlign w:val="bottom"/>
            <w:gridSpan w:val="3"/>
            <w:vMerge w:val="continue"/>
          </w:tcPr>
          <w:p>
            <w:pPr>
              <w:spacing w:after="0"/>
              <w:rPr>
                <w:sz w:val="14"/>
                <w:szCs w:val="14"/>
                <w:color w:val="auto"/>
              </w:rPr>
            </w:pPr>
          </w:p>
        </w:tc>
        <w:tc>
          <w:tcPr>
            <w:tcW w:w="4300" w:type="dxa"/>
            <w:vAlign w:val="bottom"/>
          </w:tcPr>
          <w:p>
            <w:pPr>
              <w:ind w:left="380"/>
              <w:spacing w:after="0"/>
              <w:rPr>
                <w:sz w:val="20"/>
                <w:szCs w:val="20"/>
                <w:color w:val="auto"/>
              </w:rPr>
            </w:pPr>
            <w:r>
              <w:rPr>
                <w:rFonts w:ascii="Courier New" w:cs="Courier New" w:eastAsia="Courier New" w:hAnsi="Courier New"/>
                <w:sz w:val="14"/>
                <w:szCs w:val="14"/>
                <w:color w:val="auto"/>
              </w:rPr>
              <w:t>any adjournment thereof.</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Alice M. Rivlin</w:t>
            </w: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34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FOR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WITHHELD</w:t>
            </w:r>
          </w:p>
        </w:tc>
        <w:tc>
          <w:tcPr>
            <w:tcW w:w="15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WITHHELD</w:t>
            </w:r>
          </w:p>
        </w:tc>
        <w:tc>
          <w:tcPr>
            <w:tcW w:w="4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80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FOR</w:t>
            </w:r>
          </w:p>
        </w:tc>
        <w:tc>
          <w:tcPr>
            <w:tcW w:w="8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1560" w:type="dxa"/>
            <w:vAlign w:val="bottom"/>
            <w:vMerge w:val="continue"/>
          </w:tcPr>
          <w:p>
            <w:pPr>
              <w:spacing w:after="0"/>
              <w:rPr>
                <w:sz w:val="14"/>
                <w:szCs w:val="14"/>
                <w:color w:val="auto"/>
              </w:rPr>
            </w:pPr>
          </w:p>
        </w:tc>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ALL   [ ]</w:t>
            </w:r>
          </w:p>
        </w:tc>
        <w:tc>
          <w:tcPr>
            <w:tcW w:w="860" w:type="dxa"/>
            <w:vAlign w:val="bottom"/>
            <w:vMerge w:val="continue"/>
          </w:tcPr>
          <w:p>
            <w:pPr>
              <w:spacing w:after="0"/>
              <w:rPr>
                <w:sz w:val="14"/>
                <w:szCs w:val="14"/>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FROM ALL</w:t>
            </w:r>
          </w:p>
        </w:tc>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80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NOMINEES</w:t>
            </w:r>
          </w:p>
        </w:tc>
        <w:tc>
          <w:tcPr>
            <w:tcW w:w="860" w:type="dxa"/>
            <w:vAlign w:val="bottom"/>
          </w:tcPr>
          <w:p>
            <w:pPr>
              <w:spacing w:after="0"/>
              <w:rPr>
                <w:sz w:val="21"/>
                <w:szCs w:val="21"/>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NOMINEES</w:t>
            </w:r>
          </w:p>
        </w:tc>
        <w:tc>
          <w:tcPr>
            <w:tcW w:w="4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60" w:hanging="163"/>
        <w:spacing w:after="0"/>
        <w:tabs>
          <w:tab w:leader="none" w:pos="8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_________________________________________________</w:t>
      </w:r>
    </w:p>
    <w:p>
      <w:pPr>
        <w:spacing w:after="0" w:line="33" w:lineRule="exact"/>
        <w:rPr>
          <w:rFonts w:ascii="Courier New" w:cs="Courier New" w:eastAsia="Courier New" w:hAnsi="Courier New"/>
          <w:sz w:val="14"/>
          <w:szCs w:val="14"/>
          <w:color w:val="auto"/>
        </w:rPr>
      </w:pPr>
    </w:p>
    <w:p>
      <w:pPr>
        <w:ind w:left="1040" w:right="6800"/>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all nominees (except as stockholder may indicate above)</w:t>
      </w:r>
    </w:p>
    <w:p>
      <w:pPr>
        <w:spacing w:after="0" w:line="27"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I will attend the meeting. [ ]</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Please sign exactly as name appears hereon. Joint owners</w:t>
      </w:r>
    </w:p>
    <w:p>
      <w:pPr>
        <w:spacing w:after="0" w:line="3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should each sign. When signing as attorney, executor,</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administrator, trustee or guardian, please give full title</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as such. If the signer is a corporation, please sign full</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corporate name by duly authorized officer.</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Signature:________________________________ Date:_________________ Signature:________________________________ Date:_________________</w:t>
      </w:r>
    </w:p>
    <w:p>
      <w:pPr>
        <w:sectPr>
          <w:pgSz w:w="11900" w:h="16838" w:orient="portrait"/>
          <w:cols w:equalWidth="0" w:num="1">
            <w:col w:w="11540"/>
          </w:cols>
          <w:pgMar w:left="220" w:top="1440" w:right="139"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 ------------------------------------------------------------------------------------------------------------------------------------</w:t>
      </w:r>
    </w:p>
    <w:p>
      <w:pPr>
        <w:spacing w:after="0" w:line="33" w:lineRule="exact"/>
        <w:rPr>
          <w:sz w:val="20"/>
          <w:szCs w:val="20"/>
          <w:color w:val="auto"/>
        </w:rPr>
      </w:pPr>
    </w:p>
    <w:p>
      <w:pPr>
        <w:ind w:left="260"/>
        <w:spacing w:after="0"/>
        <w:tabs>
          <w:tab w:leader="none" w:pos="5320" w:val="left"/>
          <w:tab w:leader="none" w:pos="9720" w:val="left"/>
        </w:tabs>
        <w:rPr>
          <w:sz w:val="20"/>
          <w:szCs w:val="20"/>
          <w:color w:val="auto"/>
        </w:rPr>
      </w:pPr>
      <w:r>
        <w:rPr>
          <w:rFonts w:ascii="Courier New" w:cs="Courier New" w:eastAsia="Courier New" w:hAnsi="Courier New"/>
          <w:sz w:val="14"/>
          <w:szCs w:val="14"/>
          <w:color w:val="auto"/>
        </w:rPr>
        <w:t>VOTE BY TELEPHONE</w:t>
      </w:r>
      <w:r>
        <w:rPr>
          <w:sz w:val="20"/>
          <w:szCs w:val="20"/>
          <w:color w:val="auto"/>
        </w:rPr>
        <w:tab/>
      </w:r>
      <w:r>
        <w:rPr>
          <w:rFonts w:ascii="Courier New" w:cs="Courier New" w:eastAsia="Courier New" w:hAnsi="Courier New"/>
          <w:sz w:val="14"/>
          <w:szCs w:val="14"/>
          <w:color w:val="auto"/>
        </w:rPr>
        <w:t>VOTE BY INTERNET</w:t>
      </w:r>
      <w:r>
        <w:rPr>
          <w:sz w:val="20"/>
          <w:szCs w:val="20"/>
          <w:color w:val="auto"/>
        </w:rPr>
        <w:tab/>
      </w:r>
      <w:r>
        <w:rPr>
          <w:rFonts w:ascii="Courier New" w:cs="Courier New" w:eastAsia="Courier New" w:hAnsi="Courier New"/>
          <w:sz w:val="14"/>
          <w:szCs w:val="14"/>
          <w:color w:val="auto"/>
        </w:rPr>
        <w:t>VOTE BY MAIL</w:t>
      </w:r>
    </w:p>
    <w:p>
      <w:pPr>
        <w:spacing w:after="0" w:line="7" w:lineRule="exact"/>
        <w:rPr>
          <w:sz w:val="20"/>
          <w:szCs w:val="20"/>
          <w:color w:val="auto"/>
        </w:rPr>
      </w:pPr>
    </w:p>
    <w:p>
      <w:pPr>
        <w:ind w:left="100"/>
        <w:spacing w:after="0"/>
        <w:tabs>
          <w:tab w:leader="none" w:pos="4980" w:val="left"/>
          <w:tab w:leader="none" w:pos="9300" w:val="left"/>
        </w:tabs>
        <w:rPr>
          <w:sz w:val="20"/>
          <w:szCs w:val="20"/>
          <w:color w:val="auto"/>
        </w:rPr>
      </w:pPr>
      <w:r>
        <w:rPr>
          <w:rFonts w:ascii="Courier New" w:cs="Courier New" w:eastAsia="Courier New" w:hAnsi="Courier New"/>
          <w:sz w:val="14"/>
          <w:szCs w:val="14"/>
          <w:color w:val="auto"/>
        </w:rPr>
        <w:t>Call TOLL-FREE using a</w:t>
      </w:r>
      <w:r>
        <w:rPr>
          <w:sz w:val="20"/>
          <w:szCs w:val="20"/>
          <w:color w:val="auto"/>
        </w:rPr>
        <w:tab/>
      </w:r>
      <w:r>
        <w:rPr>
          <w:rFonts w:ascii="Courier New" w:cs="Courier New" w:eastAsia="Courier New" w:hAnsi="Courier New"/>
          <w:sz w:val="14"/>
          <w:szCs w:val="14"/>
          <w:color w:val="auto"/>
        </w:rPr>
        <w:t>Access the WEBSITE and</w:t>
      </w:r>
      <w:r>
        <w:rPr>
          <w:sz w:val="20"/>
          <w:szCs w:val="20"/>
          <w:color w:val="auto"/>
        </w:rPr>
        <w:tab/>
      </w:r>
      <w:r>
        <w:rPr>
          <w:rFonts w:ascii="Courier New" w:cs="Courier New" w:eastAsia="Courier New" w:hAnsi="Courier New"/>
          <w:sz w:val="14"/>
          <w:szCs w:val="14"/>
          <w:color w:val="auto"/>
        </w:rPr>
        <w:t>Return your proxy in the</w:t>
      </w:r>
    </w:p>
    <w:p>
      <w:pPr>
        <w:spacing w:after="0" w:line="7" w:lineRule="exact"/>
        <w:rPr>
          <w:sz w:val="20"/>
          <w:szCs w:val="20"/>
          <w:color w:val="auto"/>
        </w:rPr>
      </w:pPr>
    </w:p>
    <w:p>
      <w:pPr>
        <w:ind w:left="260"/>
        <w:spacing w:after="0"/>
        <w:tabs>
          <w:tab w:leader="none" w:pos="5320" w:val="left"/>
          <w:tab w:leader="none" w:pos="9380" w:val="left"/>
        </w:tabs>
        <w:rPr>
          <w:sz w:val="20"/>
          <w:szCs w:val="20"/>
          <w:color w:val="auto"/>
        </w:rPr>
      </w:pPr>
      <w:r>
        <w:rPr>
          <w:rFonts w:ascii="Courier New" w:cs="Courier New" w:eastAsia="Courier New" w:hAnsi="Courier New"/>
          <w:sz w:val="14"/>
          <w:szCs w:val="14"/>
          <w:color w:val="auto"/>
        </w:rPr>
        <w:t>Touch Tone phone</w:t>
      </w:r>
      <w:r>
        <w:rPr>
          <w:sz w:val="20"/>
          <w:szCs w:val="20"/>
          <w:color w:val="auto"/>
        </w:rPr>
        <w:tab/>
      </w:r>
      <w:r>
        <w:rPr>
          <w:rFonts w:ascii="Courier New" w:cs="Courier New" w:eastAsia="Courier New" w:hAnsi="Courier New"/>
          <w:sz w:val="14"/>
          <w:szCs w:val="14"/>
          <w:color w:val="auto"/>
        </w:rPr>
        <w:t>cast your vote</w:t>
      </w:r>
      <w:r>
        <w:rPr>
          <w:sz w:val="20"/>
          <w:szCs w:val="20"/>
          <w:color w:val="auto"/>
        </w:rPr>
        <w:tab/>
      </w:r>
      <w:r>
        <w:rPr>
          <w:rFonts w:ascii="Courier New" w:cs="Courier New" w:eastAsia="Courier New" w:hAnsi="Courier New"/>
          <w:sz w:val="14"/>
          <w:szCs w:val="14"/>
          <w:color w:val="auto"/>
        </w:rPr>
        <w:t>POSTAGE-PAID envelope</w:t>
      </w:r>
    </w:p>
    <w:p>
      <w:pPr>
        <w:spacing w:after="0" w:line="7" w:lineRule="exact"/>
        <w:rPr>
          <w:sz w:val="20"/>
          <w:szCs w:val="20"/>
          <w:color w:val="auto"/>
        </w:rPr>
      </w:pPr>
    </w:p>
    <w:p>
      <w:pPr>
        <w:ind w:left="360"/>
        <w:spacing w:after="0"/>
        <w:tabs>
          <w:tab w:leader="none" w:pos="4820" w:val="left"/>
          <w:tab w:leader="none" w:pos="9900" w:val="left"/>
        </w:tabs>
        <w:rPr>
          <w:sz w:val="20"/>
          <w:szCs w:val="20"/>
          <w:color w:val="auto"/>
        </w:rPr>
      </w:pPr>
      <w:r>
        <w:rPr>
          <w:rFonts w:ascii="Courier New" w:cs="Courier New" w:eastAsia="Courier New" w:hAnsi="Courier New"/>
          <w:sz w:val="14"/>
          <w:szCs w:val="14"/>
          <w:color w:val="auto"/>
        </w:rPr>
        <w:t>1-877-PRX-VOTE</w:t>
      </w:r>
      <w:r>
        <w:rPr>
          <w:sz w:val="20"/>
          <w:szCs w:val="20"/>
          <w:color w:val="auto"/>
        </w:rPr>
        <w:tab/>
      </w:r>
      <w:r>
        <w:rPr>
          <w:rFonts w:ascii="Courier New" w:cs="Courier New" w:eastAsia="Courier New" w:hAnsi="Courier New"/>
          <w:sz w:val="14"/>
          <w:szCs w:val="14"/>
          <w:color w:val="auto"/>
        </w:rPr>
        <w:t>http://www.eproxyvote.com/wpo</w:t>
      </w:r>
      <w:r>
        <w:rPr>
          <w:sz w:val="20"/>
          <w:szCs w:val="20"/>
          <w:color w:val="auto"/>
        </w:rPr>
        <w:tab/>
      </w:r>
      <w:r>
        <w:rPr>
          <w:rFonts w:ascii="Courier New" w:cs="Courier New" w:eastAsia="Courier New" w:hAnsi="Courier New"/>
          <w:sz w:val="14"/>
          <w:szCs w:val="14"/>
          <w:color w:val="auto"/>
        </w:rPr>
        <w:t>provided</w:t>
      </w:r>
    </w:p>
    <w:p>
      <w:pPr>
        <w:spacing w:after="0" w:line="7" w:lineRule="exact"/>
        <w:rPr>
          <w:sz w:val="20"/>
          <w:szCs w:val="20"/>
          <w:color w:val="auto"/>
        </w:rPr>
      </w:pPr>
    </w:p>
    <w:p>
      <w:pPr>
        <w:ind w:left="360"/>
        <w:spacing w:after="0"/>
        <w:tabs>
          <w:tab w:leader="none" w:pos="4820" w:val="left"/>
        </w:tabs>
        <w:rPr>
          <w:sz w:val="20"/>
          <w:szCs w:val="20"/>
          <w:color w:val="auto"/>
        </w:rPr>
      </w:pPr>
      <w:r>
        <w:rPr>
          <w:rFonts w:ascii="Courier New" w:cs="Courier New" w:eastAsia="Courier New" w:hAnsi="Courier New"/>
          <w:sz w:val="14"/>
          <w:szCs w:val="14"/>
          <w:color w:val="auto"/>
        </w:rPr>
        <w:t>1-877-779-8683</w:t>
      </w:r>
      <w:r>
        <w:rPr>
          <w:sz w:val="20"/>
          <w:szCs w:val="20"/>
          <w:color w:val="auto"/>
        </w:rPr>
        <w:tab/>
      </w:r>
      <w:r>
        <w:rPr>
          <w:rFonts w:ascii="Courier New" w:cs="Courier New" w:eastAsia="Courier New" w:hAnsi="Courier New"/>
          <w:sz w:val="14"/>
          <w:szCs w:val="14"/>
          <w:color w:val="auto"/>
        </w:rPr>
        <w: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24 HOURS A DAY, 7 DAYS A WEEK!</w:t>
      </w:r>
    </w:p>
    <w:p>
      <w:pPr>
        <w:spacing w:after="0" w:line="33" w:lineRule="exact"/>
        <w:rPr>
          <w:sz w:val="20"/>
          <w:szCs w:val="20"/>
          <w:color w:val="auto"/>
        </w:rPr>
      </w:pPr>
    </w:p>
    <w:p>
      <w:pPr>
        <w:ind w:right="600"/>
        <w:spacing w:after="0" w:line="336" w:lineRule="auto"/>
        <w:rPr>
          <w:sz w:val="20"/>
          <w:szCs w:val="20"/>
          <w:color w:val="auto"/>
        </w:rPr>
      </w:pPr>
      <w:r>
        <w:rPr>
          <w:rFonts w:ascii="Courier New" w:cs="Courier New" w:eastAsia="Courier New" w:hAnsi="Courier New"/>
          <w:sz w:val="14"/>
          <w:szCs w:val="14"/>
          <w:color w:val="auto"/>
        </w:rPr>
        <w:t>Your telephone or Internet vote must be received by 5:00 p.m. eastern daylight time on May 12, 2004, to be counted in the final tabulation.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TELEPHONE</w:t>
      </w:r>
    </w:p>
    <w:p>
      <w:pPr>
        <w:spacing w:after="0" w:line="33" w:lineRule="exact"/>
        <w:rPr>
          <w:sz w:val="20"/>
          <w:szCs w:val="20"/>
          <w:color w:val="auto"/>
        </w:rPr>
      </w:pPr>
    </w:p>
    <w:p>
      <w:pPr>
        <w:ind w:right="340"/>
        <w:spacing w:after="0" w:line="293" w:lineRule="auto"/>
        <w:rPr>
          <w:sz w:val="20"/>
          <w:szCs w:val="20"/>
          <w:color w:val="auto"/>
        </w:rPr>
      </w:pPr>
      <w:r>
        <w:rPr>
          <w:rFonts w:ascii="Courier New" w:cs="Courier New" w:eastAsia="Courier New" w:hAnsi="Courier New"/>
          <w:sz w:val="14"/>
          <w:szCs w:val="14"/>
          <w:color w:val="auto"/>
        </w:rPr>
        <w:t>Have your proxy card available when you call the Toll-Free number 1-800-PRX-VOTE using a Touch-Tone phone. You will be prompted to enter your control number printed on your proxy card and then you can follow the simple prompts that will be presented to you to record your vote. If you vote your shares by telephone, you do not need to return the proxy card.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INTERNET</w:t>
      </w:r>
    </w:p>
    <w:p>
      <w:pPr>
        <w:spacing w:after="0" w:line="33" w:lineRule="exact"/>
        <w:rPr>
          <w:sz w:val="20"/>
          <w:szCs w:val="20"/>
          <w:color w:val="auto"/>
        </w:rPr>
      </w:pPr>
    </w:p>
    <w:p>
      <w:pPr>
        <w:ind w:right="160"/>
        <w:spacing w:after="0" w:line="293" w:lineRule="auto"/>
        <w:rPr>
          <w:sz w:val="20"/>
          <w:szCs w:val="20"/>
          <w:color w:val="auto"/>
        </w:rPr>
      </w:pPr>
      <w:r>
        <w:rPr>
          <w:rFonts w:ascii="Courier New" w:cs="Courier New" w:eastAsia="Courier New" w:hAnsi="Courier New"/>
          <w:sz w:val="14"/>
          <w:szCs w:val="14"/>
          <w:color w:val="auto"/>
        </w:rPr>
        <w:t>Have your proxy card available when you access the website http://www.eproxyvote.com/wpo. You will be prompted to enter your control number printed on your proxy card and then you can follow the simple prompts that will be presented to you to record your vote. If you vote shares electronically, you do not need to return the proxy card.</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MAIL</w:t>
      </w:r>
    </w:p>
    <w:p>
      <w:pPr>
        <w:spacing w:after="0" w:line="33" w:lineRule="exact"/>
        <w:rPr>
          <w:sz w:val="20"/>
          <w:szCs w:val="20"/>
          <w:color w:val="auto"/>
        </w:rPr>
      </w:pPr>
    </w:p>
    <w:p>
      <w:pPr>
        <w:ind w:right="240"/>
        <w:spacing w:after="0" w:line="336" w:lineRule="auto"/>
        <w:rPr>
          <w:sz w:val="20"/>
          <w:szCs w:val="20"/>
          <w:color w:val="auto"/>
        </w:rPr>
      </w:pPr>
      <w:r>
        <w:rPr>
          <w:rFonts w:ascii="Courier New" w:cs="Courier New" w:eastAsia="Courier New" w:hAnsi="Courier New"/>
          <w:sz w:val="14"/>
          <w:szCs w:val="14"/>
          <w:color w:val="auto"/>
        </w:rPr>
        <w:t>Please mark, sign and date your proxy card and return it in the postage-paid envelope provided or return it to: The Washington Post Company, c/o EquiServe Trust Co., N.A., P.O. Box 8289, Edison, NJ 08818-9126.</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CHANGE YOUR VOTE</w:t>
      </w:r>
    </w:p>
    <w:p>
      <w:pPr>
        <w:spacing w:after="0" w:line="33" w:lineRule="exact"/>
        <w:rPr>
          <w:sz w:val="20"/>
          <w:szCs w:val="20"/>
          <w:color w:val="auto"/>
        </w:rPr>
      </w:pPr>
    </w:p>
    <w:p>
      <w:pPr>
        <w:ind w:right="420"/>
        <w:spacing w:after="0" w:line="293" w:lineRule="auto"/>
        <w:rPr>
          <w:sz w:val="20"/>
          <w:szCs w:val="20"/>
          <w:color w:val="auto"/>
        </w:rPr>
      </w:pPr>
      <w:r>
        <w:rPr>
          <w:rFonts w:ascii="Courier New" w:cs="Courier New" w:eastAsia="Courier New" w:hAnsi="Courier New"/>
          <w:sz w:val="14"/>
          <w:szCs w:val="14"/>
          <w:color w:val="auto"/>
        </w:rPr>
        <w:t>Any subsequent vote by any means will change your prior vote. For example, if you voted by telephone, a subsequent Internet vote will change your vote. The last vote received before 5:00 p.m. eastern daylight time on May 12, 2004 will be the one counted. You may also revoke your proxy by voting in person at the annual meeting.</w:t>
      </w:r>
    </w:p>
    <w:p>
      <w:pPr>
        <w:spacing w:after="0" w:line="38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DETACH HERE IF YOU ARE RETURNING YOUR PROXY CARD BY MAIL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92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THE WASHINGTON POST COMPANY</w:t>
            </w:r>
          </w:p>
        </w:tc>
        <w:tc>
          <w:tcPr>
            <w:tcW w:w="4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92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CLASS B COMMON STOCK</w:t>
            </w:r>
          </w:p>
        </w:tc>
        <w:tc>
          <w:tcPr>
            <w:tcW w:w="4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P</w:t>
            </w:r>
          </w:p>
        </w:tc>
        <w:tc>
          <w:tcPr>
            <w:tcW w:w="3960" w:type="dxa"/>
            <w:vAlign w:val="bottom"/>
          </w:tcPr>
          <w:p>
            <w:pPr>
              <w:ind w:left="3220"/>
              <w:spacing w:after="0"/>
              <w:rPr>
                <w:sz w:val="20"/>
                <w:szCs w:val="20"/>
                <w:color w:val="auto"/>
              </w:rPr>
            </w:pPr>
            <w:r>
              <w:rPr>
                <w:rFonts w:ascii="Courier New" w:cs="Courier New" w:eastAsia="Courier New" w:hAnsi="Courier New"/>
                <w:sz w:val="14"/>
                <w:szCs w:val="14"/>
                <w:color w:val="auto"/>
              </w:rPr>
              <w:t>PROXY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ANNUAL MEETING</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STOCKHOLDERS --</w:t>
            </w:r>
          </w:p>
        </w:tc>
        <w:tc>
          <w:tcPr>
            <w:tcW w:w="452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MAY 13, 2004</w:t>
            </w:r>
          </w:p>
        </w:tc>
        <w:tc>
          <w:tcPr>
            <w:tcW w:w="0" w:type="dxa"/>
            <w:vAlign w:val="bottom"/>
          </w:tcPr>
          <w:p>
            <w:pPr>
              <w:spacing w:after="0"/>
              <w:rPr>
                <w:sz w:val="1"/>
                <w:szCs w:val="1"/>
                <w:color w:val="auto"/>
              </w:rPr>
            </w:pPr>
          </w:p>
        </w:tc>
      </w:tr>
      <w:tr>
        <w:trPr>
          <w:trHeight w:val="242"/>
        </w:trPr>
        <w:tc>
          <w:tcPr>
            <w:tcW w:w="140" w:type="dxa"/>
            <w:vAlign w:val="bottom"/>
            <w:vMerge w:val="continue"/>
          </w:tcPr>
          <w:p>
            <w:pPr>
              <w:spacing w:after="0"/>
              <w:rPr>
                <w:sz w:val="21"/>
                <w:szCs w:val="21"/>
                <w:color w:val="auto"/>
              </w:rPr>
            </w:pPr>
          </w:p>
        </w:tc>
        <w:tc>
          <w:tcPr>
            <w:tcW w:w="5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SOLICITED ON BEHALF</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BOARD OF DIRECTORS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80" w:hanging="772"/>
        <w:spacing w:after="0"/>
        <w:tabs>
          <w:tab w:leader="none" w:pos="7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appoints Donald E. Graham, John B. Morse, Jr., Diana M. Daniels and Gerald M. Rosberg, and</w:t>
      </w:r>
    </w:p>
    <w:p>
      <w:pPr>
        <w:spacing w:after="0" w:line="3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each of them, his/her true and lawful agents and proxies, with full power of substitution in each, to represent the</w:t>
      </w:r>
    </w:p>
    <w:p>
      <w:pPr>
        <w:spacing w:after="0" w:line="7" w:lineRule="exact"/>
        <w:rPr>
          <w:sz w:val="20"/>
          <w:szCs w:val="20"/>
          <w:color w:val="auto"/>
        </w:rPr>
      </w:pPr>
    </w:p>
    <w:p>
      <w:pPr>
        <w:ind w:left="780" w:right="860" w:hanging="772"/>
        <w:spacing w:after="0" w:line="250" w:lineRule="auto"/>
        <w:tabs>
          <w:tab w:leader="none" w:pos="7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undersigned, and to vote as indicated on the reverse of this Proxy all shares of Class B Common Stock which the undersigned is entitled to vote, at the Annual Meeting of Stockholders of THE WASHINGTON POST COMPANY to be held on</w:t>
      </w:r>
    </w:p>
    <w:p>
      <w:pPr>
        <w:spacing w:after="0" w:line="1" w:lineRule="exact"/>
        <w:rPr>
          <w:sz w:val="20"/>
          <w:szCs w:val="20"/>
          <w:color w:val="auto"/>
        </w:rPr>
      </w:pPr>
    </w:p>
    <w:p>
      <w:pPr>
        <w:ind w:left="780" w:hanging="772"/>
        <w:spacing w:after="0"/>
        <w:tabs>
          <w:tab w:leader="none" w:pos="7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13, 2004, and at any adjournments thereof, on all matters coming before said meeting.</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w:t>
      </w:r>
    </w:p>
    <w:p>
      <w:pPr>
        <w:spacing w:after="0" w:line="173" w:lineRule="exact"/>
        <w:rPr>
          <w:sz w:val="20"/>
          <w:szCs w:val="20"/>
          <w:color w:val="auto"/>
        </w:rPr>
      </w:pPr>
    </w:p>
    <w:p>
      <w:pPr>
        <w:ind w:left="780"/>
        <w:spacing w:after="0"/>
        <w:tabs>
          <w:tab w:leader="none" w:pos="6700" w:val="left"/>
        </w:tabs>
        <w:rPr>
          <w:sz w:val="20"/>
          <w:szCs w:val="20"/>
          <w:color w:val="auto"/>
        </w:rPr>
      </w:pPr>
      <w:r>
        <w:rPr>
          <w:rFonts w:ascii="Courier New" w:cs="Courier New" w:eastAsia="Courier New" w:hAnsi="Courier New"/>
          <w:sz w:val="14"/>
          <w:szCs w:val="14"/>
          <w:color w:val="auto"/>
        </w:rPr>
        <w:t>THIS PROXY WILL BE VOTED AS SPECIFIED ON THE REVERSE SIDE</w:t>
      </w:r>
      <w:r>
        <w:rPr>
          <w:sz w:val="20"/>
          <w:szCs w:val="20"/>
          <w:color w:val="auto"/>
        </w:rPr>
        <w:tab/>
      </w:r>
      <w:r>
        <w:rPr>
          <w:rFonts w:ascii="Courier New" w:cs="Courier New" w:eastAsia="Courier New" w:hAnsi="Courier New"/>
          <w:sz w:val="14"/>
          <w:szCs w:val="14"/>
          <w:color w:val="auto"/>
        </w:rPr>
        <w:t>(Continued, and to be signed on reverse side)</w:t>
      </w:r>
    </w:p>
    <w:sectPr>
      <w:pgSz w:w="11900" w:h="16838" w:orient="portrait"/>
      <w:cols w:equalWidth="0" w:num="1">
        <w:col w:w="11540"/>
      </w:cols>
      <w:pgMar w:left="220" w:top="10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lvl w:ilvl="1">
      <w:lvlJc w:val="left"/>
      <w:lvlText w:val="(%2)"/>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upperLetter"/>
      <w:start w:val="17"/>
    </w:lvl>
  </w:abstractNum>
  <w:abstractNum w:abstractNumId="6">
    <w:nsid w:val="77465F01"/>
    <w:multiLevelType w:val="hybridMultilevel"/>
    <w:lvl w:ilvl="0">
      <w:lvlJc w:val="left"/>
      <w:lvlText w:val="%1:"/>
      <w:numFmt w:val="upperLetter"/>
      <w:start w:val="1"/>
    </w:lvl>
  </w:abstractNum>
  <w:abstractNum w:abstractNumId="7">
    <w:nsid w:val="7724C67E"/>
    <w:multiLevelType w:val="hybridMultilevel"/>
    <w:lvl w:ilvl="0">
      <w:lvlJc w:val="left"/>
      <w:lvlText w:val="%1:"/>
      <w:numFmt w:val="upperLetter"/>
      <w:start w:val="17"/>
    </w:lvl>
  </w:abstractNum>
  <w:abstractNum w:abstractNumId="8">
    <w:nsid w:val="5C482A97"/>
    <w:multiLevelType w:val="hybridMultilevel"/>
    <w:lvl w:ilvl="0">
      <w:lvlJc w:val="left"/>
      <w:lvlText w:val="%1:"/>
      <w:numFmt w:val="upperLetter"/>
      <w:start w:val="1"/>
    </w:lvl>
  </w:abstractNum>
  <w:abstractNum w:abstractNumId="9">
    <w:nsid w:val="2463B9EA"/>
    <w:multiLevelType w:val="hybridMultilevel"/>
    <w:lvl w:ilvl="0">
      <w:lvlJc w:val="left"/>
      <w:lvlText w:val="%1:"/>
      <w:numFmt w:val="upperLetter"/>
      <w:start w:val="17"/>
    </w:lvl>
  </w:abstractNum>
  <w:abstractNum w:abstractNumId="10">
    <w:nsid w:val="5E884ADC"/>
    <w:multiLevelType w:val="hybridMultilevel"/>
    <w:lvl w:ilvl="0">
      <w:lvlJc w:val="left"/>
      <w:lvlText w:val="%1:"/>
      <w:numFmt w:val="upperLetter"/>
      <w:start w:val="1"/>
    </w:lvl>
  </w:abstractNum>
  <w:abstractNum w:abstractNumId="11">
    <w:nsid w:val="51EAD36B"/>
    <w:multiLevelType w:val="hybridMultilevel"/>
    <w:lvl w:ilvl="0">
      <w:lvlJc w:val="left"/>
      <w:lvlText w:val="%1:"/>
      <w:numFmt w:val="upperLetter"/>
      <w:start w:val="17"/>
    </w:lvl>
  </w:abstractNum>
  <w:abstractNum w:abstractNumId="12">
    <w:nsid w:val="2D517796"/>
    <w:multiLevelType w:val="hybridMultilevel"/>
    <w:lvl w:ilvl="0">
      <w:lvlJc w:val="left"/>
      <w:lvlText w:val="%1:"/>
      <w:numFmt w:val="upperLetter"/>
      <w:start w:val="1"/>
    </w:lvl>
  </w:abstractNum>
  <w:abstractNum w:abstractNumId="13">
    <w:nsid w:val="580BD78F"/>
    <w:multiLevelType w:val="hybridMultilevel"/>
    <w:lvl w:ilvl="0">
      <w:lvlJc w:val="left"/>
      <w:lvlText w:val="%1:"/>
      <w:numFmt w:val="upperLetter"/>
      <w:start w:val="17"/>
    </w:lvl>
  </w:abstractNum>
  <w:abstractNum w:abstractNumId="14">
    <w:nsid w:val="153EA438"/>
    <w:multiLevelType w:val="hybridMultilevel"/>
    <w:lvl w:ilvl="0">
      <w:lvlJc w:val="left"/>
      <w:lvlText w:val="%1:"/>
      <w:numFmt w:val="upperLetter"/>
      <w:start w:val="1"/>
    </w:lvl>
  </w:abstractNum>
  <w:abstractNum w:abstractNumId="15">
    <w:nsid w:val="3855585C"/>
    <w:multiLevelType w:val="hybridMultilevel"/>
    <w:lvl w:ilvl="0">
      <w:lvlJc w:val="left"/>
      <w:lvlText w:val="%1:"/>
      <w:numFmt w:val="upperLetter"/>
      <w:start w:val="17"/>
    </w:lvl>
  </w:abstractNum>
  <w:abstractNum w:abstractNumId="16">
    <w:nsid w:val="70A64E2A"/>
    <w:multiLevelType w:val="hybridMultilevel"/>
    <w:lvl w:ilvl="0">
      <w:lvlJc w:val="left"/>
      <w:lvlText w:val="%1:"/>
      <w:numFmt w:val="upperLetter"/>
      <w:start w:val="1"/>
    </w:lvl>
  </w:abstractNum>
  <w:abstractNum w:abstractNumId="17">
    <w:nsid w:val="6A2342EC"/>
    <w:multiLevelType w:val="hybridMultilevel"/>
    <w:lvl w:ilvl="0">
      <w:lvlJc w:val="left"/>
      <w:lvlText w:val="%1:"/>
      <w:numFmt w:val="upperLetter"/>
      <w:start w:val="17"/>
    </w:lvl>
  </w:abstractNum>
  <w:abstractNum w:abstractNumId="18">
    <w:nsid w:val="2A487CB0"/>
    <w:multiLevelType w:val="hybridMultilevel"/>
    <w:lvl w:ilvl="0">
      <w:lvlJc w:val="left"/>
      <w:lvlText w:val="%1:"/>
      <w:numFmt w:val="upperLetter"/>
      <w:start w:val="1"/>
    </w:lvl>
  </w:abstractNum>
  <w:abstractNum w:abstractNumId="19">
    <w:nsid w:val="1D4ED43B"/>
    <w:multiLevelType w:val="hybridMultilevel"/>
    <w:lvl w:ilvl="0">
      <w:lvlJc w:val="left"/>
      <w:lvlText w:val="%1:"/>
      <w:numFmt w:val="upperLetter"/>
      <w:start w:val="17"/>
    </w:lvl>
  </w:abstractNum>
  <w:abstractNum w:abstractNumId="20">
    <w:nsid w:val="725A06FB"/>
    <w:multiLevelType w:val="hybridMultilevel"/>
    <w:lvl w:ilvl="0">
      <w:lvlJc w:val="left"/>
      <w:lvlText w:val="%1:"/>
      <w:numFmt w:val="upperLetter"/>
      <w:start w:val="1"/>
    </w:lvl>
  </w:abstractNum>
  <w:abstractNum w:abstractNumId="21">
    <w:nsid w:val="2CD89A32"/>
    <w:multiLevelType w:val="hybridMultilevel"/>
    <w:lvl w:ilvl="0">
      <w:lvlJc w:val="left"/>
      <w:lvlText w:val="%1:"/>
      <w:numFmt w:val="upperLetter"/>
      <w:start w:val="17"/>
    </w:lvl>
  </w:abstractNum>
  <w:abstractNum w:abstractNumId="22">
    <w:nsid w:val="57E4CCAF"/>
    <w:multiLevelType w:val="hybridMultilevel"/>
    <w:lvl w:ilvl="0">
      <w:lvlJc w:val="left"/>
      <w:lvlText w:val="%1:"/>
      <w:numFmt w:val="upperLetter"/>
      <w:start w:val="1"/>
    </w:lvl>
  </w:abstractNum>
  <w:abstractNum w:abstractNumId="23">
    <w:nsid w:val="7A6D8D3C"/>
    <w:multiLevelType w:val="hybridMultilevel"/>
    <w:lvl w:ilvl="0">
      <w:lvlJc w:val="left"/>
      <w:lvlText w:val="%1:"/>
      <w:numFmt w:val="upperLetter"/>
      <w:start w:val="17"/>
    </w:lvl>
  </w:abstractNum>
  <w:abstractNum w:abstractNumId="24">
    <w:nsid w:val="4B588F54"/>
    <w:multiLevelType w:val="hybridMultilevel"/>
    <w:lvl w:ilvl="0">
      <w:lvlJc w:val="left"/>
      <w:lvlText w:val="%1:"/>
      <w:numFmt w:val="upperLetter"/>
      <w:start w:val="1"/>
    </w:lvl>
  </w:abstractNum>
  <w:abstractNum w:abstractNumId="25">
    <w:nsid w:val="542289EC"/>
    <w:multiLevelType w:val="hybridMultilevel"/>
    <w:lvl w:ilvl="0">
      <w:lvlJc w:val="left"/>
      <w:lvlText w:val="%1:"/>
      <w:numFmt w:val="upperLetter"/>
      <w:start w:val="17"/>
    </w:lvl>
  </w:abstractNum>
  <w:abstractNum w:abstractNumId="26">
    <w:nsid w:val="6DE91B18"/>
    <w:multiLevelType w:val="hybridMultilevel"/>
    <w:lvl w:ilvl="0">
      <w:lvlJc w:val="left"/>
      <w:lvlText w:val="%1:"/>
      <w:numFmt w:val="upperLetter"/>
      <w:start w:val="1"/>
    </w:lvl>
  </w:abstractNum>
  <w:abstractNum w:abstractNumId="27">
    <w:nsid w:val="38437FDB"/>
    <w:multiLevelType w:val="hybridMultilevel"/>
    <w:lvl w:ilvl="0">
      <w:lvlJc w:val="left"/>
      <w:lvlText w:val="%1:"/>
      <w:numFmt w:val="upperLetter"/>
      <w:start w:val="17"/>
    </w:lvl>
  </w:abstractNum>
  <w:abstractNum w:abstractNumId="28">
    <w:nsid w:val="7644A45C"/>
    <w:multiLevelType w:val="hybridMultilevel"/>
    <w:lvl w:ilvl="0">
      <w:lvlJc w:val="left"/>
      <w:lvlText w:val="%1:"/>
      <w:numFmt w:val="upperLetter"/>
      <w:start w:val="1"/>
    </w:lvl>
  </w:abstractNum>
  <w:abstractNum w:abstractNumId="29">
    <w:nsid w:val="32FFF902"/>
    <w:multiLevelType w:val="hybridMultilevel"/>
    <w:lvl w:ilvl="0">
      <w:lvlJc w:val="left"/>
      <w:lvlText w:val="%1:"/>
      <w:numFmt w:val="upperLetter"/>
      <w:start w:val="17"/>
    </w:lvl>
  </w:abstractNum>
  <w:abstractNum w:abstractNumId="30">
    <w:nsid w:val="684A481A"/>
    <w:multiLevelType w:val="hybridMultilevel"/>
    <w:lvl w:ilvl="0">
      <w:lvlJc w:val="left"/>
      <w:lvlText w:val="%1:"/>
      <w:numFmt w:val="upperLetter"/>
      <w:start w:val="1"/>
    </w:lvl>
  </w:abstractNum>
  <w:abstractNum w:abstractNumId="31">
    <w:nsid w:val="579478FE"/>
    <w:multiLevelType w:val="hybridMultilevel"/>
    <w:lvl w:ilvl="0">
      <w:lvlJc w:val="left"/>
      <w:lvlText w:val="%1:"/>
      <w:numFmt w:val="upperLetter"/>
      <w:start w:val="17"/>
    </w:lvl>
  </w:abstractNum>
  <w:abstractNum w:abstractNumId="32">
    <w:nsid w:val="749ABB43"/>
    <w:multiLevelType w:val="hybridMultilevel"/>
    <w:lvl w:ilvl="0">
      <w:lvlJc w:val="left"/>
      <w:lvlText w:val="%1:"/>
      <w:numFmt w:val="upperLetter"/>
      <w:start w:val="1"/>
    </w:lvl>
  </w:abstractNum>
  <w:abstractNum w:abstractNumId="33">
    <w:nsid w:val="3DC240FB"/>
    <w:multiLevelType w:val="hybridMultilevel"/>
    <w:lvl w:ilvl="0">
      <w:lvlJc w:val="left"/>
      <w:lvlText w:val="%1:"/>
      <w:numFmt w:val="upperLetter"/>
      <w:start w:val="17"/>
    </w:lvl>
  </w:abstractNum>
  <w:abstractNum w:abstractNumId="34">
    <w:nsid w:val="1BA026FA"/>
    <w:multiLevelType w:val="hybridMultilevel"/>
    <w:lvl w:ilvl="0">
      <w:lvlJc w:val="left"/>
      <w:lvlText w:val="%1:"/>
      <w:numFmt w:val="upperLetter"/>
      <w:start w:val="1"/>
    </w:lvl>
  </w:abstractNum>
  <w:abstractNum w:abstractNumId="35">
    <w:nsid w:val="79A1DEAA"/>
    <w:multiLevelType w:val="hybridMultilevel"/>
    <w:lvl w:ilvl="0">
      <w:lvlJc w:val="left"/>
      <w:lvlText w:val="%1:"/>
      <w:numFmt w:val="upperLetter"/>
      <w:start w:val="17"/>
    </w:lvl>
  </w:abstractNum>
  <w:abstractNum w:abstractNumId="36">
    <w:nsid w:val="75C6C33A"/>
    <w:multiLevelType w:val="hybridMultilevel"/>
    <w:lvl w:ilvl="0">
      <w:lvlJc w:val="left"/>
      <w:lvlText w:val="%1:"/>
      <w:numFmt w:val="upperLetter"/>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lowerLetter"/>
      <w:start w:val="8"/>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bullet"/>
      <w:start w:val="1"/>
    </w:lvl>
  </w:abstractNum>
  <w:abstractNum w:abstractNumId="47">
    <w:nsid w:val="180115BE"/>
    <w:multiLevelType w:val="hybridMultilevel"/>
    <w:lvl w:ilvl="0">
      <w:lvlJc w:val="left"/>
      <w:lvlText w:val="1"/>
      <w:numFmt w:val="bullet"/>
      <w:start w:val="1"/>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lowerRoman"/>
      <w:start w:val="1"/>
    </w:lvl>
  </w:abstractNum>
  <w:abstractNum w:abstractNumId="50">
    <w:nsid w:val="354FE9F9"/>
    <w:multiLevelType w:val="hybridMultilevel"/>
    <w:lvl w:ilvl="0">
      <w:lvlJc w:val="left"/>
      <w:lvlText w:val="(%1)"/>
      <w:numFmt w:val="lowerRoman"/>
      <w:start w:val="3"/>
    </w:lvl>
  </w:abstractNum>
  <w:abstractNum w:abstractNumId="51">
    <w:nsid w:val="15B5AF5C"/>
    <w:multiLevelType w:val="hybridMultilevel"/>
    <w:lvl w:ilvl="0">
      <w:lvlJc w:val="left"/>
      <w:lvlText w:val="(%1)"/>
      <w:numFmt w:val="lowerRoman"/>
      <w:start w:val="6"/>
    </w:lvl>
  </w:abstractNum>
  <w:abstractNum w:abstractNumId="52">
    <w:nsid w:val="741226BB"/>
    <w:multiLevelType w:val="hybridMultilevel"/>
    <w:lvl w:ilvl="0">
      <w:lvlJc w:val="left"/>
      <w:lvlText w:val="-"/>
      <w:numFmt w:val="bullet"/>
      <w:start w:val="1"/>
    </w:lvl>
    <w:lvl w:ilvl="1">
      <w:lvlJc w:val="left"/>
      <w:lvlText w:val="o"/>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o"/>
      <w:numFmt w:val="bullet"/>
      <w:start w:val="1"/>
    </w:lvl>
  </w:abstractNum>
  <w:abstractNum w:abstractNumId="55">
    <w:nsid w:val="3F6AB60F"/>
    <w:multiLevelType w:val="hybridMultilevel"/>
    <w:lvl w:ilvl="0">
      <w:lvlJc w:val="left"/>
      <w:lvlText w:val="o"/>
      <w:numFmt w:val="bullet"/>
      <w:start w:val="1"/>
    </w:lvl>
  </w:abstractNum>
  <w:abstractNum w:abstractNumId="56">
    <w:nsid w:val="61574095"/>
    <w:multiLevelType w:val="hybridMultilevel"/>
    <w:lvl w:ilvl="0">
      <w:lvlJc w:val="left"/>
      <w:lvlText w:val="o"/>
      <w:numFmt w:val="bullet"/>
      <w:start w:val="1"/>
    </w:lvl>
  </w:abstractNum>
  <w:abstractNum w:abstractNumId="57">
    <w:nsid w:val="7E0C57B1"/>
    <w:multiLevelType w:val="hybridMultilevel"/>
    <w:lvl w:ilvl="0">
      <w:lvlJc w:val="left"/>
      <w:lvlText w:val="o"/>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R"/>
      <w:numFmt w:val="bullet"/>
      <w:start w:val="1"/>
    </w:lvl>
  </w:abstractNum>
  <w:abstractNum w:abstractNumId="60">
    <w:nsid w:val="310C50B3"/>
    <w:multiLevelType w:val="hybridMultilevel"/>
    <w:lvl w:ilvl="0">
      <w:lvlJc w:val="left"/>
      <w:lvlText w:val="O"/>
      <w:numFmt w:val="bullet"/>
      <w:start w:val="1"/>
    </w:lvl>
  </w:abstractNum>
  <w:abstractNum w:abstractNumId="61">
    <w:nsid w:val="5FF87E05"/>
    <w:multiLevelType w:val="hybridMultilevel"/>
    <w:lvl w:ilvl="0">
      <w:lvlJc w:val="left"/>
      <w:lvlText w:val="X"/>
      <w:numFmt w:val="bullet"/>
      <w:start w:val="1"/>
    </w:lvl>
  </w:abstractNum>
  <w:abstractNum w:abstractNumId="62">
    <w:nsid w:val="2F305DEF"/>
    <w:multiLevelType w:val="hybridMultilevel"/>
    <w:lvl w:ilvl="0">
      <w:lvlJc w:val="left"/>
      <w:lvlText w:val="-"/>
      <w:numFmt w:val="bullet"/>
      <w:start w:val="1"/>
    </w:lvl>
    <w:lvl w:ilvl="1">
      <w:lvlJc w:val="left"/>
      <w:lvlText w:val="[%2]"/>
      <w:numFmt w:val="upperLetter"/>
      <w:start w:val="24"/>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R"/>
      <w:numFmt w:val="bullet"/>
      <w:start w:val="1"/>
    </w:lvl>
  </w:abstractNum>
  <w:abstractNum w:abstractNumId="65">
    <w:nsid w:val="4AD084E9"/>
    <w:multiLevelType w:val="hybridMultilevel"/>
    <w:lvl w:ilvl="0">
      <w:lvlJc w:val="left"/>
      <w:lvlText w:val="O"/>
      <w:numFmt w:val="bullet"/>
      <w:start w:val="1"/>
    </w:lvl>
  </w:abstractNum>
  <w:abstractNum w:abstractNumId="66">
    <w:nsid w:val="1F48EAA1"/>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2019-12-13T08:08:04Z</dcterms:created>
  <dcterms:modified xsi:type="dcterms:W3CDTF">2019-12-13T08:08:04Z</dcterms:modified>
</cp:coreProperties>
</file>