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50165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-231775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81"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8"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-301625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62" w:lineRule="exact"/>
        <w:rPr>
          <w:sz w:val="24"/>
          <w:szCs w:val="24"/>
          <w:color w:val="auto"/>
        </w:rPr>
      </w:pPr>
    </w:p>
    <w:tbl>
      <w:tblPr>
        <w:tblLayout w:type="fixed"/>
        <w:tblInd w:w="1080" w:type="dxa"/>
        <w:tblCellMar>
          <w:top w:w="0" w:type="dxa"/>
          <w:left w:w="0" w:type="dxa"/>
          <w:bottom w:w="0" w:type="dxa"/>
          <w:right w:w="0" w:type="dxa"/>
        </w:tblCellMar>
      </w:tblPr>
      <w:tr>
        <w:trPr>
          <w:trHeight w:val="253"/>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65"/>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02"/>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147320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83" w:lineRule="exact"/>
        <w:rPr>
          <w:sz w:val="24"/>
          <w:szCs w:val="24"/>
          <w:color w:val="auto"/>
        </w:rPr>
      </w:pPr>
    </w:p>
    <w:p>
      <w:pPr>
        <w:ind w:right="2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0"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0" w:lineRule="exact"/>
        <w:rPr>
          <w:sz w:val="24"/>
          <w:szCs w:val="24"/>
          <w:color w:val="auto"/>
        </w:rPr>
      </w:pPr>
    </w:p>
    <w:p>
      <w:pPr>
        <w:ind w:right="340"/>
        <w:spacing w:after="0" w:line="32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4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88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May 1, 2015: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4,869,463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4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10400" w:type="dxa"/>
            <w:vAlign w:val="bottom"/>
          </w:tcPr>
          <w:p>
            <w:pPr>
              <w:ind w:left="2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2015 and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2015 and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c. Condensed Consolidated Balance Sheets at March 31, 2015 (Unaudited) and December 31,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2015 and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10400" w:type="dxa"/>
            <w:vAlign w:val="bottom"/>
          </w:tcPr>
          <w:p>
            <w:pPr>
              <w:ind w:left="2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20</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10400" w:type="dxa"/>
            <w:vAlign w:val="bottom"/>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27</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1040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27</w:t>
              </w:r>
            </w:hyperlink>
          </w:p>
        </w:tc>
      </w:tr>
      <w:tr>
        <w:trPr>
          <w:trHeight w:val="505"/>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2"/>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10400" w:type="dxa"/>
            <w:vAlign w:val="bottom"/>
          </w:tcPr>
          <w:p>
            <w:pPr>
              <w:ind w:left="2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28</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w w:val="99"/>
              </w:rPr>
              <w:t>Signatures</w:t>
            </w:r>
          </w:p>
        </w:tc>
        <w:tc>
          <w:tcPr>
            <w:tcW w:w="104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29</w:t>
              </w:r>
            </w:hyperlink>
          </w:p>
        </w:tc>
      </w:tr>
    </w:tbl>
    <w:p>
      <w:pPr>
        <w:sectPr>
          <w:pgSz w:w="11900" w:h="16838" w:orient="portrait"/>
          <w:cols w:equalWidth="0" w:num="1">
            <w:col w:w="11360"/>
          </w:cols>
          <w:pgMar w:left="280" w:top="5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500,602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522,154</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187,597</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191,128</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74,027</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78,247</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83,922</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45,012</w:t>
            </w:r>
          </w:p>
        </w:tc>
        <w:tc>
          <w:tcPr>
            <w:tcW w:w="0" w:type="dxa"/>
            <w:vAlign w:val="bottom"/>
          </w:tcPr>
          <w:p>
            <w:pPr>
              <w:spacing w:after="0"/>
              <w:rPr>
                <w:sz w:val="1"/>
                <w:szCs w:val="1"/>
                <w:color w:val="auto"/>
              </w:rPr>
            </w:pPr>
          </w:p>
        </w:tc>
      </w:tr>
      <w:tr>
        <w:trPr>
          <w:trHeight w:val="261"/>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846,148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836,541</w:t>
            </w:r>
          </w:p>
        </w:tc>
        <w:tc>
          <w:tcPr>
            <w:tcW w:w="0" w:type="dxa"/>
            <w:vAlign w:val="bottom"/>
          </w:tcPr>
          <w:p>
            <w:pPr>
              <w:spacing w:after="0"/>
              <w:rPr>
                <w:sz w:val="1"/>
                <w:szCs w:val="1"/>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383,077</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376,463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353,202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325,275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58,545</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53,217</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4,769</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799,593</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757,672</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46,555</w:t>
            </w:r>
          </w:p>
        </w:tc>
        <w:tc>
          <w:tcPr>
            <w:tcW w:w="4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78,869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(404)</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559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(8,521)</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(8,820)</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(1,105)</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133,273</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37,084</w:t>
            </w:r>
          </w:p>
        </w:tc>
        <w:tc>
          <w:tcPr>
            <w:tcW w:w="4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207,973</w:t>
            </w:r>
          </w:p>
        </w:tc>
        <w:tc>
          <w:tcPr>
            <w:tcW w:w="0" w:type="dxa"/>
            <w:vAlign w:val="bottom"/>
          </w:tcPr>
          <w:p>
            <w:pPr>
              <w:spacing w:after="0"/>
              <w:rPr>
                <w:sz w:val="1"/>
                <w:szCs w:val="1"/>
                <w:color w:val="auto"/>
              </w:rPr>
            </w:pP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14,500</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77,400</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22,584</w:t>
            </w:r>
          </w:p>
        </w:tc>
        <w:tc>
          <w:tcPr>
            <w:tcW w:w="4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130,573</w:t>
            </w:r>
          </w:p>
        </w:tc>
        <w:tc>
          <w:tcPr>
            <w:tcW w:w="0" w:type="dxa"/>
            <w:vAlign w:val="bottom"/>
          </w:tcPr>
          <w:p>
            <w:pPr>
              <w:spacing w:after="0"/>
              <w:rPr>
                <w:sz w:val="1"/>
                <w:szCs w:val="1"/>
                <w:color w:val="auto"/>
              </w:rPr>
            </w:pP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(784)</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21,800</w:t>
            </w:r>
          </w:p>
        </w:tc>
        <w:tc>
          <w:tcPr>
            <w:tcW w:w="4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132,305</w:t>
            </w:r>
          </w:p>
        </w:tc>
        <w:tc>
          <w:tcPr>
            <w:tcW w:w="0" w:type="dxa"/>
            <w:vAlign w:val="bottom"/>
          </w:tcPr>
          <w:p>
            <w:pPr>
              <w:spacing w:after="0"/>
              <w:rPr>
                <w:sz w:val="1"/>
                <w:szCs w:val="1"/>
                <w:color w:val="auto"/>
              </w:rPr>
            </w:pP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(774)</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21,026</w:t>
            </w:r>
          </w:p>
        </w:tc>
        <w:tc>
          <w:tcPr>
            <w:tcW w:w="4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132,524</w:t>
            </w:r>
          </w:p>
        </w:tc>
        <w:tc>
          <w:tcPr>
            <w:tcW w:w="0" w:type="dxa"/>
            <w:vAlign w:val="bottom"/>
          </w:tcPr>
          <w:p>
            <w:pPr>
              <w:spacing w:after="0"/>
              <w:rPr>
                <w:sz w:val="1"/>
                <w:szCs w:val="1"/>
                <w:color w:val="auto"/>
              </w:rPr>
            </w:pP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(420)</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20,606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132,098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21,390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130,366</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(Loss) income from discontinued operations,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(784)</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65"/>
        </w:trPr>
        <w:tc>
          <w:tcPr>
            <w:tcW w:w="88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20,606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132,098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3.64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(0.13)</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5,704</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3.62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74"/>
        </w:trPr>
        <w:tc>
          <w:tcPr>
            <w:tcW w:w="880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(0.14)</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5,791</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0"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7"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r>
    </w:tbl>
    <w:p>
      <w:pPr>
        <w:spacing w:after="0" w:line="34" w:lineRule="exact"/>
        <w:rPr>
          <w:sz w:val="20"/>
          <w:szCs w:val="20"/>
          <w:color w:val="auto"/>
        </w:rPr>
      </w:pPr>
    </w:p>
    <w:p>
      <w:pPr>
        <w:sectPr>
          <w:pgSz w:w="11900" w:h="16838" w:orient="portrait"/>
          <w:cols w:equalWidth="0" w:num="1">
            <w:col w:w="11420"/>
          </w:cols>
          <w:pgMar w:left="240" w:top="574"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440" w:hanging="161"/>
        <w:spacing w:after="0" w:line="291" w:lineRule="auto"/>
        <w:rPr>
          <w:sz w:val="20"/>
          <w:szCs w:val="20"/>
          <w:color w:val="auto"/>
        </w:rPr>
      </w:pPr>
      <w:r>
        <w:rPr>
          <w:rFonts w:ascii="Arial" w:cs="Arial" w:eastAsia="Arial" w:hAnsi="Arial"/>
          <w:sz w:val="16"/>
          <w:szCs w:val="16"/>
          <w:color w:val="auto"/>
        </w:rPr>
        <w:t>Reclassification adjustment for write-down and realization of loss on sale of available-for-sale securities included in net income</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right="3660"/>
        <w:spacing w:after="0" w:line="397"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tabs>
          <w:tab w:leader="none" w:pos="5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21,800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132,305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tabs>
          <w:tab w:leader="none" w:pos="1960" w:val="left"/>
        </w:tabs>
        <w:rPr>
          <w:sz w:val="20"/>
          <w:szCs w:val="20"/>
          <w:color w:val="auto"/>
        </w:rPr>
      </w:pPr>
      <w:r>
        <w:rPr>
          <w:rFonts w:ascii="Arial" w:cs="Arial" w:eastAsia="Arial" w:hAnsi="Arial"/>
          <w:sz w:val="16"/>
          <w:szCs w:val="16"/>
          <w:b w:val="1"/>
          <w:bCs w:val="1"/>
          <w:color w:val="auto"/>
        </w:rPr>
        <w:t>(12,088)</w:t>
      </w:r>
      <w:r>
        <w:rPr>
          <w:sz w:val="20"/>
          <w:szCs w:val="20"/>
          <w:color w:val="auto"/>
        </w:rPr>
        <w:tab/>
      </w:r>
      <w:r>
        <w:rPr>
          <w:rFonts w:ascii="Arial" w:cs="Arial" w:eastAsia="Arial" w:hAnsi="Arial"/>
          <w:sz w:val="16"/>
          <w:szCs w:val="16"/>
          <w:color w:val="auto"/>
        </w:rPr>
        <w:t>746</w:t>
      </w:r>
    </w:p>
    <w:p>
      <w:pPr>
        <w:spacing w:after="0" w:line="88" w:lineRule="exact"/>
        <w:rPr>
          <w:sz w:val="20"/>
          <w:szCs w:val="20"/>
          <w:color w:val="auto"/>
        </w:rPr>
      </w:pPr>
    </w:p>
    <w:p>
      <w:pPr>
        <w:ind w:left="2080" w:hanging="1305"/>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9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(12,129)</w:t>
      </w:r>
      <w:r>
        <w:rPr>
          <w:rFonts w:ascii="Arial" w:cs="Arial" w:eastAsia="Arial" w:hAnsi="Arial"/>
          <w:sz w:val="16"/>
          <w:szCs w:val="16"/>
          <w:color w:val="auto"/>
        </w:rPr>
        <w:t>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-146050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b w:val="1"/>
          <w:bCs w:val="1"/>
          <w:color w:val="auto"/>
        </w:rPr>
        <w:t>(8,878)</w:t>
      </w:r>
      <w:r>
        <w:rPr>
          <w:sz w:val="20"/>
          <w:szCs w:val="20"/>
          <w:color w:val="auto"/>
        </w:rPr>
        <w:tab/>
      </w:r>
      <w:r>
        <w:rPr>
          <w:rFonts w:ascii="Arial" w:cs="Arial" w:eastAsia="Arial" w:hAnsi="Arial"/>
          <w:sz w:val="16"/>
          <w:szCs w:val="16"/>
          <w:color w:val="auto"/>
        </w:rPr>
        <w:t>27,738</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b w:val="1"/>
          <w:bCs w:val="1"/>
          <w:color w:val="auto"/>
        </w:rPr>
        <w:t>(8,878)</w:t>
      </w:r>
      <w:r>
        <w:rPr>
          <w:sz w:val="20"/>
          <w:szCs w:val="20"/>
          <w:color w:val="auto"/>
        </w:rPr>
        <w:tab/>
      </w:r>
      <w:r>
        <w:rPr>
          <w:rFonts w:ascii="Arial" w:cs="Arial" w:eastAsia="Arial" w:hAnsi="Arial"/>
          <w:sz w:val="16"/>
          <w:szCs w:val="16"/>
          <w:color w:val="auto"/>
        </w:rPr>
        <w:t>28,523</w:t>
      </w:r>
    </w:p>
    <w:p>
      <w:pPr>
        <w:spacing w:after="0" w:line="358" w:lineRule="exact"/>
        <w:rPr>
          <w:sz w:val="20"/>
          <w:szCs w:val="20"/>
          <w:color w:val="auto"/>
        </w:rPr>
      </w:pPr>
    </w:p>
    <w:p>
      <w:pPr>
        <w:ind w:left="1920" w:hanging="1091"/>
        <w:spacing w:after="0"/>
        <w:tabs>
          <w:tab w:leader="none" w:pos="19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(102)</w:t>
      </w:r>
    </w:p>
    <w:p>
      <w:pPr>
        <w:spacing w:after="0" w:line="86" w:lineRule="exact"/>
        <w:rPr>
          <w:sz w:val="20"/>
          <w:szCs w:val="20"/>
          <w:color w:val="auto"/>
        </w:rPr>
      </w:pPr>
    </w:p>
    <w:p>
      <w:pPr>
        <w:ind w:left="1800" w:hanging="1061"/>
        <w:spacing w:after="0"/>
        <w:tabs>
          <w:tab w:leader="none" w:pos="180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(7,182)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39370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0"/>
          <w:szCs w:val="20"/>
          <w:color w:val="auto"/>
        </w:rPr>
      </w:pPr>
    </w:p>
    <w:p>
      <w:pPr>
        <w:ind w:left="1800" w:hanging="1061"/>
        <w:spacing w:after="0"/>
        <w:tabs>
          <w:tab w:leader="none" w:pos="180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(7,284)</w:t>
      </w:r>
    </w:p>
    <w:p>
      <w:pPr>
        <w:spacing w:after="0" w:line="97" w:lineRule="exact"/>
        <w:rPr>
          <w:rFonts w:ascii="Arial" w:cs="Arial" w:eastAsia="Arial" w:hAnsi="Arial"/>
          <w:sz w:val="15"/>
          <w:szCs w:val="15"/>
          <w:b w:val="1"/>
          <w:bCs w:val="1"/>
          <w:color w:val="auto"/>
        </w:rPr>
      </w:pPr>
    </w:p>
    <w:p>
      <w:pPr>
        <w:ind w:left="1980" w:hanging="1241"/>
        <w:spacing w:after="0"/>
        <w:tabs>
          <w:tab w:leader="none" w:pos="19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8"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6"/>
          <w:szCs w:val="16"/>
          <w:b w:val="1"/>
          <w:bCs w:val="1"/>
          <w:color w:val="auto"/>
        </w:rPr>
        <w:t>(20,130)</w:t>
      </w:r>
      <w:r>
        <w:rPr>
          <w:sz w:val="20"/>
          <w:szCs w:val="20"/>
          <w:color w:val="auto"/>
        </w:rPr>
        <w:tab/>
      </w:r>
      <w:r>
        <w:rPr>
          <w:rFonts w:ascii="Arial" w:cs="Arial" w:eastAsia="Arial" w:hAnsi="Arial"/>
          <w:sz w:val="16"/>
          <w:szCs w:val="16"/>
          <w:color w:val="auto"/>
        </w:rPr>
        <w:t>22,157</w:t>
      </w:r>
    </w:p>
    <w:p>
      <w:pPr>
        <w:spacing w:after="0" w:line="86" w:lineRule="exact"/>
        <w:rPr>
          <w:sz w:val="20"/>
          <w:szCs w:val="20"/>
          <w:color w:val="auto"/>
        </w:rPr>
      </w:pPr>
    </w:p>
    <w:p>
      <w:pPr>
        <w:jc w:val="both"/>
        <w:ind w:left="600"/>
        <w:spacing w:after="0"/>
        <w:tabs>
          <w:tab w:leader="none" w:pos="1780" w:val="left"/>
        </w:tabs>
        <w:rPr>
          <w:sz w:val="20"/>
          <w:szCs w:val="20"/>
          <w:color w:val="auto"/>
        </w:rPr>
      </w:pPr>
      <w:r>
        <w:rPr>
          <w:rFonts w:ascii="Arial" w:cs="Arial" w:eastAsia="Arial" w:hAnsi="Arial"/>
          <w:sz w:val="16"/>
          <w:szCs w:val="16"/>
          <w:b w:val="1"/>
          <w:bCs w:val="1"/>
          <w:color w:val="auto"/>
        </w:rPr>
        <w:t>3,202</w:t>
      </w:r>
      <w:r>
        <w:rPr>
          <w:sz w:val="20"/>
          <w:szCs w:val="20"/>
          <w:color w:val="auto"/>
        </w:rPr>
        <w:tab/>
      </w:r>
      <w:r>
        <w:rPr>
          <w:rFonts w:ascii="Arial" w:cs="Arial" w:eastAsia="Arial" w:hAnsi="Arial"/>
          <w:sz w:val="16"/>
          <w:szCs w:val="16"/>
          <w:color w:val="auto"/>
        </w:rPr>
        <w:t>(8,566)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6"/>
          <w:szCs w:val="16"/>
          <w:b w:val="1"/>
          <w:bCs w:val="1"/>
          <w:color w:val="auto"/>
        </w:rPr>
        <w:t>(16,928)</w:t>
      </w:r>
      <w:r>
        <w:rPr>
          <w:sz w:val="20"/>
          <w:szCs w:val="20"/>
          <w:color w:val="auto"/>
        </w:rPr>
        <w:tab/>
      </w:r>
      <w:r>
        <w:rPr>
          <w:rFonts w:ascii="Arial" w:cs="Arial" w:eastAsia="Arial" w:hAnsi="Arial"/>
          <w:sz w:val="16"/>
          <w:szCs w:val="16"/>
          <w:color w:val="auto"/>
        </w:rPr>
        <w:t>13,591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6"/>
          <w:szCs w:val="16"/>
          <w:b w:val="1"/>
          <w:bCs w:val="1"/>
          <w:color w:val="auto"/>
        </w:rPr>
        <w:t>4,872</w:t>
      </w:r>
      <w:r>
        <w:rPr>
          <w:sz w:val="20"/>
          <w:szCs w:val="20"/>
          <w:color w:val="auto"/>
        </w:rPr>
        <w:tab/>
      </w:r>
      <w:r>
        <w:rPr>
          <w:rFonts w:ascii="Arial" w:cs="Arial" w:eastAsia="Arial" w:hAnsi="Arial"/>
          <w:sz w:val="16"/>
          <w:szCs w:val="16"/>
          <w:color w:val="auto"/>
        </w:rPr>
        <w:t>145,896</w:t>
      </w:r>
    </w:p>
    <w:p>
      <w:pPr>
        <w:spacing w:after="0" w:line="88" w:lineRule="exact"/>
        <w:rPr>
          <w:sz w:val="20"/>
          <w:szCs w:val="20"/>
          <w:color w:val="auto"/>
        </w:rPr>
      </w:pPr>
    </w:p>
    <w:p>
      <w:pPr>
        <w:ind w:left="1980" w:hanging="1295"/>
        <w:spacing w:after="0"/>
        <w:tabs>
          <w:tab w:leader="none" w:pos="19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8" w:lineRule="exact"/>
        <w:rPr>
          <w:sz w:val="20"/>
          <w:szCs w:val="20"/>
          <w:color w:val="auto"/>
        </w:rPr>
      </w:pPr>
    </w:p>
    <w:p>
      <w:pPr>
        <w:spacing w:after="0"/>
        <w:tabs>
          <w:tab w:leader="none" w:pos="580" w:val="left"/>
          <w:tab w:leader="none" w:pos="1240" w:val="left"/>
          <w:tab w:leader="none" w:pos="16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4,098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146,115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50165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2">
            <w:col w:w="8760" w:space="300"/>
            <w:col w:w="2360"/>
          </w:cols>
          <w:pgMar w:left="240" w:top="57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168"/>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r>
      <w:tr>
        <w:trPr>
          <w:trHeight w:val="263"/>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center"/>
              <w:ind w:right="181"/>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619,367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772,751</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31,559</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24,898</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214,980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226,752</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495,631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571,357</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4,215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934</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11,634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11,309</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91,202</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81,462</w:t>
            </w: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Current assets held for sale (includes $0 and $1,235 of cash, respectively)</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17,498</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w:t>
            </w: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1,486,086</w:t>
            </w:r>
          </w:p>
        </w:tc>
        <w:tc>
          <w:tcPr>
            <w:tcW w:w="3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1,690,703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823,376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860,829</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36,120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1,314,351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510,966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516,753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90,854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96,947</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1,164,001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65,691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65,258</w:t>
            </w: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33,945</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w:t>
            </w: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5,525,390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74" w:right="259" w:bottom="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Equity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declared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liabilities held for sale</w:t>
      </w:r>
    </w:p>
    <w:p>
      <w:pPr>
        <w:spacing w:after="0" w:line="9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Postretirement Benefits Other Than Pensions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Accrued Compensation and Related Benefits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Liabilities Held for Sale</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Noncontrolling Interest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414,155</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464,342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11,235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128,895</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376,124</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410,146</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15,645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5,171</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46,375</w:t>
            </w:r>
          </w:p>
        </w:tc>
      </w:tr>
      <w:tr>
        <w:trPr>
          <w:trHeight w:val="274"/>
        </w:trPr>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25,850</w:t>
            </w: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w:t>
            </w:r>
          </w:p>
        </w:tc>
      </w:tr>
      <w:tr>
        <w:trPr>
          <w:trHeight w:val="260"/>
        </w:trPr>
        <w:tc>
          <w:tcPr>
            <w:tcW w:w="3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848,180</w:t>
            </w:r>
          </w:p>
        </w:tc>
        <w:tc>
          <w:tcPr>
            <w:tcW w:w="4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1,050,792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37,269</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37,962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240,089</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244,082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82,539</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91,789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755,014</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754,960</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399,645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399,545</w:t>
            </w:r>
          </w:p>
        </w:tc>
      </w:tr>
      <w:tr>
        <w:trPr>
          <w:trHeight w:val="274"/>
        </w:trPr>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8,085</w:t>
            </w: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2,370,821</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2,579,130</w:t>
            </w:r>
          </w:p>
        </w:tc>
      </w:tr>
      <w:tr>
        <w:trPr>
          <w:trHeight w:val="260"/>
        </w:trPr>
        <w:tc>
          <w:tcPr>
            <w:tcW w:w="3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22,694</w:t>
            </w:r>
          </w:p>
        </w:tc>
        <w:tc>
          <w:tcPr>
            <w:tcW w:w="4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21,904</w:t>
            </w:r>
          </w:p>
        </w:tc>
      </w:tr>
      <w:tr>
        <w:trPr>
          <w:trHeight w:val="274"/>
        </w:trPr>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10,510</w:t>
            </w: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10,510</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303" w:lineRule="exact"/>
        <w:rPr>
          <w:sz w:val="20"/>
          <w:szCs w:val="20"/>
          <w:color w:val="auto"/>
        </w:rPr>
      </w:pPr>
    </w:p>
    <w:p>
      <w:pPr>
        <w:sectPr>
          <w:pgSz w:w="11900" w:h="16838" w:orient="portrait"/>
          <w:cols w:equalWidth="0" w:num="2">
            <w:col w:w="7600" w:space="720"/>
            <w:col w:w="3060"/>
          </w:cols>
          <w:pgMar w:left="260" w:top="574" w:right="259" w:bottom="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830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20,000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302,205</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303,789</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5,998,241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6,008,506</w:t>
            </w:r>
          </w:p>
        </w:tc>
      </w:tr>
      <w:tr>
        <w:trPr>
          <w:trHeight w:val="262"/>
        </w:trPr>
        <w:tc>
          <w:tcPr>
            <w:tcW w:w="830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net of tax</w:t>
            </w:r>
          </w:p>
        </w:tc>
        <w:tc>
          <w:tcPr>
            <w:tcW w:w="18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8"/>
        </w:trPr>
        <w:tc>
          <w:tcPr>
            <w:tcW w:w="83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(3,581)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8,548</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available-for-sale securities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46,804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52,130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393,329</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392,910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4"/>
        </w:trPr>
        <w:tc>
          <w:tcPr>
            <w:tcW w:w="8300" w:type="dxa"/>
            <w:vAlign w:val="bottom"/>
          </w:tcPr>
          <w:p>
            <w:pPr>
              <w:ind w:left="260"/>
              <w:spacing w:after="0"/>
              <w:rPr>
                <w:sz w:val="20"/>
                <w:szCs w:val="20"/>
                <w:color w:val="auto"/>
              </w:rPr>
            </w:pPr>
            <w:r>
              <w:rPr>
                <w:rFonts w:ascii="Arial" w:cs="Arial" w:eastAsia="Arial" w:hAnsi="Arial"/>
                <w:sz w:val="16"/>
                <w:szCs w:val="16"/>
                <w:color w:val="auto"/>
              </w:rPr>
              <w:t>Cost of Class B common stock held in treasury</w:t>
            </w: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(3,635,633)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(3,645,476)</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3,121,365</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3,140,299</w:t>
            </w:r>
          </w:p>
        </w:tc>
      </w:tr>
      <w:tr>
        <w:trPr>
          <w:trHeight w:val="264"/>
        </w:trPr>
        <w:tc>
          <w:tcPr>
            <w:tcW w:w="83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3,121,365</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3,140,775</w:t>
            </w:r>
          </w:p>
        </w:tc>
      </w:tr>
    </w:tbl>
    <w:p>
      <w:pPr>
        <w:sectPr>
          <w:pgSz w:w="11900" w:h="16838" w:orient="portrait"/>
          <w:cols w:equalWidth="0" w:num="1">
            <w:col w:w="11380"/>
          </w:cols>
          <w:pgMar w:left="260" w:top="574" w:right="259" w:bottom="0" w:gutter="0" w:footer="0" w:header="0"/>
          <w:type w:val="continuous"/>
        </w:sectPr>
      </w:pPr>
    </w:p>
    <w:bookmarkStart w:id="5" w:name="page6"/>
    <w:bookmarkEnd w:id="5"/>
    <w:p>
      <w:pPr>
        <w:ind w:left="720"/>
        <w:spacing w:after="0"/>
        <w:tabs>
          <w:tab w:leader="none" w:pos="8340" w:val="left"/>
          <w:tab w:leader="none" w:pos="8980" w:val="left"/>
          <w:tab w:leader="none" w:pos="9940" w:val="left"/>
          <w:tab w:leader="none" w:pos="10560" w:val="left"/>
        </w:tabs>
        <w:rPr>
          <w:sz w:val="20"/>
          <w:szCs w:val="20"/>
          <w:color w:val="auto"/>
        </w:rPr>
      </w:pPr>
      <w:r>
        <w:rPr>
          <w:rFonts w:ascii="Arial" w:cs="Arial" w:eastAsia="Arial" w:hAnsi="Arial"/>
          <w:sz w:val="16"/>
          <w:szCs w:val="16"/>
          <w:b w:val="1"/>
          <w:bCs w:val="1"/>
          <w:color w:val="auto"/>
        </w:rPr>
        <w:t>Total Liabilities and Equity</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5,525,390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5,752,319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50165</wp:posOffset>
            </wp:positionV>
            <wp:extent cx="1946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67310</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1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63"/>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21,800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132,305</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58,545</w:t>
            </w:r>
          </w:p>
        </w:tc>
        <w:tc>
          <w:tcPr>
            <w:tcW w:w="40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54,124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4,769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(11,432)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6,827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sale and disposition of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(5,240)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594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provision for deferred income taxes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4,660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sale or write-down of property, plant and equipment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475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(127,259)</w:t>
            </w:r>
          </w:p>
        </w:tc>
      </w:tr>
      <w:tr>
        <w:trPr>
          <w:trHeight w:val="262"/>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restricted cash</w:t>
            </w:r>
          </w:p>
        </w:tc>
        <w:tc>
          <w:tcPr>
            <w:tcW w:w="26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(7,340)</w:t>
            </w:r>
          </w:p>
        </w:tc>
        <w:tc>
          <w:tcPr>
            <w:tcW w:w="40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31,734</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receivable, net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59,741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23,498</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(28,337)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(90,245)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deferred revenue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(11,621)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25,739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income taxes payable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(117,452)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73,236</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(17,358)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(10,198)</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272</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(45,871)</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99,621</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(47,595)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(59,128)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commercial paper, marketable equity securities and other investments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(905)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(101,241)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(payments)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(4,331)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157,314</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(5,608)</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(52,831)</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(8,663)</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(39,343)</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(15,645)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(19,051)</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4,606</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(50,382)</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(5,535)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1,188</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6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(154,619)</w:t>
            </w:r>
          </w:p>
        </w:tc>
        <w:tc>
          <w:tcPr>
            <w:tcW w:w="4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73,114</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773,986</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569,719</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619,367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642,833</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five television broadcast stations). The Company's other business operations include home health and hospice services and manufacturing.</w:t>
      </w:r>
    </w:p>
    <w:p>
      <w:pPr>
        <w:spacing w:after="0" w:line="111"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In November 2014, the Company announced that the Board of Directors authorized management to proceed with plans for the complete legal and structural separation of Cable ONE, Inc., a wholly-owned subsidiary, from the Company.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10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6"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6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months ended March 31, 2015 and 2014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2014.</w:t>
      </w:r>
    </w:p>
    <w:p>
      <w:pPr>
        <w:spacing w:after="0" w:line="11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9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7"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b w:val="1"/>
          <w:bCs w:val="1"/>
          <w:color w:val="auto"/>
        </w:rPr>
        <w:t xml:space="preserve">Revision of Prior Period Amounts </w:t>
      </w:r>
      <w:r>
        <w:rPr>
          <w:rFonts w:ascii="Arial" w:cs="Arial" w:eastAsia="Arial" w:hAnsi="Arial"/>
          <w:sz w:val="18"/>
          <w:szCs w:val="18"/>
          <w:color w:val="auto"/>
        </w:rPr>
        <w:t>– During the preparation of the 2014 financial statements, the Company concluded that its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 of Cash Flows for the three months ended March 31, 2014, that was previously included in the Company's quarterly reports, should be revised to correct the impact of accounts payable and accrued expenses related to capital expenditures. The Company revised its Condensed Consolidated Statement of Cash Flows for the three months ended March 31, 2014 to properly eliminate noncash capital expenditures. The result of this correction for the three months ended March 31, 2014, was an increase in net cash used in investing activities of $22.6 million, with an offsetting increase recorded to net cash provided by operating activities during the same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8" w:name="page9"/>
    <w:bookmarkEnd w:id="8"/>
    <w:p>
      <w:pPr>
        <w:ind w:right="300"/>
        <w:spacing w:after="0" w:line="234" w:lineRule="auto"/>
        <w:rPr>
          <w:sz w:val="20"/>
          <w:szCs w:val="20"/>
          <w:color w:val="auto"/>
        </w:rPr>
      </w:pPr>
      <w:r>
        <w:rPr>
          <w:rFonts w:ascii="Arial" w:cs="Arial" w:eastAsia="Arial" w:hAnsi="Arial"/>
          <w:sz w:val="18"/>
          <w:szCs w:val="18"/>
          <w:color w:val="auto"/>
        </w:rPr>
        <w:t>Management has concluded that this error is not material to the previously issued Condensed Consolidated Financial Statements, and, as a result, the Company has revised the Condensed Consolidated Statement of Cash Flows for the three months ended March 31, 2014. There was no impact on the previously reported total cash and cash equivalents, Condensed Consolidated Balance Sheet or Condensed Consolidated Statement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detailed below, these revisions impacted the following consolidated cash flow items: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4"/>
                <w:szCs w:val="14"/>
                <w:b w:val="1"/>
                <w:bCs w:val="1"/>
                <w:color w:val="auto"/>
              </w:rPr>
              <w:t>Three Months Ended March 31, 2014</w:t>
            </w:r>
          </w:p>
        </w:tc>
      </w:tr>
      <w:tr>
        <w:trPr>
          <w:trHeight w:val="263"/>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Previously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As</w:t>
            </w:r>
          </w:p>
        </w:tc>
      </w:tr>
      <w:tr>
        <w:trPr>
          <w:trHeight w:val="32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Reported</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Revision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Revised</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6"/>
                <w:szCs w:val="16"/>
                <w:color w:val="auto"/>
              </w:rPr>
              <w:t>Decrease in Accounts Payable and 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(112,811)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22,566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(90,245)</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77,055</w:t>
            </w:r>
          </w:p>
        </w:tc>
        <w:tc>
          <w:tcPr>
            <w:tcW w:w="26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22,566</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99,621</w:t>
            </w:r>
          </w:p>
        </w:tc>
      </w:tr>
      <w:tr>
        <w:trPr>
          <w:trHeight w:val="52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(36,562)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(22,566)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(59,128)</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13,903</w:t>
            </w:r>
          </w:p>
        </w:tc>
        <w:tc>
          <w:tcPr>
            <w:tcW w:w="26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(22,566)</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(8,663)</w:t>
            </w:r>
          </w:p>
        </w:tc>
      </w:tr>
    </w:tbl>
    <w:p>
      <w:pPr>
        <w:spacing w:after="0" w:line="139"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This guidance is effective for interim and fiscal years beginning after December 15, 2016. Early adoption is not permitted.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6"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by Kaplan in January of 2015 which resulted in a pre-tax loss of $0.7 million.</w:t>
      </w:r>
    </w:p>
    <w:p>
      <w:pPr>
        <w:spacing w:after="0" w:line="9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On June 30, 2014, the Company and Berkshire Hathaway Inc. completed a transaction, as described in Note 4, in which Berkshire acquired a wholly-owned subsidiary of the Company that included, among other things, WPLG, a Miami-based television station.</w:t>
      </w:r>
    </w:p>
    <w:p>
      <w:pPr>
        <w:spacing w:after="0" w:line="92" w:lineRule="exact"/>
        <w:rPr>
          <w:sz w:val="20"/>
          <w:szCs w:val="20"/>
          <w:color w:val="auto"/>
        </w:rPr>
      </w:pPr>
    </w:p>
    <w:p>
      <w:pPr>
        <w:jc w:val="both"/>
        <w:ind w:right="880"/>
        <w:spacing w:after="0"/>
        <w:rPr>
          <w:sz w:val="20"/>
          <w:szCs w:val="20"/>
          <w:color w:val="auto"/>
        </w:rPr>
      </w:pPr>
      <w:r>
        <w:rPr>
          <w:rFonts w:ascii="Arial" w:cs="Arial" w:eastAsia="Arial" w:hAnsi="Arial"/>
          <w:sz w:val="18"/>
          <w:szCs w:val="18"/>
          <w:color w:val="auto"/>
        </w:rPr>
        <w:t>The results of operations of the schools in China and WPLG are included in the Company’s Condensed Consolidated Statements of Operations as Income (Loss) from Discontinued Operations, Net of Tax, for all periods presented. The Company did not reclassify its Statements of Cash Flows or prior Condensed Consolidated Balance Sheets to reflect the various discontinued operations.</w:t>
      </w:r>
    </w:p>
    <w:p>
      <w:pPr>
        <w:spacing w:after="0" w:line="10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summarized (loss) income from discontinued operations, net of tax, is presented below:</w:t>
      </w:r>
    </w:p>
    <w:p>
      <w:pPr>
        <w:spacing w:after="0" w:line="2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20,294</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(13,494)</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6,800</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Provision from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2,026</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30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4,774</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Loss on sales of discontinued operations</w:t>
            </w:r>
          </w:p>
        </w:tc>
        <w:tc>
          <w:tcPr>
            <w:tcW w:w="30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(732)</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(4,737)</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Expense (benefit) from income taxes on sales of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(784)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As of March 31, 2015 and December 31, 2014, the Company had commercial paper and money market investments of $449.4 million and $594.3 million, respectively, that are classified as cash, cash equivalents and restricted cash in the Company's Condensed Consolidated Balance Sheets.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106,909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106,909</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78,006</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86,884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184,915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193,793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There were no new investments in marketable equity securities during the first three months of 2015 and 2014. There were no sales of marketable equity securities in the first three months of 2015. During the first three months of 2014, the proceeds from sales of marketable securities were $4.2 million, of which $0.4 million settled in April 2014, and net realized losses from such sales were $0.3 million.</w:t>
      </w:r>
    </w:p>
    <w:p>
      <w:pPr>
        <w:spacing w:after="0" w:line="10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As of March 31, 2014, the Company's investment in Corinthian Colleges, Inc., a publicly traded company, was in an unrealized loss position and the Company concluded that the loss was other-than-temporary and recorded a $0.5 million write-down of the investment in the first quarter of 2014.</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of March 31, 2015, the Company held a 40% interest in Residential Home Health Illinois, a 42.5% interest in Residential Hospice Illinois, a 40% interest in the joint venture formed between Celtic Healthcare and Allegheny Health Network (AHN) and interests in several other affiliates (see Note 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DISPOSITIONS, EXCHANGES AND OTHER</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three months of 2015, the Company did not make any acquisitions. In the first three months of 2014,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one small business included in its education division; the purchase price allocation comprised goodwill.</w:t>
      </w:r>
    </w:p>
    <w:p>
      <w:pPr>
        <w:spacing w:after="0" w:line="89"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operating results of these businesses are included in other businesses.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2" w:right="239" w:bottom="1440" w:gutter="0" w:footer="0" w:header="0"/>
        </w:sectPr>
      </w:pPr>
    </w:p>
    <w:bookmarkStart w:id="10" w:name="page11"/>
    <w:bookmarkEnd w:id="10"/>
    <w:p>
      <w:pPr>
        <w:ind w:right="260"/>
        <w:spacing w:after="0" w:line="263"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In January 2015, Kaplan completed the sale of an additional school in China.</w:t>
      </w:r>
    </w:p>
    <w:p>
      <w:pPr>
        <w:spacing w:after="0" w:line="89"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KHE Campuses schools that have been closed or are in the process of closing are not included in the sale transaction. The transaction is contingent upon certain regulatory and accrediting agency approvals and is expected to close in the third quarter of 2015. The KHE Campuses business disposal group is reported in assets held for sale at March 31, 2015. The revenue and operating losses related to schools that are being sold as part of the ECA transaction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9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3"/>
                <w:szCs w:val="23"/>
                <w:color w:val="auto"/>
              </w:rPr>
            </w:pPr>
          </w:p>
        </w:tc>
      </w:tr>
      <w:tr>
        <w:trPr>
          <w:trHeight w:val="264"/>
        </w:trPr>
        <w:tc>
          <w:tcPr>
            <w:tcW w:w="8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7"/>
        </w:trPr>
        <w:tc>
          <w:tcPr>
            <w:tcW w:w="8980" w:type="dxa"/>
            <w:vAlign w:val="bottom"/>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4"/>
              <w:spacing w:after="0"/>
              <w:rPr>
                <w:sz w:val="20"/>
                <w:szCs w:val="20"/>
                <w:color w:val="auto"/>
              </w:rPr>
            </w:pPr>
            <w:r>
              <w:rPr>
                <w:rFonts w:ascii="Arial" w:cs="Arial" w:eastAsia="Arial" w:hAnsi="Arial"/>
                <w:sz w:val="16"/>
                <w:szCs w:val="16"/>
                <w:b w:val="1"/>
                <w:bCs w:val="1"/>
                <w:color w:val="auto"/>
              </w:rPr>
              <w:t>61,087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69,058</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(3,014)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(2,976)</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the major classes of assets and liabilities held for sale at March 31, 2015 are as follows:</w:t>
      </w:r>
    </w:p>
    <w:p>
      <w:pPr>
        <w:sectPr>
          <w:pgSz w:w="11900" w:h="16838" w:orient="portrait"/>
          <w:cols w:equalWidth="0" w:num="1">
            <w:col w:w="11420"/>
          </w:cols>
          <w:pgMar w:left="240" w:top="560"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 Held for Sale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Amortized intangible assets,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and other assets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 Held for Sale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 and accrued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 Held for Sale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 Held for Sale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2015</w:t>
      </w:r>
    </w:p>
    <w:p>
      <w:pPr>
        <w:spacing w:after="0" w:line="66" w:lineRule="exact"/>
        <w:rPr>
          <w:sz w:val="20"/>
          <w:szCs w:val="20"/>
          <w:color w:val="auto"/>
        </w:rPr>
      </w:pPr>
    </w:p>
    <w:p>
      <w:pPr>
        <w:ind w:left="1100" w:hanging="1065"/>
        <w:spacing w:after="0"/>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679</w:t>
      </w:r>
    </w:p>
    <w:p>
      <w:pPr>
        <w:spacing w:after="0" w:line="59"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11,452</w:t>
      </w:r>
    </w:p>
    <w:p>
      <w:pPr>
        <w:spacing w:after="0" w:line="59"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5,367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1" w:lineRule="exact"/>
        <w:rPr>
          <w:sz w:val="20"/>
          <w:szCs w:val="20"/>
          <w:color w:val="auto"/>
        </w:rPr>
      </w:pPr>
    </w:p>
    <w:p>
      <w:pPr>
        <w:ind w:left="880" w:hanging="845"/>
        <w:spacing w:after="0"/>
        <w:tabs>
          <w:tab w:leader="none" w:pos="8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17,498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880" w:hanging="845"/>
        <w:spacing w:after="0"/>
        <w:tabs>
          <w:tab w:leader="none" w:pos="8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18,789</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7,526</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1,092</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5,787</w:t>
      </w:r>
    </w:p>
    <w:p>
      <w:pPr>
        <w:spacing w:after="0" w:line="59"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33,945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2"/>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13,175</w:t>
            </w:r>
          </w:p>
        </w:tc>
      </w:tr>
      <w:tr>
        <w:trPr>
          <w:trHeight w:val="252"/>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12,675</w:t>
            </w:r>
          </w:p>
        </w:tc>
      </w:tr>
      <w:tr>
        <w:trPr>
          <w:trHeight w:val="239"/>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25,850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1"/>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8,085</w:t>
            </w:r>
          </w:p>
        </w:tc>
      </w:tr>
      <w:tr>
        <w:trPr>
          <w:trHeight w:val="239"/>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8,085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2">
            <w:col w:w="9220" w:space="720"/>
            <w:col w:w="1480"/>
          </w:cols>
          <w:pgMar w:left="240" w:top="560" w:right="239" w:bottom="1440" w:gutter="0" w:footer="0" w:header="0"/>
          <w:type w:val="continuous"/>
        </w:sectPr>
      </w:pPr>
    </w:p>
    <w:p>
      <w:pPr>
        <w:ind w:right="20"/>
        <w:spacing w:after="0" w:line="235"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0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09"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Company’s income from continuing operations excludes the sold Kaplan China schools and WPLG, which have been reclassified to discontinued operations, net of tax (see Note 2).</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6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Amortization of intangible assets for the three months ended March 31, 2015 and 2014 was $4.8 million and $2.7 million, respectively. Amortization of intangible assets is estimated to be approximately $13 million for the remainder of 2015, $17 million in 2016, $14 million in 2017, $13 million in 2018, $12 million in 2019 and $22 million thereafter.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61"/>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Cable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49"/>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1,057,226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145,992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1,457,051</w:t>
            </w:r>
          </w:p>
        </w:tc>
      </w:tr>
      <w:tr>
        <w:trPr>
          <w:trHeight w:val="279"/>
        </w:trPr>
        <w:tc>
          <w:tcPr>
            <w:tcW w:w="516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5"/>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954,967</w:t>
            </w:r>
          </w:p>
        </w:tc>
        <w:tc>
          <w:tcPr>
            <w:tcW w:w="30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24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139,910</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(7,614)</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(7,614)</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assets held for sale</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(7,526)</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(7,526)</w:t>
            </w:r>
          </w:p>
        </w:tc>
      </w:tr>
      <w:tr>
        <w:trPr>
          <w:trHeight w:val="27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(19,219)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(19,219)</w:t>
            </w:r>
          </w:p>
        </w:tc>
      </w:tr>
      <w:tr>
        <w:trPr>
          <w:trHeight w:val="26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2015</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1,030,481</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24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138,378</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1,422,692</w:t>
            </w:r>
          </w:p>
        </w:tc>
      </w:tr>
      <w:tr>
        <w:trPr>
          <w:trHeight w:val="274"/>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928,222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132,296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1,314,351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1"/>
              <w:spacing w:after="0"/>
              <w:rPr>
                <w:sz w:val="20"/>
                <w:szCs w:val="20"/>
                <w:color w:val="auto"/>
              </w:rPr>
            </w:pPr>
            <w:r>
              <w:rPr>
                <w:rFonts w:ascii="Arial" w:cs="Arial" w:eastAsia="Arial" w:hAnsi="Arial"/>
                <w:sz w:val="14"/>
                <w:szCs w:val="14"/>
                <w:b w:val="1"/>
                <w:bCs w:val="1"/>
                <w:color w:val="auto"/>
              </w:rPr>
              <w:t>Kaplan</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9"/>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1,057,226</w:t>
            </w:r>
          </w:p>
        </w:tc>
      </w:tr>
      <w:tr>
        <w:trPr>
          <w:trHeight w:val="279"/>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5"/>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20" w:type="dxa"/>
            <w:vAlign w:val="bottom"/>
          </w:tcPr>
          <w:p>
            <w:pPr>
              <w:spacing w:after="0"/>
              <w:rPr>
                <w:sz w:val="22"/>
                <w:szCs w:val="22"/>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954,967</w:t>
            </w:r>
          </w:p>
        </w:tc>
      </w:tr>
      <w:tr>
        <w:trPr>
          <w:trHeight w:val="278"/>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assets held for sale</w:t>
            </w:r>
          </w:p>
        </w:tc>
        <w:tc>
          <w:tcPr>
            <w:tcW w:w="1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(7,526)</w:t>
            </w:r>
          </w:p>
        </w:tc>
        <w:tc>
          <w:tcPr>
            <w:tcW w:w="22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4"/>
                <w:szCs w:val="24"/>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(7,526)</w:t>
            </w:r>
          </w:p>
        </w:tc>
      </w:tr>
      <w:tr>
        <w:trPr>
          <w:trHeight w:val="27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(169)</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(19,050)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(19,219)</w:t>
            </w:r>
          </w:p>
        </w:tc>
      </w:tr>
      <w:tr>
        <w:trPr>
          <w:trHeight w:val="26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2015</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402,189</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462,194</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1,030,481</w:t>
            </w: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402,189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462,194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928,222</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2015</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2014</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00" w:type="dxa"/>
            <w:vAlign w:val="bottom"/>
          </w:tcPr>
          <w:p>
            <w:pPr>
              <w:jc w:val="center"/>
              <w:ind w:left="42"/>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8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1,680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1,070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610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103,480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49,503</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53,977</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104,685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47,539</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10,518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9,024</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1,494</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10,501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8,827</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54,281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20,812</w:t>
            </w:r>
          </w:p>
        </w:tc>
        <w:tc>
          <w:tcPr>
            <w:tcW w:w="16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33,469</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55,452</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19,724</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35,728</w:t>
            </w:r>
          </w:p>
        </w:tc>
        <w:tc>
          <w:tcPr>
            <w:tcW w:w="0" w:type="dxa"/>
            <w:vAlign w:val="bottom"/>
          </w:tcPr>
          <w:p>
            <w:pPr>
              <w:spacing w:after="0"/>
              <w:rPr>
                <w:sz w:val="1"/>
                <w:szCs w:val="1"/>
                <w:color w:val="auto"/>
              </w:rPr>
            </w:pPr>
          </w:p>
        </w:tc>
      </w:tr>
      <w:tr>
        <w:trPr>
          <w:trHeight w:val="274"/>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6,317</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5,013</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1,304</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8,969</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7,480</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176,276</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85,422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90,854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182,107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85,160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96,947</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496,321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994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6,781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13,651</w:t>
            </w:r>
          </w:p>
        </w:tc>
        <w:tc>
          <w:tcPr>
            <w:tcW w:w="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13,651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510,966</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516,753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0"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6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2014</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398,411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398,308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20" w:type="dxa"/>
            <w:vAlign w:val="bottom"/>
          </w:tcPr>
          <w:p>
            <w:pPr>
              <w:spacing w:after="0"/>
              <w:rPr>
                <w:sz w:val="23"/>
                <w:szCs w:val="23"/>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40,927</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6,405</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6,685</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Pr>
          <w:p>
            <w:pPr>
              <w:spacing w:after="0"/>
              <w:rPr>
                <w:sz w:val="22"/>
                <w:szCs w:val="22"/>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404,816</w:t>
            </w:r>
          </w:p>
        </w:tc>
        <w:tc>
          <w:tcPr>
            <w:tcW w:w="24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445,920</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(5,171)</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(46,375)</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399,645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399,545</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Company’s other indebtedness at March 31, 2015 and December 31, 2014 is at interest rates from 0% to 6% and matures from 2015 to 2017.</w:t>
      </w:r>
    </w:p>
    <w:p>
      <w:pPr>
        <w:spacing w:after="0" w:line="9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On March 9, 2015, the Company repaid the AUD 50 million borrowed under its revolving credit facility. On the same day, the AUD 50 million interest rate swap agreements matured.</w:t>
      </w:r>
    </w:p>
    <w:p>
      <w:pPr>
        <w:spacing w:after="0" w:line="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three months ended March 31, 2015 and 2014, the Company had average borrowings outstanding of approximately $ 435.8 million and $451.2 million, respectively, at average annual interest rates of approximately 7.1% and 7.0%, respectively. During the three months ended March 31, 2015 and 2014, the Company incurred net interest expense of $8.0 million and $8.2 million, respectively.</w:t>
      </w:r>
    </w:p>
    <w:p>
      <w:pPr>
        <w:spacing w:after="0" w:line="10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At March 31, 2015, the fair value of the Company’s 7.25% unsecured notes, based on quoted market prices, totaled $451.3 million, compared with the carrying amount of $398.4 million. At December 31, 2014, the fair value of the Company’s 7.25% unsecured notes, based on quoted market prices, totaled $450.3 million, compared with the carrying amount of $398.3 million. The carrying value of the Company’s other unsecured debt at March 31, 2015 approximates fair value.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As of March 31, 2015</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227,485</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227,485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221,962</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221,962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184,915</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184,915</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9,917</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20,148</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30,065</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416,794</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247,633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664,427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69,836</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69,836</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451,256</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451,256</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521,092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521,092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2014</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6"/>
                <w:szCs w:val="16"/>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368,131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368,131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Commercial paper (2)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226,197</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226,197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Marketable equity securities (3)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193,793</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193,793</w:t>
            </w:r>
          </w:p>
        </w:tc>
        <w:tc>
          <w:tcPr>
            <w:tcW w:w="0" w:type="dxa"/>
            <w:vAlign w:val="bottom"/>
          </w:tcPr>
          <w:p>
            <w:pPr>
              <w:spacing w:after="0"/>
              <w:rPr>
                <w:sz w:val="1"/>
                <w:szCs w:val="1"/>
                <w:color w:val="auto"/>
              </w:rPr>
            </w:pPr>
          </w:p>
        </w:tc>
      </w:tr>
      <w:tr>
        <w:trPr>
          <w:trHeight w:val="279"/>
        </w:trPr>
        <w:tc>
          <w:tcPr>
            <w:tcW w:w="7780" w:type="dxa"/>
            <w:vAlign w:val="bottom"/>
          </w:tcPr>
          <w:p>
            <w:pPr>
              <w:ind w:left="40"/>
              <w:spacing w:after="0"/>
              <w:rPr>
                <w:sz w:val="20"/>
                <w:szCs w:val="20"/>
                <w:color w:val="auto"/>
              </w:rPr>
            </w:pPr>
            <w:r>
              <w:rPr>
                <w:rFonts w:ascii="Arial" w:cs="Arial" w:eastAsia="Arial" w:hAnsi="Arial"/>
                <w:sz w:val="16"/>
                <w:szCs w:val="16"/>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11,788</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21,171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32,959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431,778</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389,302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821,080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ectPr>
          <w:pgSz w:w="11900" w:h="16838" w:orient="portrait"/>
          <w:cols w:equalWidth="0" w:num="1">
            <w:col w:w="11420"/>
          </w:cols>
          <w:pgMar w:left="240" w:top="560" w:right="239" w:bottom="1440" w:gutter="0" w:footer="0" w:header="0"/>
        </w:sectPr>
      </w:pPr>
    </w:p>
    <w:p>
      <w:pPr>
        <w:ind w:left="40"/>
        <w:spacing w:after="0"/>
        <w:rPr>
          <w:sz w:val="20"/>
          <w:szCs w:val="20"/>
          <w:color w:val="auto"/>
        </w:rPr>
      </w:pPr>
      <w:r>
        <w:rPr>
          <w:rFonts w:ascii="Arial" w:cs="Arial" w:eastAsia="Arial" w:hAnsi="Arial"/>
          <w:sz w:val="16"/>
          <w:szCs w:val="16"/>
          <w:color w:val="auto"/>
        </w:rPr>
        <w:t>Deferred compensation plan liabilities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(7)</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70,661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70,661</w:t>
            </w:r>
          </w:p>
        </w:tc>
      </w:tr>
      <w:tr>
        <w:trPr>
          <w:trHeight w:val="270"/>
        </w:trPr>
        <w:tc>
          <w:tcPr>
            <w:tcW w:w="50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450,344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450,344</w:t>
            </w:r>
          </w:p>
        </w:tc>
      </w:tr>
      <w:tr>
        <w:trPr>
          <w:trHeight w:val="270"/>
        </w:trPr>
        <w:tc>
          <w:tcPr>
            <w:tcW w:w="50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40,927</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40,927</w:t>
            </w:r>
          </w:p>
        </w:tc>
      </w:tr>
      <w:tr>
        <w:trPr>
          <w:trHeight w:val="279"/>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55"/>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562,111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562,111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315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7060" w:space="720"/>
            <w:col w:w="3640"/>
          </w:cols>
          <w:pgMar w:left="240" w:top="560"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3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w:t>
      </w:r>
    </w:p>
    <w:p>
      <w:pPr>
        <w:spacing w:after="0" w:line="14" w:lineRule="exact"/>
        <w:rPr>
          <w:rFonts w:ascii="Arial" w:cs="Arial" w:eastAsia="Arial" w:hAnsi="Arial"/>
          <w:sz w:val="14"/>
          <w:szCs w:val="14"/>
          <w:color w:val="auto"/>
        </w:rPr>
      </w:pPr>
    </w:p>
    <w:p>
      <w:pPr>
        <w:ind w:left="420" w:right="40" w:hanging="412"/>
        <w:spacing w:after="0" w:line="247"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61" w:lineRule="exact"/>
        <w:rPr>
          <w:rFonts w:ascii="Arial" w:cs="Arial" w:eastAsia="Arial" w:hAnsi="Arial"/>
          <w:sz w:val="14"/>
          <w:szCs w:val="14"/>
          <w:color w:val="auto"/>
        </w:rPr>
      </w:pPr>
    </w:p>
    <w:p>
      <w:pPr>
        <w:ind w:left="420" w:right="140" w:hanging="412"/>
        <w:spacing w:after="0" w:line="251"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 The fair value of long-term debt is determined based on a number of observable inputs, including the current market activity of the Company’s publicly traded notes, trends in investor demands and market values of comparable publicly traded debt.</w:t>
      </w:r>
    </w:p>
    <w:p>
      <w:pPr>
        <w:ind w:left="420" w:right="40" w:hanging="412"/>
        <w:spacing w:after="0" w:line="264"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EARNINGS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acquired 1,620,190 of its Class B common stock owned by Berkshire Hathaway, as described in Note 4.</w:t>
      </w:r>
    </w:p>
    <w:p>
      <w:pPr>
        <w:spacing w:after="0" w:line="144"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1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13"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263"/>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r>
      <w:tr>
        <w:trPr>
          <w:trHeight w:val="249"/>
        </w:trPr>
        <w:tc>
          <w:tcPr>
            <w:tcW w:w="89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8"/>
        </w:trPr>
        <w:tc>
          <w:tcPr>
            <w:tcW w:w="890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21,390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130,366</w:t>
            </w:r>
          </w:p>
        </w:tc>
      </w:tr>
      <w:tr>
        <w:trPr>
          <w:trHeight w:val="274"/>
        </w:trPr>
        <w:tc>
          <w:tcPr>
            <w:tcW w:w="890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(30,870)</w:t>
            </w: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(37,675)</w:t>
            </w:r>
          </w:p>
        </w:tc>
      </w:tr>
      <w:tr>
        <w:trPr>
          <w:trHeight w:val="260"/>
        </w:trPr>
        <w:tc>
          <w:tcPr>
            <w:tcW w:w="8900" w:type="dxa"/>
            <w:vAlign w:val="bottom"/>
          </w:tcPr>
          <w:p>
            <w:pPr>
              <w:ind w:left="280"/>
              <w:spacing w:after="0"/>
              <w:rPr>
                <w:sz w:val="20"/>
                <w:szCs w:val="20"/>
                <w:color w:val="auto"/>
              </w:rPr>
            </w:pPr>
            <w:r>
              <w:rPr>
                <w:rFonts w:ascii="Arial" w:cs="Arial" w:eastAsia="Arial" w:hAnsi="Arial"/>
                <w:sz w:val="16"/>
                <w:szCs w:val="16"/>
                <w:color w:val="auto"/>
              </w:rPr>
              <w:t>Undistributed (losses) earnings</w:t>
            </w:r>
          </w:p>
        </w:tc>
        <w:tc>
          <w:tcPr>
            <w:tcW w:w="280" w:type="dxa"/>
            <w:vAlign w:val="bottom"/>
          </w:tcPr>
          <w:p>
            <w:pPr>
              <w:spacing w:after="0"/>
              <w:rPr>
                <w:sz w:val="22"/>
                <w:szCs w:val="22"/>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b w:val="1"/>
                <w:bCs w:val="1"/>
                <w:color w:val="auto"/>
              </w:rPr>
              <w:t>(9,480)</w:t>
            </w:r>
          </w:p>
        </w:tc>
        <w:tc>
          <w:tcPr>
            <w:tcW w:w="42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92,691</w:t>
            </w:r>
          </w:p>
        </w:tc>
      </w:tr>
      <w:tr>
        <w:trPr>
          <w:trHeight w:val="278"/>
        </w:trPr>
        <w:tc>
          <w:tcPr>
            <w:tcW w:w="89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98.33%</w:t>
            </w:r>
          </w:p>
        </w:tc>
      </w:tr>
      <w:tr>
        <w:trPr>
          <w:trHeight w:val="256"/>
        </w:trPr>
        <w:tc>
          <w:tcPr>
            <w:tcW w:w="8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b w:val="1"/>
                <w:bCs w:val="1"/>
                <w:color w:val="auto"/>
              </w:rPr>
              <w:t>(9,480)</w:t>
            </w:r>
          </w:p>
        </w:tc>
        <w:tc>
          <w:tcPr>
            <w:tcW w:w="42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91,141</w:t>
            </w:r>
          </w:p>
        </w:tc>
      </w:tr>
    </w:tbl>
    <w:p>
      <w:pPr>
        <w:spacing w:after="0" w:line="41" w:lineRule="exact"/>
        <w:rPr>
          <w:sz w:val="20"/>
          <w:szCs w:val="20"/>
          <w:color w:val="auto"/>
        </w:rPr>
      </w:pPr>
    </w:p>
    <w:p>
      <w:pPr>
        <w:sectPr>
          <w:pgSz w:w="11900" w:h="16838" w:orient="portrait"/>
          <w:cols w:equalWidth="0" w:num="1">
            <w:col w:w="11420"/>
          </w:cols>
          <w:pgMar w:left="240" w:top="560" w:right="239" w:bottom="1440" w:gutter="0" w:footer="0" w:header="0"/>
        </w:sectPr>
      </w:pP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Dividends-common stock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Numerator for basic earnings per share</w:t>
      </w:r>
    </w:p>
    <w:p>
      <w:pPr>
        <w:spacing w:after="0" w:line="113" w:lineRule="exact"/>
        <w:rPr>
          <w:sz w:val="20"/>
          <w:szCs w:val="20"/>
          <w:color w:val="auto"/>
        </w:rPr>
      </w:pPr>
    </w:p>
    <w:p>
      <w:pPr>
        <w:ind w:left="180" w:right="314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Basic earnings per share from continuing operations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Diluted earnings per share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30,228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37,044</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20,748</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128,185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20,748</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128,190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4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5,704</w:t>
            </w:r>
          </w:p>
        </w:tc>
        <w:tc>
          <w:tcPr>
            <w:tcW w:w="4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7,275</w:t>
            </w:r>
          </w:p>
        </w:tc>
      </w:tr>
      <w:tr>
        <w:trPr>
          <w:trHeight w:val="274"/>
        </w:trPr>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w:t>
            </w:r>
          </w:p>
        </w:tc>
      </w:tr>
      <w:tr>
        <w:trPr>
          <w:trHeight w:val="264"/>
        </w:trPr>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5,737</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7,301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3.64</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7"/>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3.62</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951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1595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8180" w:space="720"/>
            <w:col w:w="2520"/>
          </w:cols>
          <w:pgMar w:left="240" w:top="560"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6" w:lineRule="exact"/>
        <w:rPr>
          <w:sz w:val="20"/>
          <w:szCs w:val="20"/>
          <w:color w:val="auto"/>
        </w:rPr>
      </w:pPr>
    </w:p>
    <w:p>
      <w:pPr>
        <w:ind w:left="420" w:right="260" w:hanging="412"/>
        <w:spacing w:after="0" w:line="244"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is 100% in the first quarter of 2015 as participating securities are not contractually obligated to share in losses.</w:t>
      </w:r>
    </w:p>
    <w:p>
      <w:pPr>
        <w:spacing w:after="0" w:line="10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13"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14605</wp:posOffset>
            </wp:positionV>
            <wp:extent cx="1440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2014</w:t>
            </w:r>
          </w:p>
        </w:tc>
      </w:tr>
      <w:tr>
        <w:trPr>
          <w:trHeight w:val="257"/>
        </w:trPr>
        <w:tc>
          <w:tcPr>
            <w:tcW w:w="60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4320" w:type="dxa"/>
            <w:vAlign w:val="bottom"/>
          </w:tcPr>
          <w:p>
            <w:pPr>
              <w:jc w:val="right"/>
              <w:ind w:right="243"/>
              <w:spacing w:after="0"/>
              <w:rPr>
                <w:sz w:val="20"/>
                <w:szCs w:val="20"/>
                <w:color w:val="auto"/>
              </w:rPr>
            </w:pPr>
            <w:r>
              <w:rPr>
                <w:rFonts w:ascii="Arial" w:cs="Arial" w:eastAsia="Arial" w:hAnsi="Arial"/>
                <w:sz w:val="16"/>
                <w:szCs w:val="16"/>
                <w:b w:val="1"/>
                <w:bCs w:val="1"/>
                <w:color w:val="auto"/>
              </w:rPr>
              <w:t>54</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51</w:t>
            </w:r>
          </w:p>
        </w:tc>
      </w:tr>
    </w:tbl>
    <w:p>
      <w:pPr>
        <w:spacing w:after="0" w:line="133"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diluted earnings per share amounts for the three months ended March 31, 2015 exclude the effects of 50,000 stock options outstanding as their inclusion would have been antidilutive. The diluted earnings per share amounts for the three months ended March 31, 2014 exclude the effects of 5,000 stock options outstanding as their inclusion would have been antidilutive. The diluted earnings per share amounts for the three months ended March 31, 2015 exclude the effects of 5,850 restricted stock awards as their inclusion would have been antidilutive. The diluted earnings per share amounts for the three months ended March 31, 2014 exclude the effects of 5,550 restricted stock awards, as their inclusion would have been antidilutive.</w:t>
      </w:r>
    </w:p>
    <w:p>
      <w:pPr>
        <w:spacing w:after="0" w:line="112"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The Company declared regular dividends totaling $5.30 and $5.10 for the three months ended March 31, 2015 and March 31, 2014, respectively.</w:t>
      </w:r>
    </w:p>
    <w:p>
      <w:pPr>
        <w:sectPr>
          <w:pgSz w:w="11900" w:h="16838" w:orient="portrait"/>
          <w:cols w:equalWidth="0" w:num="1">
            <w:col w:w="11420"/>
          </w:cols>
          <w:pgMar w:left="240" w:top="560" w:right="23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7,252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7,537</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12,780</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13,082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(31,545)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(30,263)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81</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(7,038)</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(11,432)</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(16,600)</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4,490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(11,432)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For the three months ended March 31, 2014, the net periodic benefit for the Company's pension plans, as reported above, includes costs of $0.1 million reported in discontinued operations.</w:t>
      </w:r>
    </w:p>
    <w:p>
      <w:pPr>
        <w:spacing w:after="0" w:line="9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is being funded from the assets of the Company's pension plan.</w:t>
      </w:r>
    </w:p>
    <w:p>
      <w:pPr>
        <w:spacing w:after="0" w:line="9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509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1,135</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1,085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878</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2,636</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For the three months ended March 31, 2014, the net periodic cost for the Company's SERP, as reported above, includes costs of $0.1 million reported in discontinued operations.</w:t>
      </w:r>
    </w:p>
    <w:p>
      <w:pPr>
        <w:spacing w:after="0" w:line="90" w:lineRule="exact"/>
        <w:rPr>
          <w:sz w:val="20"/>
          <w:szCs w:val="20"/>
          <w:color w:val="auto"/>
        </w:rPr>
      </w:pPr>
    </w:p>
    <w:p>
      <w:pPr>
        <w:jc w:val="both"/>
        <w:ind w:right="44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0"/>
        </w:trPr>
        <w:tc>
          <w:tcPr>
            <w:tcW w:w="8480" w:type="dxa"/>
            <w:vAlign w:val="bottom"/>
          </w:tcPr>
          <w:p>
            <w:pPr>
              <w:spacing w:after="0"/>
              <w:rPr>
                <w:sz w:val="24"/>
                <w:szCs w:val="24"/>
                <w:color w:val="auto"/>
              </w:rPr>
            </w:pPr>
          </w:p>
        </w:tc>
        <w:tc>
          <w:tcPr>
            <w:tcW w:w="1720" w:type="dxa"/>
            <w:vAlign w:val="bottom"/>
          </w:tcPr>
          <w:p>
            <w:pPr>
              <w:jc w:val="right"/>
              <w:ind w:right="623"/>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203"/>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2014</w:t>
            </w:r>
          </w:p>
        </w:tc>
      </w:tr>
      <w:tr>
        <w:trPr>
          <w:trHeight w:val="257"/>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55%</w:t>
            </w: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4"/>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33%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March 31, 2015,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08"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ectPr>
          <w:pgSz w:w="11900" w:h="16838" w:orient="portrait"/>
          <w:cols w:equalWidth="0" w:num="1">
            <w:col w:w="11420"/>
          </w:cols>
          <w:pgMar w:left="240" w:top="560" w:right="2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60" w:right="239" w:bottom="1440" w:gutter="0" w:footer="0" w:header="0"/>
          <w:type w:val="continuous"/>
        </w:sectPr>
      </w:pPr>
    </w:p>
    <w:bookmarkStart w:id="16" w:name="page17"/>
    <w:bookmarkEnd w:id="16"/>
    <w:p>
      <w:pPr>
        <w:ind w:right="120"/>
        <w:spacing w:after="0" w:line="226"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2015. Types of concentrations that were evaluated include, but are not limited to, investment concentrations in a single entity, type of industry, foreign country and individual fund. At March 31, 2015, the pension plan held common stock in one investment that exceeded 10% of total plan assets, valued at $646.5 million, or 25% of total plan assets. At December 31, 2014, the pension plan held common stock in two investments that exceeded 10% of total plan assets, valued at $730.6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 30% of total plan assets. At March 31, 2015 and December 31, 2014, the pension plan held investments in one foreign country that exceeded 10% of total plan assets. These investments were valued at $648.7 million and $468.0 million at March 31, 2015 and December 31, 2014, respectively, or approximately 25% and 19%, respectively, of total plan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333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325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(126)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(249)</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(EXPENSE)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165"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60"/>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(6,827)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Gain on formation of joint venture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5,972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127,670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Losses on sales or write-down of marketable equity securities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(785)</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(250)</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1,351</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(1,105)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133,273</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6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2014</w:t>
            </w:r>
          </w:p>
        </w:tc>
        <w:tc>
          <w:tcPr>
            <w:tcW w:w="98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Before-Tax</w:t>
            </w:r>
          </w:p>
        </w:tc>
        <w:tc>
          <w:tcPr>
            <w:tcW w:w="880" w:type="dxa"/>
            <w:vAlign w:val="bottom"/>
          </w:tcPr>
          <w:p>
            <w:pPr>
              <w:jc w:val="center"/>
              <w:ind w:left="28"/>
              <w:spacing w:after="0"/>
              <w:rPr>
                <w:sz w:val="20"/>
                <w:szCs w:val="20"/>
                <w:color w:val="auto"/>
              </w:rPr>
            </w:pPr>
            <w:r>
              <w:rPr>
                <w:rFonts w:ascii="Arial" w:cs="Arial" w:eastAsia="Arial" w:hAnsi="Arial"/>
                <w:sz w:val="14"/>
                <w:szCs w:val="14"/>
                <w:b w:val="1"/>
                <w:bCs w:val="1"/>
                <w:color w:val="auto"/>
              </w:rPr>
              <w:t>Income</w:t>
            </w:r>
          </w:p>
        </w:tc>
        <w:tc>
          <w:tcPr>
            <w:tcW w:w="1240" w:type="dxa"/>
            <w:vAlign w:val="bottom"/>
          </w:tcPr>
          <w:p>
            <w:pPr>
              <w:jc w:val="center"/>
              <w:ind w:left="68"/>
              <w:spacing w:after="0"/>
              <w:rPr>
                <w:sz w:val="20"/>
                <w:szCs w:val="20"/>
                <w:color w:val="auto"/>
              </w:rPr>
            </w:pPr>
            <w:r>
              <w:rPr>
                <w:rFonts w:ascii="Arial" w:cs="Arial" w:eastAsia="Arial" w:hAnsi="Arial"/>
                <w:sz w:val="14"/>
                <w:szCs w:val="14"/>
                <w:b w:val="1"/>
                <w:bCs w:val="1"/>
                <w:color w:val="auto"/>
              </w:rPr>
              <w:t>After-Tax</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Before-Tax</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Income</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9"/>
              </w:rPr>
              <w:t>Tax</w:t>
            </w:r>
          </w:p>
        </w:tc>
        <w:tc>
          <w:tcPr>
            <w:tcW w:w="12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Amount</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Tax</w:t>
            </w:r>
          </w:p>
        </w:tc>
        <w:tc>
          <w:tcPr>
            <w:tcW w:w="9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Amount</w:t>
            </w:r>
          </w:p>
        </w:tc>
      </w:tr>
    </w:tbl>
    <w:p>
      <w:pPr>
        <w:spacing w:after="0" w:line="36" w:lineRule="exact"/>
        <w:rPr>
          <w:sz w:val="20"/>
          <w:szCs w:val="20"/>
          <w:color w:val="auto"/>
        </w:rPr>
      </w:pPr>
    </w:p>
    <w:p>
      <w:pPr>
        <w:sectPr>
          <w:pgSz w:w="11900" w:h="16838" w:orient="portrait"/>
          <w:cols w:equalWidth="0" w:num="1">
            <w:col w:w="11420"/>
          </w:cols>
          <w:pgMar w:left="240" w:top="560"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340" w:right="200" w:hanging="161"/>
        <w:spacing w:after="0" w:line="291" w:lineRule="auto"/>
        <w:rPr>
          <w:sz w:val="20"/>
          <w:szCs w:val="20"/>
          <w:color w:val="auto"/>
        </w:rPr>
      </w:pPr>
      <w:r>
        <w:rPr>
          <w:rFonts w:ascii="Arial" w:cs="Arial" w:eastAsia="Arial" w:hAnsi="Arial"/>
          <w:sz w:val="16"/>
          <w:szCs w:val="16"/>
          <w:color w:val="auto"/>
        </w:rPr>
        <w:t>Reclassification adjustment for write-down and realization of loss on sale of available-for-sale securities included in net income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97"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(12,088)</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(12,088)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274"/>
        </w:trPr>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w:t>
            </w: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(12,129)</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(12,129)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746</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r>
      <w:tr>
        <w:trPr>
          <w:trHeight w:val="530"/>
        </w:trPr>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(8,878)</w:t>
            </w:r>
          </w:p>
        </w:tc>
        <w:tc>
          <w:tcPr>
            <w:tcW w:w="34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rPr>
              <w:t>3,552</w:t>
            </w: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(5,326)</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27,738</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(11,096)</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16,642</w:t>
            </w:r>
          </w:p>
        </w:tc>
      </w:tr>
      <w:tr>
        <w:trPr>
          <w:trHeight w:val="436"/>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w:t>
            </w:r>
          </w:p>
        </w:tc>
      </w:tr>
      <w:tr>
        <w:trPr>
          <w:trHeight w:val="264"/>
        </w:trPr>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(8,878)</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3,552</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(5,326)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28,523</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17,113</w:t>
            </w:r>
          </w:p>
        </w:tc>
      </w:tr>
      <w:tr>
        <w:trPr>
          <w:trHeight w:val="530"/>
        </w:trPr>
        <w:tc>
          <w:tcPr>
            <w:tcW w:w="2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69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2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42</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4"/>
        </w:trPr>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629</w:t>
            </w: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377</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2,873</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(4,309)</w:t>
            </w:r>
          </w:p>
        </w:tc>
      </w:tr>
      <w:tr>
        <w:trPr>
          <w:trHeight w:val="264"/>
        </w:trPr>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698</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(7,284)</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2,913</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w:t>
            </w:r>
          </w:p>
        </w:tc>
      </w:tr>
      <w:tr>
        <w:trPr>
          <w:trHeight w:val="534"/>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179</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108</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3,202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(16,928)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22,157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5000" w:space="40"/>
            <w:col w:w="6380"/>
          </w:cols>
          <w:pgMar w:left="240" w:top="560"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on Pensions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203"/>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Plans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49"/>
        </w:trPr>
        <w:tc>
          <w:tcPr>
            <w:tcW w:w="424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8,548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52,130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392,910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453,480</w:t>
            </w:r>
          </w:p>
        </w:tc>
      </w:tr>
      <w:tr>
        <w:trPr>
          <w:trHeight w:val="212"/>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9"/>
                <w:szCs w:val="19"/>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(12,088)</w:t>
            </w:r>
          </w:p>
        </w:tc>
        <w:tc>
          <w:tcPr>
            <w:tcW w:w="22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(5,326)</w:t>
            </w:r>
          </w:p>
        </w:tc>
        <w:tc>
          <w:tcPr>
            <w:tcW w:w="220" w:type="dxa"/>
            <w:vAlign w:val="bottom"/>
          </w:tcPr>
          <w:p>
            <w:pPr>
              <w:spacing w:after="0"/>
              <w:rPr>
                <w:sz w:val="19"/>
                <w:szCs w:val="19"/>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(17,385)</w:t>
            </w: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2"/>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(41)</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419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79</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457</w:t>
            </w:r>
          </w:p>
        </w:tc>
      </w:tr>
      <w:tr>
        <w:trPr>
          <w:trHeight w:val="26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(12,129)</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(5,326)</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419</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(16,928)</w:t>
            </w:r>
          </w:p>
        </w:tc>
      </w:tr>
      <w:tr>
        <w:trPr>
          <w:trHeight w:val="26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46,804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393,329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436,552</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60" w:right="239" w:bottom="1440" w:gutter="0" w:footer="0" w:header="0"/>
          <w:type w:val="continuous"/>
        </w:sectPr>
      </w:pPr>
    </w:p>
    <w:bookmarkStart w:id="18" w:name="page19"/>
    <w:bookmarkEnd w:id="18"/>
    <w:p>
      <w:pPr>
        <w:spacing w:after="0" w:line="191" w:lineRule="auto"/>
        <w:framePr w:w="360" w:h="147" w:wrap="auto" w:vAnchor="page" w:hAnchor="page" w:x="7040" w:y="5112"/>
        <w:rPr>
          <w:rFonts w:ascii="Arial" w:cs="Arial" w:eastAsia="Arial" w:hAnsi="Arial"/>
          <w:sz w:val="16"/>
          <w:szCs w:val="16"/>
          <w:b w:val="1"/>
          <w:bCs w:val="1"/>
          <w:color w:val="auto"/>
        </w:rPr>
      </w:pPr>
      <w:r>
        <w:rPr>
          <w:rFonts w:ascii="Arial" w:cs="Arial" w:eastAsia="Arial" w:hAnsi="Arial"/>
          <w:sz w:val="16"/>
          <w:szCs w:val="16"/>
          <w:b w:val="1"/>
          <w:bCs w:val="1"/>
          <w:color w:val="auto"/>
        </w:rPr>
        <w:t>419</w:t>
      </w:r>
    </w:p>
    <w:p>
      <w:pPr>
        <w:spacing w:after="0" w:line="191" w:lineRule="auto"/>
        <w:framePr w:w="600" w:h="147" w:wrap="auto" w:vAnchor="page" w:hAnchor="page" w:x="7760" w:y="5112"/>
        <w:rPr>
          <w:rFonts w:ascii="Arial" w:cs="Arial" w:eastAsia="Arial" w:hAnsi="Arial"/>
          <w:sz w:val="16"/>
          <w:szCs w:val="16"/>
          <w:b w:val="1"/>
          <w:bCs w:val="1"/>
          <w:color w:val="auto"/>
        </w:rPr>
      </w:pPr>
      <w:r>
        <w:rPr>
          <w:rFonts w:ascii="Arial" w:cs="Arial" w:eastAsia="Arial" w:hAnsi="Arial"/>
          <w:sz w:val="16"/>
          <w:szCs w:val="16"/>
          <w:b w:val="1"/>
          <w:bCs w:val="1"/>
          <w:color w:val="auto"/>
        </w:rPr>
        <w:t>(4,371)</w:t>
      </w:r>
    </w:p>
    <w:p>
      <w:pPr>
        <w:spacing w:after="0" w:line="191" w:lineRule="auto"/>
        <w:framePr w:w="260" w:h="147" w:wrap="auto" w:vAnchor="page" w:hAnchor="page" w:x="7140" w:y="4004"/>
        <w:rPr>
          <w:rFonts w:ascii="Arial" w:cs="Arial" w:eastAsia="Arial" w:hAnsi="Arial"/>
          <w:sz w:val="16"/>
          <w:szCs w:val="16"/>
          <w:b w:val="1"/>
          <w:bCs w:val="1"/>
          <w:color w:val="auto"/>
        </w:rPr>
      </w:pPr>
      <w:r>
        <w:rPr>
          <w:rFonts w:ascii="Arial" w:cs="Arial" w:eastAsia="Arial" w:hAnsi="Arial"/>
          <w:sz w:val="16"/>
          <w:szCs w:val="16"/>
          <w:b w:val="1"/>
          <w:bCs w:val="1"/>
          <w:color w:val="auto"/>
        </w:rPr>
        <w:t>69</w:t>
      </w:r>
    </w:p>
    <w:p>
      <w:pPr>
        <w:spacing w:after="0" w:line="191" w:lineRule="auto"/>
        <w:framePr w:w="460" w:h="147" w:wrap="auto" w:vAnchor="page" w:hAnchor="page" w:x="7900" w:y="4004"/>
        <w:rPr>
          <w:rFonts w:ascii="Arial" w:cs="Arial" w:eastAsia="Arial" w:hAnsi="Arial"/>
          <w:sz w:val="16"/>
          <w:szCs w:val="16"/>
          <w:b w:val="1"/>
          <w:bCs w:val="1"/>
          <w:color w:val="auto"/>
        </w:rPr>
      </w:pPr>
      <w:r>
        <w:rPr>
          <w:rFonts w:ascii="Arial" w:cs="Arial" w:eastAsia="Arial" w:hAnsi="Arial"/>
          <w:sz w:val="16"/>
          <w:szCs w:val="16"/>
          <w:b w:val="1"/>
          <w:bCs w:val="1"/>
          <w:color w:val="auto"/>
        </w:rPr>
        <w:t>(102)</w:t>
      </w:r>
    </w:p>
    <w:p>
      <w:pPr>
        <w:spacing w:after="0" w:line="191" w:lineRule="auto"/>
        <w:framePr w:w="360" w:h="147" w:wrap="auto" w:vAnchor="page" w:hAnchor="page" w:x="7040" w:y="4274"/>
        <w:rPr>
          <w:rFonts w:ascii="Arial" w:cs="Arial" w:eastAsia="Arial" w:hAnsi="Arial"/>
          <w:sz w:val="16"/>
          <w:szCs w:val="16"/>
          <w:b w:val="1"/>
          <w:bCs w:val="1"/>
          <w:color w:val="auto"/>
        </w:rPr>
      </w:pPr>
      <w:r>
        <w:rPr>
          <w:rFonts w:ascii="Arial" w:cs="Arial" w:eastAsia="Arial" w:hAnsi="Arial"/>
          <w:sz w:val="16"/>
          <w:szCs w:val="16"/>
          <w:b w:val="1"/>
          <w:bCs w:val="1"/>
          <w:color w:val="auto"/>
        </w:rPr>
        <w:t>629</w:t>
      </w:r>
    </w:p>
    <w:p>
      <w:pPr>
        <w:spacing w:after="0" w:line="191" w:lineRule="auto"/>
        <w:framePr w:w="600" w:h="147" w:wrap="auto" w:vAnchor="page" w:hAnchor="page" w:x="7760" w:y="4274"/>
        <w:rPr>
          <w:rFonts w:ascii="Arial" w:cs="Arial" w:eastAsia="Arial" w:hAnsi="Arial"/>
          <w:sz w:val="16"/>
          <w:szCs w:val="16"/>
          <w:b w:val="1"/>
          <w:bCs w:val="1"/>
          <w:color w:val="auto"/>
        </w:rPr>
      </w:pPr>
      <w:r>
        <w:rPr>
          <w:rFonts w:ascii="Arial" w:cs="Arial" w:eastAsia="Arial" w:hAnsi="Arial"/>
          <w:sz w:val="16"/>
          <w:szCs w:val="16"/>
          <w:b w:val="1"/>
          <w:bCs w:val="1"/>
          <w:color w:val="auto"/>
        </w:rPr>
        <w:t>(7,182)</w:t>
      </w:r>
    </w:p>
    <w:p>
      <w:pPr>
        <w:spacing w:after="0" w:line="191" w:lineRule="auto"/>
        <w:framePr w:w="360" w:h="147" w:wrap="auto" w:vAnchor="page" w:hAnchor="page" w:x="7040" w:y="4558"/>
        <w:rPr>
          <w:rFonts w:ascii="Arial" w:cs="Arial" w:eastAsia="Arial" w:hAnsi="Arial"/>
          <w:sz w:val="16"/>
          <w:szCs w:val="16"/>
          <w:b w:val="1"/>
          <w:bCs w:val="1"/>
          <w:color w:val="auto"/>
        </w:rPr>
      </w:pPr>
      <w:r>
        <w:rPr>
          <w:rFonts w:ascii="Arial" w:cs="Arial" w:eastAsia="Arial" w:hAnsi="Arial"/>
          <w:sz w:val="16"/>
          <w:szCs w:val="16"/>
          <w:b w:val="1"/>
          <w:bCs w:val="1"/>
          <w:color w:val="auto"/>
        </w:rPr>
        <w:t>698</w:t>
      </w:r>
    </w:p>
    <w:p>
      <w:pPr>
        <w:spacing w:after="0" w:line="191" w:lineRule="auto"/>
        <w:framePr w:w="600" w:h="147" w:wrap="auto" w:vAnchor="page" w:hAnchor="page" w:x="7760" w:y="4558"/>
        <w:rPr>
          <w:rFonts w:ascii="Arial" w:cs="Arial" w:eastAsia="Arial" w:hAnsi="Arial"/>
          <w:sz w:val="16"/>
          <w:szCs w:val="16"/>
          <w:b w:val="1"/>
          <w:bCs w:val="1"/>
          <w:color w:val="auto"/>
        </w:rPr>
      </w:pPr>
      <w:r>
        <w:rPr>
          <w:rFonts w:ascii="Arial" w:cs="Arial" w:eastAsia="Arial" w:hAnsi="Arial"/>
          <w:sz w:val="16"/>
          <w:szCs w:val="16"/>
          <w:b w:val="1"/>
          <w:bCs w:val="1"/>
          <w:color w:val="auto"/>
        </w:rPr>
        <w:t>(7,284)</w:t>
      </w:r>
    </w:p>
    <w:p>
      <w:pPr>
        <w:spacing w:after="0" w:line="204" w:lineRule="auto"/>
        <w:framePr w:w="460" w:h="147" w:wrap="auto" w:vAnchor="page" w:hAnchor="page" w:x="6980" w:y="4828"/>
        <w:rPr>
          <w:rFonts w:ascii="Arial" w:cs="Arial" w:eastAsia="Arial" w:hAnsi="Arial"/>
          <w:sz w:val="16"/>
          <w:szCs w:val="16"/>
          <w:b w:val="1"/>
          <w:bCs w:val="1"/>
          <w:color w:val="auto"/>
        </w:rPr>
      </w:pPr>
      <w:r>
        <w:rPr>
          <w:rFonts w:ascii="Arial" w:cs="Arial" w:eastAsia="Arial" w:hAnsi="Arial"/>
          <w:sz w:val="16"/>
          <w:szCs w:val="16"/>
          <w:b w:val="1"/>
          <w:bCs w:val="1"/>
          <w:color w:val="auto"/>
        </w:rPr>
        <w:t>(279)</w:t>
      </w:r>
    </w:p>
    <w:p>
      <w:pPr>
        <w:spacing w:after="0" w:line="204" w:lineRule="auto"/>
        <w:framePr w:w="480" w:h="147" w:wrap="auto" w:vAnchor="page" w:hAnchor="page" w:x="7820" w:y="4828"/>
        <w:rPr>
          <w:rFonts w:ascii="Arial" w:cs="Arial" w:eastAsia="Arial" w:hAnsi="Arial"/>
          <w:sz w:val="15"/>
          <w:szCs w:val="15"/>
          <w:b w:val="1"/>
          <w:bCs w:val="1"/>
          <w:color w:val="auto"/>
        </w:rPr>
      </w:pPr>
      <w:r>
        <w:rPr>
          <w:rFonts w:ascii="Arial" w:cs="Arial" w:eastAsia="Arial" w:hAnsi="Arial"/>
          <w:sz w:val="15"/>
          <w:szCs w:val="15"/>
          <w:b w:val="1"/>
          <w:bCs w:val="1"/>
          <w:color w:val="auto"/>
        </w:rPr>
        <w:t>2,913</w:t>
      </w:r>
    </w:p>
    <w:p>
      <w:pPr>
        <w:spacing w:after="0" w:line="191" w:lineRule="auto"/>
        <w:framePr w:w="1420" w:h="147" w:wrap="auto" w:vAnchor="page" w:hAnchor="page" w:x="240" w:y="5395"/>
        <w:rPr>
          <w:rFonts w:ascii="Arial" w:cs="Arial" w:eastAsia="Arial" w:hAnsi="Arial"/>
          <w:sz w:val="16"/>
          <w:szCs w:val="16"/>
          <w:b w:val="1"/>
          <w:bCs w:val="1"/>
          <w:color w:val="auto"/>
        </w:rPr>
      </w:pPr>
      <w:r>
        <w:rPr>
          <w:rFonts w:ascii="Arial" w:cs="Arial" w:eastAsia="Arial" w:hAnsi="Arial"/>
          <w:sz w:val="16"/>
          <w:szCs w:val="16"/>
          <w:b w:val="1"/>
          <w:bCs w:val="1"/>
          <w:color w:val="auto"/>
        </w:rPr>
        <w:t>Cash Flow Hedge</w:t>
      </w:r>
    </w:p>
    <w:p>
      <w:pPr>
        <w:spacing w:after="0" w:line="191" w:lineRule="auto"/>
        <w:framePr w:w="2880" w:h="147" w:wrap="auto" w:vAnchor="page" w:hAnchor="page" w:x="380" w:y="4274"/>
        <w:rPr>
          <w:rFonts w:ascii="Arial" w:cs="Arial" w:eastAsia="Arial" w:hAnsi="Arial"/>
          <w:sz w:val="16"/>
          <w:szCs w:val="16"/>
          <w:b w:val="1"/>
          <w:bCs w:val="1"/>
          <w:color w:val="auto"/>
        </w:rPr>
      </w:pPr>
      <w:r>
        <w:rPr>
          <w:rFonts w:ascii="Arial" w:cs="Arial" w:eastAsia="Arial" w:hAnsi="Arial"/>
          <w:sz w:val="16"/>
          <w:szCs w:val="16"/>
          <w:b w:val="1"/>
          <w:bCs w:val="1"/>
          <w:color w:val="auto"/>
        </w:rPr>
        <w:t>Amortization of net actuarial loss (gain)</w:t>
      </w:r>
    </w:p>
    <w:p>
      <w:pPr>
        <w:spacing w:after="0" w:line="271" w:lineRule="auto"/>
        <w:framePr w:w="4280" w:h="417" w:wrap="auto" w:vAnchor="page" w:hAnchor="page" w:x="240" w:y="1817"/>
        <w:rPr>
          <w:rFonts w:ascii="Arial" w:cs="Arial" w:eastAsia="Arial" w:hAnsi="Arial"/>
          <w:sz w:val="16"/>
          <w:szCs w:val="16"/>
          <w:color w:val="auto"/>
        </w:rPr>
      </w:pPr>
      <w:r>
        <w:rPr>
          <w:rFonts w:ascii="Arial" w:cs="Arial" w:eastAsia="Arial" w:hAnsi="Arial"/>
          <w:sz w:val="16"/>
          <w:szCs w:val="16"/>
          <w:b w:val="1"/>
          <w:bCs w:val="1"/>
          <w:color w:val="auto"/>
        </w:rPr>
        <w:t xml:space="preserve">Foreign Currency Translation Adjustments: </w:t>
      </w:r>
      <w:r>
        <w:rPr>
          <w:rFonts w:ascii="Arial" w:cs="Arial" w:eastAsia="Arial" w:hAnsi="Arial"/>
          <w:sz w:val="16"/>
          <w:szCs w:val="16"/>
          <w:color w:val="auto"/>
        </w:rPr>
        <w:t>Adjustment for sale of a business with foreign operations</w:t>
      </w:r>
    </w:p>
    <w:p>
      <w:pPr>
        <w:spacing w:after="0" w:line="271" w:lineRule="auto"/>
        <w:framePr w:w="3900" w:h="417" w:wrap="auto" w:vAnchor="page" w:hAnchor="page" w:x="240" w:y="2627"/>
        <w:rPr>
          <w:rFonts w:ascii="Arial" w:cs="Arial" w:eastAsia="Arial" w:hAnsi="Arial"/>
          <w:sz w:val="16"/>
          <w:szCs w:val="16"/>
          <w:color w:val="auto"/>
        </w:rPr>
      </w:pPr>
      <w:r>
        <w:rPr>
          <w:rFonts w:ascii="Arial" w:cs="Arial" w:eastAsia="Arial" w:hAnsi="Arial"/>
          <w:sz w:val="16"/>
          <w:szCs w:val="16"/>
          <w:b w:val="1"/>
          <w:bCs w:val="1"/>
          <w:color w:val="auto"/>
        </w:rPr>
        <w:t xml:space="preserve">Unrealized Gains on Available-for-sale Securities: </w:t>
      </w:r>
      <w:r>
        <w:rPr>
          <w:rFonts w:ascii="Arial" w:cs="Arial" w:eastAsia="Arial" w:hAnsi="Arial"/>
          <w:sz w:val="16"/>
          <w:szCs w:val="16"/>
          <w:color w:val="auto"/>
        </w:rPr>
        <w:t>Realized loss for the period</w:t>
      </w:r>
    </w:p>
    <w:p>
      <w:pPr>
        <w:spacing w:after="0" w:line="271" w:lineRule="auto"/>
        <w:framePr w:w="3380" w:h="417" w:wrap="auto" w:vAnchor="page" w:hAnchor="page" w:x="240" w:y="3734"/>
        <w:rPr>
          <w:rFonts w:ascii="Arial" w:cs="Arial" w:eastAsia="Arial" w:hAnsi="Arial"/>
          <w:sz w:val="16"/>
          <w:szCs w:val="16"/>
          <w:color w:val="auto"/>
        </w:rPr>
      </w:pPr>
      <w:r>
        <w:rPr>
          <w:rFonts w:ascii="Arial" w:cs="Arial" w:eastAsia="Arial" w:hAnsi="Arial"/>
          <w:sz w:val="16"/>
          <w:szCs w:val="16"/>
          <w:b w:val="1"/>
          <w:bCs w:val="1"/>
          <w:color w:val="auto"/>
        </w:rPr>
        <w:t xml:space="preserve">Pension and Other Postretirement Plans: </w:t>
      </w:r>
      <w:r>
        <w:rPr>
          <w:rFonts w:ascii="Arial" w:cs="Arial" w:eastAsia="Arial" w:hAnsi="Arial"/>
          <w:sz w:val="16"/>
          <w:szCs w:val="16"/>
          <w:color w:val="auto"/>
        </w:rPr>
        <w:t>Amortization of net prior service cost (credit)</w:t>
      </w: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32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9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33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0"/>
        </w:trPr>
        <w:tc>
          <w:tcPr>
            <w:tcW w:w="6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33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color w:val="auto"/>
        </w:rPr>
      </w:pPr>
    </w:p>
    <w:p>
      <w:pPr>
        <w:sectPr>
          <w:pgSz w:w="11900" w:h="16838" w:orient="portrait"/>
          <w:cols w:equalWidth="0" w:num="1">
            <w:col w:w="11420"/>
          </w:cols>
          <w:pgMar w:left="240" w:top="562" w:right="239" w:bottom="1440" w:gutter="0" w:footer="0" w:header="0"/>
        </w:sectPr>
      </w:pPr>
    </w:p>
    <w:p>
      <w:pPr>
        <w:spacing w:after="0" w:line="104" w:lineRule="exact"/>
        <w:rPr>
          <w:rFonts w:ascii="Arial" w:cs="Arial" w:eastAsia="Arial" w:hAnsi="Arial"/>
          <w:sz w:val="16"/>
          <w:szCs w:val="16"/>
          <w:color w:val="auto"/>
        </w:rPr>
      </w:pPr>
    </w:p>
    <w:p>
      <w:pPr>
        <w:ind w:left="6200"/>
        <w:spacing w:after="0"/>
        <w:tabs>
          <w:tab w:leader="none" w:pos="6860" w:val="left"/>
          <w:tab w:leader="none" w:pos="7340" w:val="left"/>
          <w:tab w:leader="none" w:pos="78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6940" w:hanging="733"/>
        <w:spacing w:after="0"/>
        <w:tabs>
          <w:tab w:leader="none" w:pos="69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785</w:t>
      </w:r>
    </w:p>
    <w:p>
      <w:pPr>
        <w:spacing w:after="0" w:line="86" w:lineRule="exact"/>
        <w:rPr>
          <w:rFonts w:ascii="Arial" w:cs="Arial" w:eastAsia="Arial" w:hAnsi="Arial"/>
          <w:sz w:val="16"/>
          <w:szCs w:val="16"/>
          <w:b w:val="1"/>
          <w:bCs w:val="1"/>
          <w:color w:val="auto"/>
        </w:rPr>
      </w:pPr>
    </w:p>
    <w:p>
      <w:pPr>
        <w:ind w:left="6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(314)</w:t>
      </w:r>
    </w:p>
    <w:p>
      <w:pPr>
        <w:spacing w:after="0" w:line="99" w:lineRule="exact"/>
        <w:rPr>
          <w:rFonts w:ascii="Arial" w:cs="Arial" w:eastAsia="Arial" w:hAnsi="Arial"/>
          <w:sz w:val="16"/>
          <w:szCs w:val="16"/>
          <w:b w:val="1"/>
          <w:bCs w:val="1"/>
          <w:color w:val="auto"/>
        </w:rPr>
      </w:pPr>
    </w:p>
    <w:p>
      <w:pPr>
        <w:ind w:left="6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471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3924300</wp:posOffset>
            </wp:positionH>
            <wp:positionV relativeFrom="paragraph">
              <wp:posOffset>1087755</wp:posOffset>
            </wp:positionV>
            <wp:extent cx="1235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908050</wp:posOffset>
            </wp:positionV>
            <wp:extent cx="1235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556260</wp:posOffset>
            </wp:positionV>
            <wp:extent cx="1235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33020</wp:posOffset>
            </wp:positionV>
            <wp:extent cx="1235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-146050</wp:posOffset>
            </wp:positionV>
            <wp:extent cx="1235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18" w:lineRule="exact"/>
        <w:rPr>
          <w:rFonts w:ascii="Arial" w:cs="Arial" w:eastAsia="Arial" w:hAnsi="Arial"/>
          <w:sz w:val="16"/>
          <w:szCs w:val="16"/>
          <w:color w:val="auto"/>
        </w:rPr>
      </w:pPr>
    </w:p>
    <w:p>
      <w:pPr>
        <w:ind w:right="1040"/>
        <w:spacing w:after="0" w:line="452" w:lineRule="auto"/>
        <w:rPr>
          <w:sz w:val="20"/>
          <w:szCs w:val="20"/>
          <w:color w:val="auto"/>
        </w:rPr>
      </w:pPr>
      <w:r>
        <w:rPr>
          <w:rFonts w:ascii="Arial" w:cs="Arial" w:eastAsia="Arial" w:hAnsi="Arial"/>
          <w:sz w:val="14"/>
          <w:szCs w:val="14"/>
          <w:color w:val="auto"/>
        </w:rPr>
        <w:t>(Loss) Income from Discontinued Operations, Net of Tax</w:t>
      </w:r>
    </w:p>
    <w:p>
      <w:pPr>
        <w:spacing w:after="0" w:line="204" w:lineRule="exact"/>
        <w:rPr>
          <w:rFonts w:ascii="Arial" w:cs="Arial" w:eastAsia="Arial" w:hAnsi="Arial"/>
          <w:sz w:val="16"/>
          <w:szCs w:val="16"/>
          <w:color w:val="auto"/>
        </w:rPr>
      </w:pPr>
    </w:p>
    <w:p>
      <w:pPr>
        <w:ind w:right="1340"/>
        <w:spacing w:after="0" w:line="437" w:lineRule="auto"/>
        <w:rPr>
          <w:sz w:val="20"/>
          <w:szCs w:val="20"/>
          <w:color w:val="auto"/>
        </w:rPr>
      </w:pPr>
      <w:r>
        <w:rPr>
          <w:rFonts w:ascii="Arial" w:cs="Arial" w:eastAsia="Arial" w:hAnsi="Arial"/>
          <w:sz w:val="14"/>
          <w:szCs w:val="14"/>
          <w:color w:val="auto"/>
        </w:rPr>
        <w:t>Other (expense) income, net Provision for Income Taxes Net of Tax</w:t>
      </w:r>
    </w:p>
    <w:p>
      <w:pPr>
        <w:spacing w:after="0" w:line="17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(1)</w:t>
      </w:r>
    </w:p>
    <w:p>
      <w:pPr>
        <w:spacing w:after="0" w:line="10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(1)</w:t>
      </w:r>
    </w:p>
    <w:p>
      <w:pPr>
        <w:spacing w:after="0" w:line="17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Before tax</w:t>
      </w:r>
    </w:p>
    <w:p>
      <w:pPr>
        <w:spacing w:after="0" w:line="109" w:lineRule="exact"/>
        <w:rPr>
          <w:rFonts w:ascii="Arial" w:cs="Arial" w:eastAsia="Arial" w:hAnsi="Arial"/>
          <w:sz w:val="16"/>
          <w:szCs w:val="16"/>
          <w:color w:val="auto"/>
        </w:rPr>
      </w:pPr>
    </w:p>
    <w:p>
      <w:pPr>
        <w:ind w:right="1440"/>
        <w:spacing w:after="0" w:line="472" w:lineRule="auto"/>
        <w:rPr>
          <w:sz w:val="20"/>
          <w:szCs w:val="20"/>
          <w:color w:val="auto"/>
        </w:rPr>
      </w:pPr>
      <w:r>
        <w:rPr>
          <w:rFonts w:ascii="Arial" w:cs="Arial" w:eastAsia="Arial" w:hAnsi="Arial"/>
          <w:sz w:val="14"/>
          <w:szCs w:val="14"/>
          <w:color w:val="auto"/>
        </w:rPr>
        <w:t>Provision for Income Taxes Net of Tax</w:t>
      </w:r>
    </w:p>
    <w:p>
      <w:pPr>
        <w:spacing w:after="0" w:line="170" w:lineRule="exact"/>
        <w:rPr>
          <w:rFonts w:ascii="Arial" w:cs="Arial" w:eastAsia="Arial" w:hAnsi="Arial"/>
          <w:sz w:val="16"/>
          <w:szCs w:val="16"/>
          <w:color w:val="auto"/>
        </w:rPr>
      </w:pPr>
    </w:p>
    <w:p>
      <w:pPr>
        <w:sectPr>
          <w:pgSz w:w="11900" w:h="16838" w:orient="portrait"/>
          <w:cols w:equalWidth="0" w:num="2">
            <w:col w:w="8080" w:space="180"/>
            <w:col w:w="3160"/>
          </w:cols>
          <w:pgMar w:left="240" w:top="562" w:right="23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132</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r>
      <w:tr>
        <w:trPr>
          <w:trHeight w:val="274"/>
        </w:trPr>
        <w:tc>
          <w:tcPr>
            <w:tcW w:w="6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r>
      <w:tr>
        <w:trPr>
          <w:trHeight w:val="264"/>
        </w:trPr>
        <w:tc>
          <w:tcPr>
            <w:tcW w:w="6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79</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267"/>
        </w:trPr>
        <w:tc>
          <w:tcPr>
            <w:tcW w:w="6140" w:type="dxa"/>
            <w:vAlign w:val="bottom"/>
          </w:tcPr>
          <w:p>
            <w:pPr>
              <w:spacing w:after="0"/>
              <w:rPr>
                <w:sz w:val="20"/>
                <w:szCs w:val="20"/>
                <w:color w:val="auto"/>
              </w:rPr>
            </w:pPr>
            <w:r>
              <w:rPr>
                <w:rFonts w:ascii="Arial" w:cs="Arial" w:eastAsia="Arial" w:hAnsi="Arial"/>
                <w:sz w:val="16"/>
                <w:szCs w:val="16"/>
                <w:b w:val="1"/>
                <w:bCs w:val="1"/>
                <w:color w:val="auto"/>
              </w:rPr>
              <w:t>Total reclassification for the period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457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(3,773)</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____________</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rFonts w:ascii="Arial" w:cs="Arial" w:eastAsia="Arial" w:hAnsi="Arial"/>
          <w:sz w:val="16"/>
          <w:szCs w:val="16"/>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08" w:lineRule="exact"/>
        <w:rPr>
          <w:rFonts w:ascii="Arial" w:cs="Arial" w:eastAsia="Arial" w:hAnsi="Arial"/>
          <w:sz w:val="16"/>
          <w:szCs w:val="16"/>
          <w:color w:val="auto"/>
        </w:rPr>
      </w:pPr>
    </w:p>
    <w:p>
      <w:pPr>
        <w:ind w:right="140"/>
        <w:spacing w:after="0" w:line="231"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11" w:lineRule="exact"/>
        <w:rPr>
          <w:rFonts w:ascii="Arial" w:cs="Arial" w:eastAsia="Arial" w:hAnsi="Arial"/>
          <w:sz w:val="16"/>
          <w:szCs w:val="16"/>
          <w:color w:val="auto"/>
        </w:rPr>
      </w:pPr>
    </w:p>
    <w:p>
      <w:pPr>
        <w:ind w:right="120"/>
        <w:spacing w:after="0" w:line="226"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Court. Arguments on both appeals were heard on February 3, 2015. On March 11, 2015, the court issued a decision affirming the lower court's dismissal of all of Gillespie's claims and three of the four Diaz claims but reversing and remanding on one remaining claim.</w:t>
      </w:r>
    </w:p>
    <w:p>
      <w:pPr>
        <w:spacing w:after="0" w:line="110" w:lineRule="exact"/>
        <w:rPr>
          <w:rFonts w:ascii="Arial" w:cs="Arial" w:eastAsia="Arial" w:hAnsi="Arial"/>
          <w:sz w:val="16"/>
          <w:szCs w:val="16"/>
          <w:color w:val="auto"/>
        </w:rPr>
      </w:pPr>
    </w:p>
    <w:p>
      <w:pPr>
        <w:spacing w:after="0" w:line="231"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has moved for summary judgment, which the court granted on March 9, 2015; this ruling could be appealed by the plaintiff.</w:t>
      </w:r>
    </w:p>
    <w:p>
      <w:pPr>
        <w:spacing w:after="0" w:line="36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62" w:right="239" w:bottom="1440" w:gutter="0" w:footer="0" w:header="0"/>
          <w:type w:val="continuous"/>
        </w:sectPr>
      </w:pPr>
    </w:p>
    <w:bookmarkStart w:id="19" w:name="page20"/>
    <w:bookmarkEnd w:id="19"/>
    <w:p>
      <w:pPr>
        <w:spacing w:after="0" w:line="241"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has undertaken program reviews at various KHE locations. Currently,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five pending program reviews, including the ED’s final reports on the program reviews at KHE’s Broomall, PA, and Pittsburgh, PA, locations, and the program review at Kaplan University.</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90"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While there can be no guarantee that these measures will be adequate to prevent the 90/10 ratio at some of the schools from exceeding 90% in the future, management currently estimates that each of KHE's continuing operations campuses will be 90/10 compliant in 2015.</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BUSINESS SEGMENTS</w:t>
      </w:r>
    </w:p>
    <w:p>
      <w:pPr>
        <w:spacing w:after="0" w:line="146"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The Company has six reportable segments: Kaplan Higher Education, Kaplan Test Preparation, Kaplan International, cable, television broadcasting and other businesses.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500,602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522,154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198,723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203,921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83,564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85,651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63,259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1"/>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846,148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836,541</w:t>
            </w:r>
          </w:p>
        </w:tc>
        <w:tc>
          <w:tcPr>
            <w:tcW w:w="0" w:type="dxa"/>
            <w:vAlign w:val="bottom"/>
          </w:tcPr>
          <w:p>
            <w:pPr>
              <w:spacing w:after="0"/>
              <w:rPr>
                <w:sz w:val="1"/>
                <w:szCs w:val="1"/>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(22,849)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39,076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41,162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38,562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44,386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(5,162)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(10,747)</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(3,072)</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46,555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78,869</w:t>
            </w:r>
          </w:p>
        </w:tc>
        <w:tc>
          <w:tcPr>
            <w:tcW w:w="0" w:type="dxa"/>
            <w:vAlign w:val="bottom"/>
          </w:tcPr>
          <w:p>
            <w:pPr>
              <w:spacing w:after="0"/>
              <w:rPr>
                <w:sz w:val="1"/>
                <w:szCs w:val="1"/>
                <w:color w:val="auto"/>
              </w:rPr>
            </w:pP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(404)</w:t>
            </w:r>
          </w:p>
        </w:tc>
        <w:tc>
          <w:tcPr>
            <w:tcW w:w="4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(7,962)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(8,221)</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(1,105)</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133,273</w:t>
            </w:r>
          </w:p>
        </w:tc>
        <w:tc>
          <w:tcPr>
            <w:tcW w:w="0" w:type="dxa"/>
            <w:vAlign w:val="bottom"/>
          </w:tcPr>
          <w:p>
            <w:pPr>
              <w:spacing w:after="0"/>
              <w:rPr>
                <w:sz w:val="1"/>
                <w:szCs w:val="1"/>
                <w:color w:val="auto"/>
              </w:rPr>
            </w:pP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37,084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207,973</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18,528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16,416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36,348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33,787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2,109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1,302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258</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61"/>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58,545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53,217</w:t>
            </w:r>
          </w:p>
        </w:tc>
        <w:tc>
          <w:tcPr>
            <w:tcW w:w="0" w:type="dxa"/>
            <w:vAlign w:val="bottom"/>
          </w:tcPr>
          <w:p>
            <w:pPr>
              <w:spacing w:after="0"/>
              <w:rPr>
                <w:sz w:val="1"/>
                <w:szCs w:val="1"/>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3,168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4,769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3,947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4,143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975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391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(16,938)</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(17,679)</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0" w:right="2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60"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8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3"/>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r>
      <w:tr>
        <w:trPr>
          <w:trHeight w:val="23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1,535,949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1,781,543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1,254,511</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1,253,764</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299,983</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305,426</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488,748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518,807</w:t>
            </w: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509,720</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524,627</w:t>
            </w:r>
          </w:p>
        </w:tc>
      </w:tr>
      <w:tr>
        <w:trPr>
          <w:trHeight w:val="261"/>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4,088,911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4,384,167</w:t>
            </w:r>
          </w:p>
        </w:tc>
      </w:tr>
      <w:tr>
        <w:trPr>
          <w:trHeight w:val="26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184,915</w:t>
            </w:r>
          </w:p>
        </w:tc>
        <w:tc>
          <w:tcPr>
            <w:tcW w:w="2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193,793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36,120</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1,164,001</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7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 Held for Sale</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51,443</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2,060</w:t>
            </w:r>
          </w:p>
        </w:tc>
      </w:tr>
      <w:tr>
        <w:trPr>
          <w:trHeight w:val="266"/>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5,525,390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r>
      <w:tr>
        <w:trPr>
          <w:trHeight w:val="217"/>
        </w:trPr>
        <w:tc>
          <w:tcPr>
            <w:tcW w:w="9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237,568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253,779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69,226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67,804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192,081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198,847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1,859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2,014</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61"/>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500,602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522,154</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593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13,144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(4,334)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7,717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(26,857)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(14,556)</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r>
      <w:tr>
        <w:trPr>
          <w:trHeight w:val="261"/>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(22,849)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1,862</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4,828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7,740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2,890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4,654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4,680</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6,156</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18,528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16,416</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2,532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775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534</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3,947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4,143</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83"/>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203"/>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2014</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8"/>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b w:val="1"/>
                <w:bCs w:val="1"/>
                <w:color w:val="auto"/>
              </w:rPr>
              <w:t>557,851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749,421</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b w:val="1"/>
                <w:bCs w:val="1"/>
                <w:color w:val="auto"/>
              </w:rPr>
              <w:t>169,493</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167,055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b w:val="1"/>
                <w:bCs w:val="1"/>
                <w:color w:val="auto"/>
              </w:rPr>
              <w:t>776,129</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838,148</w:t>
            </w:r>
          </w:p>
        </w:tc>
      </w:tr>
      <w:tr>
        <w:trPr>
          <w:trHeight w:val="274"/>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32,476</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26,919</w:t>
            </w:r>
          </w:p>
        </w:tc>
      </w:tr>
    </w:tbl>
    <w:p>
      <w:pPr>
        <w:sectPr>
          <w:pgSz w:w="11900" w:h="16838" w:orient="portrait"/>
          <w:cols w:equalWidth="0" w:num="1">
            <w:col w:w="11420"/>
          </w:cols>
          <w:pgMar w:left="240" w:top="562" w:right="239" w:bottom="0" w:gutter="0" w:footer="0" w:header="0"/>
        </w:sectPr>
      </w:pPr>
    </w:p>
    <w:bookmarkStart w:id="22" w:name="page23"/>
    <w:bookmarkEnd w:id="22"/>
    <w:p>
      <w:pPr>
        <w:jc w:val="both"/>
        <w:ind w:left="7160"/>
        <w:spacing w:after="0"/>
        <w:tabs>
          <w:tab w:leader="none" w:pos="7800" w:val="left"/>
          <w:tab w:leader="none" w:pos="8760" w:val="left"/>
          <w:tab w:leader="none" w:pos="93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1,535,949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1,781,543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50165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120"/>
          </w:cols>
          <w:pgMar w:left="1440" w:top="1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reported income from continuing operations attributable to common shares of $21.4 million ($3.62 per share) for the first quarter of 2015, compared to $130.4 million ($17.56 per share) for the first quarter of 2014. Net income attributable to common shares was $20.6 million ($3.48 per share) for the first quarter ended March 31, 2015, compared to $132.1 million ($17.79 per share) for the first quarter of last year. Net income includes $0.8 million ($0.14 per share) in losses and $1.7 million ($0.23 per share) in income from discontinued operations for the first quarter of 2015 and 2014, respectively. (Refer to “Discontinued Operations” discussion below.)</w:t>
      </w:r>
    </w:p>
    <w:p>
      <w:pPr>
        <w:spacing w:after="0" w:line="11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21% fewer diluted shares outstanding in the first quarter of 2015, versus the same period in 2014.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2015:</w:t>
      </w:r>
    </w:p>
    <w:p>
      <w:pPr>
        <w:spacing w:after="0" w:line="144" w:lineRule="exact"/>
        <w:rPr>
          <w:sz w:val="20"/>
          <w:szCs w:val="20"/>
          <w:color w:val="auto"/>
        </w:rPr>
      </w:pPr>
    </w:p>
    <w:p>
      <w:pPr>
        <w:ind w:left="180" w:right="380" w:hanging="172"/>
        <w:spacing w:after="0" w:line="26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$10.7 million in restructuring charges and accelerated depreciation at the education division (after-tax impact of $6.8 million, or $1.17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 million gain on the formation of a joint venture (after-tax impact of $3.6 million, or $0.50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$6.8 million in non-operating unrealized foreign currency losses (after-tax impact of $4.4 million, or $0.75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2014:</w:t>
      </w:r>
    </w:p>
    <w:p>
      <w:pPr>
        <w:spacing w:after="0" w:line="144"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$4.5 million in early retirement program expense at the corporate office (after-tax impact of $2.9 million, or $0.39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 million in non-operating unrealized foreign currency gains (after-tax impact of $3.2 million, or $0.44 per share).</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Revenue for the first quarter of 2015 was $846.1 million, up 1% from $836.5 million in the first quarter of 2014. Revenues increased in other businesses, while revenues were down at the education, cable and television broadcasting divisions. The Company reported operating income of $46.6 million for the first quarter of 2015, compared to $78.9 million for the first quarter of 2014. Operating results were down at the education, television broadcasting and cable divisions, offset by improvement in other businesses.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November 2014, the Company announced that its Board of Directors authorized management to proceed with plans for the complete legal and structural separation of Cable ONE, Inc., a Graham Holdings subsidiary, from Graham Holdings.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109"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6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Education division revenue totaled $500.6 million for the first quarter of 2015, compared with revenue of $522.2 million for the same period of 2014. Kaplan reported an operating loss of $22.8 million for the first quarter of 2015, compared to operating income of $1.9 million for the first quarter of 2014. Operating results for the first quarter of 2015 include restructuring costs of $10.7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first quarter of 2015 compared to 2014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2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237,568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253,779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69,226</w:t>
            </w:r>
          </w:p>
        </w:tc>
        <w:tc>
          <w:tcPr>
            <w:tcW w:w="4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67,804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192,081</w:t>
            </w:r>
          </w:p>
        </w:tc>
        <w:tc>
          <w:tcPr>
            <w:tcW w:w="4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198,847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1,859</w:t>
            </w:r>
          </w:p>
        </w:tc>
        <w:tc>
          <w:tcPr>
            <w:tcW w:w="4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2,014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4"/>
        </w:trPr>
        <w:tc>
          <w:tcPr>
            <w:tcW w:w="7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(132)</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728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500,602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522,154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593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13,144</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(4,334)</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(6,628)</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7,717</w:t>
            </w:r>
          </w:p>
        </w:tc>
        <w:tc>
          <w:tcPr>
            <w:tcW w:w="4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9,858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(25,350)</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2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(1,507)</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4"/>
        </w:trPr>
        <w:tc>
          <w:tcPr>
            <w:tcW w:w="7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32</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728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(22,849)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 In connection with these and other plans, KHE incurred $2.8 million in restructuring costs the first quarter of 2015, including severance ($1.1 million), lease obligation losses ($0.9 million), accelerated depreciation ($0.7 million) and other items ($0.1 million).</w:t>
      </w:r>
    </w:p>
    <w:p>
      <w:pPr>
        <w:spacing w:after="0" w:line="112"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In February 2015, Kaplan entered into a Purchase and Sale Agreement with ECA to sell substantially all of the remaining assets of its KHE Campuses business. The transaction is contingent upon certain regulatory and accrediting agency approvals and is expected to close in the third quarter of 2015. KHE results include revenue and operating losses related to all of the KHE Campuses business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90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3"/>
                <w:szCs w:val="23"/>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7"/>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61,409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71,098</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(9,358)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(4,483)</w:t>
            </w:r>
          </w:p>
        </w:tc>
      </w:tr>
    </w:tbl>
    <w:p>
      <w:pPr>
        <w:spacing w:after="0" w:line="133"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In the first quarter of 2015, KHE revenue declined 6% due largely to declines in average enrollments at Kaplan University and KHE campuses that reflect weaker market demand over the past year, lower average tuition and the impact of closed campuses. The weaker market demand was most pronounced at KHE’s ground campuses in non-degree vocational programs. KHE operating results were down in the first quarter of 2015 due to revenue declines, increased marketing spending at Kaplan University and restructuring costs in the first quarter of 2015.</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New higher education student enrollments at KHE declined 11% in the first quarter of 2015 (down 9% at Kaplan University and down 15% at the Other Campuses). The decline reflects the generally lower demand across KHE and the impact of closed campuses.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60" w:right="239" w:bottom="1440" w:gutter="0" w:footer="0" w:header="0"/>
        </w:sectPr>
      </w:pPr>
    </w:p>
    <w:bookmarkStart w:id="25" w:name="page26"/>
    <w:bookmarkEnd w:id="25"/>
    <w:p>
      <w:pPr>
        <w:ind w:right="720"/>
        <w:spacing w:after="0" w:line="260" w:lineRule="auto"/>
        <w:rPr>
          <w:sz w:val="20"/>
          <w:szCs w:val="20"/>
          <w:color w:val="auto"/>
        </w:rPr>
      </w:pPr>
      <w:r>
        <w:rPr>
          <w:rFonts w:ascii="Arial" w:cs="Arial" w:eastAsia="Arial" w:hAnsi="Arial"/>
          <w:sz w:val="18"/>
          <w:szCs w:val="18"/>
          <w:color w:val="auto"/>
        </w:rPr>
        <w:t>Total students at March 31, 2015, were down 8% compared to March 31, 2014, and increased 7% compared to December 31, 2014. A summary of student enrollments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7"/>
                <w:szCs w:val="17"/>
                <w:color w:val="auto"/>
              </w:rPr>
            </w:pPr>
          </w:p>
        </w:tc>
      </w:tr>
      <w:tr>
        <w:trPr>
          <w:trHeight w:val="303"/>
        </w:trPr>
        <w:tc>
          <w:tcPr>
            <w:tcW w:w="7100" w:type="dxa"/>
            <w:vAlign w:val="bottom"/>
          </w:tcPr>
          <w:p>
            <w:pPr>
              <w:spacing w:after="0"/>
              <w:rPr>
                <w:sz w:val="24"/>
                <w:szCs w:val="24"/>
                <w:color w:val="auto"/>
              </w:rPr>
            </w:pPr>
          </w:p>
        </w:tc>
        <w:tc>
          <w:tcPr>
            <w:tcW w:w="1480" w:type="dxa"/>
            <w:vAlign w:val="bottom"/>
          </w:tcPr>
          <w:p>
            <w:pPr>
              <w:jc w:val="right"/>
              <w:ind w:right="403"/>
              <w:spacing w:after="0"/>
              <w:rPr>
                <w:sz w:val="20"/>
                <w:szCs w:val="20"/>
                <w:color w:val="auto"/>
              </w:rPr>
            </w:pPr>
            <w:r>
              <w:rPr>
                <w:rFonts w:ascii="Arial" w:cs="Arial" w:eastAsia="Arial" w:hAnsi="Arial"/>
                <w:sz w:val="14"/>
                <w:szCs w:val="14"/>
                <w:b w:val="1"/>
                <w:bCs w:val="1"/>
                <w:color w:val="auto"/>
              </w:rPr>
              <w:t>March 31,</w:t>
            </w:r>
          </w:p>
        </w:tc>
        <w:tc>
          <w:tcPr>
            <w:tcW w:w="1540" w:type="dxa"/>
            <w:vAlign w:val="bottom"/>
          </w:tcPr>
          <w:p>
            <w:pPr>
              <w:jc w:val="center"/>
              <w:ind w:right="103"/>
              <w:spacing w:after="0"/>
              <w:rPr>
                <w:sz w:val="20"/>
                <w:szCs w:val="20"/>
                <w:color w:val="auto"/>
              </w:rPr>
            </w:pPr>
            <w:r>
              <w:rPr>
                <w:rFonts w:ascii="Arial" w:cs="Arial" w:eastAsia="Arial" w:hAnsi="Arial"/>
                <w:sz w:val="14"/>
                <w:szCs w:val="14"/>
                <w:color w:val="auto"/>
              </w:rPr>
              <w:t>December 31,</w:t>
            </w:r>
          </w:p>
        </w:tc>
        <w:tc>
          <w:tcPr>
            <w:tcW w:w="1300" w:type="dxa"/>
            <w:vAlign w:val="bottom"/>
          </w:tcPr>
          <w:p>
            <w:pPr>
              <w:jc w:val="right"/>
              <w:ind w:right="303"/>
              <w:spacing w:after="0"/>
              <w:rPr>
                <w:sz w:val="20"/>
                <w:szCs w:val="20"/>
                <w:color w:val="auto"/>
              </w:rPr>
            </w:pPr>
            <w:r>
              <w:rPr>
                <w:rFonts w:ascii="Arial" w:cs="Arial" w:eastAsia="Arial" w:hAnsi="Arial"/>
                <w:sz w:val="14"/>
                <w:szCs w:val="14"/>
                <w:color w:val="auto"/>
              </w:rPr>
              <w:t>March 31,</w:t>
            </w:r>
          </w:p>
        </w:tc>
      </w:tr>
      <w:tr>
        <w:trPr>
          <w:trHeight w:val="203"/>
        </w:trPr>
        <w:tc>
          <w:tcPr>
            <w:tcW w:w="7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2014</w:t>
            </w: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7"/>
        </w:trPr>
        <w:tc>
          <w:tcPr>
            <w:tcW w:w="71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auto"/>
              </w:rPr>
              <w:t>45,680</w:t>
            </w:r>
          </w:p>
        </w:tc>
        <w:tc>
          <w:tcPr>
            <w:tcW w:w="1540" w:type="dxa"/>
            <w:vAlign w:val="bottom"/>
          </w:tcPr>
          <w:p>
            <w:pPr>
              <w:jc w:val="right"/>
              <w:ind w:right="183"/>
              <w:spacing w:after="0"/>
              <w:rPr>
                <w:sz w:val="20"/>
                <w:szCs w:val="20"/>
                <w:color w:val="auto"/>
              </w:rPr>
            </w:pPr>
            <w:r>
              <w:rPr>
                <w:rFonts w:ascii="Arial" w:cs="Arial" w:eastAsia="Arial" w:hAnsi="Arial"/>
                <w:sz w:val="16"/>
                <w:szCs w:val="16"/>
                <w:color w:val="auto"/>
              </w:rPr>
              <w:t>42,469</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47,109</w:t>
            </w:r>
          </w:p>
        </w:tc>
      </w:tr>
      <w:tr>
        <w:trPr>
          <w:trHeight w:val="274"/>
        </w:trPr>
        <w:tc>
          <w:tcPr>
            <w:tcW w:w="71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14,850</w:t>
            </w: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14,266</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18,842</w:t>
            </w:r>
          </w:p>
        </w:tc>
      </w:tr>
      <w:tr>
        <w:trPr>
          <w:trHeight w:val="264"/>
        </w:trPr>
        <w:tc>
          <w:tcPr>
            <w:tcW w:w="7100" w:type="dxa"/>
            <w:vAlign w:val="bottom"/>
          </w:tcPr>
          <w:p>
            <w:pPr>
              <w:spacing w:after="0"/>
              <w:rPr>
                <w:sz w:val="22"/>
                <w:szCs w:val="22"/>
                <w:color w:val="auto"/>
              </w:rPr>
            </w:pP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60,530</w:t>
            </w: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56,735</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65,951</w:t>
            </w:r>
          </w:p>
        </w:tc>
      </w:tr>
      <w:tr>
        <w:trPr>
          <w:trHeight w:val="20"/>
        </w:trPr>
        <w:tc>
          <w:tcPr>
            <w:tcW w:w="7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March 31, 2015 and 2014, by degree and certificate programs,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1000" w:type="dxa"/>
            <w:vAlign w:val="bottom"/>
            <w:tcBorders>
              <w:bottom w:val="single" w:sz="8" w:color="auto"/>
            </w:tcBorders>
          </w:tcPr>
          <w:p>
            <w:pPr>
              <w:spacing w:after="0"/>
              <w:rPr>
                <w:sz w:val="17"/>
                <w:szCs w:val="17"/>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2014</w:t>
            </w:r>
          </w:p>
        </w:tc>
      </w:tr>
      <w:tr>
        <w:trPr>
          <w:trHeight w:val="257"/>
        </w:trPr>
        <w:tc>
          <w:tcPr>
            <w:tcW w:w="824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21.1%</w:t>
            </w:r>
          </w:p>
        </w:tc>
        <w:tc>
          <w:tcPr>
            <w:tcW w:w="100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26.8%</w:t>
            </w:r>
          </w:p>
        </w:tc>
        <w:tc>
          <w:tcPr>
            <w:tcW w:w="100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Bachelor’s</w:t>
            </w:r>
          </w:p>
        </w:tc>
        <w:tc>
          <w:tcPr>
            <w:tcW w:w="2180" w:type="dxa"/>
            <w:vAlign w:val="bottom"/>
          </w:tcPr>
          <w:p>
            <w:pPr>
              <w:jc w:val="right"/>
              <w:ind w:right="602"/>
              <w:spacing w:after="0"/>
              <w:rPr>
                <w:sz w:val="20"/>
                <w:szCs w:val="20"/>
                <w:color w:val="auto"/>
              </w:rPr>
            </w:pPr>
            <w:r>
              <w:rPr>
                <w:rFonts w:ascii="Arial" w:cs="Arial" w:eastAsia="Arial" w:hAnsi="Arial"/>
                <w:sz w:val="16"/>
                <w:szCs w:val="16"/>
                <w:b w:val="1"/>
                <w:bCs w:val="1"/>
                <w:color w:val="auto"/>
              </w:rPr>
              <w:t>35.2%</w:t>
            </w:r>
          </w:p>
        </w:tc>
        <w:tc>
          <w:tcPr>
            <w:tcW w:w="10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74"/>
        </w:trPr>
        <w:tc>
          <w:tcPr>
            <w:tcW w:w="8240" w:type="dxa"/>
            <w:vAlign w:val="bottom"/>
          </w:tcPr>
          <w:p>
            <w:pPr>
              <w:ind w:left="40"/>
              <w:spacing w:after="0"/>
              <w:rPr>
                <w:sz w:val="20"/>
                <w:szCs w:val="20"/>
                <w:color w:val="auto"/>
              </w:rPr>
            </w:pPr>
            <w:r>
              <w:rPr>
                <w:rFonts w:ascii="Arial" w:cs="Arial" w:eastAsia="Arial" w:hAnsi="Arial"/>
                <w:sz w:val="16"/>
                <w:szCs w:val="16"/>
                <w:color w:val="auto"/>
              </w:rPr>
              <w:t>Master’s</w:t>
            </w:r>
          </w:p>
        </w:tc>
        <w:tc>
          <w:tcPr>
            <w:tcW w:w="21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16.9%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64"/>
        </w:trPr>
        <w:tc>
          <w:tcPr>
            <w:tcW w:w="8240" w:type="dxa"/>
            <w:vAlign w:val="bottom"/>
          </w:tcPr>
          <w:p>
            <w:pPr>
              <w:spacing w:after="0"/>
              <w:rPr>
                <w:sz w:val="22"/>
                <w:szCs w:val="22"/>
                <w:color w:val="auto"/>
              </w:rPr>
            </w:pPr>
          </w:p>
        </w:tc>
        <w:tc>
          <w:tcPr>
            <w:tcW w:w="21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100.0%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2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Kaplan Test Preparation (KTP) includes Kaplan’s standardized test preparation programs. KTP revenue increased 2% for the first quarter of 2015. Excluding revenues from acquired businesses, KTP revenue decreased 2% in the first quarter of 2015. Enrollment was down 1% for the first quarter of 2015 due to declines in graduate programs, offset by growth in pre-college programs. KTP operating results improved in the first quarter of 2015 due to a reduction in operating expenses from tighter cost controls.</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3% in the first quarter of 2015 due to the adverse impact of foreign exchange rates and enrollment declines in English-language programs, offset by growth in Australia and Singapore higher education programs. Kaplan International operating income was down in the first quarter of 2015 due to declines in English-language results, offset by improved results from operations in Australia and Singapore.</w:t>
      </w:r>
    </w:p>
    <w:p>
      <w:pPr>
        <w:spacing w:after="0" w:line="11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first quarter of 2015, Kaplan corporate recorded $ 7.6 million in restructuring charges, including accelerated depreciation ($6.5 million) and lease obligation losses ($1.1 million), related to office space managed by Kaplan corporate. Additional estimated accelerated depreciation ($9.7 million) and lease obligation losses ($ 4.2 million) are expected to be recorded in the second quarter of 2015. Kaplan corporate expenses also increased in the first quarter of 2015 due to increased spending for new business initiatives and replacement of its human resource system.</w:t>
      </w:r>
    </w:p>
    <w:p>
      <w:pPr>
        <w:spacing w:after="0" w:line="11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This will result in additional restructuring plans and related costs in 2015 of approximately $21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44"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Cable division revenue declined 3% in the first quarter of 2015 to $198.7 million, from $203.9 million for the first quarter of 2014, due to 5% fewer customers and 9% fewer Primary Service Units (PSUs). Operating expenses in the first quarter declined 2%, from $162.8 million to $159.6 million, due to fewer customers and reduced programming costs, offset by an increase in depreciation expense. Cable division operating income declined 5% in the first quarter of 2015 to $39.1 million, from $41.2 million in the first quarter of 2014.</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Residential high-speed data revenue increased 5% in the first quarter of 2015 on a 2% customer gain and business sales increased 17% on a 16% increase in business customers. Overall, business sales comprised 10% of total revenue for the first quarter of 2015, compared with 9% of total revenue for the first quarter of 2014. Due to rapidly rising programming costs and shrinking margins, video sales now have less value and emphasis (video PSUs were down 20% over the first quarter of last year) and programming costs have been reduced significantly.</w:t>
      </w:r>
    </w:p>
    <w:p>
      <w:pPr>
        <w:spacing w:after="0" w:line="11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cable division also continues its focus on higher lifetime value customers who are less attracted by discounting, require less support and churn less. Operating income margins are down slightly to 19.7% in the first quarter of 2015 from 20.2% in the first quarter of 2014.</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62" w:right="239" w:bottom="1440" w:gutter="0" w:footer="0" w:header="0"/>
        </w:sectPr>
      </w:pPr>
    </w:p>
    <w:bookmarkStart w:id="26" w:name="page27"/>
    <w:bookmarkEnd w:id="26"/>
    <w:p>
      <w:pPr>
        <w:ind w:right="200"/>
        <w:spacing w:after="0" w:line="292" w:lineRule="auto"/>
        <w:rPr>
          <w:sz w:val="20"/>
          <w:szCs w:val="20"/>
          <w:color w:val="auto"/>
        </w:rPr>
      </w:pPr>
      <w:r>
        <w:rPr>
          <w:rFonts w:ascii="Arial" w:cs="Arial" w:eastAsia="Arial" w:hAnsi="Arial"/>
          <w:sz w:val="18"/>
          <w:szCs w:val="18"/>
          <w:color w:val="auto"/>
        </w:rPr>
        <w:t>PSUs include about 5,500 subscribers who receive free basic cable service, primarily local governments, schools, and other organizations as required by various franchise agreements. A summary of PSUs and total customers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22"/>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Video</w:t>
            </w:r>
          </w:p>
        </w:tc>
        <w:tc>
          <w:tcPr>
            <w:tcW w:w="2120" w:type="dxa"/>
            <w:vAlign w:val="bottom"/>
          </w:tcPr>
          <w:p>
            <w:pPr>
              <w:jc w:val="right"/>
              <w:ind w:right="662"/>
              <w:spacing w:after="0"/>
              <w:rPr>
                <w:sz w:val="20"/>
                <w:szCs w:val="20"/>
                <w:color w:val="auto"/>
              </w:rPr>
            </w:pPr>
            <w:r>
              <w:rPr>
                <w:rFonts w:ascii="Arial" w:cs="Arial" w:eastAsia="Arial" w:hAnsi="Arial"/>
                <w:sz w:val="16"/>
                <w:szCs w:val="16"/>
                <w:b w:val="1"/>
                <w:bCs w:val="1"/>
                <w:color w:val="auto"/>
              </w:rPr>
              <w:t>421,331</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524,563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2120" w:type="dxa"/>
            <w:vAlign w:val="bottom"/>
          </w:tcPr>
          <w:p>
            <w:pPr>
              <w:jc w:val="right"/>
              <w:ind w:right="662"/>
              <w:spacing w:after="0"/>
              <w:rPr>
                <w:sz w:val="20"/>
                <w:szCs w:val="20"/>
                <w:color w:val="auto"/>
              </w:rPr>
            </w:pPr>
            <w:r>
              <w:rPr>
                <w:rFonts w:ascii="Arial" w:cs="Arial" w:eastAsia="Arial" w:hAnsi="Arial"/>
                <w:sz w:val="16"/>
                <w:szCs w:val="16"/>
                <w:b w:val="1"/>
                <w:bCs w:val="1"/>
                <w:color w:val="auto"/>
              </w:rPr>
              <w:t>496,579</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484,168</w:t>
            </w:r>
          </w:p>
        </w:tc>
      </w:tr>
      <w:tr>
        <w:trPr>
          <w:trHeight w:val="274"/>
        </w:trPr>
        <w:tc>
          <w:tcPr>
            <w:tcW w:w="8340" w:type="dxa"/>
            <w:vAlign w:val="bottom"/>
          </w:tcPr>
          <w:p>
            <w:pPr>
              <w:ind w:left="40"/>
              <w:spacing w:after="0"/>
              <w:rPr>
                <w:sz w:val="20"/>
                <w:szCs w:val="20"/>
                <w:color w:val="auto"/>
              </w:rPr>
            </w:pPr>
            <w:r>
              <w:rPr>
                <w:rFonts w:ascii="Arial" w:cs="Arial" w:eastAsia="Arial" w:hAnsi="Arial"/>
                <w:sz w:val="16"/>
                <w:szCs w:val="16"/>
                <w:color w:val="auto"/>
              </w:rPr>
              <w:t>Voice</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145,393</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165,859</w:t>
            </w:r>
          </w:p>
        </w:tc>
      </w:tr>
      <w:tr>
        <w:trPr>
          <w:trHeight w:val="26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1,063,303</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1,174,590</w:t>
            </w:r>
          </w:p>
        </w:tc>
      </w:tr>
      <w:tr>
        <w:trPr>
          <w:trHeight w:val="20"/>
        </w:trPr>
        <w:tc>
          <w:tcPr>
            <w:tcW w:w="83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678,091</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714,010</w:t>
            </w:r>
          </w:p>
        </w:tc>
      </w:tr>
      <w:tr>
        <w:trPr>
          <w:trHeight w:val="20"/>
        </w:trPr>
        <w:tc>
          <w:tcPr>
            <w:tcW w:w="83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Revenue at the television broadcasting division decreased 2% to $83.6 million in the first quarter of 2015, from $85.7 million in the same period of 2014; operating income for the first quarter of 2015 was down 13% to $38.6 million, from $44.4 million in the same period of 2014. The decrease in revenue is due to a $1.7 million decrease in political advertising revenue compared to the first quarter of 2014 and $9.5 million in incremental winter Olympics-related advertising revenue at the Company’s NBC affiliates booked in the prior year, offset by revenues from the Super Bowl at the Company's NBC affiliates in February 2015 and a $2.3 million in increased retransmission revenues. The decline in operating income is due to the revenue decline and an increase in spending on digital initiatives.</w:t>
      </w:r>
    </w:p>
    <w:p>
      <w:pPr>
        <w:spacing w:after="0" w:line="27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 the first quarter of 2015, the Company’s WKMG station in Orlando, FL renewed their network affiliation agreement with CBS for a four-year term ending in April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and Trove, a digital innovation team that builds products and technologies in the news space. Other businesses also includes a number of businesses acquired during 2014. These businesses include:</w:t>
      </w:r>
    </w:p>
    <w:p>
      <w:pPr>
        <w:spacing w:after="0" w:line="111"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VNA-TIP Healthcare of Bridgeton, MO, operating home health and hospice service in Missouri and Illinois;</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Joyce/Dayton Corp., a Dayton, OH-based manufacturer of screw jacks and other linear motion systems;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Residential Healthcare Group, Inc. (Residential), a leading provider of skilled home health care and hospice services in Michigan and Illinois.</w:t>
      </w:r>
    </w:p>
    <w:p>
      <w:pPr>
        <w:spacing w:after="0" w:line="14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January 2015, Celtic Healthcare and Allegheny Health Network (AHN)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11"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The increase in revenues and operating results for the first quarter of 2015 is primarily due to newly acquired businesses in 2014, and increased revenues and improved results at SocialCode and Slate.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Excluding early retirement program expense, the total pension credit for the Company’s traditional defined benefit plan was $17.1 million and $22.4 million in the first three months of 2015 and 2014, respectively.</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Without the pension credit and early retirement program expense, corporate office expenses increased in the first quarter of 2015 due primarily to higher executive compensation costs and expenses related to the cable spin-off transaction.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At March 31, 2015, the Company held a 40% interest in the Celtic joint venture and Residential Home Health Illinois, a 42.5% interest in Residential Hospice Illinois and interests in several other affiliates. At March 31, 2014, the Company held a 16.5% interest in Classified Ventures, LLC (CV) and interests in several other affiliates. On October 1, 2014, the Company and the remaining partners in CV completed the sale of their entire stakes in CV.</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Company recorded equity in losses of affiliates of $0.4 million for the first quarter of 2015, compared to income of $4.1 million for the first quarter of 2014. The equity in earnings of affiliates for the first quarter of 2014 was from the Company’s CV investment.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46"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 recorded total other non-operating expense, net, of $ 1.1 million for the first quarter of 2015, compared to income of $133.3 million for the first quarter of 2014. First quarter 2015 non-operating expense included $ 6.8 million in unrealized foreign currency losses and other items, offset by a $6.0 million gain on the Celtic joint venture transaction. The first quarter 2014 non-operating income, net, included a pre-tax $127.7 million gain on the sale of the headquarters building, $5.0 million in unrealized foreign currency gains and other items.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incurred net interest expense of $8.0 million for the first quarter of 2015, compared to $8.2 million for the first quarter of 2014. At March 31, 2015, the Company had $404.8 million in borrowings outstanding at an average interest rate of 7.2% and cash, marketable equity securities and other investments of $865.9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effective tax rate for income from continuing operations for the first quarter of 2015 was 39.1%, compared to 37.2% for the first quarter of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173"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17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on dispositions of these businesses, which have been reclassified to discontinued operations, net of tax, for all periods presented.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46" w:lineRule="exact"/>
        <w:rPr>
          <w:sz w:val="20"/>
          <w:szCs w:val="20"/>
          <w:color w:val="auto"/>
        </w:rPr>
      </w:pPr>
    </w:p>
    <w:p>
      <w:pPr>
        <w:jc w:val="both"/>
        <w:ind w:right="420"/>
        <w:spacing w:after="0" w:line="231" w:lineRule="auto"/>
        <w:rPr>
          <w:sz w:val="20"/>
          <w:szCs w:val="20"/>
          <w:color w:val="auto"/>
        </w:rPr>
      </w:pPr>
      <w:r>
        <w:rPr>
          <w:rFonts w:ascii="Arial" w:cs="Arial" w:eastAsia="Arial" w:hAnsi="Arial"/>
          <w:sz w:val="18"/>
          <w:szCs w:val="18"/>
          <w:color w:val="auto"/>
        </w:rPr>
        <w:t>The calculation of diluted earnings per share for the first quarter of 2015 was based on 5,790,768 weighted average shares outstanding, compared to 7,352,230 for the first quarter of 2014. At March 31, 2015, there were 5,831,089 shares outstanding and the Company had remaining authorization from the Board of Directors to purchase up to 159,219 shares of Class B common stock. The earnings per share computations for the first quarter of 2015 were favorably impacted by the 1,620,190 common shares repurchased as part of the Berkshire exchange transaction.</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776"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Department of Education (ED) convened a negotiated rulemaking committee in September 2013 to develop new proposed gainful employment regulations. A final regulation was released on October 31, 2014. The final regulation implements debt-to-earnings thresholds that, effective July 1, 2015, will require each program subject to the GE regulations (which are all of Kaplan’s programs) to show that its graduates’ debt payments on loans taken to attend the program are no more than specified percentages of annual or discretionary income. The ED will calculate this debt-to-earnings ratio using income information gained from the Social Security Administration and federal Title IV and private loan data provided by the schools. If a program’s graduates’ debt payments exceed 8% of the graduates’ mean and median annual earnings and 20% of the graduates’ mean and median discretionary earnings, the program will be placed on a warning status requiring certain disclosures to the public. Four consecutive years on a warning status will result in the program becoming ineligible for federal aid Title IV participation.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 The regulation also includes revised requirements for program approval and public disclosure of certain outcomes (graduation, placement, repayment rates and other consumer information).</w:t>
      </w:r>
    </w:p>
    <w:p>
      <w:pPr>
        <w:spacing w:after="0" w:line="11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Some of the data needed to compute program eligibility under the regulatory language are not readily accessible, including graduate incomes, which will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GE regulations and their impact on Kaplan’s operations are still uncertain. Kaplan is making efforts to mitigate the potential negative impact of GE.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can be no guarantee that these measures will be adequate to prevent a material number of programs from either failing the GE tests or being put on warning status. This could cause Kaplan to eliminate or limit enrollments in certain educational programs at some or all of its schools, result in the loss of student access to Title IV programs and have a material adverse effect on KHE's revenues, operating income, cash flows and the estimated fair value of the reporting unit.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three months of 2015, the Company did not make any acquisitions. In the first three months of 2014,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one small business included in its education division; the purchase price allocation comprised goodwill.</w:t>
      </w:r>
    </w:p>
    <w:p>
      <w:pPr>
        <w:spacing w:after="0" w:line="89"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operating results of these businesses are included in other businesses.</w:t>
      </w:r>
    </w:p>
    <w:p>
      <w:pPr>
        <w:spacing w:after="0" w:line="10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In January 2015, Kaplan completed the sale of an additional school in China.</w:t>
      </w:r>
    </w:p>
    <w:p>
      <w:pPr>
        <w:spacing w:after="0" w:line="8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KHE Campuses schools that have been closed or are in the process of closing are not included in the sale transaction. The transaction is contingent upon certain regulatory and accrediting agency approvals and is expected to close in the third quarter of 2015. The Company expects to report a pre-tax loss on the transaction that is not material to the Company's overall financial position.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62" w:right="259" w:bottom="1440" w:gutter="0" w:footer="0" w:header="0"/>
        </w:sectPr>
      </w:pPr>
    </w:p>
    <w:bookmarkStart w:id="29" w:name="page30"/>
    <w:bookmarkEnd w:id="29"/>
    <w:p>
      <w:pPr>
        <w:ind w:right="20"/>
        <w:spacing w:after="0" w:line="235"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0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09"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Company’s income from continuing operations excludes the sold Kaplan China schools and WPLG, which have been reclassified to discontinued operations, net of tax.</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4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During the first three months of 2015, the Company’s capital expenditures totaled $ 42.5 million. This amount includes assets acquired during the year, whereas the amounts reflected in the Company's Condensed Statements of Cash Flows are based on cash payments made during the relevant periods. The Company estimates that its capital expenditures will be in the range of $225 million to $250 million in 2015, including a full-year estimate for the Cable division.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The Company's borrowings declined by $41.1 million, to $404.8 million at March 31, 2015, as compared to borrowings of $445.9 million at December 31, 2014, due to the payoff of the AUD 50 million borrowing in March 2015. At March 31, 2015, the Company had cash and cash equivalents, restricted cash and investments in marketable securities and other investments totaling $865.9 million, compared with $1,024.4 million at December 31, 2014. The decrease is from significant income tax payments in the first quarter of 2015 and other investing and financing activities.</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As of March 31, 2014, the Company held investments in commercial paper totaling $ 99.9 million with original maturities of 91 to 180 days. The Company did not have any investments in commercial paper at March 31, 2015 with original maturities of 91 to 180 days. For the first three months of 2014, these investments are presented in the Company's Condensed Consolidated Statements of Cash Flows as net cash used in investing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receive a dividend of about $450 million on or around the effective date of the cable spin-off transaction later in 2015.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intends to retire the Series A redeemable preferred stock in October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On March 27, 2014, the Company completed the sale of its headquarters building for approximately $158.0 million.</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 The Company expects to replace the revolving credit facility with a new revolving credit facility in 2015.</w:t>
      </w:r>
    </w:p>
    <w:p>
      <w:pPr>
        <w:spacing w:after="0" w:line="11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In September 2013, Standard and Poor’s affirmed the Company’s “BBB” long-term corporate debt rating and changed the outlook from Negative to Stable. In addition, S&amp;P upgraded the Company’s short-term corporate debt rating from “A-3” to “A-2”. On March 12, 2014, Moody’s placed the Company’s senior unsecured rating and its Prime-2 commercial paper rating on review for downgrade. On June 26, 2014, Moody’s downgraded the Company’s long-term credit ratings by two levels from “Baa1” to “Baa3” and the short-term rating by one level from Prime-2 to Prime 3 and changed the outlook to stable. In November 2014, S&amp;P placed the Company’s “BBB” corporate credit rating and “A-2” commercial paper rating on Credit Watch with negative implications, and Moody’s placed the Company's “Baa3” senior unsecured rating under review for possible downgrade. The Company’s current credit ratings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tcPr>
          <w:p>
            <w:pPr>
              <w:jc w:val="right"/>
              <w:ind w:right="343"/>
              <w:spacing w:after="0"/>
              <w:rPr>
                <w:sz w:val="20"/>
                <w:szCs w:val="20"/>
                <w:color w:val="auto"/>
              </w:rPr>
            </w:pPr>
            <w:r>
              <w:rPr>
                <w:rFonts w:ascii="Arial" w:cs="Arial" w:eastAsia="Arial" w:hAnsi="Arial"/>
                <w:sz w:val="14"/>
                <w:szCs w:val="14"/>
                <w:b w:val="1"/>
                <w:bCs w:val="1"/>
                <w:color w:val="auto"/>
              </w:rPr>
              <w:t>Standard</w:t>
            </w:r>
          </w:p>
        </w:tc>
      </w:tr>
      <w:tr>
        <w:trPr>
          <w:trHeight w:val="203"/>
        </w:trPr>
        <w:tc>
          <w:tcPr>
            <w:tcW w:w="48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Moody’s</w:t>
            </w: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&amp; Poor’s</w:t>
            </w:r>
          </w:p>
        </w:tc>
      </w:tr>
      <w:tr>
        <w:trPr>
          <w:trHeight w:val="249"/>
        </w:trPr>
        <w:tc>
          <w:tcPr>
            <w:tcW w:w="4800" w:type="dxa"/>
            <w:vAlign w:val="bottom"/>
          </w:tcPr>
          <w:p>
            <w:pPr>
              <w:ind w:left="40"/>
              <w:spacing w:after="0"/>
              <w:rPr>
                <w:sz w:val="20"/>
                <w:szCs w:val="20"/>
                <w:color w:val="auto"/>
              </w:rPr>
            </w:pPr>
            <w:r>
              <w:rPr>
                <w:rFonts w:ascii="Arial" w:cs="Arial" w:eastAsia="Arial" w:hAnsi="Arial"/>
                <w:sz w:val="16"/>
                <w:szCs w:val="16"/>
                <w:color w:val="auto"/>
              </w:rPr>
              <w:t>Long-term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Baa3</w:t>
            </w:r>
          </w:p>
        </w:tc>
        <w:tc>
          <w:tcPr>
            <w:tcW w:w="134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Short-term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Prime-3</w:t>
            </w:r>
          </w:p>
        </w:tc>
        <w:tc>
          <w:tcPr>
            <w:tcW w:w="134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60" w:right="239" w:bottom="1440" w:gutter="0" w:footer="0" w:header="0"/>
        </w:sectPr>
      </w:pPr>
    </w:p>
    <w:bookmarkStart w:id="30" w:name="page31"/>
    <w:bookmarkEnd w:id="30"/>
    <w:p>
      <w:pPr>
        <w:spacing w:after="0" w:line="231" w:lineRule="auto"/>
        <w:rPr>
          <w:sz w:val="20"/>
          <w:szCs w:val="20"/>
          <w:color w:val="auto"/>
        </w:rPr>
      </w:pPr>
      <w:r>
        <w:rPr>
          <w:rFonts w:ascii="Arial" w:cs="Arial" w:eastAsia="Arial" w:hAnsi="Arial"/>
          <w:sz w:val="18"/>
          <w:szCs w:val="18"/>
          <w:color w:val="auto"/>
        </w:rPr>
        <w:t>At March 31, 2015 and December 31, 2014, the Company had working capital of $637.9 million and $ 639.9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2015.</w:t>
      </w:r>
    </w:p>
    <w:p>
      <w:pPr>
        <w:spacing w:after="0" w:line="11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2014 Annual Report filed on Form 10-K have not otherwise changed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31, 2015.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44"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2015 that has materially affected, or is reasonably likely to materially affect, the Company’s internal control over financial reporting.</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62"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1050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45"/>
        </w:trPr>
        <w:tc>
          <w:tcPr>
            <w:tcW w:w="1142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0" w:type="dxa"/>
            <w:vAlign w:val="bottom"/>
          </w:tcPr>
          <w:p>
            <w:pPr>
              <w:spacing w:after="0"/>
              <w:rPr>
                <w:sz w:val="1"/>
                <w:szCs w:val="1"/>
                <w:color w:val="auto"/>
              </w:rPr>
            </w:pPr>
          </w:p>
        </w:tc>
      </w:tr>
      <w:tr>
        <w:trPr>
          <w:trHeight w:val="289"/>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97"/>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Four Year Credit Agreement, dated as of June 17, 2011, among the Company, JPMorgan Chase Bank, N.A., J.P. Morgan Australia Limited,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Wells Fargo Bank, N.A., The Royal Bank of Scotland PLC, HSBC Bank USA, National Association, The Bank of New York Mellon, PNC Bank,</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National Association, Bank of America, N.A., Citibank, N.A. and The Northern Trust Company (incorporated by reference to Exhibit 10.1 to the</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Company’s Current Report on Form 8-K dated June 17, 2011).</w:t>
            </w:r>
          </w:p>
        </w:tc>
        <w:tc>
          <w:tcPr>
            <w:tcW w:w="0" w:type="dxa"/>
            <w:vAlign w:val="bottom"/>
          </w:tcPr>
          <w:p>
            <w:pPr>
              <w:spacing w:after="0"/>
              <w:rPr>
                <w:sz w:val="1"/>
                <w:szCs w:val="1"/>
                <w:color w:val="auto"/>
              </w:rPr>
            </w:pPr>
          </w:p>
        </w:tc>
      </w:tr>
      <w:tr>
        <w:trPr>
          <w:trHeight w:val="527"/>
        </w:trPr>
        <w:tc>
          <w:tcPr>
            <w:tcW w:w="920" w:type="dxa"/>
            <w:vAlign w:val="bottom"/>
          </w:tcPr>
          <w:p>
            <w:pPr>
              <w:ind w:left="180"/>
              <w:spacing w:after="0"/>
              <w:rPr>
                <w:sz w:val="20"/>
                <w:szCs w:val="20"/>
                <w:color w:val="auto"/>
              </w:rPr>
            </w:pPr>
            <w:r>
              <w:rPr>
                <w:rFonts w:ascii="Arial" w:cs="Arial" w:eastAsia="Arial" w:hAnsi="Arial"/>
                <w:sz w:val="16"/>
                <w:szCs w:val="16"/>
                <w:color w:val="auto"/>
              </w:rPr>
              <w:t>10.1</w:t>
            </w:r>
          </w:p>
        </w:tc>
        <w:tc>
          <w:tcPr>
            <w:tcW w:w="10500" w:type="dxa"/>
            <w:vAlign w:val="bottom"/>
          </w:tcPr>
          <w:p>
            <w:pPr>
              <w:ind w:left="160"/>
              <w:spacing w:after="0"/>
              <w:rPr>
                <w:sz w:val="20"/>
                <w:szCs w:val="20"/>
                <w:color w:val="auto"/>
              </w:rPr>
            </w:pPr>
            <w:r>
              <w:rPr>
                <w:rFonts w:ascii="Arial" w:cs="Arial" w:eastAsia="Arial" w:hAnsi="Arial"/>
                <w:sz w:val="16"/>
                <w:szCs w:val="16"/>
                <w:color w:val="auto"/>
              </w:rPr>
              <w:t>Letter Agreement between the Company and Andrew S. Rosen, dated April 7, 2014.*</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080" w:right="120" w:hanging="910"/>
        <w:spacing w:after="0" w:line="25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2015, formatted in Extensible Business Reporting Language (XBRL): (i) Condensed Consolidated Statements of Operations for the Three Months Ended March 31, 2015 and 2014, (ii) Condensed Consolidated Statements of Comprehensive Income for the Three Months Ended March 31, 2015 and 2014, (iii) Condensed Consolidated Balance Sheets as of March 31, 2015 and December 31, 2014, (iv) Condensed Consolidated Statements of Cash Flows for the Three Months Ended March 31, 2015 and 2014,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6 of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60" w:right="239" w:bottom="1440" w:gutter="0" w:footer="0" w:header="0"/>
        </w:sectPr>
      </w:pPr>
    </w:p>
    <w:bookmarkStart w:id="32" w:name="page33"/>
    <w:bookmarkEnd w:id="3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28575</wp:posOffset>
            </wp:positionV>
            <wp:extent cx="2607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Donald E. Graham,</w:t>
      </w:r>
    </w:p>
    <w:p>
      <w:pPr>
        <w:spacing w:after="0" w:line="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25"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28575</wp:posOffset>
            </wp:positionV>
            <wp:extent cx="2607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Hal S. Jones,</w:t>
      </w:r>
    </w:p>
    <w:p>
      <w:pPr>
        <w:spacing w:after="0" w:line="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240" w:top="738" w:right="5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7,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Andrew S. Rosen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 15th Street N.W.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20071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Andy:</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auto"/>
        </w:rPr>
        <w:t>It is a pleasure to welcome you to the corporate team. You became Chairman of Kaplan, Inc. (“Kaplan”) and Executive Vice President of Graham Holdings Company (the “Company”), effective April 1, 2014. In your new position, you will report directly to Don Graham, Chairman of the Board and Chief Executive Officer of the Company, or his designee. Your duties will be as determined by Don or his designee, and will include working with the CEO of Kaplan and serving as a key advisor on education related matters, overseeing SocialCode and Celtic, and leading other corporate initiatives. You will be expected to spend the time necessary to perform your duties in Fort Lauderdale, Washington, DC or wherever your duties take you, though it is up to you where to maintain your residence.</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9"/>
          <w:szCs w:val="19"/>
          <w:color w:val="auto"/>
        </w:rPr>
        <w:t>Your annualized base compensation will be $1,625,000 paid on a monthly payroll cycle. Your compensation will be reviewed annually. You will be eligible for a discretionary annual cash incentive bonus target of up to 100% of your base salary, based on your performance and the Company’s achievement of its financial targets. For 2014 and for as long as you remain in these two roles, the “Company achievement” portion of your bonus will be based 50% on Company performance and 50% on Kaplan performance (as measured by the bonus plan for the Kaplan CEO). All bonuses are paid at the time (which will not be later than March 15 of the year following the year in which the applicable bonus is earned), and subject to the same terms, as are customary for bonuses payable to other senior level Company executives. You will also be granted 3,000 Performance Units in the 2013-2016 cycle, and 7,000 Performance Units in a plan which will start in 2015. These awards will be subject to certain standard terms and conditions. Details relating to your Performance Unit awards will be provided shortly.</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9"/>
          <w:szCs w:val="19"/>
          <w:color w:val="auto"/>
        </w:rPr>
        <w:t>All other benefits you will receive will be comparable to those afforded to other senior level Company executives, including continued full participation in The Graham Holdings Company Supplemental Executive Retirement Plan (“SERP”) as an Executive Pension Participant. If your employment is terminated at any time before September 1, 2018, you will be given credit as if you had satisfied the Rule of 90 for purposes of calculating the benefit you will be entitled to under the SERP. In order to accomplish that treatment, if your employment terminates for any reason prior to September 1, 2018, you will receive an enhanced retirement benefit under the SERP as follows: your “Unrestricted Benefit” under § 3(a)(i) of the SERP will be computed as if you satisfied the Rule of 90 in § 4.2(b) of the GHC Schedule of The Retirement Plan for Graham Holdings Company, provided however that all components of your Unrestricted Benefit other than the early retirement factor shall be computed using your actual age and years of service. The enhanced benefit shall be payable in the same form and at the</w:t>
      </w:r>
    </w:p>
    <w:p>
      <w:pPr>
        <w:spacing w:after="0" w:line="17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same time as your benefit under § 3 of the SERP would otherwise be paid, provided that if your employment with the Company terminates for any reason prior to September 1, 2018, the enhanced retirement benefit described</w:t>
      </w:r>
    </w:p>
    <w:p>
      <w:pPr>
        <w:sectPr>
          <w:pgSz w:w="11900" w:h="16838" w:orient="portrait"/>
          <w:cols w:equalWidth="0" w:num="1">
            <w:col w:w="11420"/>
          </w:cols>
          <w:pgMar w:left="240" w:top="819" w:right="239" w:bottom="1440" w:gutter="0" w:footer="0" w:header="0"/>
        </w:sectPr>
      </w:pPr>
    </w:p>
    <w:bookmarkStart w:id="34" w:name="page35"/>
    <w:bookmarkEnd w:id="34"/>
    <w:p>
      <w:pPr>
        <w:ind w:right="40"/>
        <w:spacing w:after="0" w:line="269" w:lineRule="auto"/>
        <w:rPr>
          <w:sz w:val="20"/>
          <w:szCs w:val="20"/>
          <w:color w:val="auto"/>
        </w:rPr>
      </w:pPr>
      <w:r>
        <w:rPr>
          <w:rFonts w:ascii="Times New Roman" w:cs="Times New Roman" w:eastAsia="Times New Roman" w:hAnsi="Times New Roman"/>
          <w:sz w:val="20"/>
          <w:szCs w:val="20"/>
          <w:color w:val="auto"/>
        </w:rPr>
        <w:t>above will not begin earlier than September 1, 2018. Any payments made or accrued before September 1, 2018 shall be based on the provisions of the SERP without regard to the enhancement herein.</w:t>
      </w:r>
    </w:p>
    <w:p>
      <w:pPr>
        <w:spacing w:after="0" w:line="160"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You agree that for a period of one year following termination of your employment for any reason, you will be bound by the restrictive covenants set forth on Exhibit A to this letter agreement (the “Restrictive Covenants”).</w:t>
      </w:r>
    </w:p>
    <w:p>
      <w:pPr>
        <w:spacing w:after="0" w:line="160"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0"/>
          <w:szCs w:val="20"/>
          <w:color w:val="auto"/>
        </w:rPr>
        <w:t>Should you choose to end your employment with the Company any time before April 1, 2016, provided that you enter into the Separation and Release Agreement substantially in the form attached as Exhibit B (the “Separation Agreement”) and it becomes effective and irrevocable not later than 60 days following the date that your employment terminates, you will receive a one-time lump-sum cash payment of $2,000,000, which will be payable on the 65th day following termination of your employment (subject to the requirements of Section 409A, as set forth below).</w:t>
      </w:r>
    </w:p>
    <w:p>
      <w:pPr>
        <w:spacing w:after="0" w:line="18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0"/>
          <w:szCs w:val="20"/>
          <w:color w:val="auto"/>
        </w:rPr>
        <w:t>If you are terminated by the Company without cause (as determined by the Company in its reasonable discretion), provided that you enter into the Separation Agreement and it becomes effective and irrevocable not later than 60 days following the date that your employment terminates, you will receive (a) a one-time lump-sum cash payment of $3,500,000, which will be payable on the 65th day following termination of your employment (subject to the requirements of Section 409A, as set forth below), and (b) pro-rata vesting in the stock and options in the Company that you hold as of your termination date. Such pro-rata vesting shall be determined by multiplying the number of shares subject to each relevant tranche of unvested equity by a fraction, the numerator of which is the number of full months that have elapsed from the date of grant of such tranche through the date that your employment terminates, and the denominator of which is the total number of full months in the vesting term of such tranche.</w:t>
      </w:r>
    </w:p>
    <w:p>
      <w:pPr>
        <w:spacing w:after="0" w:line="19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Any and all payments described in this letter agreement and the Separation Agreement will be subject to applicable federal, state, local and non-U.S. tax reporting and withholding requirements. This letter agreement and the Separation Agreement shall be interpreted such that the payments made thereunder shall comply with, or be exempt from, Section 409A of the Internal Revenue Code, as amended, and the Treasury Regulations and any applicable guidance thereunder (“Section 409A”). To the extent that the Company determines that any payment or benefit pursuant to this letter agreement or the Separation Agreement is subject to Section 409A, such payment or benefit shall be made at such times and in such forms as the Company determines are required to comply with Section 409A (including, without limitation, in the case of any amount that is payable in connection with termination of your employment, such amount will only be paid in the event that such termination constitutes a “separation from service” within the meaning of Section 409A and will be subject to a six-month delay, in each case, to the extent necessary to comply with Section 409A). However, nothing in this letter agreement shall be interpreted or construed to transfer any liability for any tax (including a tax or penalty due as a result of a failure to comply with Section 409A) from you to the Company or to any other individual or entity, and the Company shall not pay any additional payment or benefit in the event that the Company changes the time or form of your payments or benefits in accordance with this paragraph.</w:t>
      </w:r>
    </w:p>
    <w:p>
      <w:pPr>
        <w:spacing w:after="0" w:line="188"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20"/>
          <w:szCs w:val="20"/>
          <w:color w:val="auto"/>
        </w:rPr>
        <w:t>The validity, interpretation, construction and performance of this letter agreement will be governed by the laws of the State of New York (without giving effect to any otherwise applicable conflicts of law principles). YOU AND THE COMPANY IRREVOCABLY AGREE TO WAIVE TRIAL BY JURY IN ANY ACTION, PROCEEDING, CLAIM OR COUNTERCLAIM BROUGHT BY</w:t>
      </w:r>
    </w:p>
    <w:p>
      <w:pPr>
        <w:spacing w:after="0" w:line="17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OR ON BEHALF OF EITHER PARTY RELATED TO OR ARISING OUT OF THIS LETTER AGREEMENT OR THE SEPARATION AGREEMENT. This letter agreement supersedes any and all previous compensation agreements between you and Kaplan and the Company, including that certain letter dated as of June 5, 2009 from The Washington Post Company, but excluding arrangements regarding your outstanding equity awards. This letter agreement does not constitute an employment contract. As with all employees, your relationship with the Company and Kaplan is one of employment-at-will, which allows for termination of this relationship by you, the Company or Kaplan for any or no reason, at any time, with or without notice.</w:t>
      </w:r>
    </w:p>
    <w:p>
      <w:pPr>
        <w:sectPr>
          <w:pgSz w:w="11900" w:h="16838" w:orient="portrait"/>
          <w:cols w:equalWidth="0" w:num="1">
            <w:col w:w="11420"/>
          </w:cols>
          <w:pgMar w:left="240" w:top="576" w:right="239" w:bottom="1440" w:gutter="0" w:footer="0" w:header="0"/>
        </w:sectPr>
      </w:pPr>
    </w:p>
    <w:bookmarkStart w:id="35" w:name="page36"/>
    <w:bookmarkEnd w:id="35"/>
    <w:p>
      <w:pPr>
        <w:ind w:firstLine="648"/>
        <w:spacing w:after="0" w:line="296" w:lineRule="auto"/>
        <w:rPr>
          <w:sz w:val="20"/>
          <w:szCs w:val="20"/>
          <w:color w:val="auto"/>
        </w:rPr>
      </w:pPr>
      <w:r>
        <w:rPr>
          <w:rFonts w:ascii="Times New Roman" w:cs="Times New Roman" w:eastAsia="Times New Roman" w:hAnsi="Times New Roman"/>
          <w:sz w:val="19"/>
          <w:szCs w:val="19"/>
          <w:color w:val="auto"/>
        </w:rPr>
        <w:t>Please indicate your understanding and acceptance of this letter agreement by signing and returning one copy to me; a second copy is enclosed for your records. If you have questions about any of these terms, please let me know. We are very pleased that you have joined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/s/ Ann L. McDaniel</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Ann L. McDaniel</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 Andrew S. Rosen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5/18/2014</w:t>
            </w:r>
          </w:p>
        </w:tc>
      </w:tr>
      <w:tr>
        <w:trPr>
          <w:trHeight w:val="472"/>
        </w:trPr>
        <w:tc>
          <w:tcPr>
            <w:tcW w:w="1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Andrew S. Rosen</w:t>
            </w: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Date</w:t>
            </w:r>
          </w:p>
        </w:tc>
      </w:tr>
    </w:tbl>
    <w:p>
      <w:pPr>
        <w:sectPr>
          <w:pgSz w:w="11900" w:h="16838" w:orient="portrait"/>
          <w:cols w:equalWidth="0" w:num="1">
            <w:col w:w="11220"/>
          </w:cols>
          <w:pgMar w:left="240" w:top="576"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638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ectPr>
          <w:pgSz w:w="11900" w:h="16838" w:orient="portrait"/>
          <w:cols w:equalWidth="0" w:num="1">
            <w:col w:w="11420"/>
          </w:cols>
          <w:pgMar w:left="240" w:top="36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20" w:right="240" w:hanging="407"/>
        <w:spacing w:after="0" w:line="271"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67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In connection with the Quarterly Report of Graham Holdings Company (the “Company”) on Form 10-Q for the period ended March 31, 2015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9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9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43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pacing w:after="0" w:line="3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99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41"/>
    </w:lvl>
  </w:abstractNum>
  <w:abstractNum w:abstractNumId="3">
    <w:nsid w:val="DED7263"/>
    <w:multiLevelType w:val="hybridMultilevel"/>
    <w:lvl w:ilvl="0">
      <w:lvlJc w:val="left"/>
      <w:lvlText w:val="\emdash "/>
      <w:numFmt w:val="bullet"/>
      <w:start w:val="1"/>
    </w:lvl>
  </w:abstractNum>
  <w:abstractNum w:abstractNumId="4">
    <w:nsid w:val="7FDCC233"/>
    <w:multiLevelType w:val="hybridMultilevel"/>
    <w:lvl w:ilvl="0">
      <w:lvlJc w:val="left"/>
      <w:lvlText w:val="%1"/>
      <w:numFmt w:val="decimal"/>
      <w:start w:val="69"/>
    </w:lvl>
  </w:abstractNum>
  <w:abstractNum w:abstractNumId="5">
    <w:nsid w:val="1BEFD79F"/>
    <w:multiLevelType w:val="hybridMultilevel"/>
    <w:lvl w:ilvl="0">
      <w:lvlJc w:val="left"/>
      <w:lvlText w:val="%1"/>
      <w:numFmt w:val="decimal"/>
      <w:start w:val="629"/>
    </w:lvl>
  </w:abstractNum>
  <w:abstractNum w:abstractNumId="6">
    <w:nsid w:val="41A7C4C9"/>
    <w:multiLevelType w:val="hybridMultilevel"/>
    <w:lvl w:ilvl="0">
      <w:lvlJc w:val="left"/>
      <w:lvlText w:val="%1"/>
      <w:numFmt w:val="decimal"/>
      <w:start w:val="698"/>
    </w:lvl>
  </w:abstractNum>
  <w:abstractNum w:abstractNumId="7">
    <w:nsid w:val="6B68079A"/>
    <w:multiLevelType w:val="hybridMultilevel"/>
    <w:lvl w:ilvl="0">
      <w:lvlJc w:val="left"/>
      <w:lvlText w:val="%1"/>
      <w:numFmt w:val="decimal"/>
      <w:start w:val="179"/>
    </w:lvl>
  </w:abstractNum>
  <w:abstractNum w:abstractNumId="8">
    <w:nsid w:val="4E6AFB66"/>
    <w:multiLevelType w:val="hybridMultilevel"/>
    <w:lvl w:ilvl="0">
      <w:lvlJc w:val="left"/>
      <w:lvlText w:val="(%1)"/>
      <w:numFmt w:val="decimal"/>
      <w:start w:val="774"/>
    </w:lvl>
  </w:abstractNum>
  <w:abstractNum w:abstractNumId="9">
    <w:nsid w:val="25E45D32"/>
    <w:multiLevelType w:val="hybridMultilevel"/>
    <w:lvl w:ilvl="0">
      <w:lvlJc w:val="left"/>
      <w:lvlText w:val="(%1)"/>
      <w:numFmt w:val="lowerRoman"/>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2019-12-29T17:10:27Z</dcterms:created>
  <dcterms:modified xsi:type="dcterms:W3CDTF">2019-12-29T17:10:27Z</dcterms:modified>
</cp:coreProperties>
</file>