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599440</wp:posOffset>
            </wp:positionH>
            <wp:positionV relativeFrom="page">
              <wp:posOffset>1016000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1040765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25"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UNITED STATES</w:t>
      </w:r>
    </w:p>
    <w:p>
      <w:pPr>
        <w:spacing w:after="0" w:line="57"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3" w:lineRule="exact"/>
        <w:rPr>
          <w:sz w:val="24"/>
          <w:szCs w:val="24"/>
          <w:color w:val="auto"/>
        </w:rPr>
      </w:pPr>
    </w:p>
    <w:p>
      <w:pPr>
        <w:ind w:left="4387"/>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2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86"/>
        <w:spacing w:after="0"/>
        <w:rPr>
          <w:sz w:val="20"/>
          <w:szCs w:val="20"/>
          <w:color w:val="auto"/>
        </w:rPr>
      </w:pPr>
      <w:r>
        <w:rPr>
          <w:rFonts w:ascii="Arial" w:cs="Arial" w:eastAsia="Arial" w:hAnsi="Arial"/>
          <w:sz w:val="31"/>
          <w:szCs w:val="31"/>
          <w:b w:val="1"/>
          <w:bCs w:val="1"/>
          <w:color w:val="auto"/>
        </w:rPr>
        <w:t>FORM 11-K</w:t>
      </w:r>
    </w:p>
    <w:p>
      <w:pPr>
        <w:spacing w:after="0" w:line="175" w:lineRule="exact"/>
        <w:rPr>
          <w:sz w:val="24"/>
          <w:szCs w:val="24"/>
          <w:color w:val="auto"/>
        </w:rPr>
      </w:pPr>
    </w:p>
    <w:p>
      <w:pPr>
        <w:ind w:left="2087"/>
        <w:spacing w:after="0"/>
        <w:rPr>
          <w:sz w:val="20"/>
          <w:szCs w:val="20"/>
          <w:color w:val="auto"/>
        </w:rPr>
      </w:pPr>
      <w:r>
        <w:rPr>
          <w:rFonts w:ascii="Arial" w:cs="Arial" w:eastAsia="Arial" w:hAnsi="Arial"/>
          <w:sz w:val="21"/>
          <w:szCs w:val="21"/>
          <w:b w:val="1"/>
          <w:bCs w:val="1"/>
          <w:color w:val="auto"/>
        </w:rPr>
        <w:t>FOR ANNUAL REPORTS OF EMPLOYEE STOCK PURCHASE, SAVINGS</w:t>
      </w:r>
    </w:p>
    <w:p>
      <w:pPr>
        <w:spacing w:after="0" w:line="37" w:lineRule="exact"/>
        <w:rPr>
          <w:sz w:val="24"/>
          <w:szCs w:val="24"/>
          <w:color w:val="auto"/>
        </w:rPr>
      </w:pPr>
    </w:p>
    <w:p>
      <w:pPr>
        <w:ind w:left="2587"/>
        <w:spacing w:after="0"/>
        <w:rPr>
          <w:sz w:val="20"/>
          <w:szCs w:val="20"/>
          <w:color w:val="auto"/>
        </w:rPr>
      </w:pPr>
      <w:r>
        <w:rPr>
          <w:rFonts w:ascii="Arial" w:cs="Arial" w:eastAsia="Arial" w:hAnsi="Arial"/>
          <w:sz w:val="21"/>
          <w:szCs w:val="21"/>
          <w:b w:val="1"/>
          <w:bCs w:val="1"/>
          <w:color w:val="auto"/>
        </w:rPr>
        <w:t>AND SIMILAR PLANS PURSUANT TO SECTION 15(d) OF THE</w:t>
      </w:r>
    </w:p>
    <w:p>
      <w:pPr>
        <w:spacing w:after="0" w:line="4" w:lineRule="exact"/>
        <w:rPr>
          <w:sz w:val="24"/>
          <w:szCs w:val="24"/>
          <w:color w:val="auto"/>
        </w:rPr>
      </w:pPr>
    </w:p>
    <w:p>
      <w:pPr>
        <w:ind w:left="3687"/>
        <w:spacing w:after="0"/>
        <w:rPr>
          <w:sz w:val="20"/>
          <w:szCs w:val="20"/>
          <w:color w:val="auto"/>
        </w:rPr>
      </w:pPr>
      <w:r>
        <w:rPr>
          <w:rFonts w:ascii="Arial" w:cs="Arial" w:eastAsia="Arial" w:hAnsi="Arial"/>
          <w:sz w:val="21"/>
          <w:szCs w:val="21"/>
          <w:b w:val="1"/>
          <w:bCs w:val="1"/>
          <w:color w:val="auto"/>
        </w:rPr>
        <w:t>SECURITIES EXCHANGE ACT OF 1934</w:t>
      </w:r>
    </w:p>
    <w:p>
      <w:pPr>
        <w:spacing w:after="0" w:line="255" w:lineRule="exact"/>
        <w:rPr>
          <w:sz w:val="24"/>
          <w:szCs w:val="24"/>
          <w:color w:val="auto"/>
        </w:rPr>
      </w:pPr>
    </w:p>
    <w:p>
      <w:pPr>
        <w:ind w:left="487" w:hanging="487"/>
        <w:spacing w:after="0"/>
        <w:tabs>
          <w:tab w:leader="none" w:pos="487"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15(d) of the Securities Exchange Act of 1934</w:t>
      </w:r>
    </w:p>
    <w:p>
      <w:pPr>
        <w:spacing w:after="0" w:line="366" w:lineRule="exact"/>
        <w:rPr>
          <w:sz w:val="24"/>
          <w:szCs w:val="24"/>
          <w:color w:val="auto"/>
        </w:rPr>
      </w:pPr>
    </w:p>
    <w:p>
      <w:pPr>
        <w:jc w:val="center"/>
        <w:ind w:right="-1086"/>
        <w:spacing w:after="0"/>
        <w:rPr>
          <w:sz w:val="20"/>
          <w:szCs w:val="20"/>
          <w:color w:val="auto"/>
        </w:rPr>
      </w:pPr>
      <w:r>
        <w:rPr>
          <w:rFonts w:ascii="Arial" w:cs="Arial" w:eastAsia="Arial" w:hAnsi="Arial"/>
          <w:sz w:val="21"/>
          <w:szCs w:val="21"/>
          <w:color w:val="auto"/>
        </w:rPr>
        <w:t>For the Fiscal Year Ended December 31, 2025</w:t>
      </w:r>
    </w:p>
    <w:p>
      <w:pPr>
        <w:spacing w:after="0" w:line="159"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or</w:t>
      </w:r>
    </w:p>
    <w:p>
      <w:pPr>
        <w:spacing w:after="0" w:line="283" w:lineRule="exact"/>
        <w:rPr>
          <w:sz w:val="24"/>
          <w:szCs w:val="24"/>
          <w:color w:val="auto"/>
        </w:rPr>
      </w:pPr>
    </w:p>
    <w:p>
      <w:pPr>
        <w:ind w:left="487" w:hanging="487"/>
        <w:spacing w:after="0"/>
        <w:tabs>
          <w:tab w:leader="none" w:pos="487"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21"/>
          <w:szCs w:val="21"/>
          <w:b w:val="1"/>
          <w:bCs w:val="1"/>
          <w:color w:val="auto"/>
        </w:rPr>
        <w:t>Transition Report Pursuant to Section 15(d) of the Securities Exchange Act of 1934</w:t>
      </w:r>
    </w:p>
    <w:p>
      <w:pPr>
        <w:spacing w:after="0" w:line="324" w:lineRule="exact"/>
        <w:rPr>
          <w:sz w:val="24"/>
          <w:szCs w:val="24"/>
          <w:color w:val="auto"/>
        </w:rPr>
      </w:pPr>
    </w:p>
    <w:p>
      <w:pPr>
        <w:ind w:left="3287"/>
        <w:spacing w:after="0"/>
        <w:rPr>
          <w:sz w:val="20"/>
          <w:szCs w:val="20"/>
          <w:color w:val="auto"/>
        </w:rPr>
      </w:pPr>
      <w:r>
        <w:rPr>
          <w:rFonts w:ascii="Arial" w:cs="Arial" w:eastAsia="Arial" w:hAnsi="Arial"/>
          <w:sz w:val="21"/>
          <w:szCs w:val="21"/>
          <w:color w:val="auto"/>
        </w:rPr>
        <w:t>For the transition period from _______ to _______</w:t>
      </w:r>
    </w:p>
    <w:p>
      <w:pPr>
        <w:spacing w:after="0" w:line="159" w:lineRule="exact"/>
        <w:rPr>
          <w:sz w:val="24"/>
          <w:szCs w:val="24"/>
          <w:color w:val="auto"/>
        </w:rPr>
      </w:pPr>
    </w:p>
    <w:p>
      <w:pPr>
        <w:ind w:left="3867"/>
        <w:spacing w:after="0"/>
        <w:rPr>
          <w:sz w:val="20"/>
          <w:szCs w:val="20"/>
          <w:color w:val="auto"/>
        </w:rPr>
      </w:pPr>
      <w:r>
        <w:rPr>
          <w:rFonts w:ascii="Arial" w:cs="Arial" w:eastAsia="Arial" w:hAnsi="Arial"/>
          <w:sz w:val="21"/>
          <w:szCs w:val="21"/>
          <w:b w:val="1"/>
          <w:bCs w:val="1"/>
          <w:color w:val="auto"/>
        </w:rPr>
        <w:t>Commission file number 001-06714</w:t>
      </w:r>
    </w:p>
    <w:p>
      <w:pPr>
        <w:spacing w:after="0" w:line="200" w:lineRule="exact"/>
        <w:rPr>
          <w:sz w:val="24"/>
          <w:szCs w:val="24"/>
          <w:color w:val="auto"/>
        </w:rPr>
      </w:pPr>
    </w:p>
    <w:p>
      <w:pPr>
        <w:spacing w:after="0" w:line="326" w:lineRule="exact"/>
        <w:rPr>
          <w:sz w:val="24"/>
          <w:szCs w:val="24"/>
          <w:color w:val="auto"/>
        </w:rPr>
      </w:pPr>
    </w:p>
    <w:p>
      <w:pPr>
        <w:ind w:left="1367"/>
        <w:spacing w:after="0"/>
        <w:rPr>
          <w:sz w:val="20"/>
          <w:szCs w:val="20"/>
          <w:color w:val="auto"/>
        </w:rPr>
      </w:pPr>
      <w:r>
        <w:rPr>
          <w:rFonts w:ascii="Arial" w:cs="Arial" w:eastAsia="Arial" w:hAnsi="Arial"/>
          <w:sz w:val="19"/>
          <w:szCs w:val="19"/>
          <w:color w:val="auto"/>
        </w:rPr>
        <w:t>A. Full title of the plan and the address of the plan, if different from that of the issuer named below:</w:t>
      </w:r>
    </w:p>
    <w:p>
      <w:pPr>
        <w:spacing w:after="0" w:line="288" w:lineRule="exact"/>
        <w:rPr>
          <w:sz w:val="24"/>
          <w:szCs w:val="24"/>
          <w:color w:val="auto"/>
        </w:rPr>
      </w:pPr>
    </w:p>
    <w:p>
      <w:pPr>
        <w:ind w:left="2827"/>
        <w:spacing w:after="0"/>
        <w:rPr>
          <w:sz w:val="20"/>
          <w:szCs w:val="20"/>
          <w:color w:val="auto"/>
        </w:rPr>
      </w:pPr>
      <w:r>
        <w:rPr>
          <w:rFonts w:ascii="Arial" w:cs="Arial" w:eastAsia="Arial" w:hAnsi="Arial"/>
          <w:sz w:val="28"/>
          <w:szCs w:val="28"/>
          <w:b w:val="1"/>
          <w:bCs w:val="1"/>
          <w:color w:val="auto"/>
        </w:rPr>
        <w:t>The 401(k) Savings Plan for GHC Affiliates</w:t>
      </w:r>
    </w:p>
    <w:p>
      <w:pPr>
        <w:spacing w:after="0" w:line="200" w:lineRule="exact"/>
        <w:rPr>
          <w:sz w:val="24"/>
          <w:szCs w:val="24"/>
          <w:color w:val="auto"/>
        </w:rPr>
      </w:pPr>
    </w:p>
    <w:p>
      <w:pPr>
        <w:spacing w:after="0" w:line="290" w:lineRule="exact"/>
        <w:rPr>
          <w:sz w:val="24"/>
          <w:szCs w:val="24"/>
          <w:color w:val="auto"/>
        </w:rPr>
      </w:pPr>
    </w:p>
    <w:p>
      <w:pPr>
        <w:jc w:val="center"/>
        <w:ind w:right="-846"/>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Graham Holdings Company</w:t>
      </w:r>
    </w:p>
    <w:p>
      <w:pPr>
        <w:jc w:val="center"/>
        <w:ind w:right="-1086"/>
        <w:spacing w:after="0" w:line="205" w:lineRule="auto"/>
        <w:rPr>
          <w:sz w:val="20"/>
          <w:szCs w:val="20"/>
          <w:color w:val="auto"/>
        </w:rPr>
      </w:pPr>
      <w:r>
        <w:rPr>
          <w:rFonts w:ascii="Arial" w:cs="Arial" w:eastAsia="Arial" w:hAnsi="Arial"/>
          <w:sz w:val="21"/>
          <w:szCs w:val="21"/>
          <w:b w:val="1"/>
          <w:bCs w:val="1"/>
          <w:color w:val="auto"/>
        </w:rPr>
        <w:t>1812 North Moore Street</w:t>
      </w:r>
    </w:p>
    <w:p>
      <w:pPr>
        <w:jc w:val="center"/>
        <w:ind w:right="-1086"/>
        <w:spacing w:after="0"/>
        <w:rPr>
          <w:sz w:val="20"/>
          <w:szCs w:val="20"/>
          <w:color w:val="auto"/>
        </w:rPr>
      </w:pPr>
      <w:r>
        <w:rPr>
          <w:rFonts w:ascii="Arial" w:cs="Arial" w:eastAsia="Arial" w:hAnsi="Arial"/>
          <w:sz w:val="21"/>
          <w:szCs w:val="21"/>
          <w:b w:val="1"/>
          <w:bCs w:val="1"/>
          <w:color w:val="auto"/>
        </w:rPr>
        <w:t>Arlington, Virginia 22209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912495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227965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0106"/>
          </w:cols>
          <w:pgMar w:left="353"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THE 401(k) SAVINGS PLAN FOR GHC AFFILIATES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ind w:left="1500"/>
              <w:spacing w:after="0"/>
              <w:rPr>
                <w:sz w:val="20"/>
                <w:szCs w:val="20"/>
                <w:color w:val="auto"/>
              </w:rPr>
            </w:pPr>
            <w:r>
              <w:rPr>
                <w:rFonts w:ascii="Arial" w:cs="Arial" w:eastAsia="Arial" w:hAnsi="Arial"/>
                <w:sz w:val="17"/>
                <w:szCs w:val="17"/>
                <w:b w:val="1"/>
                <w:bCs w:val="1"/>
                <w:color w:val="auto"/>
              </w:rPr>
              <w:t>Page</w:t>
            </w:r>
          </w:p>
        </w:tc>
      </w:tr>
      <w:tr>
        <w:trPr>
          <w:trHeight w:val="368"/>
        </w:trPr>
        <w:tc>
          <w:tcPr>
            <w:tcW w:w="9160" w:type="dxa"/>
            <w:vAlign w:val="bottom"/>
          </w:tcPr>
          <w:p>
            <w:pPr>
              <w:ind w:left="20"/>
              <w:spacing w:after="0"/>
              <w:rPr>
                <w:sz w:val="20"/>
                <w:szCs w:val="20"/>
                <w:color w:val="auto"/>
              </w:rPr>
            </w:pPr>
            <w:r>
              <w:rPr>
                <w:rFonts w:ascii="Arial" w:cs="Arial" w:eastAsia="Arial" w:hAnsi="Arial"/>
                <w:sz w:val="17"/>
                <w:szCs w:val="17"/>
                <w:color w:val="auto"/>
              </w:rPr>
              <w:t>Report of Independent Registered Public Accounting Firm</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5"/>
        </w:trPr>
        <w:tc>
          <w:tcPr>
            <w:tcW w:w="9160" w:type="dxa"/>
            <w:vAlign w:val="bottom"/>
          </w:tcPr>
          <w:p>
            <w:pPr>
              <w:ind w:left="20"/>
              <w:spacing w:after="0"/>
              <w:rPr>
                <w:sz w:val="20"/>
                <w:szCs w:val="20"/>
                <w:color w:val="auto"/>
              </w:rPr>
            </w:pPr>
            <w:r>
              <w:rPr>
                <w:rFonts w:ascii="Arial" w:cs="Arial" w:eastAsia="Arial" w:hAnsi="Arial"/>
                <w:sz w:val="17"/>
                <w:szCs w:val="17"/>
                <w:color w:val="auto"/>
              </w:rPr>
              <w:t>Financial Statements: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5"/>
        </w:trPr>
        <w:tc>
          <w:tcPr>
            <w:tcW w:w="9160" w:type="dxa"/>
            <w:vAlign w:val="bottom"/>
          </w:tcPr>
          <w:p>
            <w:pPr>
              <w:ind w:left="220"/>
              <w:spacing w:after="0" w:line="185" w:lineRule="exact"/>
              <w:rPr>
                <w:sz w:val="20"/>
                <w:szCs w:val="20"/>
                <w:color w:val="auto"/>
              </w:rPr>
            </w:pPr>
            <w:r>
              <w:rPr>
                <w:rFonts w:ascii="Arial" w:cs="Arial" w:eastAsia="Arial" w:hAnsi="Arial"/>
                <w:sz w:val="17"/>
                <w:szCs w:val="17"/>
                <w:color w:val="auto"/>
              </w:rPr>
              <w:t>Statements of Net Assets Available for Benefits as of December 31, 2025 and 2024</w:t>
            </w:r>
          </w:p>
        </w:tc>
        <w:tc>
          <w:tcPr>
            <w:tcW w:w="164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0"/>
        </w:trPr>
        <w:tc>
          <w:tcPr>
            <w:tcW w:w="9160" w:type="dxa"/>
            <w:vAlign w:val="bottom"/>
          </w:tcPr>
          <w:p>
            <w:pPr>
              <w:ind w:left="220"/>
              <w:spacing w:after="0"/>
              <w:rPr>
                <w:sz w:val="20"/>
                <w:szCs w:val="20"/>
                <w:color w:val="auto"/>
              </w:rPr>
            </w:pPr>
            <w:r>
              <w:rPr>
                <w:rFonts w:ascii="Arial" w:cs="Arial" w:eastAsia="Arial" w:hAnsi="Arial"/>
                <w:sz w:val="17"/>
                <w:szCs w:val="17"/>
                <w:color w:val="auto"/>
              </w:rPr>
              <w:t>Statement of Changes in Net Assets Available for Benefits for the year ended December 31, 2025</w:t>
            </w:r>
          </w:p>
        </w:tc>
        <w:tc>
          <w:tcPr>
            <w:tcW w:w="16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5"/>
        </w:trPr>
        <w:tc>
          <w:tcPr>
            <w:tcW w:w="9160" w:type="dxa"/>
            <w:vAlign w:val="bottom"/>
          </w:tcPr>
          <w:p>
            <w:pPr>
              <w:ind w:left="220"/>
              <w:spacing w:after="0"/>
              <w:rPr>
                <w:sz w:val="20"/>
                <w:szCs w:val="20"/>
                <w:color w:val="auto"/>
              </w:rPr>
            </w:pPr>
            <w:r>
              <w:rPr>
                <w:rFonts w:ascii="Arial" w:cs="Arial" w:eastAsia="Arial" w:hAnsi="Arial"/>
                <w:sz w:val="17"/>
                <w:szCs w:val="17"/>
                <w:color w:val="auto"/>
              </w:rPr>
              <w:t>Notes to Financial Statements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1"/>
        </w:trPr>
        <w:tc>
          <w:tcPr>
            <w:tcW w:w="9160" w:type="dxa"/>
            <w:vAlign w:val="bottom"/>
          </w:tcPr>
          <w:p>
            <w:pPr>
              <w:ind w:left="20"/>
              <w:spacing w:after="0"/>
              <w:rPr>
                <w:sz w:val="20"/>
                <w:szCs w:val="20"/>
                <w:color w:val="auto"/>
              </w:rPr>
            </w:pPr>
            <w:r>
              <w:rPr>
                <w:rFonts w:ascii="Arial" w:cs="Arial" w:eastAsia="Arial" w:hAnsi="Arial"/>
                <w:sz w:val="17"/>
                <w:szCs w:val="17"/>
                <w:color w:val="auto"/>
              </w:rPr>
              <w:t>Supplemental Schedule: *</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0"/>
        </w:trPr>
        <w:tc>
          <w:tcPr>
            <w:tcW w:w="9160" w:type="dxa"/>
            <w:vAlign w:val="bottom"/>
          </w:tcPr>
          <w:p>
            <w:pPr>
              <w:ind w:left="220"/>
              <w:spacing w:after="0"/>
              <w:rPr>
                <w:sz w:val="20"/>
                <w:szCs w:val="20"/>
                <w:color w:val="auto"/>
              </w:rPr>
            </w:pPr>
            <w:r>
              <w:rPr>
                <w:rFonts w:ascii="Arial" w:cs="Arial" w:eastAsia="Arial" w:hAnsi="Arial"/>
                <w:sz w:val="17"/>
                <w:szCs w:val="17"/>
                <w:color w:val="auto"/>
              </w:rPr>
              <w:t>Schedule H, Line 4i—Schedule of Assets (Held at End of Year)</w:t>
            </w:r>
          </w:p>
        </w:tc>
        <w:tc>
          <w:tcPr>
            <w:tcW w:w="1600" w:type="dxa"/>
            <w:vAlign w:val="bottom"/>
          </w:tcPr>
          <w:p>
            <w:pPr>
              <w:spacing w:after="0"/>
              <w:rPr>
                <w:sz w:val="20"/>
                <w:szCs w:val="20"/>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11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Index to Exhibits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12</w:t>
            </w:r>
          </w:p>
        </w:tc>
        <w:tc>
          <w:tcPr>
            <w:tcW w:w="260" w:type="dxa"/>
            <w:vAlign w:val="bottom"/>
          </w:tcPr>
          <w:p>
            <w:pPr>
              <w:spacing w:after="0"/>
              <w:rPr>
                <w:sz w:val="19"/>
                <w:szCs w:val="19"/>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Signatures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13</w:t>
            </w:r>
          </w:p>
        </w:tc>
        <w:tc>
          <w:tcPr>
            <w:tcW w:w="260" w:type="dxa"/>
            <w:vAlign w:val="bottom"/>
          </w:tcPr>
          <w:p>
            <w:pPr>
              <w:spacing w:after="0"/>
              <w:rPr>
                <w:sz w:val="19"/>
                <w:szCs w:val="19"/>
                <w:color w:val="auto"/>
              </w:rPr>
            </w:pPr>
          </w:p>
        </w:tc>
      </w:tr>
    </w:tbl>
    <w:p>
      <w:pPr>
        <w:spacing w:after="0" w:line="64"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________________________________________________</w:t>
      </w:r>
    </w:p>
    <w:p>
      <w:pPr>
        <w:spacing w:after="0" w:line="333" w:lineRule="exact"/>
        <w:rPr>
          <w:sz w:val="20"/>
          <w:szCs w:val="20"/>
          <w:color w:val="auto"/>
        </w:rPr>
      </w:pPr>
    </w:p>
    <w:p>
      <w:pPr>
        <w:ind w:right="100" w:firstLine="3"/>
        <w:spacing w:after="0" w:line="279" w:lineRule="auto"/>
        <w:tabs>
          <w:tab w:leader="none" w:pos="92"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501015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Administrator and Plan Participants of The 401(k) Savings Plan for GHC Affiliates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statements of net assets available for benefits of The 401(k) Savings Plan for GHC Affiliates (the "Plan") as of</w:t>
      </w:r>
    </w:p>
    <w:p>
      <w:pPr>
        <w:spacing w:after="0" w:line="14"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December 31, 2025 and 2024 and the related statement of changes in net assets available for benefits for the year ended December 31, 2025, including the related notes (collectively referred to as the "financial statements"). In our opinion, the financial statements present fairly, in all material</w:t>
      </w:r>
    </w:p>
    <w:p>
      <w:pPr>
        <w:ind w:right="160"/>
        <w:spacing w:after="0" w:line="255" w:lineRule="auto"/>
        <w:rPr>
          <w:sz w:val="20"/>
          <w:szCs w:val="20"/>
          <w:color w:val="auto"/>
        </w:rPr>
      </w:pPr>
      <w:r>
        <w:rPr>
          <w:rFonts w:ascii="Arial" w:cs="Arial" w:eastAsia="Arial" w:hAnsi="Arial"/>
          <w:sz w:val="17"/>
          <w:szCs w:val="17"/>
          <w:color w:val="auto"/>
        </w:rPr>
        <w:t>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w:t>
      </w:r>
    </w:p>
    <w:p>
      <w:pPr>
        <w:spacing w:after="0" w:line="14"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statements based on our audits. We are a public accounting firm registered with the Public Company Accounting Oversight Board (United States) (PCAOB) and are required to be independent with respect to the Plan in accordance with the U.S. federal securities laws and the applicable rules</w:t>
      </w:r>
    </w:p>
    <w:p>
      <w:pPr>
        <w:spacing w:after="0"/>
        <w:rPr>
          <w:sz w:val="20"/>
          <w:szCs w:val="20"/>
          <w:color w:val="auto"/>
        </w:rPr>
      </w:pPr>
      <w:r>
        <w:rPr>
          <w:rFonts w:ascii="Arial" w:cs="Arial" w:eastAsia="Arial" w:hAnsi="Arial"/>
          <w:sz w:val="17"/>
          <w:szCs w:val="17"/>
          <w:color w:val="auto"/>
        </w:rPr>
        <w:t>and regulations of the Securities and Exchange Commission and the PCAOB.</w:t>
      </w:r>
    </w:p>
    <w:p>
      <w:pPr>
        <w:spacing w:after="0" w:line="124"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98" w:lineRule="exact"/>
        <w:rPr>
          <w:sz w:val="20"/>
          <w:szCs w:val="20"/>
          <w:color w:val="auto"/>
        </w:rPr>
      </w:pPr>
    </w:p>
    <w:p>
      <w:pPr>
        <w:jc w:val="both"/>
        <w:ind w:right="80"/>
        <w:spacing w:after="0" w:line="247"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line="1" w:lineRule="exact"/>
        <w:rPr>
          <w:sz w:val="20"/>
          <w:szCs w:val="20"/>
          <w:color w:val="auto"/>
        </w:rPr>
      </w:pPr>
    </w:p>
    <w:p>
      <w:pPr>
        <w:ind w:right="220"/>
        <w:spacing w:after="0" w:line="230" w:lineRule="auto"/>
        <w:rPr>
          <w:sz w:val="20"/>
          <w:szCs w:val="20"/>
          <w:color w:val="auto"/>
        </w:rPr>
      </w:pPr>
      <w:r>
        <w:rPr>
          <w:rFonts w:ascii="Arial" w:cs="Arial" w:eastAsia="Arial" w:hAnsi="Arial"/>
          <w:sz w:val="17"/>
          <w:szCs w:val="17"/>
          <w:color w:val="auto"/>
        </w:rPr>
        <w:t>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w:t>
      </w:r>
    </w:p>
    <w:p>
      <w:pPr>
        <w:spacing w:after="0"/>
        <w:rPr>
          <w:sz w:val="20"/>
          <w:szCs w:val="20"/>
          <w:color w:val="auto"/>
        </w:rPr>
      </w:pPr>
      <w:r>
        <w:rPr>
          <w:rFonts w:ascii="Arial" w:cs="Arial" w:eastAsia="Arial" w:hAnsi="Arial"/>
          <w:sz w:val="17"/>
          <w:szCs w:val="17"/>
          <w:color w:val="auto"/>
        </w:rPr>
        <w:t>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Information</w:t>
      </w:r>
    </w:p>
    <w:p>
      <w:pPr>
        <w:spacing w:after="0" w:line="140" w:lineRule="exact"/>
        <w:rPr>
          <w:sz w:val="20"/>
          <w:szCs w:val="20"/>
          <w:color w:val="auto"/>
        </w:rPr>
      </w:pPr>
    </w:p>
    <w:p>
      <w:pPr>
        <w:ind w:right="320"/>
        <w:spacing w:after="0" w:line="247" w:lineRule="auto"/>
        <w:rPr>
          <w:sz w:val="20"/>
          <w:szCs w:val="20"/>
          <w:color w:val="auto"/>
        </w:rPr>
      </w:pPr>
      <w:r>
        <w:rPr>
          <w:rFonts w:ascii="Arial" w:cs="Arial" w:eastAsia="Arial" w:hAnsi="Arial"/>
          <w:sz w:val="17"/>
          <w:szCs w:val="17"/>
          <w:color w:val="auto"/>
        </w:rPr>
        <w:t>The supplemental Schedule H, line 4i - Schedule of Assets (Held at End of Year) as of December 31, 2025 ("supplemental schedule") has been subjected to audit procedures performed in conjunction with the audit of the Plan's financial statements. The supplemental schedule is the</w:t>
      </w:r>
    </w:p>
    <w:p>
      <w:pPr>
        <w:spacing w:after="0" w:line="1"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w:t>
      </w:r>
    </w:p>
    <w:p>
      <w:pPr>
        <w:spacing w:after="0" w:line="238" w:lineRule="auto"/>
        <w:rPr>
          <w:sz w:val="20"/>
          <w:szCs w:val="20"/>
          <w:color w:val="auto"/>
        </w:rPr>
      </w:pPr>
      <w:r>
        <w:rPr>
          <w:rFonts w:ascii="Arial" w:cs="Arial" w:eastAsia="Arial" w:hAnsi="Arial"/>
          <w:sz w:val="17"/>
          <w:szCs w:val="17"/>
          <w:color w:val="auto"/>
        </w:rPr>
        <w:t>information presented in the supplemental schedule. In forming our opinion on the supplemental schedule, we evaluated whether the supplemental</w:t>
      </w:r>
    </w:p>
    <w:p>
      <w:pPr>
        <w:ind w:right="260"/>
        <w:spacing w:after="0" w:line="230" w:lineRule="auto"/>
        <w:rPr>
          <w:sz w:val="20"/>
          <w:szCs w:val="20"/>
          <w:color w:val="auto"/>
        </w:rPr>
      </w:pPr>
      <w:r>
        <w:rPr>
          <w:rFonts w:ascii="Arial" w:cs="Arial" w:eastAsia="Arial" w:hAnsi="Arial"/>
          <w:sz w:val="17"/>
          <w:szCs w:val="17"/>
          <w:color w:val="auto"/>
        </w:rPr>
        <w:t>schedule, including its form and content, is presented in conformity with the Department of Labor's Rules and Regulations for Reporting and Disclosure under the Employee Retirement Income Security Act of 1974. In our opinion, the supplemental schedule is fairly stated, in all material</w:t>
      </w:r>
    </w:p>
    <w:p>
      <w:pPr>
        <w:spacing w:after="0"/>
        <w:rPr>
          <w:sz w:val="20"/>
          <w:szCs w:val="20"/>
          <w:color w:val="auto"/>
        </w:rPr>
      </w:pPr>
      <w:r>
        <w:rPr>
          <w:rFonts w:ascii="Arial" w:cs="Arial" w:eastAsia="Arial" w:hAnsi="Arial"/>
          <w:sz w:val="17"/>
          <w:szCs w:val="17"/>
          <w:color w:val="auto"/>
        </w:rPr>
        <w:t>respects, in relation to the financial statements as a whole.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Miami, Florida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25, 2026</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1"/>
          <w:szCs w:val="21"/>
          <w:b w:val="1"/>
          <w:bCs w:val="1"/>
          <w:color w:val="auto"/>
        </w:rPr>
        <w:t>THE 401(k) SAVINGS PLAN FOR GHC AFFILIATES</w:t>
      </w:r>
    </w:p>
    <w:p>
      <w:pPr>
        <w:jc w:val="center"/>
        <w:ind w:right="-19"/>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6"/>
              </w:rPr>
              <w:t>2024</w:t>
            </w:r>
          </w:p>
        </w:tc>
      </w:tr>
      <w:tr>
        <w:trPr>
          <w:trHeight w:val="395"/>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6"/>
                <w:szCs w:val="16"/>
                <w:color w:val="auto"/>
              </w:rPr>
              <w:t>Plan interest in Graham Holdings Company Master Trust (Note 5)</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85,447,958</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75,706,100</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85,447,958</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75,706,100</w:t>
            </w:r>
          </w:p>
        </w:tc>
      </w:tr>
      <w:tr>
        <w:trPr>
          <w:trHeight w:val="393"/>
        </w:trPr>
        <w:tc>
          <w:tcPr>
            <w:tcW w:w="804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Contributions receivable from participants</w:t>
            </w:r>
          </w:p>
        </w:tc>
        <w:tc>
          <w:tcPr>
            <w:tcW w:w="360" w:type="dxa"/>
            <w:vAlign w:val="bottom"/>
          </w:tcPr>
          <w:p>
            <w:pPr>
              <w:spacing w:after="0"/>
              <w:rPr>
                <w:sz w:val="17"/>
                <w:szCs w:val="17"/>
                <w:color w:val="auto"/>
              </w:rPr>
            </w:pP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123,857</w:t>
            </w:r>
          </w:p>
        </w:tc>
        <w:tc>
          <w:tcPr>
            <w:tcW w:w="6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142,551</w:t>
            </w: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Contributions receivable from employer</w:t>
            </w:r>
          </w:p>
        </w:tc>
        <w:tc>
          <w:tcPr>
            <w:tcW w:w="360" w:type="dxa"/>
            <w:vAlign w:val="bottom"/>
          </w:tcPr>
          <w:p>
            <w:pPr>
              <w:spacing w:after="0"/>
              <w:rPr>
                <w:sz w:val="17"/>
                <w:szCs w:val="17"/>
                <w:color w:val="auto"/>
              </w:rPr>
            </w:pP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1,293</w:t>
            </w:r>
          </w:p>
        </w:tc>
        <w:tc>
          <w:tcPr>
            <w:tcW w:w="6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1,923</w:t>
            </w: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Notes receivable from participants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1,148,098</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761,725</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receivables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1,273,248</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906,199</w:t>
            </w:r>
          </w:p>
        </w:tc>
      </w:tr>
      <w:tr>
        <w:trPr>
          <w:trHeight w:val="188"/>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86,721,206</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76,612,299</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22"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1"/>
          <w:szCs w:val="21"/>
          <w:b w:val="1"/>
          <w:bCs w:val="1"/>
          <w:color w:val="auto"/>
        </w:rPr>
        <w:t>THE 401(k) SAVINGS PLAN FOR GHC AFFILIATES</w:t>
      </w:r>
    </w:p>
    <w:p>
      <w:pPr>
        <w:jc w:val="center"/>
        <w:ind w:right="-39"/>
        <w:spacing w:after="0"/>
        <w:rPr>
          <w:sz w:val="20"/>
          <w:szCs w:val="20"/>
          <w:color w:val="auto"/>
        </w:rPr>
      </w:pPr>
      <w:r>
        <w:rPr>
          <w:rFonts w:ascii="Arial" w:cs="Arial" w:eastAsia="Arial" w:hAnsi="Arial"/>
          <w:sz w:val="20"/>
          <w:szCs w:val="20"/>
          <w:b w:val="1"/>
          <w:bCs w:val="1"/>
          <w:color w:val="auto"/>
        </w:rPr>
        <w:t>STATEMENT OF CHANGES IN NET ASSETS AVAILABLE FOR BENEFITS</w:t>
      </w:r>
    </w:p>
    <w:p>
      <w:pPr>
        <w:sectPr>
          <w:pgSz w:w="11900" w:h="16838" w:orient="portrait"/>
          <w:cols w:equalWidth="0" w:num="1">
            <w:col w:w="11200"/>
          </w:cols>
          <w:pgMar w:left="320" w:top="8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Additions to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-246380</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Plan interest in investment income of the Graham Holdings Company Master Trust</w:t>
      </w:r>
    </w:p>
    <w:p>
      <w:pPr>
        <w:spacing w:after="0" w:line="24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Contributions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Participant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Employer</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Rollovers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contributions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income - notes receivable</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additions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Deductions from net assets: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Benefits paid to participants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Administrative expenses</w:t>
      </w:r>
    </w:p>
    <w:p>
      <w:pPr>
        <w:spacing w:after="0" w:line="36" w:lineRule="exact"/>
        <w:rPr>
          <w:sz w:val="20"/>
          <w:szCs w:val="20"/>
          <w:color w:val="auto"/>
        </w:rPr>
      </w:pPr>
    </w:p>
    <w:p>
      <w:pPr>
        <w:jc w:val="center"/>
        <w:ind w:right="7191"/>
        <w:spacing w:after="0"/>
        <w:rPr>
          <w:sz w:val="20"/>
          <w:szCs w:val="20"/>
          <w:color w:val="auto"/>
        </w:rPr>
      </w:pPr>
      <w:r>
        <w:rPr>
          <w:rFonts w:ascii="Arial" w:cs="Arial" w:eastAsia="Arial" w:hAnsi="Arial"/>
          <w:sz w:val="16"/>
          <w:szCs w:val="16"/>
          <w:color w:val="auto"/>
        </w:rPr>
        <w:t>Total deductions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Net increase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Transfers (to) from affiliated plans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from Kaplan Tax Deferred Savings Plan</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to Kaplan Tax Deferred Savings Plan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to Savings Plan for Graham Holdings Company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transfers from other affiliated plans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assets available for benefits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Beginning of year</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End of year</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8"/>
        <w:spacing w:after="0"/>
        <w:rPr>
          <w:sz w:val="20"/>
          <w:szCs w:val="20"/>
          <w:color w:val="auto"/>
        </w:rPr>
      </w:pPr>
      <w:r>
        <w:rPr>
          <w:rFonts w:ascii="Arial" w:cs="Arial" w:eastAsia="Arial" w:hAnsi="Arial"/>
          <w:sz w:val="13"/>
          <w:szCs w:val="13"/>
          <w:b w:val="1"/>
          <w:bCs w:val="1"/>
          <w:color w:val="auto"/>
        </w:rPr>
        <w:t>Year Ended December</w:t>
      </w:r>
    </w:p>
    <w:p>
      <w:pPr>
        <w:spacing w:after="0" w:line="7" w:lineRule="exact"/>
        <w:rPr>
          <w:sz w:val="20"/>
          <w:szCs w:val="20"/>
          <w:color w:val="auto"/>
        </w:rPr>
      </w:pPr>
    </w:p>
    <w:p>
      <w:pPr>
        <w:jc w:val="center"/>
        <w:ind w:right="-8"/>
        <w:spacing w:after="0"/>
        <w:rPr>
          <w:sz w:val="20"/>
          <w:szCs w:val="20"/>
          <w:color w:val="auto"/>
        </w:rPr>
      </w:pPr>
      <w:r>
        <w:rPr>
          <w:rFonts w:ascii="Arial" w:cs="Arial" w:eastAsia="Arial" w:hAnsi="Arial"/>
          <w:sz w:val="14"/>
          <w:szCs w:val="14"/>
          <w:b w:val="1"/>
          <w:bCs w:val="1"/>
          <w:color w:val="auto"/>
        </w:rPr>
        <w:t>31, 2025</w:t>
      </w:r>
    </w:p>
    <w:p>
      <w:pPr>
        <w:spacing w:after="0" w:line="200" w:lineRule="exact"/>
        <w:rPr>
          <w:sz w:val="20"/>
          <w:szCs w:val="20"/>
          <w:color w:val="auto"/>
        </w:rPr>
      </w:pPr>
    </w:p>
    <w:p>
      <w:pPr>
        <w:spacing w:after="0" w:line="217" w:lineRule="exact"/>
        <w:rPr>
          <w:sz w:val="20"/>
          <w:szCs w:val="20"/>
          <w:color w:val="auto"/>
        </w:rPr>
      </w:pPr>
    </w:p>
    <w:p>
      <w:pPr>
        <w:ind w:left="669" w:hanging="669"/>
        <w:spacing w:after="0"/>
        <w:tabs>
          <w:tab w:leader="none" w:pos="669" w:val="left"/>
        </w:tabs>
        <w:numPr>
          <w:ilvl w:val="0"/>
          <w:numId w:val="4"/>
        </w:numPr>
        <w:rPr>
          <w:rFonts w:ascii="Arial" w:cs="Arial" w:eastAsia="Arial" w:hAnsi="Arial"/>
          <w:sz w:val="16"/>
          <w:szCs w:val="16"/>
          <w:color w:val="auto"/>
        </w:rPr>
      </w:pPr>
      <w:r>
        <w:rPr>
          <w:rFonts w:ascii="Arial" w:cs="Arial" w:eastAsia="Arial" w:hAnsi="Arial"/>
          <w:sz w:val="16"/>
          <w:szCs w:val="16"/>
          <w:color w:val="auto"/>
        </w:rPr>
        <w:t>12,491,628</w:t>
      </w:r>
    </w:p>
    <w:p>
      <w:pPr>
        <w:spacing w:after="0" w:line="200" w:lineRule="exact"/>
        <w:rPr>
          <w:sz w:val="20"/>
          <w:szCs w:val="20"/>
          <w:color w:val="auto"/>
        </w:rPr>
      </w:pPr>
    </w:p>
    <w:p>
      <w:pPr>
        <w:spacing w:after="0" w:line="23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3,873,216</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52,374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250,187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769"/>
        <w:spacing w:after="0"/>
        <w:rPr>
          <w:sz w:val="20"/>
          <w:szCs w:val="20"/>
          <w:color w:val="auto"/>
        </w:rPr>
      </w:pPr>
      <w:r>
        <w:rPr>
          <w:rFonts w:ascii="Arial" w:cs="Arial" w:eastAsia="Arial" w:hAnsi="Arial"/>
          <w:sz w:val="16"/>
          <w:szCs w:val="16"/>
          <w:color w:val="auto"/>
        </w:rPr>
        <w:t>4,175,777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9" w:lineRule="exact"/>
        <w:rPr>
          <w:sz w:val="20"/>
          <w:szCs w:val="20"/>
          <w:color w:val="auto"/>
        </w:rPr>
      </w:pPr>
    </w:p>
    <w:p>
      <w:pPr>
        <w:ind w:left="969"/>
        <w:spacing w:after="0"/>
        <w:rPr>
          <w:sz w:val="20"/>
          <w:szCs w:val="20"/>
          <w:color w:val="auto"/>
        </w:rPr>
      </w:pPr>
      <w:r>
        <w:rPr>
          <w:rFonts w:ascii="Arial" w:cs="Arial" w:eastAsia="Arial" w:hAnsi="Arial"/>
          <w:sz w:val="16"/>
          <w:szCs w:val="16"/>
          <w:color w:val="auto"/>
        </w:rPr>
        <w:t>73,130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976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22" w:lineRule="exact"/>
        <w:rPr>
          <w:sz w:val="20"/>
          <w:szCs w:val="20"/>
          <w:color w:val="auto"/>
        </w:rPr>
      </w:pPr>
    </w:p>
    <w:p>
      <w:pPr>
        <w:ind w:left="669"/>
        <w:spacing w:after="0"/>
        <w:rPr>
          <w:sz w:val="20"/>
          <w:szCs w:val="20"/>
          <w:color w:val="auto"/>
        </w:rPr>
      </w:pPr>
      <w:r>
        <w:rPr>
          <w:rFonts w:ascii="Arial" w:cs="Arial" w:eastAsia="Arial" w:hAnsi="Arial"/>
          <w:sz w:val="16"/>
          <w:szCs w:val="16"/>
          <w:color w:val="auto"/>
        </w:rPr>
        <w:t>16,740,535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(7,110,123)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(128,294)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709"/>
        <w:spacing w:after="0"/>
        <w:rPr>
          <w:sz w:val="20"/>
          <w:szCs w:val="20"/>
          <w:color w:val="auto"/>
        </w:rPr>
      </w:pPr>
      <w:r>
        <w:rPr>
          <w:rFonts w:ascii="Arial" w:cs="Arial" w:eastAsia="Arial" w:hAnsi="Arial"/>
          <w:sz w:val="14"/>
          <w:szCs w:val="14"/>
          <w:color w:val="auto"/>
        </w:rPr>
        <w:t>(7,238,417)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976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32" w:lineRule="exact"/>
        <w:rPr>
          <w:sz w:val="20"/>
          <w:szCs w:val="20"/>
          <w:color w:val="auto"/>
        </w:rPr>
      </w:pPr>
    </w:p>
    <w:p>
      <w:pPr>
        <w:ind w:left="769"/>
        <w:spacing w:after="0"/>
        <w:rPr>
          <w:sz w:val="20"/>
          <w:szCs w:val="20"/>
          <w:color w:val="auto"/>
        </w:rPr>
      </w:pPr>
      <w:r>
        <w:rPr>
          <w:rFonts w:ascii="Arial" w:cs="Arial" w:eastAsia="Arial" w:hAnsi="Arial"/>
          <w:sz w:val="16"/>
          <w:szCs w:val="16"/>
          <w:color w:val="auto"/>
        </w:rPr>
        <w:t>9,502,118</w:t>
      </w:r>
    </w:p>
    <w:p>
      <w:pPr>
        <w:spacing w:after="0" w:line="200" w:lineRule="exact"/>
        <w:rPr>
          <w:sz w:val="20"/>
          <w:szCs w:val="20"/>
          <w:color w:val="auto"/>
        </w:rPr>
      </w:pPr>
    </w:p>
    <w:p>
      <w:pPr>
        <w:spacing w:after="0" w:line="23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1,813,308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(1,187,240)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889"/>
        <w:spacing w:after="0"/>
        <w:rPr>
          <w:sz w:val="20"/>
          <w:szCs w:val="20"/>
          <w:color w:val="auto"/>
        </w:rPr>
      </w:pPr>
      <w:r>
        <w:rPr>
          <w:rFonts w:ascii="Arial" w:cs="Arial" w:eastAsia="Arial" w:hAnsi="Arial"/>
          <w:sz w:val="16"/>
          <w:szCs w:val="16"/>
          <w:color w:val="auto"/>
        </w:rPr>
        <w:t>606,789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69"/>
        <w:spacing w:after="0"/>
        <w:rPr>
          <w:sz w:val="20"/>
          <w:szCs w:val="20"/>
          <w:color w:val="auto"/>
        </w:rPr>
      </w:pPr>
      <w:r>
        <w:rPr>
          <w:rFonts w:ascii="Arial" w:cs="Arial" w:eastAsia="Arial" w:hAnsi="Arial"/>
          <w:sz w:val="16"/>
          <w:szCs w:val="16"/>
          <w:color w:val="auto"/>
        </w:rPr>
        <w:t>76,612,299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69" w:hanging="669"/>
        <w:spacing w:after="0"/>
        <w:tabs>
          <w:tab w:leader="none" w:pos="669" w:val="left"/>
        </w:tabs>
        <w:numPr>
          <w:ilvl w:val="0"/>
          <w:numId w:val="5"/>
        </w:numPr>
        <w:rPr>
          <w:rFonts w:ascii="Arial" w:cs="Arial" w:eastAsia="Arial" w:hAnsi="Arial"/>
          <w:sz w:val="16"/>
          <w:szCs w:val="16"/>
          <w:color w:val="auto"/>
        </w:rPr>
      </w:pPr>
      <w:r>
        <w:rPr>
          <w:rFonts w:ascii="Arial" w:cs="Arial" w:eastAsia="Arial" w:hAnsi="Arial"/>
          <w:sz w:val="16"/>
          <w:szCs w:val="16"/>
          <w:color w:val="auto"/>
        </w:rPr>
        <w:t>86,721,206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38735</wp:posOffset>
            </wp:positionV>
            <wp:extent cx="9766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991" w:space="720"/>
            <w:col w:w="1489"/>
          </w:cols>
          <w:pgMar w:left="320" w:top="822" w:right="37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22" w:right="3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1"/>
          <w:szCs w:val="21"/>
          <w:b w:val="1"/>
          <w:bCs w:val="1"/>
          <w:color w:val="auto"/>
        </w:rPr>
        <w:t>THE 401(k) SAVINGS PLAN FOR GHC AFFILIATES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PLAN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description of The 401(k) Savings Plan for GHC Affiliates (the Plan) provides only general information. Participants should refer to the</w:t>
      </w:r>
    </w:p>
    <w:p>
      <w:pPr>
        <w:spacing w:after="0" w:line="14"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Plan document and Summary Plan Description (SPD) for a more comprehensive description of the Plan’s provisions. The Plan is subject to the provisions of the Employee Retirement Income Security Act of 1974, as amended (ERISA).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42"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Plan is a defined contribution plan that permits eligible employees of Kaplan, Inc. and its subsidiaries and Clyde’s Restaurant Group (Clyde’s) (collectively, the Company) to participate upon hire. The Company is a subsidiary of the Plan Sponsor, Graham Holdings Company (GHC). Eligible</w:t>
      </w:r>
    </w:p>
    <w:p>
      <w:pPr>
        <w:spacing w:after="0" w:line="1" w:lineRule="exact"/>
        <w:rPr>
          <w:sz w:val="20"/>
          <w:szCs w:val="20"/>
          <w:color w:val="auto"/>
        </w:rPr>
      </w:pPr>
    </w:p>
    <w:p>
      <w:pPr>
        <w:ind w:right="440"/>
        <w:spacing w:after="0" w:line="239" w:lineRule="auto"/>
        <w:rPr>
          <w:sz w:val="20"/>
          <w:szCs w:val="20"/>
          <w:color w:val="auto"/>
        </w:rPr>
      </w:pPr>
      <w:r>
        <w:rPr>
          <w:rFonts w:ascii="Arial" w:cs="Arial" w:eastAsia="Arial" w:hAnsi="Arial"/>
          <w:sz w:val="17"/>
          <w:szCs w:val="17"/>
          <w:color w:val="auto"/>
        </w:rPr>
        <w:t>employees must affirmatively elect to participate in the Plan. The Plan was amended and restated effective January 1, 2024 to incorporate the amendments detailed below.</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Plan is administered by the GHC Savings Plan Committee, or the Plan Administrator, whose members are appointed by the Plan Sponsor.</w:t>
      </w:r>
    </w:p>
    <w:p>
      <w:pPr>
        <w:spacing w:after="0" w:line="14" w:lineRule="exact"/>
        <w:rPr>
          <w:sz w:val="20"/>
          <w:szCs w:val="20"/>
          <w:color w:val="auto"/>
        </w:rPr>
      </w:pPr>
    </w:p>
    <w:p>
      <w:pPr>
        <w:ind w:right="340"/>
        <w:spacing w:after="0" w:line="239" w:lineRule="auto"/>
        <w:rPr>
          <w:sz w:val="20"/>
          <w:szCs w:val="20"/>
          <w:color w:val="auto"/>
        </w:rPr>
      </w:pPr>
      <w:r>
        <w:rPr>
          <w:rFonts w:ascii="Arial" w:cs="Arial" w:eastAsia="Arial" w:hAnsi="Arial"/>
          <w:sz w:val="17"/>
          <w:szCs w:val="17"/>
          <w:color w:val="auto"/>
        </w:rPr>
        <w:t>Vanguard Fiduciary Trust Company, or VFTC, serves as the Plan’s trustee and recordkeeper. Effective January 1, 2021, the Plan entered into a Master Trust Agreement with VFTC to establish the Graham Holdings Company Master Trust, or the Master Trust.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During 2025 and 2024, the Plan Administrator adopted amendments to the Plan, which are not expected to affect the Plan’s qualified status under</w:t>
      </w:r>
    </w:p>
    <w:p>
      <w:pPr>
        <w:spacing w:after="0" w:line="14" w:lineRule="exact"/>
        <w:rPr>
          <w:sz w:val="20"/>
          <w:szCs w:val="20"/>
          <w:color w:val="auto"/>
        </w:rPr>
      </w:pPr>
    </w:p>
    <w:p>
      <w:pPr>
        <w:ind w:right="680"/>
        <w:spacing w:after="0" w:line="239" w:lineRule="auto"/>
        <w:rPr>
          <w:sz w:val="20"/>
          <w:szCs w:val="20"/>
          <w:color w:val="auto"/>
        </w:rPr>
      </w:pPr>
      <w:r>
        <w:rPr>
          <w:rFonts w:ascii="Arial" w:cs="Arial" w:eastAsia="Arial" w:hAnsi="Arial"/>
          <w:sz w:val="17"/>
          <w:szCs w:val="17"/>
          <w:color w:val="auto"/>
        </w:rPr>
        <w:t>ERISA. A number of these amendments became effective in 2024. The Plan was restated in 2024, and the Summary Plan Description was amended effective January 1, 2025, July 1, 2025, and January 1, 2026.</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2025, the Plan was amended to implement the following changes:</w:t>
      </w:r>
    </w:p>
    <w:p>
      <w:pPr>
        <w:spacing w:after="0" w:line="50" w:lineRule="exact"/>
        <w:rPr>
          <w:sz w:val="20"/>
          <w:szCs w:val="20"/>
          <w:color w:val="auto"/>
        </w:rPr>
      </w:pPr>
    </w:p>
    <w:p>
      <w:pPr>
        <w:ind w:left="620" w:right="100" w:hanging="307"/>
        <w:spacing w:after="0" w:line="248"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Updated for 2025 regulatory limits, changes to the Plan’s one eligibility year of service affecting highly compensated employees, designating short-term disability pay as eligible compensation in certain situations, and how account balances between $1,000 and $7,000 and greater than $7,000 can be automatically distributed; and</w:t>
      </w:r>
    </w:p>
    <w:p>
      <w:pPr>
        <w:spacing w:after="0" w:line="14" w:lineRule="exact"/>
        <w:rPr>
          <w:rFonts w:ascii="Arial" w:cs="Arial" w:eastAsia="Arial" w:hAnsi="Arial"/>
          <w:sz w:val="17"/>
          <w:szCs w:val="17"/>
          <w:color w:val="auto"/>
        </w:rPr>
      </w:pPr>
    </w:p>
    <w:p>
      <w:pPr>
        <w:ind w:left="620" w:right="660" w:hanging="307"/>
        <w:spacing w:after="0" w:line="25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Allow certain small account balances of terminated participants to be automatically rolled over into an IRA with a third-party vendor, Portability Services Network ("PSN"). Participants have the option to opt out of this auto-portability service.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2024, the Plan was amended to implement the following changes:</w:t>
      </w:r>
    </w:p>
    <w:p>
      <w:pPr>
        <w:spacing w:after="0" w:line="50" w:lineRule="exact"/>
        <w:rPr>
          <w:sz w:val="20"/>
          <w:szCs w:val="20"/>
          <w:color w:val="auto"/>
        </w:rPr>
      </w:pPr>
    </w:p>
    <w:p>
      <w:pPr>
        <w:ind w:left="620" w:hanging="307"/>
        <w:spacing w:after="0" w:line="248"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Only employees of Clyde’s who are designated as hourly employees and Kaplan, Inc. who are designated as part-time employees and certain collectively bargained union employees are eligible to receive Company Matching Contributions (generally 1% of base salary) if they are not eligible to participate in The Retirement Plan for Graham Holdings Company;</w:t>
      </w:r>
    </w:p>
    <w:p>
      <w:pPr>
        <w:spacing w:after="0" w:line="14" w:lineRule="exact"/>
        <w:rPr>
          <w:rFonts w:ascii="Arial" w:cs="Arial" w:eastAsia="Arial" w:hAnsi="Arial"/>
          <w:sz w:val="17"/>
          <w:szCs w:val="17"/>
          <w:color w:val="auto"/>
        </w:rPr>
      </w:pPr>
    </w:p>
    <w:p>
      <w:pPr>
        <w:ind w:left="620" w:right="380" w:hanging="307"/>
        <w:spacing w:after="0" w:line="25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 Roth and Roth catch-up employee contributions as an option to the Plan, and allow rollover contributions to the Plan in the form of Roth contributions;</w:t>
      </w:r>
    </w:p>
    <w:p>
      <w:pPr>
        <w:spacing w:after="0" w:line="4" w:lineRule="exact"/>
        <w:rPr>
          <w:rFonts w:ascii="Arial" w:cs="Arial" w:eastAsia="Arial" w:hAnsi="Arial"/>
          <w:sz w:val="17"/>
          <w:szCs w:val="17"/>
          <w:color w:val="auto"/>
        </w:rPr>
      </w:pPr>
    </w:p>
    <w:p>
      <w:pPr>
        <w:ind w:left="620" w:right="340" w:hanging="307"/>
        <w:spacing w:after="0" w:line="26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Allow participants to elect an In-Plan Roth conversion with respect to all or a portion of the vested amounts in the participant’s accounts other than a Roth Contribution Account or a Roth Rollover Account;</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Permit participants to take out one active loan from the Plan at a time;</w:t>
      </w:r>
    </w:p>
    <w:p>
      <w:pPr>
        <w:spacing w:after="0" w:line="50" w:lineRule="exact"/>
        <w:rPr>
          <w:rFonts w:ascii="Arial" w:cs="Arial" w:eastAsia="Arial" w:hAnsi="Arial"/>
          <w:sz w:val="17"/>
          <w:szCs w:val="17"/>
          <w:color w:val="auto"/>
        </w:rPr>
      </w:pPr>
    </w:p>
    <w:p>
      <w:pPr>
        <w:jc w:val="both"/>
        <w:ind w:left="620" w:hanging="307"/>
        <w:spacing w:after="0" w:line="248"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Additionally, the Plan has a feature wherein participants can elect to have pre-tax deferrals automatically increase at increments of 1%, 2%, or 3% on an annual basis up to the limits established by the Plan. Certain restrictions apply and participants always have the right to opt out or to elect a different rate of increase; and</w:t>
      </w:r>
    </w:p>
    <w:p>
      <w:pPr>
        <w:spacing w:after="0" w:line="14" w:lineRule="exact"/>
        <w:rPr>
          <w:rFonts w:ascii="Arial" w:cs="Arial" w:eastAsia="Arial" w:hAnsi="Arial"/>
          <w:sz w:val="17"/>
          <w:szCs w:val="17"/>
          <w:color w:val="auto"/>
        </w:rPr>
      </w:pPr>
    </w:p>
    <w:p>
      <w:pPr>
        <w:ind w:left="620" w:right="120" w:hanging="307"/>
        <w:spacing w:after="0" w:line="275"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Participants can allocate up to 20% of certain contributions into the Graham Holdings Company Stock Fund, in accordance with the Plan’s provisions.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Each year, participants may contribute a percentage of pre-tax and Roth annual eligible compensation to the Plan at rates specified in the Plan. The total pre-tax and Roth combined contributions, however, is subject to dollar limitations set forth by the Internal Revenue Code ($23,500 in 2025).</w:t>
      </w:r>
    </w:p>
    <w:p>
      <w:pPr>
        <w:spacing w:after="0"/>
        <w:rPr>
          <w:sz w:val="20"/>
          <w:szCs w:val="20"/>
          <w:color w:val="auto"/>
        </w:rPr>
      </w:pPr>
      <w:r>
        <w:rPr>
          <w:rFonts w:ascii="Arial" w:cs="Arial" w:eastAsia="Arial" w:hAnsi="Arial"/>
          <w:sz w:val="17"/>
          <w:szCs w:val="17"/>
          <w:color w:val="auto"/>
        </w:rPr>
        <w:t>Participants age 50 or older by the end of the plan year, may make additional pre-tax or Roth 401(k) contributions (of up to $7,500 in 2025) that are</w:t>
      </w:r>
    </w:p>
    <w:p>
      <w:pPr>
        <w:ind w:right="720"/>
        <w:spacing w:after="0" w:line="239" w:lineRule="auto"/>
        <w:rPr>
          <w:sz w:val="20"/>
          <w:szCs w:val="20"/>
          <w:color w:val="auto"/>
        </w:rPr>
      </w:pPr>
      <w:r>
        <w:rPr>
          <w:rFonts w:ascii="Arial" w:cs="Arial" w:eastAsia="Arial" w:hAnsi="Arial"/>
          <w:sz w:val="17"/>
          <w:szCs w:val="17"/>
          <w:color w:val="auto"/>
        </w:rPr>
        <w:t>called “catch-up” contributions. Participants may also contribute a percentage of after-tax annual eligible compensation to the Plan at rates established by the Plan Administrator. Eligible participants in the Plan receive Company Matching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Contributions equal to 100% of their pre-tax and after-tax contributions up to 1% of their base salary, which does not apply to employees covered</w:t>
      </w:r>
    </w:p>
    <w:p>
      <w:pPr>
        <w:spacing w:after="0" w:line="1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under a collectively bargained union or employees of Clyde’s. Union employees may be eligible for a Matching Contribution up to 3% of their base salary depending on their position and length of service. Clyde’s may make a discretionary Company Matching Contribution for its participating</w:t>
      </w:r>
    </w:p>
    <w:p>
      <w:pPr>
        <w:spacing w:after="0" w:line="238" w:lineRule="auto"/>
        <w:rPr>
          <w:sz w:val="20"/>
          <w:szCs w:val="20"/>
          <w:color w:val="auto"/>
        </w:rPr>
      </w:pPr>
      <w:r>
        <w:rPr>
          <w:rFonts w:ascii="Arial" w:cs="Arial" w:eastAsia="Arial" w:hAnsi="Arial"/>
          <w:sz w:val="17"/>
          <w:szCs w:val="17"/>
          <w:color w:val="auto"/>
        </w:rPr>
        <w:t>employees equal to a percentage (to be determined at the discretion of Clyde’s) of the employees’ pre-tax or Roth contributions not in excess of a</w:t>
      </w:r>
    </w:p>
    <w:p>
      <w:pPr>
        <w:ind w:right="120"/>
        <w:spacing w:after="0" w:line="230" w:lineRule="auto"/>
        <w:rPr>
          <w:sz w:val="20"/>
          <w:szCs w:val="20"/>
          <w:color w:val="auto"/>
        </w:rPr>
      </w:pPr>
      <w:r>
        <w:rPr>
          <w:rFonts w:ascii="Arial" w:cs="Arial" w:eastAsia="Arial" w:hAnsi="Arial"/>
          <w:sz w:val="17"/>
          <w:szCs w:val="17"/>
          <w:color w:val="auto"/>
        </w:rPr>
        <w:t>percentage (to be determined at the discretion of Clyde’s) of the employee’s compensation. The parameters of this discretionary Company Matching Contribution, and whether it will be made, will be communicated to participants on an annual basis. Additionally, the Company may at its</w:t>
      </w:r>
    </w:p>
    <w:p>
      <w:pPr>
        <w:spacing w:after="0"/>
        <w:rPr>
          <w:sz w:val="20"/>
          <w:szCs w:val="20"/>
          <w:color w:val="auto"/>
        </w:rPr>
      </w:pPr>
      <w:r>
        <w:rPr>
          <w:rFonts w:ascii="Arial" w:cs="Arial" w:eastAsia="Arial" w:hAnsi="Arial"/>
          <w:sz w:val="17"/>
          <w:szCs w:val="17"/>
          <w:color w:val="auto"/>
        </w:rPr>
        <w:t>discretion contribute a supplemental contribution to the Plan. No such discretionary or supplemental contributions were made in 2025.</w:t>
      </w:r>
    </w:p>
    <w:p>
      <w:pPr>
        <w:spacing w:after="0" w:line="13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Contributions to the Berkshire Hathaway Stock Fund may not exceed 25% of a participant’s own contributions or 25% of the employer contributions to a participant’s account. Exchanges into the Berkshire Hathaway Stock Fund from any other fund(s) may be made only if the resulting investment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the Berkshire Hathaway Stock Fund immediately following the exchange is no more than 25% of the participant’s total account balance.</w:t>
      </w:r>
    </w:p>
    <w:p>
      <w:pPr>
        <w:spacing w:after="0" w:line="137"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All investments are participant-directed. If no investment direction is provided, a participant’s contributions will be invested in a Vanguard Target Date Retirement Fund with the target date closest to the year in which the participant reaches age 65. This serves as the Plan’s Qualified Default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Investment Alternative (“QDIA”).</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 Accounts</w:t>
      </w:r>
    </w:p>
    <w:p>
      <w:pPr>
        <w:spacing w:after="0" w:line="142" w:lineRule="exact"/>
        <w:rPr>
          <w:sz w:val="20"/>
          <w:szCs w:val="20"/>
          <w:color w:val="auto"/>
        </w:rPr>
      </w:pPr>
    </w:p>
    <w:p>
      <w:pPr>
        <w:jc w:val="both"/>
        <w:ind w:right="420"/>
        <w:spacing w:after="0" w:line="256" w:lineRule="auto"/>
        <w:rPr>
          <w:sz w:val="20"/>
          <w:szCs w:val="20"/>
          <w:color w:val="auto"/>
        </w:rPr>
      </w:pPr>
      <w:r>
        <w:rPr>
          <w:rFonts w:ascii="Arial" w:cs="Arial" w:eastAsia="Arial" w:hAnsi="Arial"/>
          <w:sz w:val="17"/>
          <w:szCs w:val="17"/>
          <w:color w:val="auto"/>
        </w:rPr>
        <w:t>Each participant’s account is credited with his/her contributions, the Company contributions, if any, and an allocation of the investment income (losses) and administrative expenses. Allocations are based on participant earnings, account balances, or specific participant transactions, as defined.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Receivable from Participants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Effective 2024, active participants in the Plan are eligible for one active loan at a time from the Plan. Interest rates on loans are based on the prime rate as received by Vanguard from Reuters. Reuters calculates their prime rate through a formula, which includes the average lending rates of the</w:t>
      </w:r>
    </w:p>
    <w:p>
      <w:pPr>
        <w:spacing w:after="0"/>
        <w:rPr>
          <w:sz w:val="20"/>
          <w:szCs w:val="20"/>
          <w:color w:val="auto"/>
        </w:rPr>
      </w:pPr>
      <w:r>
        <w:rPr>
          <w:rFonts w:ascii="Arial" w:cs="Arial" w:eastAsia="Arial" w:hAnsi="Arial"/>
          <w:sz w:val="17"/>
          <w:szCs w:val="17"/>
          <w:color w:val="auto"/>
        </w:rPr>
        <w:t>top 30 banks in the United States. General purpose loans have a maximum term of 5 years and principal residence loans have a maximum term of</w:t>
      </w:r>
    </w:p>
    <w:p>
      <w:pPr>
        <w:ind w:right="60"/>
        <w:spacing w:after="0" w:line="230" w:lineRule="auto"/>
        <w:rPr>
          <w:sz w:val="20"/>
          <w:szCs w:val="20"/>
          <w:color w:val="auto"/>
        </w:rPr>
      </w:pPr>
      <w:r>
        <w:rPr>
          <w:rFonts w:ascii="Arial" w:cs="Arial" w:eastAsia="Arial" w:hAnsi="Arial"/>
          <w:sz w:val="17"/>
          <w:szCs w:val="17"/>
          <w:color w:val="auto"/>
        </w:rPr>
        <w:t>10 years. A participant may borrow as much as 50% of his or her vested account balance, subject to certain minimum and maximum limitations as defined in the Plan. The minimum loan amount is $1,000 with a maximum of $50,000. Loan processing fees are paid by the participant. As a result</w:t>
      </w:r>
    </w:p>
    <w:p>
      <w:pPr>
        <w:ind w:right="180"/>
        <w:spacing w:after="0" w:line="255" w:lineRule="auto"/>
        <w:rPr>
          <w:sz w:val="20"/>
          <w:szCs w:val="20"/>
          <w:color w:val="auto"/>
        </w:rPr>
      </w:pPr>
      <w:r>
        <w:rPr>
          <w:rFonts w:ascii="Arial" w:cs="Arial" w:eastAsia="Arial" w:hAnsi="Arial"/>
          <w:sz w:val="17"/>
          <w:szCs w:val="17"/>
          <w:color w:val="auto"/>
        </w:rPr>
        <w:t>of a plan merger or rollovers received, there may be additional participant loans transferred to the Plan and administered in accordance with their terms.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Upon enrollment in the Plan, participants are fully vested at all times in all amounts held in their accounts.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Transfers (to) from other GHC plans</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From time to time, participant accounts are reviewed and transferred into the Company plan that the participant is currently participating in. Additionally, transfers may also occur between the Plan and other GHC plans that relate to new organizational positions, rehired employees by one</w:t>
      </w:r>
    </w:p>
    <w:p>
      <w:pPr>
        <w:spacing w:after="0" w:line="1" w:lineRule="exact"/>
        <w:rPr>
          <w:sz w:val="20"/>
          <w:szCs w:val="20"/>
          <w:color w:val="auto"/>
        </w:rPr>
      </w:pPr>
    </w:p>
    <w:p>
      <w:pPr>
        <w:ind w:right="520"/>
        <w:spacing w:after="0" w:line="239" w:lineRule="auto"/>
        <w:rPr>
          <w:sz w:val="20"/>
          <w:szCs w:val="20"/>
          <w:color w:val="auto"/>
        </w:rPr>
      </w:pPr>
      <w:r>
        <w:rPr>
          <w:rFonts w:ascii="Arial" w:cs="Arial" w:eastAsia="Arial" w:hAnsi="Arial"/>
          <w:sz w:val="17"/>
          <w:szCs w:val="17"/>
          <w:color w:val="auto"/>
        </w:rPr>
        <w:t>of the employers with an existing balance in another GHC plan, or transferred employees to one of the employers with an existing balance in another GHC plan.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Expenses</w:t>
      </w:r>
    </w:p>
    <w:p>
      <w:pPr>
        <w:spacing w:after="0" w:line="155"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Certain costs of administering the Plan are generally paid by the Company and are therefore not reflected in the Plan’s financial statements. Any expenses that are not paid by the Company are paid by the Plan itself. The Plan charges certain expenses directly to each of the participants’</w:t>
      </w:r>
    </w:p>
    <w:p>
      <w:pPr>
        <w:spacing w:after="0" w:line="1" w:lineRule="exact"/>
        <w:rPr>
          <w:sz w:val="20"/>
          <w:szCs w:val="20"/>
          <w:color w:val="auto"/>
        </w:rPr>
      </w:pPr>
    </w:p>
    <w:p>
      <w:pPr>
        <w:ind w:right="760"/>
        <w:spacing w:after="0" w:line="255" w:lineRule="auto"/>
        <w:rPr>
          <w:sz w:val="20"/>
          <w:szCs w:val="20"/>
          <w:color w:val="auto"/>
        </w:rPr>
      </w:pPr>
      <w:r>
        <w:rPr>
          <w:rFonts w:ascii="Arial" w:cs="Arial" w:eastAsia="Arial" w:hAnsi="Arial"/>
          <w:sz w:val="17"/>
          <w:szCs w:val="17"/>
          <w:color w:val="auto"/>
        </w:rPr>
        <w:t>accounts such as recordkeeping and maintenance of the website and phone services to participants. Each of the investment funds incurs investment and administrative expenses that are paid by the fund itself, which reduce the net investment return to participants.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Participants may withdraw their vested account balance in accordance with the Plan document, which provides different rules for hardships,</w:t>
      </w:r>
    </w:p>
    <w:p>
      <w:pPr>
        <w:spacing w:after="0" w:line="14"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disability and withdrawals based on whether or not the participant has reached age 59 1/2. Upon termination of employment with the Company (including termination due to death, disability, or retirement), participants may receive a lump-sum payment of their entire account balance, net of</w:t>
      </w:r>
    </w:p>
    <w:p>
      <w:pPr>
        <w:spacing w:after="0" w:line="238" w:lineRule="auto"/>
        <w:rPr>
          <w:sz w:val="20"/>
          <w:szCs w:val="20"/>
          <w:color w:val="auto"/>
        </w:rPr>
      </w:pPr>
      <w:r>
        <w:rPr>
          <w:rFonts w:ascii="Arial" w:cs="Arial" w:eastAsia="Arial" w:hAnsi="Arial"/>
          <w:sz w:val="17"/>
          <w:szCs w:val="17"/>
          <w:color w:val="auto"/>
        </w:rPr>
        <w:t>any outstanding loan balances. Otherwise, distributions generally begin on a participant's required beginning date, which is set by Federal law, and</w:t>
      </w:r>
    </w:p>
    <w:p>
      <w:pPr>
        <w:ind w:right="80"/>
        <w:spacing w:after="0" w:line="230" w:lineRule="auto"/>
        <w:rPr>
          <w:sz w:val="20"/>
          <w:szCs w:val="20"/>
          <w:color w:val="auto"/>
        </w:rPr>
      </w:pPr>
      <w:r>
        <w:rPr>
          <w:rFonts w:ascii="Arial" w:cs="Arial" w:eastAsia="Arial" w:hAnsi="Arial"/>
          <w:sz w:val="17"/>
          <w:szCs w:val="17"/>
          <w:color w:val="auto"/>
        </w:rPr>
        <w:t>not by the Company. Participants may roll over account balances to individual retirement accounts or another employer’s qualified retirement plan. If a terminated participant with an account balance dies prior to receiving the full value of the account, the account balance will be paid to the</w:t>
      </w:r>
    </w:p>
    <w:p>
      <w:pPr>
        <w:spacing w:after="0"/>
        <w:rPr>
          <w:sz w:val="20"/>
          <w:szCs w:val="20"/>
          <w:color w:val="auto"/>
        </w:rPr>
      </w:pPr>
      <w:r>
        <w:rPr>
          <w:rFonts w:ascii="Arial" w:cs="Arial" w:eastAsia="Arial" w:hAnsi="Arial"/>
          <w:sz w:val="17"/>
          <w:szCs w:val="17"/>
          <w:color w:val="auto"/>
        </w:rPr>
        <w:t>participant’s beneficiary or in the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7" w:name="page8"/>
    <w:bookmarkEnd w:id="7"/>
    <w:p>
      <w:pPr>
        <w:ind w:right="440"/>
        <w:spacing w:after="0" w:line="275" w:lineRule="auto"/>
        <w:rPr>
          <w:sz w:val="20"/>
          <w:szCs w:val="20"/>
          <w:color w:val="auto"/>
        </w:rPr>
      </w:pPr>
      <w:r>
        <w:rPr>
          <w:rFonts w:ascii="Arial" w:cs="Arial" w:eastAsia="Arial" w:hAnsi="Arial"/>
          <w:sz w:val="17"/>
          <w:szCs w:val="17"/>
          <w:color w:val="auto"/>
        </w:rPr>
        <w:t>absence of an election pursuant to the Plan’s provisions. Account balances of $7,000 (in 2025) or less may not be deferred and are subject to automatic rollover/automatic cash out.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Termination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Although it has not expressed any intent to do so, the Company has the right under the Plan to terminate the Plan at any time by action of the Plan</w:t>
      </w:r>
    </w:p>
    <w:p>
      <w:pPr>
        <w:spacing w:after="0" w:line="14" w:lineRule="exact"/>
        <w:rPr>
          <w:sz w:val="20"/>
          <w:szCs w:val="20"/>
          <w:color w:val="auto"/>
        </w:rPr>
      </w:pPr>
    </w:p>
    <w:p>
      <w:pPr>
        <w:ind w:right="340"/>
        <w:spacing w:after="0" w:line="239" w:lineRule="auto"/>
        <w:rPr>
          <w:sz w:val="20"/>
          <w:szCs w:val="20"/>
          <w:color w:val="auto"/>
        </w:rPr>
      </w:pPr>
      <w:r>
        <w:rPr>
          <w:rFonts w:ascii="Arial" w:cs="Arial" w:eastAsia="Arial" w:hAnsi="Arial"/>
          <w:sz w:val="17"/>
          <w:szCs w:val="17"/>
          <w:color w:val="auto"/>
        </w:rPr>
        <w:t>Sponsor and Board of Directors subject to the provisions of ERISA. In the event the Plan terminates, participants would receive the full value of their accounts from the Plan.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ACCOUNTING POLICIES</w:t>
      </w:r>
    </w:p>
    <w:p>
      <w:pPr>
        <w:spacing w:after="0" w:line="15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following accounting policies, which conform with generally accepted accounting principles in the United States of America (GAAP), have been used consistently in the preparation of the Plan’s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Plan are prepared using the accrual basis of accounting.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w:t>
      </w:r>
    </w:p>
    <w:p>
      <w:pPr>
        <w:spacing w:after="0" w:line="14"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reported amounts of assets and liabilities and changes therein and disclosure of contingent assets and liabilities. Actual results could differ from those estimates.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Valuation and Income Recognition</w:t>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Plan is a participant in the Master Trust as described in Note 5. Investments held in the Master Trust are stated at fair value and are allocated to the Plan specifically in relation to the fair value of the assets assigned to the Plan. Fair value is the price that would be received to sell an asset</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or paid to transfer a liability in an orderly transaction between market participants at the measurement date. The Committee determines the Master Trust’s valuation policies utilizing information provided by the trustee. See Note 6 for discussion of fair value measurements.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Purchases and sales of investments in the Master Trust are recorded on a trade-date basis. Interest income is accrued when earned. Dividend</w:t>
      </w:r>
    </w:p>
    <w:p>
      <w:pPr>
        <w:spacing w:after="0" w:line="1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income is recorded on the ex-dividend date. Capital gain distributions are included in dividend income. The Master Trust’s net appreciation includes the Master Trust’s gains and losses on investments bought and sold as well as held during the year. See Note 5 for the Plan’s interest in the Master</w:t>
      </w:r>
    </w:p>
    <w:p>
      <w:pPr>
        <w:spacing w:after="0"/>
        <w:rPr>
          <w:sz w:val="20"/>
          <w:szCs w:val="20"/>
          <w:color w:val="auto"/>
        </w:rPr>
      </w:pPr>
      <w:r>
        <w:rPr>
          <w:rFonts w:ascii="Arial" w:cs="Arial" w:eastAsia="Arial" w:hAnsi="Arial"/>
          <w:sz w:val="17"/>
          <w:szCs w:val="17"/>
          <w:color w:val="auto"/>
        </w:rPr>
        <w:t>Trust, as well as the Master Trust’s investment income.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42"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Contributions from Plan participants and the Company Matching Contributions, if applicable, are recorded in the year in which the employee’s contributions are withheld from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Benefit payments to participants are recorded upon distribution.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and Uncertainties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Plan provides for various investment securities as investment options. Investment securities are exposed to various risks, such as interest, market, and credit risks. Market risks include global events which could impact the value of investment securities, such as a pandemic, international</w:t>
      </w:r>
    </w:p>
    <w:p>
      <w:pPr>
        <w:spacing w:after="0"/>
        <w:rPr>
          <w:sz w:val="20"/>
          <w:szCs w:val="20"/>
          <w:color w:val="auto"/>
        </w:rPr>
      </w:pPr>
      <w:r>
        <w:rPr>
          <w:rFonts w:ascii="Arial" w:cs="Arial" w:eastAsia="Arial" w:hAnsi="Arial"/>
          <w:sz w:val="17"/>
          <w:szCs w:val="17"/>
          <w:color w:val="auto"/>
        </w:rPr>
        <w:t>conflict, trade wars and tariffs. Due to the level of risk associated with certain investment securities, it is at least reasonably possible that changes in</w:t>
      </w:r>
    </w:p>
    <w:p>
      <w:pPr>
        <w:ind w:right="100"/>
        <w:spacing w:after="0" w:line="239" w:lineRule="auto"/>
        <w:rPr>
          <w:sz w:val="20"/>
          <w:szCs w:val="20"/>
          <w:color w:val="auto"/>
        </w:rPr>
      </w:pPr>
      <w:r>
        <w:rPr>
          <w:rFonts w:ascii="Arial" w:cs="Arial" w:eastAsia="Arial" w:hAnsi="Arial"/>
          <w:sz w:val="17"/>
          <w:szCs w:val="17"/>
          <w:color w:val="auto"/>
        </w:rPr>
        <w:t>the values of investment securities will occur in the near term and that such changes could materially affect participant’s account balances and the amounts reported in the Statements of Net Assets Available for Benefits.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All applicable pronouncements have been adopted by the Plan. There are no issued pronouncements that will require adoption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5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Plan has evaluated subsequent events from December 31, 2025 through the date these financial statements were issued, and has determined that no material events occurred which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NOTE 3 – RELATED-PARTY AND PART-IN-INTEREST TRANSACTIONS</w:t>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Shares of registered investment companies (mutual funds) and common collective trusts are managed by The Vanguard Group, Inc. Due to the relationship between VFTC as Trustee of the Master Trust and the Plan investment transactions managed by The Vanguard Group, Inc. qualify as</w:t>
      </w:r>
    </w:p>
    <w:p>
      <w:pPr>
        <w:spacing w:after="0"/>
        <w:rPr>
          <w:sz w:val="20"/>
          <w:szCs w:val="20"/>
          <w:color w:val="auto"/>
        </w:rPr>
      </w:pPr>
      <w:r>
        <w:rPr>
          <w:rFonts w:ascii="Arial" w:cs="Arial" w:eastAsia="Arial" w:hAnsi="Arial"/>
          <w:sz w:val="17"/>
          <w:szCs w:val="17"/>
          <w:color w:val="auto"/>
        </w:rPr>
        <w:t>party-in-interest transactions. Investments in the Vanguard registered investment companies and common collective trusts are exempt from the</w:t>
      </w:r>
    </w:p>
    <w:p>
      <w:pPr>
        <w:ind w:right="180"/>
        <w:spacing w:after="0" w:line="230" w:lineRule="auto"/>
        <w:rPr>
          <w:sz w:val="20"/>
          <w:szCs w:val="20"/>
          <w:color w:val="auto"/>
        </w:rPr>
      </w:pPr>
      <w:r>
        <w:rPr>
          <w:rFonts w:ascii="Arial" w:cs="Arial" w:eastAsia="Arial" w:hAnsi="Arial"/>
          <w:sz w:val="17"/>
          <w:szCs w:val="17"/>
          <w:color w:val="auto"/>
        </w:rPr>
        <w:t>prohibited transaction rules of ERISA pursuant to a class exemption issued by the U.S. Department of Labor. In addition, the fees associated with the management of these investments by The Vanguard Group, Inc. are included in the Master Trust’s net appreciation (depreciation) in fair value</w:t>
      </w:r>
    </w:p>
    <w:p>
      <w:pPr>
        <w:spacing w:after="0"/>
        <w:rPr>
          <w:sz w:val="20"/>
          <w:szCs w:val="20"/>
          <w:color w:val="auto"/>
        </w:rPr>
      </w:pPr>
      <w:r>
        <w:rPr>
          <w:rFonts w:ascii="Arial" w:cs="Arial" w:eastAsia="Arial" w:hAnsi="Arial"/>
          <w:sz w:val="17"/>
          <w:szCs w:val="17"/>
          <w:color w:val="auto"/>
        </w:rPr>
        <w:t>of investments.</w:t>
      </w:r>
    </w:p>
    <w:p>
      <w:pPr>
        <w:spacing w:after="0" w:line="13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Plan invests in shares of the Company through the Graham Holdings Company Stock Fund in the Master Trust; therefore, these transactions qualify as party-in-interest transactions. Purchases and sales of Graham Holdings stock within the Graham Holdings Stock Fund in the Master Trust</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color w:val="auto"/>
        </w:rPr>
        <w:t>for the period ended December 31, 2025, were $210,457 and $385,601, respectively. Additionally, personnel and facilities of the Company have been used to perform administrative functions for the Plan at no cost to the Plan.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TAX STATUS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On September 29, 2016, the Internal Revenue Service made a favorable determination that the Plan, as then designed, was qualified under IRC</w:t>
      </w:r>
    </w:p>
    <w:p>
      <w:pPr>
        <w:spacing w:after="0" w:line="1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Section 401(a). Such determination letter did not involve a review of the effect on the Plan of certain amendments subsequently adopted. Plan management engaged the Plan’s ERISA counsel to examine the plan document and amendments, and ERISA counsel concluded that none of the</w:t>
      </w:r>
    </w:p>
    <w:p>
      <w:pPr>
        <w:spacing w:after="0"/>
        <w:rPr>
          <w:sz w:val="20"/>
          <w:szCs w:val="20"/>
          <w:color w:val="auto"/>
        </w:rPr>
      </w:pPr>
      <w:r>
        <w:rPr>
          <w:rFonts w:ascii="Arial" w:cs="Arial" w:eastAsia="Arial" w:hAnsi="Arial"/>
          <w:sz w:val="17"/>
          <w:szCs w:val="17"/>
          <w:color w:val="auto"/>
        </w:rPr>
        <w:t>amendments had an adverse effect on the tax-qualified status of the Plan under Section 401(a), including the 2016 and 2024 restatements.</w:t>
      </w:r>
    </w:p>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Master Trust, created in 2021 has not filed for a favorable determination since the Internal Revenue Service no longer supports determination letter filings. The Master Trust is designed to be tax-exempt under IRC Section 501(a).</w:t>
      </w:r>
    </w:p>
    <w:p>
      <w:pPr>
        <w:spacing w:after="0" w:line="108"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The Plan Administrator and the Plan’s ERISA counsel believe that the Plan and Master Trust are designed and operated in compliance with the applicable requirements of the Internal Revenue Code.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GAAP requires plan management to evaluate tax positions taken by the plan and recognize a tax liability (or asset) if the plan has taken an</w:t>
      </w:r>
    </w:p>
    <w:p>
      <w:pPr>
        <w:spacing w:after="0" w:line="14" w:lineRule="exact"/>
        <w:rPr>
          <w:sz w:val="20"/>
          <w:szCs w:val="20"/>
          <w:color w:val="auto"/>
        </w:rPr>
      </w:pPr>
    </w:p>
    <w:p>
      <w:pPr>
        <w:ind w:right="460"/>
        <w:spacing w:after="0" w:line="230" w:lineRule="auto"/>
        <w:rPr>
          <w:sz w:val="20"/>
          <w:szCs w:val="20"/>
          <w:color w:val="auto"/>
        </w:rPr>
      </w:pPr>
      <w:r>
        <w:rPr>
          <w:rFonts w:ascii="Arial" w:cs="Arial" w:eastAsia="Arial" w:hAnsi="Arial"/>
          <w:sz w:val="17"/>
          <w:szCs w:val="17"/>
          <w:color w:val="auto"/>
        </w:rPr>
        <w:t>uncertain position that more likely than not would not be sustained upon examination by federal, state and/or local taxing authorities. The plan administrator has analyzed the tax positions by the Plan, and has concluded that as of December 31, 2025 and 2024, there are no uncertain</w:t>
      </w:r>
    </w:p>
    <w:p>
      <w:pPr>
        <w:spacing w:after="0" w:line="238" w:lineRule="auto"/>
        <w:rPr>
          <w:sz w:val="20"/>
          <w:szCs w:val="20"/>
          <w:color w:val="auto"/>
        </w:rPr>
      </w:pPr>
      <w:r>
        <w:rPr>
          <w:rFonts w:ascii="Arial" w:cs="Arial" w:eastAsia="Arial" w:hAnsi="Arial"/>
          <w:sz w:val="17"/>
          <w:szCs w:val="17"/>
          <w:color w:val="auto"/>
        </w:rPr>
        <w:t>positions taken or expected to be taken that would require recognition of a liability (or asset) or disclosure in the financial statements. The Plan is</w:t>
      </w:r>
    </w:p>
    <w:p>
      <w:pPr>
        <w:ind w:right="560"/>
        <w:spacing w:after="0" w:line="239" w:lineRule="auto"/>
        <w:rPr>
          <w:sz w:val="20"/>
          <w:szCs w:val="20"/>
          <w:color w:val="auto"/>
        </w:rPr>
      </w:pPr>
      <w:r>
        <w:rPr>
          <w:rFonts w:ascii="Arial" w:cs="Arial" w:eastAsia="Arial" w:hAnsi="Arial"/>
          <w:sz w:val="17"/>
          <w:szCs w:val="17"/>
          <w:color w:val="auto"/>
        </w:rPr>
        <w:t>subject to routine audits by taxing jurisdictions; however, there are currently no audits for any tax periods in progress. The Plan administrator believes it is no longer subject to income tax examinations for the years prior to 2021.</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GRAHAM HOLDINGS COMPANY MASTER TRUST</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Master Trust was established for the purpose of maintaining assets for the exclusive benefit of the participants of The Savings Plan for Graham Holdings Company, The Kaplan, Inc. Tax Deferred Savings Plan for Salaried Employees, and The 401(k) Savings Plan for GHC Affiliates</w:t>
      </w:r>
    </w:p>
    <w:p>
      <w:pPr>
        <w:spacing w:after="0"/>
        <w:rPr>
          <w:sz w:val="20"/>
          <w:szCs w:val="20"/>
          <w:color w:val="auto"/>
        </w:rPr>
      </w:pPr>
      <w:r>
        <w:rPr>
          <w:rFonts w:ascii="Arial" w:cs="Arial" w:eastAsia="Arial" w:hAnsi="Arial"/>
          <w:sz w:val="17"/>
          <w:szCs w:val="17"/>
          <w:color w:val="auto"/>
        </w:rPr>
        <w:t>(collectively, Participating Plans). Each Participating Plans’ specific interest in the Master Trust is based on the account balances of the participants</w:t>
      </w:r>
    </w:p>
    <w:p>
      <w:pPr>
        <w:ind w:right="340"/>
        <w:spacing w:after="0" w:line="230" w:lineRule="auto"/>
        <w:rPr>
          <w:sz w:val="20"/>
          <w:szCs w:val="20"/>
          <w:color w:val="auto"/>
        </w:rPr>
      </w:pPr>
      <w:r>
        <w:rPr>
          <w:rFonts w:ascii="Arial" w:cs="Arial" w:eastAsia="Arial" w:hAnsi="Arial"/>
          <w:sz w:val="17"/>
          <w:szCs w:val="17"/>
          <w:color w:val="auto"/>
        </w:rPr>
        <w:t>and their elected investment options specific to each Plan. The Master Trust assets are allocated among the Participating Plans by assigning to each Participating Plan the entire amount of contributions received on behalf of each Participating Plan, benefit payments, or other expenses</w:t>
      </w:r>
    </w:p>
    <w:p>
      <w:pPr>
        <w:spacing w:after="0" w:line="238" w:lineRule="auto"/>
        <w:rPr>
          <w:sz w:val="20"/>
          <w:szCs w:val="20"/>
          <w:color w:val="auto"/>
        </w:rPr>
      </w:pPr>
      <w:r>
        <w:rPr>
          <w:rFonts w:ascii="Arial" w:cs="Arial" w:eastAsia="Arial" w:hAnsi="Arial"/>
          <w:sz w:val="17"/>
          <w:szCs w:val="17"/>
          <w:color w:val="auto"/>
        </w:rPr>
        <w:t>attributed solely to such Participating Plan, and every other transaction relating only to such Participating Plan and by allocating among all</w:t>
      </w:r>
    </w:p>
    <w:p>
      <w:pPr>
        <w:ind w:right="440"/>
        <w:spacing w:after="0" w:line="239" w:lineRule="auto"/>
        <w:rPr>
          <w:sz w:val="20"/>
          <w:szCs w:val="20"/>
          <w:color w:val="auto"/>
        </w:rPr>
      </w:pPr>
      <w:r>
        <w:rPr>
          <w:rFonts w:ascii="Arial" w:cs="Arial" w:eastAsia="Arial" w:hAnsi="Arial"/>
          <w:sz w:val="17"/>
          <w:szCs w:val="17"/>
          <w:color w:val="auto"/>
        </w:rPr>
        <w:t>Participating Plans, in proportion to the value of the assets assigned to each Participating Plan, income and expenses resulting from collective investment of the assets of the Master Trust.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The following table presents the net assets of the Master Trust:</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4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0" w:type="dxa"/>
            <w:vAlign w:val="bottom"/>
            <w:gridSpan w:val="5"/>
          </w:tcPr>
          <w:p>
            <w:pPr>
              <w:ind w:left="460"/>
              <w:spacing w:after="0"/>
              <w:rPr>
                <w:sz w:val="20"/>
                <w:szCs w:val="20"/>
                <w:color w:val="auto"/>
              </w:rPr>
            </w:pPr>
            <w:r>
              <w:rPr>
                <w:rFonts w:ascii="Arial" w:cs="Arial" w:eastAsia="Arial" w:hAnsi="Arial"/>
                <w:sz w:val="17"/>
                <w:szCs w:val="17"/>
                <w:color w:val="auto"/>
              </w:rPr>
              <w:t>As of December 31, 2025</w:t>
            </w:r>
          </w:p>
        </w:tc>
        <w:tc>
          <w:tcPr>
            <w:tcW w:w="200" w:type="dxa"/>
            <w:vAlign w:val="bottom"/>
          </w:tcPr>
          <w:p>
            <w:pPr>
              <w:spacing w:after="0"/>
              <w:rPr>
                <w:sz w:val="21"/>
                <w:szCs w:val="21"/>
                <w:color w:val="auto"/>
              </w:rPr>
            </w:pPr>
          </w:p>
        </w:tc>
        <w:tc>
          <w:tcPr>
            <w:tcW w:w="2980" w:type="dxa"/>
            <w:vAlign w:val="bottom"/>
            <w:gridSpan w:val="4"/>
          </w:tcPr>
          <w:p>
            <w:pPr>
              <w:jc w:val="right"/>
              <w:ind w:right="514"/>
              <w:spacing w:after="0"/>
              <w:rPr>
                <w:sz w:val="20"/>
                <w:szCs w:val="20"/>
                <w:color w:val="auto"/>
              </w:rPr>
            </w:pPr>
            <w:r>
              <w:rPr>
                <w:rFonts w:ascii="Arial" w:cs="Arial" w:eastAsia="Arial" w:hAnsi="Arial"/>
                <w:sz w:val="17"/>
                <w:szCs w:val="17"/>
                <w:color w:val="auto"/>
              </w:rPr>
              <w:t>As of December 31, 2024</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74"/>
              <w:spacing w:after="0" w:line="183" w:lineRule="exact"/>
              <w:rPr>
                <w:sz w:val="20"/>
                <w:szCs w:val="20"/>
                <w:color w:val="auto"/>
              </w:rPr>
            </w:pPr>
            <w:r>
              <w:rPr>
                <w:rFonts w:ascii="Arial" w:cs="Arial" w:eastAsia="Arial" w:hAnsi="Arial"/>
                <w:sz w:val="17"/>
                <w:szCs w:val="17"/>
                <w:color w:val="auto"/>
              </w:rPr>
              <w:t>Plan Interest in</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4"/>
              <w:spacing w:after="0" w:line="183" w:lineRule="exact"/>
              <w:rPr>
                <w:sz w:val="20"/>
                <w:szCs w:val="20"/>
                <w:color w:val="auto"/>
              </w:rPr>
            </w:pPr>
            <w:r>
              <w:rPr>
                <w:rFonts w:ascii="Arial" w:cs="Arial" w:eastAsia="Arial" w:hAnsi="Arial"/>
                <w:sz w:val="17"/>
                <w:szCs w:val="17"/>
                <w:color w:val="auto"/>
              </w:rPr>
              <w:t>Plan Interest in</w:t>
            </w:r>
          </w:p>
        </w:tc>
        <w:tc>
          <w:tcPr>
            <w:tcW w:w="0" w:type="dxa"/>
            <w:vAlign w:val="bottom"/>
          </w:tcPr>
          <w:p>
            <w:pPr>
              <w:spacing w:after="0"/>
              <w:rPr>
                <w:sz w:val="1"/>
                <w:szCs w:val="1"/>
                <w:color w:val="auto"/>
              </w:rPr>
            </w:pPr>
          </w:p>
        </w:tc>
      </w:tr>
      <w:tr>
        <w:trPr>
          <w:trHeight w:val="226"/>
        </w:trPr>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rPr>
              <w:t>Master Trust</w:t>
            </w: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Master Trust</w:t>
            </w:r>
          </w:p>
        </w:tc>
        <w:tc>
          <w:tcPr>
            <w:tcW w:w="0" w:type="dxa"/>
            <w:vAlign w:val="bottom"/>
          </w:tcPr>
          <w:p>
            <w:pPr>
              <w:spacing w:after="0"/>
              <w:rPr>
                <w:sz w:val="1"/>
                <w:szCs w:val="1"/>
                <w:color w:val="auto"/>
              </w:rPr>
            </w:pPr>
          </w:p>
        </w:tc>
      </w:tr>
      <w:tr>
        <w:trPr>
          <w:trHeight w:val="24"/>
        </w:trPr>
        <w:tc>
          <w:tcPr>
            <w:tcW w:w="4600" w:type="dxa"/>
            <w:vAlign w:val="bottom"/>
            <w:vMerge w:val="restart"/>
          </w:tcPr>
          <w:p>
            <w:pPr>
              <w:spacing w:after="0"/>
              <w:rPr>
                <w:sz w:val="20"/>
                <w:szCs w:val="20"/>
                <w:color w:val="auto"/>
              </w:rPr>
            </w:pPr>
            <w:r>
              <w:rPr>
                <w:rFonts w:ascii="Arial" w:cs="Arial" w:eastAsia="Arial" w:hAnsi="Arial"/>
                <w:sz w:val="17"/>
                <w:szCs w:val="17"/>
                <w:color w:val="auto"/>
              </w:rPr>
              <w:t>Registered Investment</w:t>
            </w: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600" w:type="dxa"/>
            <w:vAlign w:val="bottom"/>
          </w:tcPr>
          <w:p>
            <w:pPr>
              <w:ind w:left="240"/>
              <w:spacing w:after="0"/>
              <w:rPr>
                <w:sz w:val="20"/>
                <w:szCs w:val="20"/>
                <w:color w:val="auto"/>
              </w:rPr>
            </w:pPr>
            <w:r>
              <w:rPr>
                <w:rFonts w:ascii="Arial" w:cs="Arial" w:eastAsia="Arial" w:hAnsi="Arial"/>
                <w:sz w:val="17"/>
                <w:szCs w:val="17"/>
                <w:color w:val="auto"/>
              </w:rPr>
              <w:t>Companies (Mutual Funds)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621,551,801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41,755,118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569,373,225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37,835,310</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Arial" w:cs="Arial" w:eastAsia="Arial" w:hAnsi="Arial"/>
                <w:sz w:val="17"/>
                <w:szCs w:val="17"/>
                <w:color w:val="auto"/>
              </w:rPr>
              <w:t>Common/Collective Trusts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389,436,814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40,874,521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35,403,793</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Arial" w:cs="Arial" w:eastAsia="Arial" w:hAnsi="Arial"/>
                <w:sz w:val="17"/>
                <w:szCs w:val="17"/>
                <w:color w:val="auto"/>
              </w:rPr>
              <w:t>Berkshire Hathaway Stock Fund</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56,895,914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2,660,377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55,306,537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2,344,400</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0"/>
                <w:szCs w:val="20"/>
                <w:color w:val="auto"/>
              </w:rPr>
            </w:pPr>
            <w:r>
              <w:rPr>
                <w:rFonts w:ascii="Arial" w:cs="Arial" w:eastAsia="Arial" w:hAnsi="Arial"/>
                <w:sz w:val="17"/>
                <w:szCs w:val="17"/>
                <w:color w:val="auto"/>
              </w:rPr>
              <w:t>Graham Holdings Company Stock Fund</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5,243,851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157,942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4,321,924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122,597</w:t>
            </w: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320"/>
              <w:spacing w:after="0"/>
              <w:rPr>
                <w:sz w:val="20"/>
                <w:szCs w:val="20"/>
                <w:color w:val="auto"/>
              </w:rPr>
            </w:pPr>
            <w:r>
              <w:rPr>
                <w:rFonts w:ascii="Arial" w:cs="Arial" w:eastAsia="Arial" w:hAnsi="Arial"/>
                <w:sz w:val="17"/>
                <w:szCs w:val="17"/>
                <w:color w:val="auto"/>
              </w:rPr>
              <w:t>Total net assets</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1,073,128,380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85,447,958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75,706,100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net appreciation in the fair value of investments and investment income for the Master Trust for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680" w:type="dxa"/>
            <w:vAlign w:val="bottom"/>
          </w:tcPr>
          <w:p>
            <w:pPr>
              <w:spacing w:after="0"/>
              <w:rPr>
                <w:sz w:val="20"/>
                <w:szCs w:val="20"/>
                <w:color w:val="auto"/>
              </w:rPr>
            </w:pPr>
            <w:r>
              <w:rPr>
                <w:rFonts w:ascii="Arial" w:cs="Arial" w:eastAsia="Arial" w:hAnsi="Arial"/>
                <w:sz w:val="17"/>
                <w:szCs w:val="17"/>
                <w:color w:val="auto"/>
              </w:rPr>
              <w:t>Net appreciation in fair value of investments</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128,409,130</w:t>
            </w:r>
          </w:p>
        </w:tc>
        <w:tc>
          <w:tcPr>
            <w:tcW w:w="0" w:type="dxa"/>
            <w:vAlign w:val="bottom"/>
          </w:tcPr>
          <w:p>
            <w:pPr>
              <w:spacing w:after="0"/>
              <w:rPr>
                <w:sz w:val="1"/>
                <w:szCs w:val="1"/>
                <w:color w:val="auto"/>
              </w:rPr>
            </w:pPr>
          </w:p>
        </w:tc>
      </w:tr>
      <w:tr>
        <w:trPr>
          <w:trHeight w:val="245"/>
        </w:trPr>
        <w:tc>
          <w:tcPr>
            <w:tcW w:w="9680" w:type="dxa"/>
            <w:vAlign w:val="bottom"/>
          </w:tcPr>
          <w:p>
            <w:pPr>
              <w:spacing w:after="0"/>
              <w:rPr>
                <w:sz w:val="20"/>
                <w:szCs w:val="20"/>
                <w:color w:val="auto"/>
              </w:rPr>
            </w:pPr>
            <w:r>
              <w:rPr>
                <w:rFonts w:ascii="Arial" w:cs="Arial" w:eastAsia="Arial" w:hAnsi="Arial"/>
                <w:sz w:val="17"/>
                <w:szCs w:val="17"/>
                <w:color w:val="auto"/>
              </w:rPr>
              <w:t>Interest and dividends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26,076,585</w:t>
            </w:r>
          </w:p>
        </w:tc>
        <w:tc>
          <w:tcPr>
            <w:tcW w:w="0" w:type="dxa"/>
            <w:vAlign w:val="bottom"/>
          </w:tcPr>
          <w:p>
            <w:pPr>
              <w:spacing w:after="0"/>
              <w:rPr>
                <w:sz w:val="1"/>
                <w:szCs w:val="1"/>
                <w:color w:val="auto"/>
              </w:rPr>
            </w:pPr>
          </w:p>
        </w:tc>
      </w:tr>
      <w:tr>
        <w:trPr>
          <w:trHeight w:val="24"/>
        </w:trPr>
        <w:tc>
          <w:tcPr>
            <w:tcW w:w="9680" w:type="dxa"/>
            <w:vAlign w:val="bottom"/>
            <w:vMerge w:val="restart"/>
          </w:tcPr>
          <w:p>
            <w:pPr>
              <w:ind w:left="100"/>
              <w:spacing w:after="0"/>
              <w:rPr>
                <w:sz w:val="20"/>
                <w:szCs w:val="20"/>
                <w:color w:val="auto"/>
              </w:rPr>
            </w:pPr>
            <w:r>
              <w:rPr>
                <w:rFonts w:ascii="Arial" w:cs="Arial" w:eastAsia="Arial" w:hAnsi="Arial"/>
                <w:sz w:val="17"/>
                <w:szCs w:val="17"/>
                <w:color w:val="auto"/>
              </w:rPr>
              <w:t>Total investment income</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68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154,485,715</w:t>
            </w:r>
          </w:p>
        </w:tc>
        <w:tc>
          <w:tcPr>
            <w:tcW w:w="0" w:type="dxa"/>
            <w:vAlign w:val="bottom"/>
          </w:tcPr>
          <w:p>
            <w:pPr>
              <w:spacing w:after="0"/>
              <w:rPr>
                <w:sz w:val="1"/>
                <w:szCs w:val="1"/>
                <w:color w:val="auto"/>
              </w:rPr>
            </w:pPr>
          </w:p>
        </w:tc>
      </w:tr>
      <w:tr>
        <w:trPr>
          <w:trHeight w:val="26"/>
        </w:trPr>
        <w:tc>
          <w:tcPr>
            <w:tcW w:w="9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Refer to Note 6 for a description of the valuation methodologies used.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155"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based on a three-tiered hierarchy that draws a distinction between market participant assumptions based on (i) observable inputs, such as quoted prices in</w:t>
      </w:r>
    </w:p>
    <w:p>
      <w:pPr>
        <w:spacing w:after="0"/>
        <w:rPr>
          <w:sz w:val="20"/>
          <w:szCs w:val="20"/>
          <w:color w:val="auto"/>
        </w:rPr>
      </w:pPr>
      <w:r>
        <w:rPr>
          <w:rFonts w:ascii="Arial" w:cs="Arial" w:eastAsia="Arial" w:hAnsi="Arial"/>
          <w:sz w:val="17"/>
          <w:szCs w:val="17"/>
          <w:color w:val="auto"/>
        </w:rPr>
        <w:t>active markets (Level 1); (ii) inputs other than quoted prices in active markets that are observable either directly or indirectly (Level 2); and (iii)</w:t>
      </w:r>
    </w:p>
    <w:p>
      <w:pPr>
        <w:ind w:right="220"/>
        <w:spacing w:after="0" w:line="230" w:lineRule="auto"/>
        <w:rPr>
          <w:sz w:val="20"/>
          <w:szCs w:val="20"/>
          <w:color w:val="auto"/>
        </w:rPr>
      </w:pPr>
      <w:r>
        <w:rPr>
          <w:rFonts w:ascii="Arial" w:cs="Arial" w:eastAsia="Arial" w:hAnsi="Arial"/>
          <w:sz w:val="17"/>
          <w:szCs w:val="17"/>
          <w:color w:val="auto"/>
        </w:rPr>
        <w:t>unobservable inputs that require the Master Trust to use present value and other valuation techniques in the determination of fair value (Level 3). Financial assets and liabilities are classified in their entirety based on the lowest level of input that is significant to the fair value measure. The</w:t>
      </w:r>
    </w:p>
    <w:p>
      <w:pPr>
        <w:ind w:right="20"/>
        <w:spacing w:after="0" w:line="255" w:lineRule="auto"/>
        <w:rPr>
          <w:sz w:val="20"/>
          <w:szCs w:val="20"/>
          <w:color w:val="auto"/>
        </w:rPr>
      </w:pPr>
      <w:r>
        <w:rPr>
          <w:rFonts w:ascii="Arial" w:cs="Arial" w:eastAsia="Arial" w:hAnsi="Arial"/>
          <w:sz w:val="17"/>
          <w:szCs w:val="17"/>
          <w:color w:val="auto"/>
        </w:rPr>
        <w:t>Master Trust’s assessment of the significance of a particular input to fair value measurements requires judgment and may affect the valuation of the assets and liabilities being measured and their placement within the fair value hierarchy.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in the Master Trust and the valuation techniques for measuring fair value are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Investment Companies (Mutual Funds)</w:t>
      </w:r>
      <w:r>
        <w:rPr>
          <w:rFonts w:ascii="Arial" w:cs="Arial" w:eastAsia="Arial" w:hAnsi="Arial"/>
          <w:sz w:val="17"/>
          <w:szCs w:val="17"/>
          <w:color w:val="auto"/>
        </w:rPr>
        <w:t>: Registered investment companies (mutual funds) are valued at their respective net asset</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values. The net asset values are typically determined by the fund at the close of regular trading. These funds are required to publish their daily net asset value (NAV) and to transact at that price. The mutual funds are considered actively traded.</w:t>
      </w:r>
    </w:p>
    <w:p>
      <w:pPr>
        <w:spacing w:after="0" w:line="122"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b w:val="1"/>
          <w:bCs w:val="1"/>
          <w:color w:val="auto"/>
        </w:rPr>
        <w:t>Common/Collective Trusts</w:t>
      </w:r>
      <w:r>
        <w:rPr>
          <w:rFonts w:ascii="Arial" w:cs="Arial" w:eastAsia="Arial" w:hAnsi="Arial"/>
          <w:sz w:val="17"/>
          <w:szCs w:val="17"/>
          <w:color w:val="auto"/>
        </w:rPr>
        <w:t>: Valued at the NAV of units of the collective trusts. The NAV, as provided by the trustee, is used as a practical</w:t>
      </w:r>
      <w:r>
        <w:rPr>
          <w:rFonts w:ascii="Arial" w:cs="Arial" w:eastAsia="Arial" w:hAnsi="Arial"/>
          <w:sz w:val="17"/>
          <w:szCs w:val="17"/>
          <w:b w:val="1"/>
          <w:bCs w:val="1"/>
          <w:color w:val="auto"/>
        </w:rPr>
        <w:t xml:space="preserve"> </w:t>
      </w:r>
      <w:r>
        <w:rPr>
          <w:rFonts w:ascii="Arial" w:cs="Arial" w:eastAsia="Arial" w:hAnsi="Arial"/>
          <w:sz w:val="17"/>
          <w:szCs w:val="17"/>
          <w:color w:val="auto"/>
        </w:rPr>
        <w:t>expedient to estimate fair value. This practical expedient is not used when it is determined to be probable that the fund will sell the investment for</w:t>
      </w:r>
    </w:p>
    <w:p>
      <w:pPr>
        <w:ind w:right="140"/>
        <w:spacing w:after="0" w:line="255" w:lineRule="auto"/>
        <w:rPr>
          <w:sz w:val="20"/>
          <w:szCs w:val="20"/>
          <w:color w:val="auto"/>
        </w:rPr>
      </w:pPr>
      <w:r>
        <w:rPr>
          <w:rFonts w:ascii="Arial" w:cs="Arial" w:eastAsia="Arial" w:hAnsi="Arial"/>
          <w:sz w:val="17"/>
          <w:szCs w:val="17"/>
          <w:color w:val="auto"/>
        </w:rPr>
        <w:t>an amount different than the reported NAV. Were the Plan to initiate a full redemption of the collective trusts, the investment adviser reserves the right to temporarily delay withdrawal from the trusts in order to ensure that securities liquidations will be carried out in an orderly business manner.</w:t>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Common Stock</w:t>
      </w:r>
      <w:r>
        <w:rPr>
          <w:rFonts w:ascii="Arial" w:cs="Arial" w:eastAsia="Arial" w:hAnsi="Arial"/>
          <w:sz w:val="17"/>
          <w:szCs w:val="17"/>
          <w:color w:val="auto"/>
        </w:rPr>
        <w:t>: The Graham Holdings Company common stock in the Graham Holdings Company Stock Fund and Berkshire Hathaway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in the Berkshire Hathaway Stock Fund are valued at their year-end market value closing price.</w:t>
      </w:r>
    </w:p>
    <w:p>
      <w:pPr>
        <w:spacing w:after="0" w:line="9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The methods described above may produce a fair value calculation that may not be indicative of net realizable value or reflective of future fair values. Furthermore, while the Plan Sponsor believes its valuation methods are appropriate and consistent with other market participants, the use</w:t>
      </w:r>
    </w:p>
    <w:p>
      <w:pPr>
        <w:spacing w:after="0" w:line="1" w:lineRule="exact"/>
        <w:rPr>
          <w:sz w:val="20"/>
          <w:szCs w:val="20"/>
          <w:color w:val="auto"/>
        </w:rPr>
      </w:pPr>
    </w:p>
    <w:p>
      <w:pPr>
        <w:ind w:right="960"/>
        <w:spacing w:after="0" w:line="255" w:lineRule="auto"/>
        <w:rPr>
          <w:sz w:val="20"/>
          <w:szCs w:val="20"/>
          <w:color w:val="auto"/>
        </w:rPr>
      </w:pPr>
      <w:r>
        <w:rPr>
          <w:rFonts w:ascii="Arial" w:cs="Arial" w:eastAsia="Arial" w:hAnsi="Arial"/>
          <w:sz w:val="17"/>
          <w:szCs w:val="17"/>
          <w:color w:val="auto"/>
        </w:rPr>
        <w:t>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Financial assets held by the Master Trust measured at fair value on a recurring basis were as follows:</w:t>
      </w:r>
    </w:p>
    <w:p>
      <w:pPr>
        <w:spacing w:after="0" w:line="205" w:lineRule="exact"/>
        <w:rPr>
          <w:sz w:val="20"/>
          <w:szCs w:val="20"/>
          <w:color w:val="auto"/>
        </w:rPr>
      </w:pPr>
    </w:p>
    <w:tbl>
      <w:tblPr>
        <w:tblLayout w:type="fixed"/>
        <w:tblInd w:w="140" w:type="dxa"/>
        <w:tblCellMar>
          <w:top w:w="0" w:type="dxa"/>
          <w:left w:w="0" w:type="dxa"/>
          <w:bottom w:w="0" w:type="dxa"/>
          <w:right w:w="0" w:type="dxa"/>
        </w:tblCellMar>
      </w:tblPr>
      <w:tr>
        <w:trPr>
          <w:trHeight w:val="226"/>
        </w:trPr>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5"/>
          </w:tcPr>
          <w:p>
            <w:pPr>
              <w:ind w:left="380"/>
              <w:spacing w:after="0"/>
              <w:rPr>
                <w:sz w:val="20"/>
                <w:szCs w:val="20"/>
                <w:color w:val="auto"/>
              </w:rPr>
            </w:pPr>
            <w:r>
              <w:rPr>
                <w:rFonts w:ascii="Arial" w:cs="Arial" w:eastAsia="Arial" w:hAnsi="Arial"/>
                <w:sz w:val="17"/>
                <w:szCs w:val="17"/>
                <w:color w:val="auto"/>
              </w:rPr>
              <w:t>As of December 31, 2025</w:t>
            </w:r>
          </w:p>
        </w:tc>
        <w:tc>
          <w:tcPr>
            <w:tcW w:w="240" w:type="dxa"/>
            <w:vAlign w:val="bottom"/>
          </w:tcPr>
          <w:p>
            <w:pPr>
              <w:spacing w:after="0"/>
              <w:rPr>
                <w:sz w:val="19"/>
                <w:szCs w:val="19"/>
                <w:color w:val="auto"/>
              </w:rPr>
            </w:pPr>
          </w:p>
        </w:tc>
        <w:tc>
          <w:tcPr>
            <w:tcW w:w="2940" w:type="dxa"/>
            <w:vAlign w:val="bottom"/>
            <w:gridSpan w:val="4"/>
          </w:tcPr>
          <w:p>
            <w:pPr>
              <w:jc w:val="right"/>
              <w:ind w:right="534"/>
              <w:spacing w:after="0"/>
              <w:rPr>
                <w:sz w:val="20"/>
                <w:szCs w:val="20"/>
                <w:color w:val="auto"/>
              </w:rPr>
            </w:pPr>
            <w:r>
              <w:rPr>
                <w:rFonts w:ascii="Arial" w:cs="Arial" w:eastAsia="Arial" w:hAnsi="Arial"/>
                <w:sz w:val="17"/>
                <w:szCs w:val="17"/>
                <w:color w:val="auto"/>
              </w:rPr>
              <w:t>As of December 31, 2024</w:t>
            </w: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54"/>
              <w:spacing w:after="0" w:line="161" w:lineRule="exact"/>
              <w:rPr>
                <w:sz w:val="20"/>
                <w:szCs w:val="20"/>
                <w:color w:val="auto"/>
              </w:rPr>
            </w:pPr>
            <w:r>
              <w:rPr>
                <w:rFonts w:ascii="Arial" w:cs="Arial" w:eastAsia="Arial" w:hAnsi="Arial"/>
                <w:sz w:val="17"/>
                <w:szCs w:val="17"/>
                <w:color w:val="auto"/>
              </w:rPr>
              <w:t>Quoted Prices in</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54"/>
              <w:spacing w:after="0" w:line="161" w:lineRule="exact"/>
              <w:rPr>
                <w:sz w:val="20"/>
                <w:szCs w:val="20"/>
                <w:color w:val="auto"/>
              </w:rPr>
            </w:pPr>
            <w:r>
              <w:rPr>
                <w:rFonts w:ascii="Arial" w:cs="Arial" w:eastAsia="Arial" w:hAnsi="Arial"/>
                <w:sz w:val="17"/>
                <w:szCs w:val="17"/>
                <w:color w:val="auto"/>
              </w:rPr>
              <w:t>Quoted Prices in</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100"/>
              <w:spacing w:after="0" w:line="168" w:lineRule="exact"/>
              <w:rPr>
                <w:sz w:val="20"/>
                <w:szCs w:val="20"/>
                <w:color w:val="auto"/>
              </w:rPr>
            </w:pPr>
            <w:r>
              <w:rPr>
                <w:rFonts w:ascii="Arial" w:cs="Arial" w:eastAsia="Arial" w:hAnsi="Arial"/>
                <w:sz w:val="17"/>
                <w:szCs w:val="17"/>
                <w:color w:val="auto"/>
              </w:rPr>
              <w:t>Active Markets for</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Arial" w:cs="Arial" w:eastAsia="Arial" w:hAnsi="Arial"/>
                <w:sz w:val="17"/>
                <w:szCs w:val="17"/>
                <w:color w:val="auto"/>
              </w:rPr>
              <w:t>Active Markets for</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40"/>
              <w:spacing w:after="0" w:line="177" w:lineRule="exact"/>
              <w:rPr>
                <w:sz w:val="20"/>
                <w:szCs w:val="20"/>
                <w:color w:val="auto"/>
              </w:rPr>
            </w:pPr>
            <w:r>
              <w:rPr>
                <w:rFonts w:ascii="Arial" w:cs="Arial" w:eastAsia="Arial" w:hAnsi="Arial"/>
                <w:sz w:val="17"/>
                <w:szCs w:val="17"/>
                <w:color w:val="auto"/>
              </w:rPr>
              <w:t>Identical Items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34"/>
              <w:spacing w:after="0" w:line="177" w:lineRule="exact"/>
              <w:rPr>
                <w:sz w:val="20"/>
                <w:szCs w:val="20"/>
                <w:color w:val="auto"/>
              </w:rPr>
            </w:pPr>
            <w:r>
              <w:rPr>
                <w:rFonts w:ascii="Arial" w:cs="Arial" w:eastAsia="Arial" w:hAnsi="Arial"/>
                <w:sz w:val="17"/>
                <w:szCs w:val="17"/>
                <w:color w:val="auto"/>
              </w:rPr>
              <w:t>Identical Items</w:t>
            </w:r>
          </w:p>
        </w:tc>
        <w:tc>
          <w:tcPr>
            <w:tcW w:w="0" w:type="dxa"/>
            <w:vAlign w:val="bottom"/>
          </w:tcPr>
          <w:p>
            <w:pPr>
              <w:spacing w:after="0"/>
              <w:rPr>
                <w:sz w:val="1"/>
                <w:szCs w:val="1"/>
                <w:color w:val="auto"/>
              </w:rPr>
            </w:pPr>
          </w:p>
        </w:tc>
      </w:tr>
      <w:tr>
        <w:trPr>
          <w:trHeight w:val="224"/>
        </w:trPr>
        <w:tc>
          <w:tcPr>
            <w:tcW w:w="4420" w:type="dxa"/>
            <w:vAlign w:val="bottom"/>
            <w:vMerge w:val="restart"/>
          </w:tcPr>
          <w:p>
            <w:pPr>
              <w:spacing w:after="0"/>
              <w:rPr>
                <w:sz w:val="20"/>
                <w:szCs w:val="20"/>
                <w:color w:val="auto"/>
              </w:rPr>
            </w:pPr>
            <w:r>
              <w:rPr>
                <w:rFonts w:ascii="Arial" w:cs="Arial" w:eastAsia="Arial" w:hAnsi="Arial"/>
                <w:sz w:val="17"/>
                <w:szCs w:val="17"/>
                <w:color w:val="auto"/>
              </w:rPr>
              <w:t>Assets:</w:t>
            </w:r>
          </w:p>
        </w:tc>
        <w:tc>
          <w:tcPr>
            <w:tcW w:w="280" w:type="dxa"/>
            <w:vAlign w:val="bottom"/>
          </w:tcPr>
          <w:p>
            <w:pPr>
              <w:spacing w:after="0"/>
              <w:rPr>
                <w:sz w:val="19"/>
                <w:szCs w:val="19"/>
                <w:color w:val="auto"/>
              </w:rPr>
            </w:pPr>
          </w:p>
        </w:tc>
        <w:tc>
          <w:tcPr>
            <w:tcW w:w="1480" w:type="dxa"/>
            <w:vAlign w:val="bottom"/>
            <w:gridSpan w:val="2"/>
          </w:tcPr>
          <w:p>
            <w:pPr>
              <w:ind w:left="16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rPr>
              <w:t>(Level 1)</w:t>
            </w: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color w:val="auto"/>
                <w:w w:val="99"/>
              </w:rPr>
              <w:t>(Level 1)</w:t>
            </w:r>
          </w:p>
        </w:tc>
        <w:tc>
          <w:tcPr>
            <w:tcW w:w="0" w:type="dxa"/>
            <w:vAlign w:val="bottom"/>
          </w:tcPr>
          <w:p>
            <w:pPr>
              <w:spacing w:after="0"/>
              <w:rPr>
                <w:sz w:val="1"/>
                <w:szCs w:val="1"/>
                <w:color w:val="auto"/>
              </w:rPr>
            </w:pPr>
          </w:p>
        </w:tc>
      </w:tr>
      <w:tr>
        <w:trPr>
          <w:trHeight w:val="202"/>
        </w:trPr>
        <w:tc>
          <w:tcPr>
            <w:tcW w:w="4420" w:type="dxa"/>
            <w:vAlign w:val="bottom"/>
            <w:vMerge w:val="continue"/>
          </w:tcPr>
          <w:p>
            <w:pPr>
              <w:spacing w:after="0"/>
              <w:rPr>
                <w:sz w:val="17"/>
                <w:szCs w:val="17"/>
                <w:color w:val="auto"/>
              </w:rPr>
            </w:pPr>
          </w:p>
        </w:tc>
        <w:tc>
          <w:tcPr>
            <w:tcW w:w="2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621,784,615</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621,784,615</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569,520,506</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569,520,506</w:t>
            </w:r>
          </w:p>
        </w:tc>
        <w:tc>
          <w:tcPr>
            <w:tcW w:w="0" w:type="dxa"/>
            <w:vAlign w:val="bottom"/>
          </w:tcPr>
          <w:p>
            <w:pPr>
              <w:spacing w:after="0"/>
              <w:rPr>
                <w:sz w:val="1"/>
                <w:szCs w:val="1"/>
                <w:color w:val="auto"/>
              </w:rPr>
            </w:pPr>
          </w:p>
        </w:tc>
      </w:tr>
      <w:tr>
        <w:trPr>
          <w:trHeight w:val="239"/>
        </w:trPr>
        <w:tc>
          <w:tcPr>
            <w:tcW w:w="4420" w:type="dxa"/>
            <w:vAlign w:val="bottom"/>
          </w:tcPr>
          <w:p>
            <w:pPr>
              <w:ind w:left="140"/>
              <w:spacing w:after="0"/>
              <w:rPr>
                <w:sz w:val="20"/>
                <w:szCs w:val="20"/>
                <w:color w:val="auto"/>
              </w:rPr>
            </w:pPr>
            <w:r>
              <w:rPr>
                <w:rFonts w:ascii="Arial" w:cs="Arial" w:eastAsia="Arial" w:hAnsi="Arial"/>
                <w:sz w:val="17"/>
                <w:szCs w:val="17"/>
                <w:color w:val="auto"/>
              </w:rPr>
              <w:t>Mutual funds</w:t>
            </w:r>
          </w:p>
        </w:tc>
        <w:tc>
          <w:tcPr>
            <w:tcW w:w="28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140"/>
              <w:spacing w:after="0"/>
              <w:rPr>
                <w:sz w:val="20"/>
                <w:szCs w:val="20"/>
                <w:color w:val="auto"/>
              </w:rPr>
            </w:pPr>
            <w:r>
              <w:rPr>
                <w:rFonts w:ascii="Arial" w:cs="Arial" w:eastAsia="Arial" w:hAnsi="Arial"/>
                <w:sz w:val="17"/>
                <w:szCs w:val="17"/>
                <w:color w:val="auto"/>
              </w:rPr>
              <w:t>Berkshire Hathaway common stock</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56,670,947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56,670,947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55,163,111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55,163,111</w:t>
            </w:r>
          </w:p>
        </w:tc>
        <w:tc>
          <w:tcPr>
            <w:tcW w:w="0" w:type="dxa"/>
            <w:vAlign w:val="bottom"/>
          </w:tcPr>
          <w:p>
            <w:pPr>
              <w:spacing w:after="0"/>
              <w:rPr>
                <w:sz w:val="1"/>
                <w:szCs w:val="1"/>
                <w:color w:val="auto"/>
              </w:rPr>
            </w:pPr>
          </w:p>
        </w:tc>
      </w:tr>
      <w:tr>
        <w:trPr>
          <w:trHeight w:val="224"/>
        </w:trPr>
        <w:tc>
          <w:tcPr>
            <w:tcW w:w="4420" w:type="dxa"/>
            <w:vAlign w:val="bottom"/>
          </w:tcPr>
          <w:p>
            <w:pPr>
              <w:ind w:left="140"/>
              <w:spacing w:after="0"/>
              <w:rPr>
                <w:sz w:val="20"/>
                <w:szCs w:val="20"/>
                <w:color w:val="auto"/>
              </w:rPr>
            </w:pPr>
            <w:r>
              <w:rPr>
                <w:rFonts w:ascii="Arial" w:cs="Arial" w:eastAsia="Arial" w:hAnsi="Arial"/>
                <w:sz w:val="17"/>
                <w:szCs w:val="17"/>
                <w:color w:val="auto"/>
              </w:rPr>
              <w:t>Graham Holdings Company common stock</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5,236,005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5,236,005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0" w:type="dxa"/>
            <w:vAlign w:val="bottom"/>
          </w:tcPr>
          <w:p>
            <w:pPr>
              <w:spacing w:after="0"/>
              <w:rPr>
                <w:sz w:val="1"/>
                <w:szCs w:val="1"/>
                <w:color w:val="auto"/>
              </w:rPr>
            </w:pPr>
          </w:p>
        </w:tc>
      </w:tr>
      <w:tr>
        <w:trPr>
          <w:trHeight w:val="209"/>
        </w:trPr>
        <w:tc>
          <w:tcPr>
            <w:tcW w:w="4420" w:type="dxa"/>
            <w:vAlign w:val="bottom"/>
          </w:tcPr>
          <w:p>
            <w:pPr>
              <w:ind w:left="300"/>
              <w:spacing w:after="0"/>
              <w:rPr>
                <w:sz w:val="20"/>
                <w:szCs w:val="20"/>
                <w:color w:val="auto"/>
              </w:rPr>
            </w:pPr>
            <w:r>
              <w:rPr>
                <w:rFonts w:ascii="Arial" w:cs="Arial" w:eastAsia="Arial" w:hAnsi="Arial"/>
                <w:sz w:val="17"/>
                <w:szCs w:val="17"/>
                <w:color w:val="auto"/>
              </w:rPr>
              <w:t>Total</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683,691,567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683,691,567</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0" w:type="dxa"/>
            <w:vAlign w:val="bottom"/>
          </w:tcPr>
          <w:p>
            <w:pPr>
              <w:spacing w:after="0"/>
              <w:rPr>
                <w:sz w:val="1"/>
                <w:szCs w:val="1"/>
                <w:color w:val="auto"/>
              </w:rPr>
            </w:pPr>
          </w:p>
        </w:tc>
      </w:tr>
      <w:tr>
        <w:trPr>
          <w:trHeight w:val="224"/>
        </w:trPr>
        <w:tc>
          <w:tcPr>
            <w:tcW w:w="4420" w:type="dxa"/>
            <w:vAlign w:val="bottom"/>
          </w:tcPr>
          <w:p>
            <w:pPr>
              <w:ind w:left="140"/>
              <w:spacing w:after="0" w:line="224" w:lineRule="exact"/>
              <w:rPr>
                <w:sz w:val="20"/>
                <w:szCs w:val="20"/>
                <w:color w:val="auto"/>
              </w:rPr>
            </w:pPr>
            <w:r>
              <w:rPr>
                <w:rFonts w:ascii="Arial" w:cs="Arial" w:eastAsia="Arial" w:hAnsi="Arial"/>
                <w:sz w:val="17"/>
                <w:szCs w:val="17"/>
                <w:color w:val="auto"/>
              </w:rPr>
              <w:t xml:space="preserve">Common collective trusts </w:t>
            </w:r>
            <w:r>
              <w:rPr>
                <w:rFonts w:ascii="Arial" w:cs="Arial" w:eastAsia="Arial" w:hAnsi="Arial"/>
                <w:sz w:val="20"/>
                <w:szCs w:val="20"/>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389,436,813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420" w:type="dxa"/>
            <w:vAlign w:val="bottom"/>
          </w:tcPr>
          <w:p>
            <w:pPr>
              <w:ind w:left="300"/>
              <w:spacing w:after="0"/>
              <w:rPr>
                <w:sz w:val="20"/>
                <w:szCs w:val="20"/>
                <w:color w:val="auto"/>
              </w:rPr>
            </w:pPr>
            <w:r>
              <w:rPr>
                <w:rFonts w:ascii="Arial" w:cs="Arial" w:eastAsia="Arial" w:hAnsi="Arial"/>
                <w:sz w:val="17"/>
                <w:szCs w:val="17"/>
                <w:color w:val="auto"/>
              </w:rPr>
              <w:t>Total financial assets</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1,073,128,380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683,691,567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629,001,686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left="240" w:hanging="237"/>
        <w:spacing w:after="0" w:line="221" w:lineRule="auto"/>
        <w:tabs>
          <w:tab w:leader="none" w:pos="332"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 xml:space="preserve">In accordance with FASB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certain investments that are measured at fair value using net asset value per share (or its equivalent) as a practical expedient have not been classified in the fair value hierarchy. As a result, collective investment trusts are classified as a reconciling item in the fair value hierarchy so that the total investments in the fair value hierarchy is consistent with the Plan investments, at fair value on the Statements of Net Assets Available for Benefits.</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share/unit multiplied by the number of shares/units held.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Collective Trusts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and redemption requirements of the Master Trust’s investment in common collective trust are summarized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December 31,</w:t>
            </w: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7"/>
                <w:szCs w:val="17"/>
                <w:color w:val="auto"/>
              </w:rPr>
              <w:t>Unfunded</w:t>
            </w:r>
          </w:p>
        </w:tc>
        <w:tc>
          <w:tcPr>
            <w:tcW w:w="1380" w:type="dxa"/>
            <w:vAlign w:val="bottom"/>
            <w:vMerge w:val="restart"/>
          </w:tcPr>
          <w:p>
            <w:pPr>
              <w:jc w:val="center"/>
              <w:ind w:left="34"/>
              <w:spacing w:after="0"/>
              <w:rPr>
                <w:sz w:val="20"/>
                <w:szCs w:val="20"/>
                <w:color w:val="auto"/>
              </w:rPr>
            </w:pPr>
            <w:r>
              <w:rPr>
                <w:rFonts w:ascii="Arial" w:cs="Arial" w:eastAsia="Arial" w:hAnsi="Arial"/>
                <w:sz w:val="17"/>
                <w:szCs w:val="17"/>
                <w:color w:val="auto"/>
              </w:rPr>
              <w:t>Redemption</w:t>
            </w:r>
          </w:p>
        </w:tc>
        <w:tc>
          <w:tcPr>
            <w:tcW w:w="1660" w:type="dxa"/>
            <w:vAlign w:val="bottom"/>
            <w:vMerge w:val="restart"/>
          </w:tcPr>
          <w:p>
            <w:pPr>
              <w:jc w:val="center"/>
              <w:ind w:left="34"/>
              <w:spacing w:after="0"/>
              <w:rPr>
                <w:sz w:val="20"/>
                <w:szCs w:val="20"/>
                <w:color w:val="auto"/>
              </w:rPr>
            </w:pPr>
            <w:r>
              <w:rPr>
                <w:rFonts w:ascii="Arial" w:cs="Arial" w:eastAsia="Arial" w:hAnsi="Arial"/>
                <w:sz w:val="17"/>
                <w:szCs w:val="17"/>
                <w:color w:val="auto"/>
              </w:rPr>
              <w:t>Redemption notice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494"/>
              <w:spacing w:after="0"/>
              <w:rPr>
                <w:sz w:val="20"/>
                <w:szCs w:val="20"/>
                <w:color w:val="auto"/>
              </w:rPr>
            </w:pPr>
            <w:r>
              <w:rPr>
                <w:rFonts w:ascii="Arial" w:cs="Arial" w:eastAsia="Arial" w:hAnsi="Arial"/>
                <w:sz w:val="17"/>
                <w:szCs w:val="17"/>
                <w:color w:val="auto"/>
              </w:rPr>
              <w:t>2025</w:t>
            </w:r>
          </w:p>
        </w:tc>
        <w:tc>
          <w:tcPr>
            <w:tcW w:w="580" w:type="dxa"/>
            <w:vAlign w:val="bottom"/>
          </w:tcPr>
          <w:p>
            <w:pPr>
              <w:spacing w:after="0"/>
              <w:rPr>
                <w:sz w:val="19"/>
                <w:szCs w:val="19"/>
                <w:color w:val="auto"/>
              </w:rPr>
            </w:pPr>
          </w:p>
        </w:tc>
        <w:tc>
          <w:tcPr>
            <w:tcW w:w="1040" w:type="dxa"/>
            <w:vAlign w:val="bottom"/>
          </w:tcPr>
          <w:p>
            <w:pPr>
              <w:jc w:val="right"/>
              <w:ind w:right="494"/>
              <w:spacing w:after="0"/>
              <w:rPr>
                <w:sz w:val="20"/>
                <w:szCs w:val="20"/>
                <w:color w:val="auto"/>
              </w:rPr>
            </w:pPr>
            <w:r>
              <w:rPr>
                <w:rFonts w:ascii="Arial" w:cs="Arial" w:eastAsia="Arial" w:hAnsi="Arial"/>
                <w:sz w:val="17"/>
                <w:szCs w:val="17"/>
                <w:color w:val="auto"/>
              </w:rPr>
              <w:t>2024</w:t>
            </w:r>
          </w:p>
        </w:tc>
        <w:tc>
          <w:tcPr>
            <w:tcW w:w="1540" w:type="dxa"/>
            <w:vAlign w:val="bottom"/>
          </w:tcPr>
          <w:p>
            <w:pPr>
              <w:jc w:val="center"/>
              <w:spacing w:after="0"/>
              <w:rPr>
                <w:sz w:val="20"/>
                <w:szCs w:val="20"/>
                <w:color w:val="auto"/>
              </w:rPr>
            </w:pPr>
            <w:r>
              <w:rPr>
                <w:rFonts w:ascii="Arial" w:cs="Arial" w:eastAsia="Arial" w:hAnsi="Arial"/>
                <w:sz w:val="17"/>
                <w:szCs w:val="17"/>
                <w:color w:val="auto"/>
              </w:rPr>
              <w:t>commitments</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frequency</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3440" w:type="dxa"/>
            <w:vAlign w:val="bottom"/>
          </w:tcPr>
          <w:p>
            <w:pPr>
              <w:spacing w:after="0"/>
              <w:rPr>
                <w:sz w:val="20"/>
                <w:szCs w:val="20"/>
                <w:color w:val="auto"/>
              </w:rPr>
            </w:pPr>
            <w:r>
              <w:rPr>
                <w:rFonts w:ascii="Arial" w:cs="Arial" w:eastAsia="Arial" w:hAnsi="Arial"/>
                <w:sz w:val="17"/>
                <w:szCs w:val="17"/>
                <w:color w:val="auto"/>
              </w:rPr>
              <w:t>Target-date strategy funds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381,561,598</w:t>
            </w:r>
          </w:p>
        </w:tc>
        <w:tc>
          <w:tcPr>
            <w:tcW w:w="58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338,587,009</w:t>
            </w:r>
          </w:p>
        </w:tc>
        <w:tc>
          <w:tcPr>
            <w:tcW w:w="1540" w:type="dxa"/>
            <w:vAlign w:val="bottom"/>
          </w:tcPr>
          <w:p>
            <w:pPr>
              <w:jc w:val="center"/>
              <w:spacing w:after="0"/>
              <w:rPr>
                <w:sz w:val="20"/>
                <w:szCs w:val="20"/>
                <w:color w:val="auto"/>
              </w:rPr>
            </w:pPr>
            <w:r>
              <w:rPr>
                <w:rFonts w:ascii="Arial" w:cs="Arial" w:eastAsia="Arial" w:hAnsi="Arial"/>
                <w:sz w:val="17"/>
                <w:szCs w:val="17"/>
                <w:color w:val="auto"/>
                <w:w w:val="98"/>
              </w:rPr>
              <w:t>None</w:t>
            </w:r>
          </w:p>
        </w:tc>
        <w:tc>
          <w:tcPr>
            <w:tcW w:w="1380" w:type="dxa"/>
            <w:vAlign w:val="bottom"/>
          </w:tcPr>
          <w:p>
            <w:pPr>
              <w:jc w:val="center"/>
              <w:ind w:left="34"/>
              <w:spacing w:after="0"/>
              <w:rPr>
                <w:sz w:val="20"/>
                <w:szCs w:val="20"/>
                <w:color w:val="auto"/>
              </w:rPr>
            </w:pPr>
            <w:r>
              <w:rPr>
                <w:rFonts w:ascii="Arial" w:cs="Arial" w:eastAsia="Arial" w:hAnsi="Arial"/>
                <w:sz w:val="17"/>
                <w:szCs w:val="17"/>
                <w:color w:val="auto"/>
              </w:rPr>
              <w:t>Daily</w:t>
            </w:r>
          </w:p>
        </w:tc>
        <w:tc>
          <w:tcPr>
            <w:tcW w:w="1660" w:type="dxa"/>
            <w:vAlign w:val="bottom"/>
          </w:tcPr>
          <w:p>
            <w:pPr>
              <w:jc w:val="center"/>
              <w:ind w:left="34"/>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7"/>
                <w:szCs w:val="17"/>
                <w:color w:val="auto"/>
              </w:rPr>
              <w:t>Target income strategy fund</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7,875,215</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6,837,311</w:t>
            </w:r>
          </w:p>
        </w:tc>
        <w:tc>
          <w:tcPr>
            <w:tcW w:w="1540" w:type="dxa"/>
            <w:vAlign w:val="bottom"/>
          </w:tcPr>
          <w:p>
            <w:pPr>
              <w:jc w:val="center"/>
              <w:spacing w:after="0"/>
              <w:rPr>
                <w:sz w:val="20"/>
                <w:szCs w:val="20"/>
                <w:color w:val="auto"/>
              </w:rPr>
            </w:pPr>
            <w:r>
              <w:rPr>
                <w:rFonts w:ascii="Arial" w:cs="Arial" w:eastAsia="Arial" w:hAnsi="Arial"/>
                <w:sz w:val="17"/>
                <w:szCs w:val="17"/>
                <w:color w:val="auto"/>
                <w:w w:val="98"/>
              </w:rPr>
              <w:t>None</w:t>
            </w:r>
          </w:p>
        </w:tc>
        <w:tc>
          <w:tcPr>
            <w:tcW w:w="1380" w:type="dxa"/>
            <w:vAlign w:val="bottom"/>
          </w:tcPr>
          <w:p>
            <w:pPr>
              <w:jc w:val="center"/>
              <w:ind w:left="34"/>
              <w:spacing w:after="0"/>
              <w:rPr>
                <w:sz w:val="20"/>
                <w:szCs w:val="20"/>
                <w:color w:val="auto"/>
              </w:rPr>
            </w:pPr>
            <w:r>
              <w:rPr>
                <w:rFonts w:ascii="Arial" w:cs="Arial" w:eastAsia="Arial" w:hAnsi="Arial"/>
                <w:sz w:val="17"/>
                <w:szCs w:val="17"/>
                <w:color w:val="auto"/>
              </w:rPr>
              <w:t>Daily</w:t>
            </w:r>
          </w:p>
        </w:tc>
        <w:tc>
          <w:tcPr>
            <w:tcW w:w="1660" w:type="dxa"/>
            <w:vAlign w:val="bottom"/>
          </w:tcPr>
          <w:p>
            <w:pPr>
              <w:jc w:val="center"/>
              <w:ind w:left="34"/>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4"/>
        </w:trPr>
        <w:tc>
          <w:tcPr>
            <w:tcW w:w="3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389,436,813</w:t>
            </w:r>
          </w:p>
        </w:tc>
        <w:tc>
          <w:tcPr>
            <w:tcW w:w="5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345,424,320</w:t>
            </w: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RECONCILIATION OF FINANCIAL STATEMENTS TO FORM 5500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Form 5500:</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8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26"/>
        </w:trPr>
        <w:tc>
          <w:tcPr>
            <w:tcW w:w="8020" w:type="dxa"/>
            <w:vAlign w:val="bottom"/>
          </w:tcPr>
          <w:p>
            <w:pPr>
              <w:spacing w:after="0"/>
              <w:rPr>
                <w:sz w:val="20"/>
                <w:szCs w:val="20"/>
                <w:color w:val="auto"/>
              </w:rPr>
            </w:pPr>
            <w:r>
              <w:rPr>
                <w:rFonts w:ascii="Arial" w:cs="Arial" w:eastAsia="Arial" w:hAnsi="Arial"/>
                <w:sz w:val="17"/>
                <w:szCs w:val="17"/>
                <w:color w:val="auto"/>
              </w:rPr>
              <w:t>Net assets available for benefits, per the financial statements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86,721,206</w:t>
            </w:r>
          </w:p>
        </w:tc>
        <w:tc>
          <w:tcPr>
            <w:tcW w:w="10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76,612,299</w:t>
            </w:r>
          </w:p>
        </w:tc>
        <w:tc>
          <w:tcPr>
            <w:tcW w:w="0" w:type="dxa"/>
            <w:vAlign w:val="bottom"/>
          </w:tcPr>
          <w:p>
            <w:pPr>
              <w:spacing w:after="0"/>
              <w:rPr>
                <w:sz w:val="1"/>
                <w:szCs w:val="1"/>
                <w:color w:val="auto"/>
              </w:rPr>
            </w:pPr>
          </w:p>
        </w:tc>
      </w:tr>
      <w:tr>
        <w:trPr>
          <w:trHeight w:val="242"/>
        </w:trPr>
        <w:tc>
          <w:tcPr>
            <w:tcW w:w="8020" w:type="dxa"/>
            <w:vAlign w:val="bottom"/>
          </w:tcPr>
          <w:p>
            <w:pPr>
              <w:spacing w:after="0"/>
              <w:rPr>
                <w:sz w:val="20"/>
                <w:szCs w:val="20"/>
                <w:color w:val="auto"/>
              </w:rPr>
            </w:pPr>
            <w:r>
              <w:rPr>
                <w:rFonts w:ascii="Arial" w:cs="Arial" w:eastAsia="Arial" w:hAnsi="Arial"/>
                <w:sz w:val="17"/>
                <w:szCs w:val="17"/>
                <w:color w:val="auto"/>
              </w:rPr>
              <w:t>Participant loans reported as deemed distributions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(46,090)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(39,498)</w:t>
            </w:r>
          </w:p>
        </w:tc>
        <w:tc>
          <w:tcPr>
            <w:tcW w:w="0" w:type="dxa"/>
            <w:vAlign w:val="bottom"/>
          </w:tcPr>
          <w:p>
            <w:pPr>
              <w:spacing w:after="0"/>
              <w:rPr>
                <w:sz w:val="1"/>
                <w:szCs w:val="1"/>
                <w:color w:val="auto"/>
              </w:rPr>
            </w:pPr>
          </w:p>
        </w:tc>
      </w:tr>
      <w:tr>
        <w:trPr>
          <w:trHeight w:val="24"/>
        </w:trPr>
        <w:tc>
          <w:tcPr>
            <w:tcW w:w="8020" w:type="dxa"/>
            <w:vAlign w:val="bottom"/>
            <w:vMerge w:val="restart"/>
          </w:tcPr>
          <w:p>
            <w:pPr>
              <w:spacing w:after="0"/>
              <w:rPr>
                <w:sz w:val="20"/>
                <w:szCs w:val="20"/>
                <w:color w:val="auto"/>
              </w:rPr>
            </w:pPr>
            <w:r>
              <w:rPr>
                <w:rFonts w:ascii="Arial" w:cs="Arial" w:eastAsia="Arial" w:hAnsi="Arial"/>
                <w:sz w:val="17"/>
                <w:szCs w:val="17"/>
                <w:color w:val="auto"/>
              </w:rPr>
              <w:t>Net assets available for benefits, per Form 5500</w:t>
            </w: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2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86,675,116</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76,572,801</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6"/>
        </w:trPr>
        <w:tc>
          <w:tcPr>
            <w:tcW w:w="9600" w:type="dxa"/>
            <w:vAlign w:val="bottom"/>
          </w:tcPr>
          <w:p>
            <w:pPr>
              <w:spacing w:after="0"/>
              <w:rPr>
                <w:sz w:val="20"/>
                <w:szCs w:val="20"/>
                <w:color w:val="auto"/>
              </w:rPr>
            </w:pPr>
            <w:r>
              <w:rPr>
                <w:rFonts w:ascii="Arial" w:cs="Arial" w:eastAsia="Arial" w:hAnsi="Arial"/>
                <w:sz w:val="17"/>
                <w:szCs w:val="17"/>
                <w:color w:val="auto"/>
              </w:rPr>
              <w:t>The following is a reconciliation of deemed distributions of participant loans per the financial statements to Form 5500:</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9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Year Ended</w:t>
            </w:r>
          </w:p>
        </w:tc>
        <w:tc>
          <w:tcPr>
            <w:tcW w:w="0" w:type="dxa"/>
            <w:vAlign w:val="bottom"/>
          </w:tcPr>
          <w:p>
            <w:pPr>
              <w:spacing w:after="0"/>
              <w:rPr>
                <w:sz w:val="1"/>
                <w:szCs w:val="1"/>
                <w:color w:val="auto"/>
              </w:rPr>
            </w:pPr>
          </w:p>
        </w:tc>
      </w:tr>
      <w:tr>
        <w:trPr>
          <w:trHeight w:val="231"/>
        </w:trPr>
        <w:tc>
          <w:tcPr>
            <w:tcW w:w="9600" w:type="dxa"/>
            <w:vAlign w:val="bottom"/>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December 31, 2025</w:t>
            </w:r>
          </w:p>
        </w:tc>
        <w:tc>
          <w:tcPr>
            <w:tcW w:w="0" w:type="dxa"/>
            <w:vAlign w:val="bottom"/>
          </w:tcPr>
          <w:p>
            <w:pPr>
              <w:spacing w:after="0"/>
              <w:rPr>
                <w:sz w:val="1"/>
                <w:szCs w:val="1"/>
                <w:color w:val="auto"/>
              </w:rPr>
            </w:pPr>
          </w:p>
        </w:tc>
      </w:tr>
      <w:tr>
        <w:trPr>
          <w:trHeight w:val="226"/>
        </w:trPr>
        <w:tc>
          <w:tcPr>
            <w:tcW w:w="9600" w:type="dxa"/>
            <w:vAlign w:val="bottom"/>
          </w:tcPr>
          <w:p>
            <w:pPr>
              <w:ind w:left="20"/>
              <w:spacing w:after="0"/>
              <w:rPr>
                <w:sz w:val="20"/>
                <w:szCs w:val="20"/>
                <w:color w:val="auto"/>
              </w:rPr>
            </w:pPr>
            <w:r>
              <w:rPr>
                <w:rFonts w:ascii="Arial" w:cs="Arial" w:eastAsia="Arial" w:hAnsi="Arial"/>
                <w:sz w:val="17"/>
                <w:szCs w:val="17"/>
                <w:color w:val="auto"/>
              </w:rPr>
              <w:t>Certain deemed distributions of participant loans per the financial statements</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9600" w:type="dxa"/>
            <w:vAlign w:val="bottom"/>
          </w:tcPr>
          <w:p>
            <w:pPr>
              <w:ind w:left="20"/>
              <w:spacing w:after="0"/>
              <w:rPr>
                <w:sz w:val="20"/>
                <w:szCs w:val="20"/>
                <w:color w:val="auto"/>
              </w:rPr>
            </w:pPr>
            <w:r>
              <w:rPr>
                <w:rFonts w:ascii="Arial" w:cs="Arial" w:eastAsia="Arial" w:hAnsi="Arial"/>
                <w:sz w:val="17"/>
                <w:szCs w:val="17"/>
                <w:color w:val="auto"/>
              </w:rPr>
              <w:t>Add: Loans deemed distributed current year</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46,090</w:t>
            </w:r>
          </w:p>
        </w:tc>
        <w:tc>
          <w:tcPr>
            <w:tcW w:w="0" w:type="dxa"/>
            <w:vAlign w:val="bottom"/>
          </w:tcPr>
          <w:p>
            <w:pPr>
              <w:spacing w:after="0"/>
              <w:rPr>
                <w:sz w:val="1"/>
                <w:szCs w:val="1"/>
                <w:color w:val="auto"/>
              </w:rPr>
            </w:pPr>
          </w:p>
        </w:tc>
      </w:tr>
      <w:tr>
        <w:trPr>
          <w:trHeight w:val="245"/>
        </w:trPr>
        <w:tc>
          <w:tcPr>
            <w:tcW w:w="9600" w:type="dxa"/>
            <w:vAlign w:val="bottom"/>
          </w:tcPr>
          <w:p>
            <w:pPr>
              <w:ind w:left="20"/>
              <w:spacing w:after="0"/>
              <w:rPr>
                <w:sz w:val="20"/>
                <w:szCs w:val="20"/>
                <w:color w:val="auto"/>
              </w:rPr>
            </w:pPr>
            <w:r>
              <w:rPr>
                <w:rFonts w:ascii="Arial" w:cs="Arial" w:eastAsia="Arial" w:hAnsi="Arial"/>
                <w:sz w:val="17"/>
                <w:szCs w:val="17"/>
                <w:color w:val="auto"/>
              </w:rPr>
              <w:t>Deduct: Loans deemed distributed prior year</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(39,498)</w:t>
            </w:r>
          </w:p>
        </w:tc>
        <w:tc>
          <w:tcPr>
            <w:tcW w:w="0" w:type="dxa"/>
            <w:vAlign w:val="bottom"/>
          </w:tcPr>
          <w:p>
            <w:pPr>
              <w:spacing w:after="0"/>
              <w:rPr>
                <w:sz w:val="1"/>
                <w:szCs w:val="1"/>
                <w:color w:val="auto"/>
              </w:rPr>
            </w:pPr>
          </w:p>
        </w:tc>
      </w:tr>
      <w:tr>
        <w:trPr>
          <w:trHeight w:val="24"/>
        </w:trPr>
        <w:tc>
          <w:tcPr>
            <w:tcW w:w="9600" w:type="dxa"/>
            <w:vAlign w:val="bottom"/>
            <w:vMerge w:val="restart"/>
          </w:tcPr>
          <w:p>
            <w:pPr>
              <w:ind w:left="20"/>
              <w:spacing w:after="0"/>
              <w:rPr>
                <w:sz w:val="20"/>
                <w:szCs w:val="20"/>
                <w:color w:val="auto"/>
              </w:rPr>
            </w:pPr>
            <w:r>
              <w:rPr>
                <w:rFonts w:ascii="Arial" w:cs="Arial" w:eastAsia="Arial" w:hAnsi="Arial"/>
                <w:sz w:val="17"/>
                <w:szCs w:val="17"/>
                <w:color w:val="auto"/>
              </w:rPr>
              <w:t>Certain deemed distributions of participant loans per the Form 5500</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60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6,592</w:t>
            </w:r>
          </w:p>
        </w:tc>
        <w:tc>
          <w:tcPr>
            <w:tcW w:w="0" w:type="dxa"/>
            <w:vAlign w:val="bottom"/>
          </w:tcPr>
          <w:p>
            <w:pPr>
              <w:spacing w:after="0"/>
              <w:rPr>
                <w:sz w:val="1"/>
                <w:szCs w:val="1"/>
                <w:color w:val="auto"/>
              </w:rPr>
            </w:pPr>
          </w:p>
        </w:tc>
      </w:tr>
      <w:tr>
        <w:trPr>
          <w:trHeight w:val="26"/>
        </w:trPr>
        <w:tc>
          <w:tcPr>
            <w:tcW w:w="9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Amounts for certain deemed distributions of participant loans are recorded on the Form 5500 when the recordkeeper sends the participant a Form 1099. These amounts are not deducted from net assets available for benefits until such time as the participant has either paid off the loan or has been separated from service.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1"/>
          <w:szCs w:val="21"/>
          <w:b w:val="1"/>
          <w:bCs w:val="1"/>
          <w:color w:val="auto"/>
        </w:rPr>
        <w:t>THE 401(k) SAVINGS PLAN FOR GHC AFFILIATES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EIN 53-0182885, PLAN NO. 025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H, 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DECEMBER 31,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vMerge w:val="restart"/>
          </w:tcPr>
          <w:p>
            <w:pPr>
              <w:jc w:val="right"/>
              <w:ind w:right="1154"/>
              <w:spacing w:after="0"/>
              <w:rPr>
                <w:sz w:val="20"/>
                <w:szCs w:val="20"/>
                <w:color w:val="auto"/>
              </w:rPr>
            </w:pPr>
            <w:r>
              <w:rPr>
                <w:rFonts w:ascii="Arial" w:cs="Arial" w:eastAsia="Arial" w:hAnsi="Arial"/>
                <w:sz w:val="17"/>
                <w:szCs w:val="17"/>
                <w:b w:val="1"/>
                <w:bCs w:val="1"/>
                <w:color w:val="auto"/>
              </w:rPr>
              <w:t>Identity of Issue, Borrower,</w:t>
            </w:r>
          </w:p>
        </w:tc>
        <w:tc>
          <w:tcPr>
            <w:tcW w:w="3940" w:type="dxa"/>
            <w:vAlign w:val="bottom"/>
          </w:tcPr>
          <w:p>
            <w:pPr>
              <w:jc w:val="center"/>
              <w:spacing w:after="0"/>
              <w:rPr>
                <w:sz w:val="20"/>
                <w:szCs w:val="20"/>
                <w:color w:val="auto"/>
              </w:rPr>
            </w:pPr>
            <w:r>
              <w:rPr>
                <w:rFonts w:ascii="Arial" w:cs="Arial" w:eastAsia="Arial" w:hAnsi="Arial"/>
                <w:sz w:val="17"/>
                <w:szCs w:val="17"/>
                <w:b w:val="1"/>
                <w:bCs w:val="1"/>
                <w:color w:val="auto"/>
              </w:rPr>
              <w:t>Description of Investment including Maturity</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394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rPr>
              <w:t>Date, Rate of Interest, Collateral, Par, or</w:t>
            </w:r>
          </w:p>
        </w:tc>
        <w:tc>
          <w:tcPr>
            <w:tcW w:w="840" w:type="dxa"/>
            <w:vAlign w:val="bottom"/>
            <w:gridSpan w:val="2"/>
            <w:vMerge w:val="restart"/>
          </w:tcPr>
          <w:p>
            <w:pPr>
              <w:jc w:val="center"/>
              <w:ind w:right="94"/>
              <w:spacing w:after="0"/>
              <w:rPr>
                <w:sz w:val="20"/>
                <w:szCs w:val="20"/>
                <w:color w:val="auto"/>
              </w:rPr>
            </w:pPr>
            <w:r>
              <w:rPr>
                <w:rFonts w:ascii="Arial" w:cs="Arial" w:eastAsia="Arial" w:hAnsi="Arial"/>
                <w:sz w:val="17"/>
                <w:szCs w:val="17"/>
                <w:b w:val="1"/>
                <w:bCs w:val="1"/>
                <w:color w:val="auto"/>
              </w:rPr>
              <w:t>Cost</w:t>
            </w:r>
          </w:p>
        </w:tc>
        <w:tc>
          <w:tcPr>
            <w:tcW w:w="142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Current Value</w:t>
            </w:r>
          </w:p>
        </w:tc>
        <w:tc>
          <w:tcPr>
            <w:tcW w:w="0" w:type="dxa"/>
            <w:vAlign w:val="bottom"/>
          </w:tcPr>
          <w:p>
            <w:pPr>
              <w:spacing w:after="0"/>
              <w:rPr>
                <w:sz w:val="1"/>
                <w:szCs w:val="1"/>
                <w:color w:val="auto"/>
              </w:rPr>
            </w:pPr>
          </w:p>
        </w:tc>
      </w:tr>
      <w:tr>
        <w:trPr>
          <w:trHeight w:val="233"/>
        </w:trPr>
        <w:tc>
          <w:tcPr>
            <w:tcW w:w="5040" w:type="dxa"/>
            <w:vAlign w:val="bottom"/>
            <w:tcBorders>
              <w:bottom w:val="single" w:sz="8" w:color="auto"/>
            </w:tcBorders>
          </w:tcPr>
          <w:p>
            <w:pPr>
              <w:jc w:val="right"/>
              <w:ind w:right="1274"/>
              <w:spacing w:after="0"/>
              <w:rPr>
                <w:sz w:val="20"/>
                <w:szCs w:val="20"/>
                <w:color w:val="auto"/>
              </w:rPr>
            </w:pPr>
            <w:r>
              <w:rPr>
                <w:rFonts w:ascii="Arial" w:cs="Arial" w:eastAsia="Arial" w:hAnsi="Arial"/>
                <w:sz w:val="17"/>
                <w:szCs w:val="17"/>
                <w:b w:val="1"/>
                <w:bCs w:val="1"/>
                <w:color w:val="auto"/>
              </w:rPr>
              <w:t>Lessor, or Similar Party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 Value</w:t>
            </w:r>
          </w:p>
        </w:tc>
        <w:tc>
          <w:tcPr>
            <w:tcW w:w="840" w:type="dxa"/>
            <w:vAlign w:val="bottom"/>
            <w:tcBorders>
              <w:bottom w:val="single" w:sz="8" w:color="auto"/>
            </w:tcBorders>
            <w:gridSpan w:val="2"/>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040" w:type="dxa"/>
            <w:vAlign w:val="bottom"/>
          </w:tcPr>
          <w:p>
            <w:pPr>
              <w:jc w:val="right"/>
              <w:ind w:right="1474"/>
              <w:spacing w:after="0"/>
              <w:rPr>
                <w:sz w:val="20"/>
                <w:szCs w:val="20"/>
                <w:color w:val="auto"/>
              </w:rPr>
            </w:pPr>
            <w:r>
              <w:rPr>
                <w:rFonts w:ascii="Arial" w:cs="Arial" w:eastAsia="Arial" w:hAnsi="Arial"/>
                <w:sz w:val="17"/>
                <w:szCs w:val="17"/>
                <w:color w:val="auto"/>
              </w:rPr>
              <w:t>*  Graham Holdings Company Master Trust</w:t>
            </w:r>
          </w:p>
        </w:tc>
        <w:tc>
          <w:tcPr>
            <w:tcW w:w="3940" w:type="dxa"/>
            <w:vAlign w:val="bottom"/>
          </w:tcPr>
          <w:p>
            <w:pPr>
              <w:ind w:left="20"/>
              <w:spacing w:after="0"/>
              <w:rPr>
                <w:sz w:val="20"/>
                <w:szCs w:val="20"/>
                <w:color w:val="auto"/>
              </w:rPr>
            </w:pPr>
            <w:r>
              <w:rPr>
                <w:rFonts w:ascii="Arial" w:cs="Arial" w:eastAsia="Arial" w:hAnsi="Arial"/>
                <w:sz w:val="17"/>
                <w:szCs w:val="17"/>
                <w:color w:val="auto"/>
              </w:rPr>
              <w:t>Interest in Master Trust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85,447,958</w:t>
            </w:r>
          </w:p>
        </w:tc>
        <w:tc>
          <w:tcPr>
            <w:tcW w:w="0" w:type="dxa"/>
            <w:vAlign w:val="bottom"/>
          </w:tcPr>
          <w:p>
            <w:pPr>
              <w:spacing w:after="0"/>
              <w:rPr>
                <w:sz w:val="1"/>
                <w:szCs w:val="1"/>
                <w:color w:val="auto"/>
              </w:rPr>
            </w:pPr>
          </w:p>
        </w:tc>
      </w:tr>
      <w:tr>
        <w:trPr>
          <w:trHeight w:val="424"/>
        </w:trPr>
        <w:tc>
          <w:tcPr>
            <w:tcW w:w="5040" w:type="dxa"/>
            <w:vAlign w:val="bottom"/>
          </w:tcPr>
          <w:p>
            <w:pPr>
              <w:jc w:val="right"/>
              <w:ind w:right="1974"/>
              <w:spacing w:after="0"/>
              <w:rPr>
                <w:sz w:val="20"/>
                <w:szCs w:val="20"/>
                <w:color w:val="auto"/>
              </w:rPr>
            </w:pPr>
            <w:r>
              <w:rPr>
                <w:rFonts w:ascii="Arial" w:cs="Arial" w:eastAsia="Arial" w:hAnsi="Arial"/>
                <w:sz w:val="17"/>
                <w:szCs w:val="17"/>
                <w:color w:val="auto"/>
              </w:rPr>
              <w:t>*  Notes receivable from Participants</w:t>
            </w:r>
          </w:p>
        </w:tc>
        <w:tc>
          <w:tcPr>
            <w:tcW w:w="3940" w:type="dxa"/>
            <w:vAlign w:val="bottom"/>
          </w:tcPr>
          <w:p>
            <w:pPr>
              <w:ind w:left="20"/>
              <w:spacing w:after="0"/>
              <w:rPr>
                <w:sz w:val="20"/>
                <w:szCs w:val="20"/>
                <w:color w:val="auto"/>
              </w:rPr>
            </w:pPr>
            <w:r>
              <w:rPr>
                <w:rFonts w:ascii="Arial" w:cs="Arial" w:eastAsia="Arial" w:hAnsi="Arial"/>
                <w:sz w:val="17"/>
                <w:szCs w:val="17"/>
                <w:color w:val="auto"/>
              </w:rPr>
              <w:t>Participant loans (4.25% - 9.5%)</w:t>
            </w:r>
          </w:p>
        </w:tc>
        <w:tc>
          <w:tcPr>
            <w:tcW w:w="6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1,102,008</w:t>
            </w:r>
          </w:p>
        </w:tc>
        <w:tc>
          <w:tcPr>
            <w:tcW w:w="0" w:type="dxa"/>
            <w:vAlign w:val="bottom"/>
          </w:tcPr>
          <w:p>
            <w:pPr>
              <w:spacing w:after="0"/>
              <w:rPr>
                <w:sz w:val="1"/>
                <w:szCs w:val="1"/>
                <w:color w:val="auto"/>
              </w:rPr>
            </w:pPr>
          </w:p>
        </w:tc>
      </w:tr>
      <w:tr>
        <w:trPr>
          <w:trHeight w:val="213"/>
        </w:trPr>
        <w:tc>
          <w:tcPr>
            <w:tcW w:w="5040" w:type="dxa"/>
            <w:vAlign w:val="bottom"/>
          </w:tcPr>
          <w:p>
            <w:pPr>
              <w:jc w:val="right"/>
              <w:ind w:right="1974"/>
              <w:spacing w:after="0"/>
              <w:rPr>
                <w:sz w:val="20"/>
                <w:szCs w:val="20"/>
                <w:color w:val="auto"/>
              </w:rPr>
            </w:pPr>
            <w:r>
              <w:rPr>
                <w:rFonts w:ascii="Arial" w:cs="Arial" w:eastAsia="Arial" w:hAnsi="Arial"/>
                <w:sz w:val="17"/>
                <w:szCs w:val="17"/>
                <w:b w:val="1"/>
                <w:bCs w:val="1"/>
                <w:color w:val="auto"/>
              </w:rPr>
              <w:t>Total Assets Held at End of Year</w:t>
            </w:r>
          </w:p>
        </w:tc>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86,549,966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60" w:hanging="339"/>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Party-in-interest</w:t>
      </w:r>
    </w:p>
    <w:p>
      <w:pPr>
        <w:spacing w:after="0" w:line="30" w:lineRule="exact"/>
        <w:rPr>
          <w:sz w:val="20"/>
          <w:szCs w:val="20"/>
          <w:color w:val="auto"/>
        </w:rPr>
      </w:pPr>
    </w:p>
    <w:p>
      <w:pPr>
        <w:ind w:left="360" w:hanging="339"/>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 is not required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3" w:name="page14"/>
    <w:bookmarkEnd w:id="13"/>
    <w:p>
      <w:pPr>
        <w:jc w:val="right"/>
        <w:ind w:right="3519"/>
        <w:spacing w:after="0"/>
        <w:rPr>
          <w:sz w:val="20"/>
          <w:szCs w:val="20"/>
          <w:color w:val="auto"/>
        </w:rPr>
      </w:pPr>
      <w:r>
        <w:rPr>
          <w:rFonts w:ascii="Arial" w:cs="Arial" w:eastAsia="Arial" w:hAnsi="Arial"/>
          <w:sz w:val="21"/>
          <w:szCs w:val="21"/>
          <w:b w:val="1"/>
          <w:bCs w:val="1"/>
          <w:color w:val="auto"/>
        </w:rPr>
        <w:t>INDEX TO EXHIBITS</w:t>
      </w:r>
    </w:p>
    <w:p>
      <w:pPr>
        <w:spacing w:after="0" w:line="357"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b w:val="1"/>
          <w:bCs w:val="1"/>
          <w:color w:val="auto"/>
        </w:rPr>
        <w:t>Exhibit 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7138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9" w:lineRule="exact"/>
        <w:rPr>
          <w:sz w:val="20"/>
          <w:szCs w:val="20"/>
          <w:color w:val="auto"/>
        </w:rPr>
      </w:pPr>
    </w:p>
    <w:p>
      <w:pPr>
        <w:ind w:left="1400" w:hanging="1399"/>
        <w:spacing w:after="0"/>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0000FF"/>
        </w:rPr>
        <w:t>Consent of independent registered public accounting firm.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0"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19"/>
          </w:cols>
          <w:pgMar w:left="340" w:top="863" w:right="1440" w:bottom="1440" w:gutter="0" w:footer="0" w:header="0"/>
        </w:sectPr>
      </w:pPr>
    </w:p>
    <w:bookmarkStart w:id="14" w:name="page15"/>
    <w:bookmarkEnd w:id="14"/>
    <w:p>
      <w:pPr>
        <w:jc w:val="center"/>
        <w:ind w:left="420"/>
        <w:spacing w:after="0"/>
        <w:rPr>
          <w:sz w:val="20"/>
          <w:szCs w:val="20"/>
          <w:color w:val="auto"/>
        </w:rPr>
      </w:pPr>
      <w:r>
        <w:rPr>
          <w:rFonts w:ascii="Arial" w:cs="Arial" w:eastAsia="Arial" w:hAnsi="Arial"/>
          <w:sz w:val="21"/>
          <w:szCs w:val="21"/>
          <w:b w:val="1"/>
          <w:bCs w:val="1"/>
          <w:color w:val="auto"/>
        </w:rPr>
        <w:t>SIGNATURES</w:t>
      </w:r>
    </w:p>
    <w:p>
      <w:pPr>
        <w:spacing w:after="0" w:line="156"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7"/>
                <w:szCs w:val="17"/>
                <w:b w:val="1"/>
                <w:bCs w:val="1"/>
                <w:color w:val="auto"/>
              </w:rPr>
              <w:t>THE 401(k) SAVINGS PLAN FOR</w:t>
            </w:r>
          </w:p>
        </w:tc>
      </w:tr>
      <w:tr>
        <w:trPr>
          <w:trHeight w:val="233"/>
        </w:trPr>
        <w:tc>
          <w:tcPr>
            <w:tcW w:w="35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GHC AFFILIATES</w:t>
            </w:r>
          </w:p>
        </w:tc>
      </w:tr>
      <w:tr>
        <w:trPr>
          <w:trHeight w:val="219"/>
        </w:trPr>
        <w:tc>
          <w:tcPr>
            <w:tcW w:w="35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7"/>
                <w:szCs w:val="17"/>
                <w:color w:val="auto"/>
              </w:rPr>
              <w:t>(The Plan)</w:t>
            </w:r>
          </w:p>
        </w:tc>
      </w:tr>
      <w:tr>
        <w:trPr>
          <w:trHeight w:val="472"/>
        </w:trPr>
        <w:tc>
          <w:tcPr>
            <w:tcW w:w="3520" w:type="dxa"/>
            <w:vAlign w:val="bottom"/>
          </w:tcPr>
          <w:p>
            <w:pPr>
              <w:spacing w:after="0"/>
              <w:rPr>
                <w:sz w:val="20"/>
                <w:szCs w:val="20"/>
                <w:color w:val="auto"/>
              </w:rPr>
            </w:pPr>
            <w:r>
              <w:rPr>
                <w:rFonts w:ascii="Arial" w:cs="Arial" w:eastAsia="Arial" w:hAnsi="Arial"/>
                <w:sz w:val="17"/>
                <w:szCs w:val="17"/>
                <w:color w:val="auto"/>
              </w:rPr>
              <w:t>Date: June 25, 2026</w:t>
            </w:r>
          </w:p>
        </w:tc>
        <w:tc>
          <w:tcPr>
            <w:tcW w:w="366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Wallace R. Cooney</w:t>
            </w:r>
          </w:p>
        </w:tc>
      </w:tr>
      <w:tr>
        <w:trPr>
          <w:trHeight w:val="161"/>
        </w:trPr>
        <w:tc>
          <w:tcPr>
            <w:tcW w:w="35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02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w w:val="99"/>
              </w:rPr>
              <w:t>Wallace R. Cooney,</w:t>
            </w:r>
          </w:p>
        </w:tc>
      </w:tr>
      <w:tr>
        <w:trPr>
          <w:trHeight w:val="238"/>
        </w:trPr>
        <w:tc>
          <w:tcPr>
            <w:tcW w:w="35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7"/>
                <w:szCs w:val="17"/>
                <w:b w:val="1"/>
                <w:bCs w:val="1"/>
                <w:color w:val="auto"/>
              </w:rPr>
              <w:t>Chief Financial Officer</w:t>
            </w:r>
          </w:p>
        </w:tc>
      </w:tr>
      <w:tr>
        <w:trPr>
          <w:trHeight w:val="824"/>
        </w:trPr>
        <w:tc>
          <w:tcPr>
            <w:tcW w:w="3520" w:type="dxa"/>
            <w:vAlign w:val="bottom"/>
          </w:tcPr>
          <w:p>
            <w:pPr>
              <w:spacing w:after="0"/>
              <w:rPr>
                <w:sz w:val="24"/>
                <w:szCs w:val="24"/>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13</w:t>
            </w:r>
          </w:p>
        </w:tc>
        <w:tc>
          <w:tcPr>
            <w:tcW w:w="4020" w:type="dxa"/>
            <w:vAlign w:val="bottom"/>
          </w:tcPr>
          <w:p>
            <w:pPr>
              <w:spacing w:after="0"/>
              <w:rPr>
                <w:sz w:val="24"/>
                <w:szCs w:val="24"/>
                <w:color w:val="auto"/>
              </w:rPr>
            </w:pPr>
          </w:p>
        </w:tc>
      </w:tr>
    </w:tbl>
    <w:p>
      <w:pPr>
        <w:sectPr>
          <w:pgSz w:w="11900" w:h="16838" w:orient="portrait"/>
          <w:cols w:equalWidth="0" w:num="1">
            <w:col w:w="11240"/>
          </w:cols>
          <w:pgMar w:left="320" w:top="1018"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7"/>
          <w:szCs w:val="17"/>
          <w:b w:val="1"/>
          <w:bCs w:val="1"/>
          <w:color w:val="auto"/>
        </w:rPr>
        <w:t>EXHIBIT 23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333-276044) of Graham Holdings Company of our report dated June 25, 2026 relating to the financial statements and supplemental schedule of The 401(k) Savings Plan for GHC Affiliates, which appears in this Form 11-K.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Miami, FL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25, 2026</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2026-06-25T16:02:46Z</dcterms:created>
  <dcterms:modified xsi:type="dcterms:W3CDTF">2026-06-25T16:02:46Z</dcterms:modified>
</cp:coreProperties>
</file>