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O'Shaughnessy Laura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GRAHAM HOLDINGS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1300 NORTH 17TH STREET, SUITE 1700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Graham Holdings Co</w:t>
              </w:r>
            </w:hyperlink>
            <w:r>
              <w:rPr/>
              <w:t xml:space="preserve"> [ </w:t>
            </w:r>
            <w:r>
              <w:rPr>
                <w:rFonts w:ascii="Times;serif" w:hAnsi="Times;serif"/>
                <w:color w:val="0000FF"/>
                <w:sz w:val="24"/>
                <w:shd w:fill="FFFFFF" w:val="clear"/>
              </w:rPr>
              <w:t>GHC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63"/>
        <w:gridCol w:w="443"/>
        <w:gridCol w:w="836"/>
        <w:gridCol w:w="1143"/>
        <w:gridCol w:w="983"/>
        <w:gridCol w:w="96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4,099</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25,752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719.15</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43,250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Spouse</w:t>
            </w:r>
            <w:r>
              <w:rPr>
                <w:rFonts w:ascii="Times;serif" w:hAnsi="Times;serif"/>
                <w:color w:val="008000"/>
                <w:position w:val="7"/>
                <w:sz w:val="16"/>
                <w:sz w:val="20"/>
                <w:shd w:fill="FFFFFF" w:val="clear"/>
              </w:rPr>
              <w:t>(1)</w:t>
            </w:r>
            <w:r>
              <w:rPr/>
              <w:t xml:space="preserve"> </w:t>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24,126</w:t>
            </w:r>
            <w:r>
              <w:rPr>
                <w:rFonts w:ascii="Times;serif" w:hAnsi="Times;serif"/>
                <w:color w:val="008000"/>
                <w:position w:val="7"/>
                <w:sz w:val="16"/>
                <w:sz w:val="20"/>
                <w:shd w:fill="FFFFFF" w:val="clear"/>
              </w:rPr>
              <w:t>(2)</w:t>
            </w:r>
            <w:r>
              <w:rPr/>
              <w:t xml:space="preserve"> </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823.33</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19,124</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Spouse</w:t>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Trust</w:t>
            </w:r>
            <w:r>
              <w:rPr>
                <w:rFonts w:ascii="Times;serif" w:hAnsi="Times;serif"/>
                <w:color w:val="008000"/>
                <w:position w:val="7"/>
                <w:sz w:val="16"/>
                <w:sz w:val="20"/>
                <w:shd w:fill="FFFFFF" w:val="clear"/>
              </w:rPr>
              <w:t>(3)</w:t>
            </w:r>
            <w:r>
              <w:rPr/>
              <w:t xml:space="preserve"> </w:t>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719.15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25,752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11/03/2024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25,754</w:t>
            </w:r>
            <w:r>
              <w:rPr>
                <w:rFonts w:ascii="Times;serif" w:hAnsi="Times;serif"/>
                <w:color w:val="008000"/>
                <w:position w:val="7"/>
                <w:sz w:val="16"/>
                <w:sz w:val="20"/>
                <w:shd w:fill="FFFFFF" w:val="clear"/>
              </w:rPr>
              <w:t>(5)</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Spouse</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has no voting or investment power with respect to such shares. The reporting person disclaims beneficial ownership of the reported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exercise is executed in anticipation of the November 3, 2024 expiration date on a net settlement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person's spouse is a trustee of the trust that owns the reported securities. The reporting person is a beneficiary of such trust but has no voting or investment power with respect to the shares held in such trust. The reporting person disclaims beneficial ownership of the reported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of Class A Common Stock are convertible into shares of Class B Common Stock at any time on a one-for-one basis and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stock option is fully vested. After this exercise of 25,752 options, the reporting person's spouse has remaining 25,754 vested and exercisable options. The reporting person disclaims beneficial ownership of the reported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Maddrey,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3477" TargetMode="External"/><Relationship Id="rId5" Type="http://schemas.openxmlformats.org/officeDocument/2006/relationships/hyperlink" Target="http://www.sec.gov/cgi-bin/browse-edgar?action=getcompany&amp;CIK=00001048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788</Words>
  <Characters>4202</Characters>
  <CharactersWithSpaces>4895</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