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132080</wp:posOffset>
            </wp:positionH>
            <wp:positionV relativeFrom="page">
              <wp:posOffset>132080</wp:posOffset>
            </wp:positionV>
            <wp:extent cx="7297420"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7420" cy="130175"/>
                    </a:xfrm>
                    <a:prstGeom prst="rect">
                      <a:avLst/>
                    </a:prstGeom>
                    <a:noFill/>
                  </pic:spPr>
                </pic:pic>
              </a:graphicData>
            </a:graphic>
          </wp:anchor>
        </w:drawing>
        <w:t>UNITED STATES</w:t>
      </w:r>
    </w:p>
    <w:p>
      <w:pPr>
        <w:spacing w:after="0" w:line="18" w:lineRule="exact"/>
        <w:rPr>
          <w:sz w:val="24"/>
          <w:szCs w:val="24"/>
          <w:color w:val="auto"/>
        </w:rPr>
      </w:pPr>
    </w:p>
    <w:p>
      <w:pPr>
        <w:jc w:val="center"/>
        <w:ind w:right="-139"/>
        <w:spacing w:after="0"/>
        <w:rPr>
          <w:sz w:val="20"/>
          <w:szCs w:val="20"/>
          <w:color w:val="auto"/>
        </w:rPr>
      </w:pPr>
      <w:r>
        <w:rPr>
          <w:rFonts w:ascii="Arial" w:cs="Arial" w:eastAsia="Arial" w:hAnsi="Arial"/>
          <w:sz w:val="15"/>
          <w:szCs w:val="15"/>
          <w:b w:val="1"/>
          <w:bCs w:val="1"/>
          <w:color w:val="auto"/>
        </w:rPr>
        <w:t>SECURITIES AND EXCHANGE COMMISSION</w:t>
      </w:r>
    </w:p>
    <w:p>
      <w:pPr>
        <w:spacing w:after="0" w:line="3" w:lineRule="exact"/>
        <w:rPr>
          <w:sz w:val="24"/>
          <w:szCs w:val="24"/>
          <w:color w:val="auto"/>
        </w:rPr>
      </w:pPr>
    </w:p>
    <w:p>
      <w:pPr>
        <w:jc w:val="center"/>
        <w:ind w:right="-13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3086735</wp:posOffset>
            </wp:positionH>
            <wp:positionV relativeFrom="paragraph">
              <wp:posOffset>180975</wp:posOffset>
            </wp:positionV>
            <wp:extent cx="1108710" cy="33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8710" cy="33655"/>
                    </a:xfrm>
                    <a:prstGeom prst="rect">
                      <a:avLst/>
                    </a:prstGeom>
                    <a:noFill/>
                  </pic:spPr>
                </pic:pic>
              </a:graphicData>
            </a:graphic>
          </wp:anchor>
        </w:drawing>
      </w:r>
    </w:p>
    <w:p>
      <w:pPr>
        <w:spacing w:after="0" w:line="200" w:lineRule="exact"/>
        <w:rPr>
          <w:sz w:val="24"/>
          <w:szCs w:val="24"/>
          <w:color w:val="auto"/>
        </w:rPr>
      </w:pPr>
    </w:p>
    <w:p>
      <w:pPr>
        <w:spacing w:after="0" w:line="365" w:lineRule="exact"/>
        <w:rPr>
          <w:sz w:val="24"/>
          <w:szCs w:val="24"/>
          <w:color w:val="auto"/>
        </w:rPr>
      </w:pPr>
    </w:p>
    <w:p>
      <w:pPr>
        <w:jc w:val="center"/>
        <w:ind w:right="-139"/>
        <w:spacing w:after="0"/>
        <w:rPr>
          <w:sz w:val="20"/>
          <w:szCs w:val="20"/>
          <w:color w:val="auto"/>
        </w:rPr>
      </w:pPr>
      <w:r>
        <w:rPr>
          <w:rFonts w:ascii="Arial" w:cs="Arial" w:eastAsia="Arial" w:hAnsi="Arial"/>
          <w:sz w:val="26"/>
          <w:szCs w:val="26"/>
          <w:b w:val="1"/>
          <w:bCs w:val="1"/>
          <w:color w:val="auto"/>
        </w:rPr>
        <w:t>SCHEDULE 13D/A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3086735</wp:posOffset>
            </wp:positionH>
            <wp:positionV relativeFrom="paragraph">
              <wp:posOffset>198755</wp:posOffset>
            </wp:positionV>
            <wp:extent cx="1108710" cy="33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8710" cy="336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15"/>
          <w:szCs w:val="15"/>
          <w:b w:val="1"/>
          <w:bCs w:val="1"/>
          <w:color w:val="auto"/>
        </w:rPr>
        <w:t>Under the Securities Exchange Act of 1934</w:t>
      </w:r>
    </w:p>
    <w:p>
      <w:pPr>
        <w:spacing w:after="0" w:line="18" w:lineRule="exact"/>
        <w:rPr>
          <w:sz w:val="24"/>
          <w:szCs w:val="24"/>
          <w:color w:val="auto"/>
        </w:rPr>
      </w:pPr>
    </w:p>
    <w:p>
      <w:pPr>
        <w:jc w:val="center"/>
        <w:ind w:right="-139"/>
        <w:spacing w:after="0"/>
        <w:rPr>
          <w:sz w:val="20"/>
          <w:szCs w:val="20"/>
          <w:color w:val="auto"/>
        </w:rPr>
      </w:pPr>
      <w:r>
        <w:rPr>
          <w:rFonts w:ascii="Arial" w:cs="Arial" w:eastAsia="Arial" w:hAnsi="Arial"/>
          <w:sz w:val="15"/>
          <w:szCs w:val="15"/>
          <w:b w:val="1"/>
          <w:bCs w:val="1"/>
          <w:color w:val="auto"/>
        </w:rPr>
        <w:t>(Amendment No. 19)</w:t>
      </w:r>
    </w:p>
    <w:p>
      <w:pPr>
        <w:spacing w:after="0" w:line="167" w:lineRule="exact"/>
        <w:rPr>
          <w:sz w:val="24"/>
          <w:szCs w:val="24"/>
          <w:color w:val="auto"/>
        </w:rPr>
      </w:pPr>
    </w:p>
    <w:p>
      <w:pPr>
        <w:jc w:val="center"/>
        <w:ind w:right="-139"/>
        <w:spacing w:after="0"/>
        <w:rPr>
          <w:sz w:val="20"/>
          <w:szCs w:val="20"/>
          <w:color w:val="auto"/>
        </w:rPr>
      </w:pPr>
      <w:r>
        <w:rPr>
          <w:rFonts w:ascii="Arial" w:cs="Arial" w:eastAsia="Arial" w:hAnsi="Arial"/>
          <w:sz w:val="35"/>
          <w:szCs w:val="35"/>
          <w:b w:val="1"/>
          <w:bCs w:val="1"/>
          <w:color w:val="auto"/>
        </w:rPr>
        <w:t>GRAHAM HOLDINGS COMPANY</w:t>
      </w:r>
    </w:p>
    <w:p>
      <w:pPr>
        <w:spacing w:after="0" w:line="40" w:lineRule="exact"/>
        <w:rPr>
          <w:sz w:val="24"/>
          <w:szCs w:val="24"/>
          <w:color w:val="auto"/>
        </w:rPr>
      </w:pPr>
    </w:p>
    <w:p>
      <w:pPr>
        <w:jc w:val="center"/>
        <w:ind w:right="-139"/>
        <w:spacing w:after="0"/>
        <w:rPr>
          <w:sz w:val="20"/>
          <w:szCs w:val="20"/>
          <w:color w:val="auto"/>
        </w:rPr>
      </w:pPr>
      <w:r>
        <w:rPr>
          <w:rFonts w:ascii="Arial" w:cs="Arial" w:eastAsia="Arial" w:hAnsi="Arial"/>
          <w:sz w:val="15"/>
          <w:szCs w:val="15"/>
          <w:color w:val="auto"/>
        </w:rPr>
        <w:t>(Name of Issuer)</w:t>
      </w:r>
    </w:p>
    <w:p>
      <w:pPr>
        <w:sectPr>
          <w:pgSz w:w="11900" w:h="16838" w:orient="portrait"/>
          <w:cols w:equalWidth="0" w:num="1">
            <w:col w:w="11340"/>
          </w:cols>
          <w:pgMar w:left="220" w:top="861" w:right="339" w:bottom="1440" w:gutter="0" w:footer="0" w:header="0"/>
        </w:sectPr>
      </w:pPr>
    </w:p>
    <w:p>
      <w:pPr>
        <w:spacing w:after="0" w:line="383" w:lineRule="exact"/>
        <w:rPr>
          <w:sz w:val="24"/>
          <w:szCs w:val="24"/>
          <w:color w:val="auto"/>
        </w:rPr>
      </w:pPr>
    </w:p>
    <w:p>
      <w:pPr>
        <w:jc w:val="center"/>
        <w:ind w:right="1620"/>
        <w:spacing w:after="0"/>
        <w:rPr>
          <w:sz w:val="20"/>
          <w:szCs w:val="20"/>
          <w:color w:val="auto"/>
        </w:rPr>
      </w:pPr>
      <w:r>
        <w:rPr>
          <w:rFonts w:ascii="Arial" w:cs="Arial" w:eastAsia="Arial" w:hAnsi="Arial"/>
          <w:sz w:val="13"/>
          <w:szCs w:val="13"/>
          <w:b w:val="1"/>
          <w:bCs w:val="1"/>
          <w:color w:val="auto"/>
        </w:rPr>
        <w:t>Class B Common Stock $1.00 par value</w:t>
      </w:r>
    </w:p>
    <w:p>
      <w:pPr>
        <w:spacing w:after="0" w:line="41" w:lineRule="exact"/>
        <w:rPr>
          <w:sz w:val="24"/>
          <w:szCs w:val="24"/>
          <w:color w:val="auto"/>
        </w:rPr>
      </w:pPr>
    </w:p>
    <w:p>
      <w:pPr>
        <w:jc w:val="center"/>
        <w:ind w:right="1620"/>
        <w:spacing w:after="0"/>
        <w:rPr>
          <w:sz w:val="20"/>
          <w:szCs w:val="20"/>
          <w:color w:val="auto"/>
        </w:rPr>
      </w:pPr>
      <w:r>
        <w:rPr>
          <w:rFonts w:ascii="Arial" w:cs="Arial" w:eastAsia="Arial" w:hAnsi="Arial"/>
          <w:sz w:val="15"/>
          <w:szCs w:val="15"/>
          <w:color w:val="auto"/>
        </w:rPr>
        <w:t>(Title of Class of Securities)</w:t>
      </w:r>
    </w:p>
    <w:p>
      <w:pPr>
        <w:spacing w:after="0" w:line="20" w:lineRule="exact"/>
        <w:rPr>
          <w:sz w:val="24"/>
          <w:szCs w:val="24"/>
          <w:color w:val="auto"/>
        </w:rPr>
      </w:pPr>
      <w:r>
        <w:rPr>
          <w:sz w:val="24"/>
          <w:szCs w:val="24"/>
          <w:color w:val="auto"/>
        </w:rPr>
        <w:br w:type="column"/>
      </w:r>
    </w:p>
    <w:p>
      <w:pPr>
        <w:spacing w:after="0" w:line="363" w:lineRule="exact"/>
        <w:rPr>
          <w:sz w:val="24"/>
          <w:szCs w:val="24"/>
          <w:color w:val="auto"/>
        </w:rPr>
      </w:pPr>
    </w:p>
    <w:p>
      <w:pPr>
        <w:jc w:val="center"/>
        <w:ind w:right="2220"/>
        <w:spacing w:after="0"/>
        <w:rPr>
          <w:sz w:val="20"/>
          <w:szCs w:val="20"/>
          <w:color w:val="auto"/>
        </w:rPr>
      </w:pPr>
      <w:r>
        <w:rPr>
          <w:rFonts w:ascii="Arial" w:cs="Arial" w:eastAsia="Arial" w:hAnsi="Arial"/>
          <w:sz w:val="15"/>
          <w:szCs w:val="15"/>
          <w:b w:val="1"/>
          <w:bCs w:val="1"/>
          <w:color w:val="auto"/>
        </w:rPr>
        <w:t>939640 10 8</w:t>
      </w:r>
    </w:p>
    <w:p>
      <w:pPr>
        <w:spacing w:after="0" w:line="18" w:lineRule="exact"/>
        <w:rPr>
          <w:sz w:val="24"/>
          <w:szCs w:val="24"/>
          <w:color w:val="auto"/>
        </w:rPr>
      </w:pPr>
    </w:p>
    <w:p>
      <w:pPr>
        <w:jc w:val="center"/>
        <w:ind w:right="2220"/>
        <w:spacing w:after="0"/>
        <w:rPr>
          <w:sz w:val="20"/>
          <w:szCs w:val="20"/>
          <w:color w:val="auto"/>
        </w:rPr>
      </w:pPr>
      <w:r>
        <w:rPr>
          <w:rFonts w:ascii="Arial" w:cs="Arial" w:eastAsia="Arial" w:hAnsi="Arial"/>
          <w:sz w:val="13"/>
          <w:szCs w:val="13"/>
          <w:color w:val="auto"/>
        </w:rPr>
        <w:t>(CUSIP Number)</w:t>
      </w:r>
    </w:p>
    <w:p>
      <w:pPr>
        <w:spacing w:after="0" w:line="222" w:lineRule="exact"/>
        <w:rPr>
          <w:sz w:val="24"/>
          <w:szCs w:val="24"/>
          <w:color w:val="auto"/>
        </w:rPr>
      </w:pPr>
    </w:p>
    <w:p>
      <w:pPr>
        <w:sectPr>
          <w:pgSz w:w="11900" w:h="16838" w:orient="portrait"/>
          <w:cols w:equalWidth="0" w:num="2">
            <w:col w:w="7360" w:space="720"/>
            <w:col w:w="3260"/>
          </w:cols>
          <w:pgMar w:left="220" w:top="861" w:right="339" w:bottom="1440" w:gutter="0" w:footer="0" w:header="0"/>
          <w:type w:val="continuous"/>
        </w:sectPr>
      </w:pPr>
    </w:p>
    <w:p>
      <w:pPr>
        <w:spacing w:after="0" w:line="184" w:lineRule="exact"/>
        <w:rPr>
          <w:sz w:val="24"/>
          <w:szCs w:val="24"/>
          <w:color w:val="auto"/>
        </w:rPr>
      </w:pPr>
    </w:p>
    <w:p>
      <w:pPr>
        <w:jc w:val="center"/>
        <w:ind w:right="-139"/>
        <w:spacing w:after="0"/>
        <w:rPr>
          <w:sz w:val="20"/>
          <w:szCs w:val="20"/>
          <w:color w:val="auto"/>
        </w:rPr>
      </w:pPr>
      <w:r>
        <w:rPr>
          <w:rFonts w:ascii="Arial" w:cs="Arial" w:eastAsia="Arial" w:hAnsi="Arial"/>
          <w:sz w:val="15"/>
          <w:szCs w:val="15"/>
          <w:b w:val="1"/>
          <w:bCs w:val="1"/>
          <w:color w:val="auto"/>
        </w:rPr>
        <w:t>Nicole M. Maddrey</w:t>
      </w:r>
    </w:p>
    <w:p>
      <w:pPr>
        <w:spacing w:after="0" w:line="18" w:lineRule="exact"/>
        <w:rPr>
          <w:sz w:val="24"/>
          <w:szCs w:val="24"/>
          <w:color w:val="auto"/>
        </w:rPr>
      </w:pPr>
    </w:p>
    <w:p>
      <w:pPr>
        <w:jc w:val="center"/>
        <w:ind w:right="-139"/>
        <w:spacing w:after="0"/>
        <w:rPr>
          <w:sz w:val="20"/>
          <w:szCs w:val="20"/>
          <w:color w:val="auto"/>
        </w:rPr>
      </w:pPr>
      <w:r>
        <w:rPr>
          <w:rFonts w:ascii="Arial" w:cs="Arial" w:eastAsia="Arial" w:hAnsi="Arial"/>
          <w:sz w:val="15"/>
          <w:szCs w:val="15"/>
          <w:b w:val="1"/>
          <w:bCs w:val="1"/>
          <w:color w:val="auto"/>
        </w:rPr>
        <w:t>Graham Holdings Company</w:t>
      </w:r>
    </w:p>
    <w:p>
      <w:pPr>
        <w:spacing w:after="0" w:line="3" w:lineRule="exact"/>
        <w:rPr>
          <w:sz w:val="24"/>
          <w:szCs w:val="24"/>
          <w:color w:val="auto"/>
        </w:rPr>
      </w:pPr>
    </w:p>
    <w:p>
      <w:pPr>
        <w:jc w:val="center"/>
        <w:ind w:right="-139"/>
        <w:spacing w:after="0"/>
        <w:rPr>
          <w:sz w:val="20"/>
          <w:szCs w:val="20"/>
          <w:color w:val="auto"/>
        </w:rPr>
      </w:pPr>
      <w:r>
        <w:rPr>
          <w:rFonts w:ascii="Arial" w:cs="Arial" w:eastAsia="Arial" w:hAnsi="Arial"/>
          <w:sz w:val="15"/>
          <w:szCs w:val="15"/>
          <w:b w:val="1"/>
          <w:bCs w:val="1"/>
          <w:color w:val="auto"/>
        </w:rPr>
        <w:t>1300 North 17th Street</w:t>
      </w:r>
    </w:p>
    <w:p>
      <w:pPr>
        <w:spacing w:after="0" w:line="3" w:lineRule="exact"/>
        <w:rPr>
          <w:sz w:val="24"/>
          <w:szCs w:val="24"/>
          <w:color w:val="auto"/>
        </w:rPr>
      </w:pPr>
    </w:p>
    <w:p>
      <w:pPr>
        <w:jc w:val="center"/>
        <w:ind w:right="-139"/>
        <w:spacing w:after="0"/>
        <w:rPr>
          <w:sz w:val="20"/>
          <w:szCs w:val="20"/>
          <w:color w:val="auto"/>
        </w:rPr>
      </w:pPr>
      <w:r>
        <w:rPr>
          <w:rFonts w:ascii="Arial" w:cs="Arial" w:eastAsia="Arial" w:hAnsi="Arial"/>
          <w:sz w:val="15"/>
          <w:szCs w:val="15"/>
          <w:b w:val="1"/>
          <w:bCs w:val="1"/>
          <w:color w:val="auto"/>
        </w:rPr>
        <w:t>Arlington, VA 22209</w:t>
      </w:r>
    </w:p>
    <w:p>
      <w:pPr>
        <w:spacing w:after="0" w:line="3" w:lineRule="exact"/>
        <w:rPr>
          <w:sz w:val="24"/>
          <w:szCs w:val="24"/>
          <w:color w:val="auto"/>
        </w:rPr>
      </w:pPr>
    </w:p>
    <w:p>
      <w:pPr>
        <w:jc w:val="both"/>
        <w:ind w:left="5280" w:right="5140" w:hanging="4"/>
        <w:spacing w:after="0" w:line="588" w:lineRule="auto"/>
        <w:tabs>
          <w:tab w:leader="none" w:pos="5638" w:val="left"/>
        </w:tabs>
        <w:numPr>
          <w:ilvl w:val="0"/>
          <w:numId w:val="1"/>
        </w:numPr>
        <w:rPr>
          <w:rFonts w:ascii="Arial" w:cs="Arial" w:eastAsia="Arial" w:hAnsi="Arial"/>
          <w:sz w:val="13"/>
          <w:szCs w:val="13"/>
          <w:b w:val="1"/>
          <w:bCs w:val="1"/>
          <w:color w:val="auto"/>
        </w:rPr>
      </w:pPr>
      <w:r>
        <w:rPr>
          <w:rFonts w:ascii="Arial" w:cs="Arial" w:eastAsia="Arial" w:hAnsi="Arial"/>
          <w:sz w:val="13"/>
          <w:szCs w:val="13"/>
          <w:b w:val="1"/>
          <w:bCs w:val="1"/>
          <w:color w:val="auto"/>
        </w:rPr>
        <w:t>345-6300 with a copy to:</w:t>
      </w:r>
    </w:p>
    <w:p>
      <w:pPr>
        <w:jc w:val="center"/>
        <w:ind w:right="-139"/>
        <w:spacing w:after="0"/>
        <w:rPr>
          <w:sz w:val="20"/>
          <w:szCs w:val="20"/>
          <w:color w:val="auto"/>
        </w:rPr>
      </w:pPr>
      <w:r>
        <w:rPr>
          <w:rFonts w:ascii="Arial" w:cs="Arial" w:eastAsia="Arial" w:hAnsi="Arial"/>
          <w:sz w:val="15"/>
          <w:szCs w:val="15"/>
          <w:b w:val="1"/>
          <w:bCs w:val="1"/>
          <w:color w:val="auto"/>
        </w:rPr>
        <w:t>Eric L. Schiele</w:t>
      </w:r>
    </w:p>
    <w:p>
      <w:pPr>
        <w:spacing w:after="0" w:line="18" w:lineRule="exact"/>
        <w:rPr>
          <w:sz w:val="24"/>
          <w:szCs w:val="24"/>
          <w:color w:val="auto"/>
        </w:rPr>
      </w:pPr>
    </w:p>
    <w:p>
      <w:pPr>
        <w:jc w:val="center"/>
        <w:ind w:right="-139"/>
        <w:spacing w:after="0"/>
        <w:rPr>
          <w:sz w:val="20"/>
          <w:szCs w:val="20"/>
          <w:color w:val="auto"/>
        </w:rPr>
      </w:pPr>
      <w:r>
        <w:rPr>
          <w:rFonts w:ascii="Arial" w:cs="Arial" w:eastAsia="Arial" w:hAnsi="Arial"/>
          <w:sz w:val="15"/>
          <w:szCs w:val="15"/>
          <w:b w:val="1"/>
          <w:bCs w:val="1"/>
          <w:color w:val="auto"/>
        </w:rPr>
        <w:t>Cravath, Swaine &amp; Moore LLP</w:t>
      </w:r>
    </w:p>
    <w:p>
      <w:pPr>
        <w:spacing w:after="0" w:line="3" w:lineRule="exact"/>
        <w:rPr>
          <w:sz w:val="24"/>
          <w:szCs w:val="24"/>
          <w:color w:val="auto"/>
        </w:rPr>
      </w:pPr>
    </w:p>
    <w:p>
      <w:pPr>
        <w:jc w:val="center"/>
        <w:ind w:right="-139"/>
        <w:spacing w:after="0"/>
        <w:rPr>
          <w:sz w:val="20"/>
          <w:szCs w:val="20"/>
          <w:color w:val="auto"/>
        </w:rPr>
      </w:pPr>
      <w:r>
        <w:rPr>
          <w:rFonts w:ascii="Arial" w:cs="Arial" w:eastAsia="Arial" w:hAnsi="Arial"/>
          <w:sz w:val="15"/>
          <w:szCs w:val="15"/>
          <w:b w:val="1"/>
          <w:bCs w:val="1"/>
          <w:color w:val="auto"/>
        </w:rPr>
        <w:t>825 Eighth Avenue</w:t>
      </w:r>
    </w:p>
    <w:p>
      <w:pPr>
        <w:spacing w:after="0" w:line="3" w:lineRule="exact"/>
        <w:rPr>
          <w:sz w:val="24"/>
          <w:szCs w:val="24"/>
          <w:color w:val="auto"/>
        </w:rPr>
      </w:pPr>
    </w:p>
    <w:p>
      <w:pPr>
        <w:jc w:val="center"/>
        <w:ind w:right="-139"/>
        <w:spacing w:after="0"/>
        <w:rPr>
          <w:sz w:val="20"/>
          <w:szCs w:val="20"/>
          <w:color w:val="auto"/>
        </w:rPr>
      </w:pPr>
      <w:r>
        <w:rPr>
          <w:rFonts w:ascii="Arial" w:cs="Arial" w:eastAsia="Arial" w:hAnsi="Arial"/>
          <w:sz w:val="15"/>
          <w:szCs w:val="15"/>
          <w:b w:val="1"/>
          <w:bCs w:val="1"/>
          <w:color w:val="auto"/>
        </w:rPr>
        <w:t>New York, NY 10019</w:t>
      </w:r>
    </w:p>
    <w:p>
      <w:pPr>
        <w:spacing w:after="0" w:line="3" w:lineRule="exact"/>
        <w:rPr>
          <w:sz w:val="24"/>
          <w:szCs w:val="24"/>
          <w:color w:val="auto"/>
        </w:rPr>
      </w:pPr>
    </w:p>
    <w:p>
      <w:pPr>
        <w:jc w:val="center"/>
        <w:ind w:right="-139"/>
        <w:spacing w:after="0"/>
        <w:rPr>
          <w:sz w:val="20"/>
          <w:szCs w:val="20"/>
          <w:color w:val="auto"/>
        </w:rPr>
      </w:pPr>
      <w:r>
        <w:rPr>
          <w:rFonts w:ascii="Arial" w:cs="Arial" w:eastAsia="Arial" w:hAnsi="Arial"/>
          <w:sz w:val="15"/>
          <w:szCs w:val="15"/>
          <w:b w:val="1"/>
          <w:bCs w:val="1"/>
          <w:color w:val="auto"/>
        </w:rPr>
        <w:t>(212) 474-1000</w:t>
      </w:r>
    </w:p>
    <w:p>
      <w:pPr>
        <w:spacing w:after="0" w:line="3" w:lineRule="exact"/>
        <w:rPr>
          <w:sz w:val="24"/>
          <w:szCs w:val="24"/>
          <w:color w:val="auto"/>
        </w:rPr>
      </w:pPr>
    </w:p>
    <w:p>
      <w:pPr>
        <w:jc w:val="center"/>
        <w:ind w:right="-139"/>
        <w:spacing w:after="0"/>
        <w:rPr>
          <w:sz w:val="20"/>
          <w:szCs w:val="20"/>
          <w:color w:val="auto"/>
        </w:rPr>
      </w:pPr>
      <w:r>
        <w:rPr>
          <w:rFonts w:ascii="Arial" w:cs="Arial" w:eastAsia="Arial" w:hAnsi="Arial"/>
          <w:sz w:val="15"/>
          <w:szCs w:val="15"/>
          <w:color w:val="auto"/>
        </w:rPr>
        <w:t>(Name, Address and Telephone Number of Person Authorized to Receive Notices and Communications)</w:t>
      </w:r>
    </w:p>
    <w:p>
      <w:pPr>
        <w:spacing w:after="0" w:line="187" w:lineRule="exact"/>
        <w:rPr>
          <w:sz w:val="24"/>
          <w:szCs w:val="24"/>
          <w:color w:val="auto"/>
        </w:rPr>
      </w:pPr>
    </w:p>
    <w:p>
      <w:pPr>
        <w:jc w:val="center"/>
        <w:ind w:right="-139"/>
        <w:spacing w:after="0"/>
        <w:rPr>
          <w:sz w:val="20"/>
          <w:szCs w:val="20"/>
          <w:color w:val="auto"/>
        </w:rPr>
      </w:pPr>
      <w:r>
        <w:rPr>
          <w:rFonts w:ascii="Arial" w:cs="Arial" w:eastAsia="Arial" w:hAnsi="Arial"/>
          <w:sz w:val="15"/>
          <w:szCs w:val="15"/>
          <w:b w:val="1"/>
          <w:bCs w:val="1"/>
          <w:color w:val="auto"/>
        </w:rPr>
        <w:t>July 1, 2015</w:t>
      </w:r>
    </w:p>
    <w:p>
      <w:pPr>
        <w:spacing w:after="0" w:line="18" w:lineRule="exact"/>
        <w:rPr>
          <w:sz w:val="24"/>
          <w:szCs w:val="24"/>
          <w:color w:val="auto"/>
        </w:rPr>
      </w:pPr>
    </w:p>
    <w:p>
      <w:pPr>
        <w:jc w:val="center"/>
        <w:ind w:right="-139"/>
        <w:spacing w:after="0"/>
        <w:rPr>
          <w:sz w:val="20"/>
          <w:szCs w:val="20"/>
          <w:color w:val="auto"/>
        </w:rPr>
      </w:pPr>
      <w:r>
        <w:rPr>
          <w:rFonts w:ascii="Arial" w:cs="Arial" w:eastAsia="Arial" w:hAnsi="Arial"/>
          <w:sz w:val="15"/>
          <w:szCs w:val="15"/>
          <w:color w:val="auto"/>
        </w:rPr>
        <w:t>(Date of Event Which Requires Filing of This Statement)</w:t>
      </w:r>
    </w:p>
    <w:p>
      <w:pPr>
        <w:spacing w:after="0" w:line="191" w:lineRule="exact"/>
        <w:rPr>
          <w:sz w:val="24"/>
          <w:szCs w:val="24"/>
          <w:color w:val="auto"/>
        </w:rPr>
      </w:pPr>
    </w:p>
    <w:p>
      <w:pPr>
        <w:ind w:right="300"/>
        <w:spacing w:after="0" w:line="264" w:lineRule="auto"/>
        <w:rPr>
          <w:sz w:val="20"/>
          <w:szCs w:val="20"/>
          <w:color w:val="auto"/>
        </w:rPr>
      </w:pPr>
      <w:r>
        <w:rPr>
          <w:rFonts w:ascii="Arial" w:cs="Arial" w:eastAsia="Arial" w:hAnsi="Arial"/>
          <w:sz w:val="15"/>
          <w:szCs w:val="15"/>
          <w:color w:val="auto"/>
        </w:rPr>
        <w:t>If the filing person has previously filed a statement on Schedule 13G to report the acquisition that is the subject of this Schedule 13D, and is filing this schedule because of §§ 240.13d-1(e), 240.13d-1(f) or 240.13d-1(g), check the following box [_].</w:t>
      </w:r>
    </w:p>
    <w:p>
      <w:pPr>
        <w:spacing w:after="0" w:line="170" w:lineRule="exact"/>
        <w:rPr>
          <w:sz w:val="24"/>
          <w:szCs w:val="24"/>
          <w:color w:val="auto"/>
        </w:rPr>
      </w:pPr>
    </w:p>
    <w:p>
      <w:pPr>
        <w:spacing w:after="0"/>
        <w:rPr>
          <w:sz w:val="20"/>
          <w:szCs w:val="20"/>
          <w:color w:val="auto"/>
        </w:rPr>
      </w:pPr>
      <w:r>
        <w:rPr>
          <w:rFonts w:ascii="Arial" w:cs="Arial" w:eastAsia="Arial" w:hAnsi="Arial"/>
          <w:sz w:val="13"/>
          <w:szCs w:val="13"/>
          <w:i w:val="1"/>
          <w:iCs w:val="1"/>
          <w:color w:val="auto"/>
        </w:rPr>
        <w:t>Note</w:t>
      </w:r>
      <w:r>
        <w:rPr>
          <w:rFonts w:ascii="Arial" w:cs="Arial" w:eastAsia="Arial" w:hAnsi="Arial"/>
          <w:sz w:val="13"/>
          <w:szCs w:val="13"/>
          <w:color w:val="auto"/>
        </w:rPr>
        <w:t>: Schedules filed in paper format shall include a signed original and five copies of the schedule, including all exhibits. See Rule 13d-7 for other parties to whom copies are to be sent.</w:t>
      </w:r>
    </w:p>
    <w:p>
      <w:pPr>
        <w:spacing w:after="0" w:line="224" w:lineRule="exact"/>
        <w:rPr>
          <w:sz w:val="24"/>
          <w:szCs w:val="24"/>
          <w:color w:val="auto"/>
        </w:rPr>
      </w:pPr>
    </w:p>
    <w:p>
      <w:pPr>
        <w:spacing w:after="0" w:line="264" w:lineRule="auto"/>
        <w:rPr>
          <w:sz w:val="20"/>
          <w:szCs w:val="20"/>
          <w:color w:val="auto"/>
        </w:rPr>
      </w:pPr>
      <w:r>
        <w:rPr>
          <w:rFonts w:ascii="Arial" w:cs="Arial" w:eastAsia="Arial" w:hAnsi="Arial"/>
          <w:sz w:val="15"/>
          <w:szCs w:val="15"/>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283210</wp:posOffset>
            </wp:positionV>
            <wp:extent cx="7297420" cy="130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7420" cy="130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798830</wp:posOffset>
            </wp:positionV>
            <wp:extent cx="7272020" cy="13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13970"/>
                    </a:xfrm>
                    <a:prstGeom prst="rect">
                      <a:avLst/>
                    </a:prstGeom>
                    <a:noFill/>
                  </pic:spPr>
                </pic:pic>
              </a:graphicData>
            </a:graphic>
          </wp:anchor>
        </w:drawing>
      </w:r>
    </w:p>
    <w:p>
      <w:pPr>
        <w:sectPr>
          <w:pgSz w:w="11900" w:h="16838" w:orient="portrait"/>
          <w:cols w:equalWidth="0" w:num="1">
            <w:col w:w="11340"/>
          </w:cols>
          <w:pgMar w:left="220" w:top="861" w:right="339" w:bottom="1440" w:gutter="0" w:footer="0" w:header="0"/>
          <w:type w:val="continuous"/>
        </w:sectPr>
      </w:pPr>
    </w:p>
    <w:bookmarkStart w:id="1" w:name="page2"/>
    <w:bookmarkEnd w:id="1"/>
    <w:p>
      <w:pPr>
        <w:spacing w:after="0"/>
        <w:tabs>
          <w:tab w:leader="none" w:pos="10780" w:val="left"/>
        </w:tabs>
        <w:rPr>
          <w:sz w:val="20"/>
          <w:szCs w:val="20"/>
          <w:color w:val="auto"/>
        </w:rPr>
      </w:pPr>
      <w:r>
        <w:rPr>
          <w:rFonts w:ascii="Arial" w:cs="Arial" w:eastAsia="Arial" w:hAnsi="Arial"/>
          <w:sz w:val="15"/>
          <w:szCs w:val="15"/>
          <w:color w:val="auto"/>
        </w:rPr>
        <w:t>CUSIP No. 939640 10 8</w:t>
      </w:r>
      <w:r>
        <w:rPr>
          <w:sz w:val="20"/>
          <w:szCs w:val="20"/>
          <w:color w:val="auto"/>
        </w:rPr>
        <w:tab/>
      </w:r>
      <w:r>
        <w:rPr>
          <w:rFonts w:ascii="Arial" w:cs="Arial" w:eastAsia="Arial" w:hAnsi="Arial"/>
          <w:sz w:val="12"/>
          <w:szCs w:val="12"/>
          <w:color w:val="auto"/>
        </w:rPr>
        <w:t>Page 2 of 4</w:t>
      </w:r>
    </w:p>
    <w:p>
      <w:pPr>
        <w:spacing w:after="0" w:line="399" w:lineRule="exact"/>
        <w:rPr>
          <w:sz w:val="20"/>
          <w:szCs w:val="20"/>
          <w:color w:val="auto"/>
        </w:rPr>
      </w:pPr>
    </w:p>
    <w:p>
      <w:pPr>
        <w:ind w:right="140"/>
        <w:spacing w:after="0" w:line="264" w:lineRule="auto"/>
        <w:rPr>
          <w:sz w:val="20"/>
          <w:szCs w:val="20"/>
          <w:color w:val="auto"/>
        </w:rPr>
      </w:pPr>
      <w:r>
        <w:rPr>
          <w:rFonts w:ascii="Arial" w:cs="Arial" w:eastAsia="Arial" w:hAnsi="Arial"/>
          <w:sz w:val="15"/>
          <w:szCs w:val="15"/>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59" w:lineRule="exact"/>
        <w:rPr>
          <w:sz w:val="20"/>
          <w:szCs w:val="20"/>
          <w:color w:val="auto"/>
        </w:rPr>
      </w:pPr>
    </w:p>
    <w:tbl>
      <w:tblPr>
        <w:tblLayout w:type="fixed"/>
        <w:tblInd w:w="10" w:type="dxa"/>
        <w:tblCellMar>
          <w:top w:w="0" w:type="dxa"/>
          <w:left w:w="0" w:type="dxa"/>
          <w:bottom w:w="0" w:type="dxa"/>
          <w:right w:w="0" w:type="dxa"/>
        </w:tblCellMar>
      </w:tblPr>
      <w:tr>
        <w:trPr>
          <w:trHeight w:val="172"/>
        </w:trPr>
        <w:tc>
          <w:tcPr>
            <w:tcW w:w="1100" w:type="dxa"/>
            <w:vAlign w:val="bottom"/>
            <w:tcBorders>
              <w:top w:val="single" w:sz="8" w:color="auto"/>
              <w:left w:val="single" w:sz="8" w:color="auto"/>
              <w:right w:val="single" w:sz="8" w:color="auto"/>
            </w:tcBorders>
          </w:tcPr>
          <w:p>
            <w:pPr>
              <w:spacing w:after="0"/>
              <w:rPr>
                <w:sz w:val="14"/>
                <w:szCs w:val="14"/>
                <w:color w:val="auto"/>
              </w:rPr>
            </w:pPr>
          </w:p>
        </w:tc>
        <w:tc>
          <w:tcPr>
            <w:tcW w:w="9840" w:type="dxa"/>
            <w:vAlign w:val="bottom"/>
            <w:tcBorders>
              <w:top w:val="single" w:sz="8" w:color="auto"/>
            </w:tcBorders>
            <w:gridSpan w:val="5"/>
          </w:tcPr>
          <w:p>
            <w:pPr>
              <w:spacing w:after="0"/>
              <w:rPr>
                <w:sz w:val="20"/>
                <w:szCs w:val="20"/>
                <w:color w:val="auto"/>
              </w:rPr>
            </w:pPr>
            <w:r>
              <w:rPr>
                <w:rFonts w:ascii="Arial" w:cs="Arial" w:eastAsia="Arial" w:hAnsi="Arial"/>
                <w:sz w:val="15"/>
                <w:szCs w:val="15"/>
                <w:b w:val="1"/>
                <w:bCs w:val="1"/>
                <w:color w:val="auto"/>
              </w:rPr>
              <w:t>NAMES OF REPORTING PERSONS</w:t>
            </w:r>
          </w:p>
        </w:tc>
        <w:tc>
          <w:tcPr>
            <w:tcW w:w="52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11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6"/>
                <w:szCs w:val="26"/>
                <w:b w:val="1"/>
                <w:bCs w:val="1"/>
                <w:color w:val="auto"/>
                <w:w w:val="96"/>
              </w:rPr>
              <w:t>1</w:t>
            </w:r>
          </w:p>
        </w:tc>
        <w:tc>
          <w:tcPr>
            <w:tcW w:w="9840" w:type="dxa"/>
            <w:vAlign w:val="bottom"/>
            <w:gridSpan w:val="5"/>
          </w:tcPr>
          <w:p>
            <w:pPr>
              <w:spacing w:after="0"/>
              <w:rPr>
                <w:sz w:val="20"/>
                <w:szCs w:val="20"/>
                <w:color w:val="auto"/>
              </w:rPr>
            </w:pPr>
            <w:r>
              <w:rPr>
                <w:rFonts w:ascii="Arial" w:cs="Arial" w:eastAsia="Arial" w:hAnsi="Arial"/>
                <w:sz w:val="15"/>
                <w:szCs w:val="15"/>
                <w:b w:val="1"/>
                <w:bCs w:val="1"/>
                <w:color w:val="auto"/>
              </w:rPr>
              <w:t>I.R.S. IDENTIFICATION NOS. OF ABOVE PERSONS (ENTITIES ONLY)</w:t>
            </w:r>
          </w:p>
        </w:tc>
        <w:tc>
          <w:tcPr>
            <w:tcW w:w="5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100" w:type="dxa"/>
            <w:vAlign w:val="bottom"/>
            <w:tcBorders>
              <w:left w:val="single" w:sz="8" w:color="auto"/>
              <w:right w:val="single" w:sz="8" w:color="auto"/>
            </w:tcBorders>
            <w:vMerge w:val="continue"/>
          </w:tcPr>
          <w:p>
            <w:pPr>
              <w:spacing w:after="0"/>
              <w:rPr>
                <w:sz w:val="13"/>
                <w:szCs w:val="13"/>
                <w:color w:val="auto"/>
              </w:rPr>
            </w:pPr>
          </w:p>
        </w:tc>
        <w:tc>
          <w:tcPr>
            <w:tcW w:w="1420" w:type="dxa"/>
            <w:vAlign w:val="bottom"/>
            <w:gridSpan w:val="3"/>
            <w:vMerge w:val="restart"/>
          </w:tcPr>
          <w:p>
            <w:pPr>
              <w:ind w:left="20"/>
              <w:spacing w:after="0"/>
              <w:rPr>
                <w:sz w:val="20"/>
                <w:szCs w:val="20"/>
                <w:color w:val="auto"/>
              </w:rPr>
            </w:pPr>
            <w:r>
              <w:rPr>
                <w:rFonts w:ascii="Arial" w:cs="Arial" w:eastAsia="Arial" w:hAnsi="Arial"/>
                <w:sz w:val="15"/>
                <w:szCs w:val="15"/>
                <w:b w:val="1"/>
                <w:bCs w:val="1"/>
                <w:color w:val="auto"/>
              </w:rPr>
              <w:t>Donald E. Graham</w:t>
            </w:r>
          </w:p>
        </w:tc>
        <w:tc>
          <w:tcPr>
            <w:tcW w:w="620" w:type="dxa"/>
            <w:vAlign w:val="bottom"/>
          </w:tcPr>
          <w:p>
            <w:pPr>
              <w:spacing w:after="0"/>
              <w:rPr>
                <w:sz w:val="13"/>
                <w:szCs w:val="13"/>
                <w:color w:val="auto"/>
              </w:rPr>
            </w:pPr>
          </w:p>
        </w:tc>
        <w:tc>
          <w:tcPr>
            <w:tcW w:w="7800" w:type="dxa"/>
            <w:vAlign w:val="bottom"/>
          </w:tcPr>
          <w:p>
            <w:pPr>
              <w:spacing w:after="0"/>
              <w:rPr>
                <w:sz w:val="13"/>
                <w:szCs w:val="13"/>
                <w:color w:val="auto"/>
              </w:rPr>
            </w:pPr>
          </w:p>
        </w:tc>
        <w:tc>
          <w:tcPr>
            <w:tcW w:w="5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1100" w:type="dxa"/>
            <w:vAlign w:val="bottom"/>
            <w:tcBorders>
              <w:left w:val="single" w:sz="8" w:color="auto"/>
              <w:right w:val="single" w:sz="8" w:color="auto"/>
            </w:tcBorders>
          </w:tcPr>
          <w:p>
            <w:pPr>
              <w:spacing w:after="0"/>
              <w:rPr>
                <w:sz w:val="9"/>
                <w:szCs w:val="9"/>
                <w:color w:val="auto"/>
              </w:rPr>
            </w:pPr>
          </w:p>
        </w:tc>
        <w:tc>
          <w:tcPr>
            <w:tcW w:w="1420" w:type="dxa"/>
            <w:vAlign w:val="bottom"/>
            <w:gridSpan w:val="3"/>
            <w:vMerge w:val="continue"/>
          </w:tcPr>
          <w:p>
            <w:pPr>
              <w:spacing w:after="0"/>
              <w:rPr>
                <w:sz w:val="9"/>
                <w:szCs w:val="9"/>
                <w:color w:val="auto"/>
              </w:rPr>
            </w:pPr>
          </w:p>
        </w:tc>
        <w:tc>
          <w:tcPr>
            <w:tcW w:w="620" w:type="dxa"/>
            <w:vAlign w:val="bottom"/>
          </w:tcPr>
          <w:p>
            <w:pPr>
              <w:spacing w:after="0"/>
              <w:rPr>
                <w:sz w:val="9"/>
                <w:szCs w:val="9"/>
                <w:color w:val="auto"/>
              </w:rPr>
            </w:pPr>
          </w:p>
        </w:tc>
        <w:tc>
          <w:tcPr>
            <w:tcW w:w="7800" w:type="dxa"/>
            <w:vAlign w:val="bottom"/>
          </w:tcPr>
          <w:p>
            <w:pPr>
              <w:spacing w:after="0"/>
              <w:rPr>
                <w:sz w:val="9"/>
                <w:szCs w:val="9"/>
                <w:color w:val="auto"/>
              </w:rPr>
            </w:pPr>
          </w:p>
        </w:tc>
        <w:tc>
          <w:tcPr>
            <w:tcW w:w="5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100" w:type="dxa"/>
            <w:vAlign w:val="bottom"/>
            <w:tcBorders>
              <w:left w:val="single" w:sz="8" w:color="auto"/>
              <w:bottom w:val="single" w:sz="8" w:color="auto"/>
              <w:right w:val="single" w:sz="8" w:color="auto"/>
            </w:tcBorders>
          </w:tcPr>
          <w:p>
            <w:pPr>
              <w:spacing w:after="0"/>
              <w:rPr>
                <w:sz w:val="7"/>
                <w:szCs w:val="7"/>
                <w:color w:val="auto"/>
              </w:rPr>
            </w:pPr>
          </w:p>
        </w:tc>
        <w:tc>
          <w:tcPr>
            <w:tcW w:w="9840" w:type="dxa"/>
            <w:vAlign w:val="bottom"/>
            <w:tcBorders>
              <w:bottom w:val="single" w:sz="8" w:color="auto"/>
            </w:tcBorders>
            <w:gridSpan w:val="5"/>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1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6"/>
                <w:szCs w:val="26"/>
                <w:b w:val="1"/>
                <w:bCs w:val="1"/>
                <w:color w:val="auto"/>
                <w:w w:val="96"/>
              </w:rPr>
              <w:t>2</w:t>
            </w:r>
          </w:p>
        </w:tc>
        <w:tc>
          <w:tcPr>
            <w:tcW w:w="9840" w:type="dxa"/>
            <w:vAlign w:val="bottom"/>
            <w:gridSpan w:val="5"/>
          </w:tcPr>
          <w:p>
            <w:pPr>
              <w:spacing w:after="0" w:line="129" w:lineRule="exact"/>
              <w:rPr>
                <w:sz w:val="20"/>
                <w:szCs w:val="20"/>
                <w:color w:val="auto"/>
              </w:rPr>
            </w:pPr>
            <w:r>
              <w:rPr>
                <w:rFonts w:ascii="Arial" w:cs="Arial" w:eastAsia="Arial" w:hAnsi="Arial"/>
                <w:sz w:val="14"/>
                <w:szCs w:val="14"/>
                <w:b w:val="1"/>
                <w:bCs w:val="1"/>
                <w:color w:val="auto"/>
              </w:rPr>
              <w:t>CHECK THE APPROPRIATE BOX IF A MEMBER OF A GROUP</w:t>
            </w:r>
          </w:p>
        </w:tc>
        <w:tc>
          <w:tcPr>
            <w:tcW w:w="520" w:type="dxa"/>
            <w:vAlign w:val="bottom"/>
            <w:tcBorders>
              <w:right w:val="single" w:sz="8" w:color="auto"/>
            </w:tcBorders>
          </w:tcPr>
          <w:p>
            <w:pPr>
              <w:jc w:val="right"/>
              <w:ind w:right="48"/>
              <w:spacing w:after="0" w:line="129" w:lineRule="exact"/>
              <w:rPr>
                <w:sz w:val="20"/>
                <w:szCs w:val="20"/>
                <w:color w:val="auto"/>
              </w:rPr>
            </w:pPr>
            <w:r>
              <w:rPr>
                <w:rFonts w:ascii="Arial" w:cs="Arial" w:eastAsia="Arial" w:hAnsi="Arial"/>
                <w:sz w:val="14"/>
                <w:szCs w:val="14"/>
                <w:color w:val="auto"/>
              </w:rPr>
              <w:t>(a)</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81"/>
        </w:trPr>
        <w:tc>
          <w:tcPr>
            <w:tcW w:w="1100" w:type="dxa"/>
            <w:vAlign w:val="bottom"/>
            <w:tcBorders>
              <w:left w:val="single" w:sz="8" w:color="auto"/>
              <w:right w:val="single" w:sz="8" w:color="auto"/>
            </w:tcBorders>
            <w:vMerge w:val="continue"/>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520" w:type="dxa"/>
            <w:vAlign w:val="bottom"/>
            <w:tcBorders>
              <w:right w:val="single" w:sz="8" w:color="auto"/>
            </w:tcBorders>
          </w:tcPr>
          <w:p>
            <w:pPr>
              <w:jc w:val="right"/>
              <w:ind w:right="48"/>
              <w:spacing w:after="0" w:line="173" w:lineRule="exact"/>
              <w:rPr>
                <w:sz w:val="20"/>
                <w:szCs w:val="20"/>
                <w:color w:val="auto"/>
              </w:rPr>
            </w:pPr>
            <w:r>
              <w:rPr>
                <w:rFonts w:ascii="Arial" w:cs="Arial" w:eastAsia="Arial" w:hAnsi="Arial"/>
                <w:sz w:val="15"/>
                <w:szCs w:val="15"/>
                <w:color w:val="auto"/>
              </w:rPr>
              <w:t>(b)</w:t>
            </w: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109"/>
        </w:trPr>
        <w:tc>
          <w:tcPr>
            <w:tcW w:w="1100" w:type="dxa"/>
            <w:vAlign w:val="bottom"/>
            <w:tcBorders>
              <w:left w:val="single" w:sz="8" w:color="auto"/>
              <w:bottom w:val="single" w:sz="8" w:color="auto"/>
              <w:right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gridSpan w:val="2"/>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7800" w:type="dxa"/>
            <w:vAlign w:val="bottom"/>
            <w:tcBorders>
              <w:bottom w:val="single" w:sz="8" w:color="auto"/>
            </w:tcBorders>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1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6"/>
                <w:szCs w:val="26"/>
                <w:b w:val="1"/>
                <w:bCs w:val="1"/>
                <w:color w:val="auto"/>
                <w:w w:val="96"/>
              </w:rPr>
              <w:t>3</w:t>
            </w:r>
          </w:p>
        </w:tc>
        <w:tc>
          <w:tcPr>
            <w:tcW w:w="1420" w:type="dxa"/>
            <w:vAlign w:val="bottom"/>
            <w:tcBorders>
              <w:right w:val="single" w:sz="8" w:color="BFBFBF"/>
            </w:tcBorders>
            <w:gridSpan w:val="3"/>
            <w:shd w:val="clear" w:color="auto" w:fill="BFBFBF"/>
          </w:tcPr>
          <w:p>
            <w:pPr>
              <w:spacing w:after="0" w:line="167" w:lineRule="exact"/>
              <w:rPr>
                <w:sz w:val="20"/>
                <w:szCs w:val="20"/>
                <w:color w:val="auto"/>
              </w:rPr>
            </w:pPr>
            <w:r>
              <w:rPr>
                <w:rFonts w:ascii="Arial" w:cs="Arial" w:eastAsia="Arial" w:hAnsi="Arial"/>
                <w:sz w:val="15"/>
                <w:szCs w:val="15"/>
                <w:b w:val="1"/>
                <w:bCs w:val="1"/>
                <w:color w:val="auto"/>
              </w:rPr>
              <w:t>SEC USE ONLY</w:t>
            </w:r>
          </w:p>
        </w:tc>
        <w:tc>
          <w:tcPr>
            <w:tcW w:w="620" w:type="dxa"/>
            <w:vAlign w:val="bottom"/>
            <w:shd w:val="clear" w:color="auto" w:fill="BFBFBF"/>
          </w:tcPr>
          <w:p>
            <w:pPr>
              <w:spacing w:after="0"/>
              <w:rPr>
                <w:sz w:val="14"/>
                <w:szCs w:val="14"/>
                <w:color w:val="auto"/>
              </w:rPr>
            </w:pPr>
          </w:p>
        </w:tc>
        <w:tc>
          <w:tcPr>
            <w:tcW w:w="7800" w:type="dxa"/>
            <w:vAlign w:val="bottom"/>
            <w:shd w:val="clear" w:color="auto" w:fill="BFBFBF"/>
          </w:tcPr>
          <w:p>
            <w:pPr>
              <w:spacing w:after="0"/>
              <w:rPr>
                <w:sz w:val="14"/>
                <w:szCs w:val="14"/>
                <w:color w:val="auto"/>
              </w:rPr>
            </w:pPr>
          </w:p>
        </w:tc>
        <w:tc>
          <w:tcPr>
            <w:tcW w:w="520" w:type="dxa"/>
            <w:vAlign w:val="bottom"/>
            <w:tcBorders>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100" w:type="dxa"/>
            <w:vAlign w:val="bottom"/>
            <w:tcBorders>
              <w:left w:val="single" w:sz="8" w:color="auto"/>
              <w:right w:val="single" w:sz="8" w:color="auto"/>
            </w:tcBorders>
            <w:vMerge w:val="continue"/>
          </w:tcPr>
          <w:p>
            <w:pPr>
              <w:spacing w:after="0"/>
              <w:rPr>
                <w:sz w:val="15"/>
                <w:szCs w:val="15"/>
                <w:color w:val="auto"/>
              </w:rPr>
            </w:pPr>
          </w:p>
        </w:tc>
        <w:tc>
          <w:tcPr>
            <w:tcW w:w="700" w:type="dxa"/>
            <w:vAlign w:val="bottom"/>
            <w:tcBorders>
              <w:right w:val="single" w:sz="8" w:color="BFBFBF"/>
            </w:tcBorders>
            <w:shd w:val="clear" w:color="auto" w:fill="BFBFBF"/>
          </w:tcPr>
          <w:p>
            <w:pPr>
              <w:spacing w:after="0"/>
              <w:rPr>
                <w:sz w:val="15"/>
                <w:szCs w:val="15"/>
                <w:color w:val="auto"/>
              </w:rPr>
            </w:pPr>
          </w:p>
        </w:tc>
        <w:tc>
          <w:tcPr>
            <w:tcW w:w="180" w:type="dxa"/>
            <w:vAlign w:val="bottom"/>
            <w:shd w:val="clear" w:color="auto" w:fill="BFBFBF"/>
          </w:tcPr>
          <w:p>
            <w:pPr>
              <w:spacing w:after="0"/>
              <w:rPr>
                <w:sz w:val="15"/>
                <w:szCs w:val="15"/>
                <w:color w:val="auto"/>
              </w:rPr>
            </w:pPr>
          </w:p>
        </w:tc>
        <w:tc>
          <w:tcPr>
            <w:tcW w:w="540" w:type="dxa"/>
            <w:vAlign w:val="bottom"/>
            <w:tcBorders>
              <w:right w:val="single" w:sz="8" w:color="BFBFBF"/>
            </w:tcBorders>
            <w:shd w:val="clear" w:color="auto" w:fill="BFBFBF"/>
          </w:tcPr>
          <w:p>
            <w:pPr>
              <w:spacing w:after="0"/>
              <w:rPr>
                <w:sz w:val="15"/>
                <w:szCs w:val="15"/>
                <w:color w:val="auto"/>
              </w:rPr>
            </w:pPr>
          </w:p>
        </w:tc>
        <w:tc>
          <w:tcPr>
            <w:tcW w:w="620" w:type="dxa"/>
            <w:vAlign w:val="bottom"/>
            <w:shd w:val="clear" w:color="auto" w:fill="BFBFBF"/>
          </w:tcPr>
          <w:p>
            <w:pPr>
              <w:spacing w:after="0"/>
              <w:rPr>
                <w:sz w:val="15"/>
                <w:szCs w:val="15"/>
                <w:color w:val="auto"/>
              </w:rPr>
            </w:pPr>
          </w:p>
        </w:tc>
        <w:tc>
          <w:tcPr>
            <w:tcW w:w="7800" w:type="dxa"/>
            <w:vAlign w:val="bottom"/>
            <w:shd w:val="clear" w:color="auto" w:fill="BFBFBF"/>
          </w:tcPr>
          <w:p>
            <w:pPr>
              <w:spacing w:after="0"/>
              <w:rPr>
                <w:sz w:val="15"/>
                <w:szCs w:val="15"/>
                <w:color w:val="auto"/>
              </w:rPr>
            </w:pPr>
          </w:p>
        </w:tc>
        <w:tc>
          <w:tcPr>
            <w:tcW w:w="520" w:type="dxa"/>
            <w:vAlign w:val="bottom"/>
            <w:tcBorders>
              <w:right w:val="single" w:sz="8" w:color="auto"/>
            </w:tcBorders>
            <w:shd w:val="clear" w:color="auto" w:fill="BFBFB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0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right w:val="single" w:sz="8" w:color="BFBFBF"/>
            </w:tcBorders>
            <w:shd w:val="clear" w:color="auto" w:fill="BFBFBF"/>
          </w:tcPr>
          <w:p>
            <w:pPr>
              <w:spacing w:after="0"/>
              <w:rPr>
                <w:sz w:val="15"/>
                <w:szCs w:val="15"/>
                <w:color w:val="auto"/>
              </w:rPr>
            </w:pPr>
          </w:p>
        </w:tc>
        <w:tc>
          <w:tcPr>
            <w:tcW w:w="720" w:type="dxa"/>
            <w:vAlign w:val="bottom"/>
            <w:tcBorders>
              <w:bottom w:val="single" w:sz="8" w:color="auto"/>
              <w:right w:val="single" w:sz="8" w:color="BFBFBF"/>
            </w:tcBorders>
            <w:gridSpan w:val="2"/>
            <w:shd w:val="clear" w:color="auto" w:fill="BFBFBF"/>
          </w:tcPr>
          <w:p>
            <w:pPr>
              <w:spacing w:after="0"/>
              <w:rPr>
                <w:sz w:val="15"/>
                <w:szCs w:val="15"/>
                <w:color w:val="auto"/>
              </w:rPr>
            </w:pPr>
          </w:p>
        </w:tc>
        <w:tc>
          <w:tcPr>
            <w:tcW w:w="8420" w:type="dxa"/>
            <w:vAlign w:val="bottom"/>
            <w:tcBorders>
              <w:bottom w:val="single" w:sz="8" w:color="auto"/>
            </w:tcBorders>
            <w:gridSpan w:val="2"/>
            <w:shd w:val="clear" w:color="auto" w:fill="BFBFBF"/>
          </w:tcPr>
          <w:p>
            <w:pPr>
              <w:spacing w:after="0"/>
              <w:rPr>
                <w:sz w:val="15"/>
                <w:szCs w:val="15"/>
                <w:color w:val="auto"/>
              </w:rPr>
            </w:pPr>
          </w:p>
        </w:tc>
        <w:tc>
          <w:tcPr>
            <w:tcW w:w="520" w:type="dxa"/>
            <w:vAlign w:val="bottom"/>
            <w:tcBorders>
              <w:bottom w:val="single" w:sz="8" w:color="auto"/>
              <w:right w:val="single" w:sz="8" w:color="auto"/>
            </w:tcBorders>
            <w:shd w:val="clear" w:color="auto" w:fill="BFBFB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1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6"/>
                <w:szCs w:val="26"/>
                <w:b w:val="1"/>
                <w:bCs w:val="1"/>
                <w:color w:val="auto"/>
                <w:w w:val="96"/>
              </w:rPr>
              <w:t>4</w:t>
            </w:r>
          </w:p>
        </w:tc>
        <w:tc>
          <w:tcPr>
            <w:tcW w:w="9840" w:type="dxa"/>
            <w:vAlign w:val="bottom"/>
            <w:gridSpan w:val="5"/>
          </w:tcPr>
          <w:p>
            <w:pPr>
              <w:spacing w:after="0"/>
              <w:rPr>
                <w:sz w:val="20"/>
                <w:szCs w:val="20"/>
                <w:color w:val="auto"/>
              </w:rPr>
            </w:pPr>
            <w:r>
              <w:rPr>
                <w:rFonts w:ascii="Arial" w:cs="Arial" w:eastAsia="Arial" w:hAnsi="Arial"/>
                <w:sz w:val="15"/>
                <w:szCs w:val="15"/>
                <w:b w:val="1"/>
                <w:bCs w:val="1"/>
                <w:color w:val="auto"/>
              </w:rPr>
              <w:t>SOURCE OF FUNDS (SEE INSTRUCTIONS)</w:t>
            </w: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1100" w:type="dxa"/>
            <w:vAlign w:val="bottom"/>
            <w:tcBorders>
              <w:left w:val="single" w:sz="8" w:color="auto"/>
              <w:right w:val="single" w:sz="8" w:color="auto"/>
            </w:tcBorders>
            <w:vMerge w:val="continue"/>
          </w:tcPr>
          <w:p>
            <w:pPr>
              <w:spacing w:after="0"/>
              <w:rPr>
                <w:sz w:val="21"/>
                <w:szCs w:val="21"/>
                <w:color w:val="auto"/>
              </w:rPr>
            </w:pPr>
          </w:p>
        </w:tc>
        <w:tc>
          <w:tcPr>
            <w:tcW w:w="1420" w:type="dxa"/>
            <w:vAlign w:val="bottom"/>
            <w:gridSpan w:val="3"/>
          </w:tcPr>
          <w:p>
            <w:pPr>
              <w:ind w:left="20"/>
              <w:spacing w:after="0"/>
              <w:rPr>
                <w:sz w:val="20"/>
                <w:szCs w:val="20"/>
                <w:color w:val="auto"/>
              </w:rPr>
            </w:pPr>
            <w:r>
              <w:rPr>
                <w:rFonts w:ascii="Arial" w:cs="Arial" w:eastAsia="Arial" w:hAnsi="Arial"/>
                <w:sz w:val="15"/>
                <w:szCs w:val="15"/>
                <w:b w:val="1"/>
                <w:bCs w:val="1"/>
                <w:color w:val="auto"/>
              </w:rPr>
              <w:t>Not applicable</w:t>
            </w:r>
          </w:p>
        </w:tc>
        <w:tc>
          <w:tcPr>
            <w:tcW w:w="620" w:type="dxa"/>
            <w:vAlign w:val="bottom"/>
          </w:tcPr>
          <w:p>
            <w:pPr>
              <w:spacing w:after="0"/>
              <w:rPr>
                <w:sz w:val="21"/>
                <w:szCs w:val="21"/>
                <w:color w:val="auto"/>
              </w:rPr>
            </w:pPr>
          </w:p>
        </w:tc>
        <w:tc>
          <w:tcPr>
            <w:tcW w:w="7800" w:type="dxa"/>
            <w:vAlign w:val="bottom"/>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100" w:type="dxa"/>
            <w:vAlign w:val="bottom"/>
            <w:tcBorders>
              <w:left w:val="single" w:sz="8" w:color="auto"/>
              <w:bottom w:val="single" w:sz="8" w:color="auto"/>
              <w:right w:val="single" w:sz="8" w:color="auto"/>
            </w:tcBorders>
          </w:tcPr>
          <w:p>
            <w:pPr>
              <w:spacing w:after="0"/>
              <w:rPr>
                <w:sz w:val="7"/>
                <w:szCs w:val="7"/>
                <w:color w:val="auto"/>
              </w:rPr>
            </w:pPr>
          </w:p>
        </w:tc>
        <w:tc>
          <w:tcPr>
            <w:tcW w:w="9840" w:type="dxa"/>
            <w:vAlign w:val="bottom"/>
            <w:tcBorders>
              <w:bottom w:val="single" w:sz="8" w:color="auto"/>
            </w:tcBorders>
            <w:gridSpan w:val="5"/>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11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6"/>
                <w:szCs w:val="26"/>
                <w:b w:val="1"/>
                <w:bCs w:val="1"/>
                <w:color w:val="auto"/>
                <w:w w:val="96"/>
              </w:rPr>
              <w:t>5</w:t>
            </w:r>
          </w:p>
        </w:tc>
        <w:tc>
          <w:tcPr>
            <w:tcW w:w="9840" w:type="dxa"/>
            <w:vAlign w:val="bottom"/>
            <w:gridSpan w:val="5"/>
          </w:tcPr>
          <w:p>
            <w:pPr>
              <w:spacing w:after="0"/>
              <w:rPr>
                <w:sz w:val="20"/>
                <w:szCs w:val="20"/>
                <w:color w:val="auto"/>
              </w:rPr>
            </w:pPr>
            <w:r>
              <w:rPr>
                <w:rFonts w:ascii="Arial" w:cs="Arial" w:eastAsia="Arial" w:hAnsi="Arial"/>
                <w:sz w:val="15"/>
                <w:szCs w:val="15"/>
                <w:b w:val="1"/>
                <w:bCs w:val="1"/>
                <w:color w:val="auto"/>
              </w:rPr>
              <w:t>CHECK BOX IF DISCLOSURE OF LEGAL PROCEEDINGS IS REQUIRED PURSUANT TO ITEM 2(D) OR 2(E)</w:t>
            </w:r>
          </w:p>
        </w:tc>
        <w:tc>
          <w:tcPr>
            <w:tcW w:w="520" w:type="dxa"/>
            <w:vAlign w:val="bottom"/>
            <w:tcBorders>
              <w:right w:val="single" w:sz="8" w:color="auto"/>
            </w:tcBorders>
          </w:tcPr>
          <w:p>
            <w:pPr>
              <w:jc w:val="right"/>
              <w:ind w:right="48"/>
              <w:spacing w:after="0" w:line="151" w:lineRule="exact"/>
              <w:rPr>
                <w:sz w:val="20"/>
                <w:szCs w:val="20"/>
                <w:color w:val="auto"/>
              </w:rPr>
            </w:pP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189"/>
        </w:trPr>
        <w:tc>
          <w:tcPr>
            <w:tcW w:w="1100" w:type="dxa"/>
            <w:vAlign w:val="bottom"/>
            <w:tcBorders>
              <w:left w:val="single" w:sz="8" w:color="auto"/>
              <w:right w:val="single" w:sz="8" w:color="auto"/>
            </w:tcBorders>
            <w:vMerge w:val="continue"/>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1100" w:type="dxa"/>
            <w:vAlign w:val="bottom"/>
            <w:tcBorders>
              <w:left w:val="single" w:sz="8" w:color="auto"/>
              <w:bottom w:val="single" w:sz="8" w:color="auto"/>
              <w:right w:val="single" w:sz="8" w:color="auto"/>
            </w:tcBorders>
          </w:tcPr>
          <w:p>
            <w:pPr>
              <w:spacing w:after="0"/>
              <w:rPr>
                <w:sz w:val="9"/>
                <w:szCs w:val="9"/>
                <w:color w:val="auto"/>
              </w:rPr>
            </w:pPr>
          </w:p>
        </w:tc>
        <w:tc>
          <w:tcPr>
            <w:tcW w:w="9840" w:type="dxa"/>
            <w:vAlign w:val="bottom"/>
            <w:tcBorders>
              <w:bottom w:val="single" w:sz="8" w:color="auto"/>
            </w:tcBorders>
            <w:gridSpan w:val="5"/>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11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6"/>
                <w:szCs w:val="26"/>
                <w:b w:val="1"/>
                <w:bCs w:val="1"/>
                <w:color w:val="auto"/>
                <w:w w:val="96"/>
              </w:rPr>
              <w:t>6</w:t>
            </w:r>
          </w:p>
        </w:tc>
        <w:tc>
          <w:tcPr>
            <w:tcW w:w="9840" w:type="dxa"/>
            <w:vAlign w:val="bottom"/>
            <w:gridSpan w:val="5"/>
          </w:tcPr>
          <w:p>
            <w:pPr>
              <w:spacing w:after="0"/>
              <w:rPr>
                <w:sz w:val="20"/>
                <w:szCs w:val="20"/>
                <w:color w:val="auto"/>
              </w:rPr>
            </w:pPr>
            <w:r>
              <w:rPr>
                <w:rFonts w:ascii="Arial" w:cs="Arial" w:eastAsia="Arial" w:hAnsi="Arial"/>
                <w:sz w:val="15"/>
                <w:szCs w:val="15"/>
                <w:b w:val="1"/>
                <w:bCs w:val="1"/>
                <w:color w:val="auto"/>
              </w:rPr>
              <w:t>CITIZENSHIP OR PLACE OF ORGANIZATION</w:t>
            </w: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1100" w:type="dxa"/>
            <w:vAlign w:val="bottom"/>
            <w:tcBorders>
              <w:left w:val="single" w:sz="8" w:color="auto"/>
              <w:right w:val="single" w:sz="8" w:color="auto"/>
            </w:tcBorders>
            <w:vMerge w:val="continue"/>
          </w:tcPr>
          <w:p>
            <w:pPr>
              <w:spacing w:after="0"/>
              <w:rPr>
                <w:sz w:val="21"/>
                <w:szCs w:val="21"/>
                <w:color w:val="auto"/>
              </w:rPr>
            </w:pPr>
          </w:p>
        </w:tc>
        <w:tc>
          <w:tcPr>
            <w:tcW w:w="880" w:type="dxa"/>
            <w:vAlign w:val="bottom"/>
            <w:gridSpan w:val="2"/>
          </w:tcPr>
          <w:p>
            <w:pPr>
              <w:ind w:left="20"/>
              <w:spacing w:after="0"/>
              <w:rPr>
                <w:sz w:val="20"/>
                <w:szCs w:val="20"/>
                <w:color w:val="auto"/>
              </w:rPr>
            </w:pPr>
            <w:r>
              <w:rPr>
                <w:rFonts w:ascii="Arial" w:cs="Arial" w:eastAsia="Arial" w:hAnsi="Arial"/>
                <w:sz w:val="15"/>
                <w:szCs w:val="15"/>
                <w:b w:val="1"/>
                <w:bCs w:val="1"/>
                <w:color w:val="auto"/>
                <w:w w:val="87"/>
              </w:rPr>
              <w:t>United States</w:t>
            </w: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0" w:type="dxa"/>
            <w:vAlign w:val="bottom"/>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100" w:type="dxa"/>
            <w:vAlign w:val="bottom"/>
            <w:tcBorders>
              <w:left w:val="single" w:sz="8" w:color="auto"/>
              <w:bottom w:val="single" w:sz="8" w:color="auto"/>
              <w:right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8420" w:type="dxa"/>
            <w:vAlign w:val="bottom"/>
            <w:tcBorders>
              <w:bottom w:val="single" w:sz="8" w:color="auto"/>
            </w:tcBorders>
            <w:gridSpan w:val="2"/>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1100" w:type="dxa"/>
            <w:vAlign w:val="bottom"/>
            <w:tcBorders>
              <w:lef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Borders>
              <w:right w:val="single" w:sz="8" w:color="auto"/>
            </w:tcBorders>
            <w:vMerge w:val="restart"/>
          </w:tcPr>
          <w:p>
            <w:pPr>
              <w:jc w:val="center"/>
              <w:ind w:right="88"/>
              <w:spacing w:after="0"/>
              <w:rPr>
                <w:sz w:val="20"/>
                <w:szCs w:val="20"/>
                <w:color w:val="auto"/>
              </w:rPr>
            </w:pPr>
            <w:r>
              <w:rPr>
                <w:rFonts w:ascii="Arial" w:cs="Arial" w:eastAsia="Arial" w:hAnsi="Arial"/>
                <w:sz w:val="26"/>
                <w:szCs w:val="26"/>
                <w:b w:val="1"/>
                <w:bCs w:val="1"/>
                <w:color w:val="auto"/>
                <w:w w:val="82"/>
              </w:rPr>
              <w:t>7</w:t>
            </w:r>
          </w:p>
        </w:tc>
        <w:tc>
          <w:tcPr>
            <w:tcW w:w="8420" w:type="dxa"/>
            <w:vAlign w:val="bottom"/>
            <w:gridSpan w:val="2"/>
          </w:tcPr>
          <w:p>
            <w:pPr>
              <w:spacing w:after="0"/>
              <w:rPr>
                <w:sz w:val="20"/>
                <w:szCs w:val="20"/>
                <w:color w:val="auto"/>
              </w:rPr>
            </w:pPr>
            <w:r>
              <w:rPr>
                <w:rFonts w:ascii="Arial" w:cs="Arial" w:eastAsia="Arial" w:hAnsi="Arial"/>
                <w:sz w:val="15"/>
                <w:szCs w:val="15"/>
                <w:b w:val="1"/>
                <w:bCs w:val="1"/>
                <w:color w:val="auto"/>
              </w:rPr>
              <w:t>SOLE VOTING POWER</w:t>
            </w: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1100" w:type="dxa"/>
            <w:vAlign w:val="bottom"/>
            <w:tcBorders>
              <w:left w:val="single" w:sz="8" w:color="auto"/>
            </w:tcBorders>
          </w:tcPr>
          <w:p>
            <w:pPr>
              <w:spacing w:after="0"/>
              <w:rPr>
                <w:sz w:val="21"/>
                <w:szCs w:val="21"/>
                <w:color w:val="auto"/>
              </w:rPr>
            </w:pPr>
          </w:p>
        </w:tc>
        <w:tc>
          <w:tcPr>
            <w:tcW w:w="70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Borders>
              <w:right w:val="single" w:sz="8" w:color="auto"/>
            </w:tcBorders>
            <w:vMerge w:val="continue"/>
          </w:tcPr>
          <w:p>
            <w:pPr>
              <w:spacing w:after="0"/>
              <w:rPr>
                <w:sz w:val="21"/>
                <w:szCs w:val="21"/>
                <w:color w:val="auto"/>
              </w:rPr>
            </w:pPr>
          </w:p>
        </w:tc>
        <w:tc>
          <w:tcPr>
            <w:tcW w:w="620" w:type="dxa"/>
            <w:vAlign w:val="bottom"/>
          </w:tcPr>
          <w:p>
            <w:pPr>
              <w:jc w:val="right"/>
              <w:ind w:right="70"/>
              <w:spacing w:after="0"/>
              <w:rPr>
                <w:sz w:val="20"/>
                <w:szCs w:val="20"/>
                <w:color w:val="auto"/>
              </w:rPr>
            </w:pPr>
            <w:r>
              <w:rPr>
                <w:rFonts w:ascii="Arial" w:cs="Arial" w:eastAsia="Arial" w:hAnsi="Arial"/>
                <w:sz w:val="15"/>
                <w:szCs w:val="15"/>
                <w:b w:val="1"/>
                <w:bCs w:val="1"/>
                <w:color w:val="auto"/>
                <w:w w:val="84"/>
              </w:rPr>
              <w:t>435,664</w:t>
            </w:r>
          </w:p>
        </w:tc>
        <w:tc>
          <w:tcPr>
            <w:tcW w:w="7800" w:type="dxa"/>
            <w:vAlign w:val="bottom"/>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100" w:type="dxa"/>
            <w:vAlign w:val="bottom"/>
            <w:tcBorders>
              <w:left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8420" w:type="dxa"/>
            <w:vAlign w:val="bottom"/>
            <w:tcBorders>
              <w:bottom w:val="single" w:sz="8" w:color="auto"/>
            </w:tcBorders>
            <w:gridSpan w:val="2"/>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1800" w:type="dxa"/>
            <w:vAlign w:val="bottom"/>
            <w:tcBorders>
              <w:left w:val="single" w:sz="8" w:color="auto"/>
              <w:right w:val="single" w:sz="8" w:color="auto"/>
            </w:tcBorders>
            <w:gridSpan w:val="2"/>
            <w:vMerge w:val="restart"/>
          </w:tcPr>
          <w:p>
            <w:pPr>
              <w:jc w:val="center"/>
              <w:spacing w:after="0"/>
              <w:rPr>
                <w:sz w:val="20"/>
                <w:szCs w:val="20"/>
                <w:color w:val="auto"/>
              </w:rPr>
            </w:pPr>
            <w:r>
              <w:rPr>
                <w:rFonts w:ascii="Arial" w:cs="Arial" w:eastAsia="Arial" w:hAnsi="Arial"/>
                <w:sz w:val="15"/>
                <w:szCs w:val="15"/>
                <w:b w:val="1"/>
                <w:bCs w:val="1"/>
                <w:color w:val="auto"/>
                <w:w w:val="96"/>
              </w:rPr>
              <w:t>NUMBER OF SHARES</w:t>
            </w:r>
          </w:p>
        </w:tc>
        <w:tc>
          <w:tcPr>
            <w:tcW w:w="180" w:type="dxa"/>
            <w:vAlign w:val="bottom"/>
          </w:tcPr>
          <w:p>
            <w:pPr>
              <w:spacing w:after="0"/>
              <w:rPr>
                <w:sz w:val="15"/>
                <w:szCs w:val="15"/>
                <w:color w:val="auto"/>
              </w:rPr>
            </w:pPr>
          </w:p>
        </w:tc>
        <w:tc>
          <w:tcPr>
            <w:tcW w:w="540" w:type="dxa"/>
            <w:vAlign w:val="bottom"/>
            <w:tcBorders>
              <w:right w:val="single" w:sz="8" w:color="auto"/>
            </w:tcBorders>
            <w:vMerge w:val="restart"/>
          </w:tcPr>
          <w:p>
            <w:pPr>
              <w:jc w:val="center"/>
              <w:ind w:right="88"/>
              <w:spacing w:after="0"/>
              <w:rPr>
                <w:sz w:val="20"/>
                <w:szCs w:val="20"/>
                <w:color w:val="auto"/>
              </w:rPr>
            </w:pPr>
            <w:r>
              <w:rPr>
                <w:rFonts w:ascii="Arial" w:cs="Arial" w:eastAsia="Arial" w:hAnsi="Arial"/>
                <w:sz w:val="26"/>
                <w:szCs w:val="26"/>
                <w:b w:val="1"/>
                <w:bCs w:val="1"/>
                <w:color w:val="auto"/>
                <w:w w:val="82"/>
              </w:rPr>
              <w:t>8</w:t>
            </w:r>
          </w:p>
        </w:tc>
        <w:tc>
          <w:tcPr>
            <w:tcW w:w="8420" w:type="dxa"/>
            <w:vAlign w:val="bottom"/>
            <w:gridSpan w:val="2"/>
          </w:tcPr>
          <w:p>
            <w:pPr>
              <w:spacing w:after="0"/>
              <w:rPr>
                <w:sz w:val="20"/>
                <w:szCs w:val="20"/>
                <w:color w:val="auto"/>
              </w:rPr>
            </w:pPr>
            <w:r>
              <w:rPr>
                <w:rFonts w:ascii="Arial" w:cs="Arial" w:eastAsia="Arial" w:hAnsi="Arial"/>
                <w:sz w:val="15"/>
                <w:szCs w:val="15"/>
                <w:b w:val="1"/>
                <w:bCs w:val="1"/>
                <w:color w:val="auto"/>
              </w:rPr>
              <w:t>SHARED VOTING POWER</w:t>
            </w: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1800" w:type="dxa"/>
            <w:vAlign w:val="bottom"/>
            <w:tcBorders>
              <w:left w:val="single" w:sz="8" w:color="auto"/>
              <w:right w:val="single" w:sz="8" w:color="auto"/>
            </w:tcBorders>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Borders>
              <w:right w:val="single" w:sz="8" w:color="auto"/>
            </w:tcBorders>
            <w:vMerge w:val="continue"/>
          </w:tcPr>
          <w:p>
            <w:pPr>
              <w:spacing w:after="0"/>
              <w:rPr>
                <w:sz w:val="17"/>
                <w:szCs w:val="17"/>
                <w:color w:val="auto"/>
              </w:rPr>
            </w:pPr>
          </w:p>
        </w:tc>
        <w:tc>
          <w:tcPr>
            <w:tcW w:w="620" w:type="dxa"/>
            <w:vAlign w:val="bottom"/>
          </w:tcPr>
          <w:p>
            <w:pPr>
              <w:jc w:val="right"/>
              <w:ind w:right="70"/>
              <w:spacing w:after="0"/>
              <w:rPr>
                <w:sz w:val="20"/>
                <w:szCs w:val="20"/>
                <w:color w:val="auto"/>
              </w:rPr>
            </w:pPr>
            <w:r>
              <w:rPr>
                <w:rFonts w:ascii="Arial" w:cs="Arial" w:eastAsia="Arial" w:hAnsi="Arial"/>
                <w:sz w:val="15"/>
                <w:szCs w:val="15"/>
                <w:b w:val="1"/>
                <w:bCs w:val="1"/>
                <w:color w:val="auto"/>
                <w:w w:val="84"/>
              </w:rPr>
              <w:t>685,834</w:t>
            </w:r>
          </w:p>
        </w:tc>
        <w:tc>
          <w:tcPr>
            <w:tcW w:w="7800" w:type="dxa"/>
            <w:vAlign w:val="bottom"/>
          </w:tcPr>
          <w:p>
            <w:pPr>
              <w:spacing w:after="0"/>
              <w:rPr>
                <w:sz w:val="17"/>
                <w:szCs w:val="17"/>
                <w:color w:val="auto"/>
              </w:rPr>
            </w:pPr>
          </w:p>
        </w:tc>
        <w:tc>
          <w:tcPr>
            <w:tcW w:w="5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1800" w:type="dxa"/>
            <w:vAlign w:val="bottom"/>
            <w:tcBorders>
              <w:left w:val="single" w:sz="8" w:color="auto"/>
              <w:right w:val="single" w:sz="8" w:color="auto"/>
            </w:tcBorders>
            <w:gridSpan w:val="2"/>
          </w:tcPr>
          <w:p>
            <w:pPr>
              <w:jc w:val="center"/>
              <w:spacing w:after="0" w:line="132" w:lineRule="exact"/>
              <w:rPr>
                <w:sz w:val="20"/>
                <w:szCs w:val="20"/>
                <w:color w:val="auto"/>
              </w:rPr>
            </w:pPr>
            <w:r>
              <w:rPr>
                <w:rFonts w:ascii="Arial" w:cs="Arial" w:eastAsia="Arial" w:hAnsi="Arial"/>
                <w:sz w:val="15"/>
                <w:szCs w:val="15"/>
                <w:b w:val="1"/>
                <w:bCs w:val="1"/>
                <w:color w:val="auto"/>
              </w:rPr>
              <w:t>BENEFICIALLY OWNED</w:t>
            </w: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right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7800" w:type="dxa"/>
            <w:vAlign w:val="bottom"/>
            <w:tcBorders>
              <w:bottom w:val="single" w:sz="8" w:color="auto"/>
            </w:tcBorders>
          </w:tcPr>
          <w:p>
            <w:pPr>
              <w:spacing w:after="0"/>
              <w:rPr>
                <w:sz w:val="11"/>
                <w:szCs w:val="11"/>
                <w:color w:val="auto"/>
              </w:rPr>
            </w:pPr>
          </w:p>
        </w:tc>
        <w:tc>
          <w:tcPr>
            <w:tcW w:w="5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1800" w:type="dxa"/>
            <w:vAlign w:val="bottom"/>
            <w:tcBorders>
              <w:left w:val="single" w:sz="8" w:color="auto"/>
              <w:right w:val="single" w:sz="8" w:color="auto"/>
            </w:tcBorders>
            <w:gridSpan w:val="2"/>
          </w:tcPr>
          <w:p>
            <w:pPr>
              <w:jc w:val="center"/>
              <w:spacing w:after="0" w:line="141" w:lineRule="exact"/>
              <w:rPr>
                <w:sz w:val="20"/>
                <w:szCs w:val="20"/>
                <w:color w:val="auto"/>
              </w:rPr>
            </w:pPr>
            <w:r>
              <w:rPr>
                <w:rFonts w:ascii="Arial" w:cs="Arial" w:eastAsia="Arial" w:hAnsi="Arial"/>
                <w:sz w:val="15"/>
                <w:szCs w:val="15"/>
                <w:b w:val="1"/>
                <w:bCs w:val="1"/>
                <w:color w:val="auto"/>
                <w:w w:val="98"/>
              </w:rPr>
              <w:t>BY EACH REPORTING</w:t>
            </w:r>
          </w:p>
        </w:tc>
        <w:tc>
          <w:tcPr>
            <w:tcW w:w="180" w:type="dxa"/>
            <w:vAlign w:val="bottom"/>
          </w:tcPr>
          <w:p>
            <w:pPr>
              <w:spacing w:after="0"/>
              <w:rPr>
                <w:sz w:val="12"/>
                <w:szCs w:val="12"/>
                <w:color w:val="auto"/>
              </w:rPr>
            </w:pPr>
          </w:p>
        </w:tc>
        <w:tc>
          <w:tcPr>
            <w:tcW w:w="540" w:type="dxa"/>
            <w:vAlign w:val="bottom"/>
            <w:tcBorders>
              <w:right w:val="single" w:sz="8" w:color="auto"/>
            </w:tcBorders>
            <w:vMerge w:val="restart"/>
          </w:tcPr>
          <w:p>
            <w:pPr>
              <w:jc w:val="center"/>
              <w:ind w:right="88"/>
              <w:spacing w:after="0"/>
              <w:rPr>
                <w:sz w:val="20"/>
                <w:szCs w:val="20"/>
                <w:color w:val="auto"/>
              </w:rPr>
            </w:pPr>
            <w:r>
              <w:rPr>
                <w:rFonts w:ascii="Arial" w:cs="Arial" w:eastAsia="Arial" w:hAnsi="Arial"/>
                <w:sz w:val="26"/>
                <w:szCs w:val="26"/>
                <w:b w:val="1"/>
                <w:bCs w:val="1"/>
                <w:color w:val="auto"/>
                <w:w w:val="82"/>
              </w:rPr>
              <w:t>9</w:t>
            </w:r>
          </w:p>
        </w:tc>
        <w:tc>
          <w:tcPr>
            <w:tcW w:w="8420" w:type="dxa"/>
            <w:vAlign w:val="bottom"/>
            <w:gridSpan w:val="2"/>
          </w:tcPr>
          <w:p>
            <w:pPr>
              <w:spacing w:after="0" w:line="141" w:lineRule="exact"/>
              <w:rPr>
                <w:sz w:val="20"/>
                <w:szCs w:val="20"/>
                <w:color w:val="auto"/>
              </w:rPr>
            </w:pPr>
            <w:r>
              <w:rPr>
                <w:rFonts w:ascii="Arial" w:cs="Arial" w:eastAsia="Arial" w:hAnsi="Arial"/>
                <w:sz w:val="15"/>
                <w:szCs w:val="15"/>
                <w:b w:val="1"/>
                <w:bCs w:val="1"/>
                <w:color w:val="auto"/>
              </w:rPr>
              <w:t>SOLE DISPOSITIVE POWER</w:t>
            </w:r>
          </w:p>
        </w:tc>
        <w:tc>
          <w:tcPr>
            <w:tcW w:w="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80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98"/>
              </w:rPr>
              <w:t>PERSON WITH</w:t>
            </w:r>
          </w:p>
        </w:tc>
        <w:tc>
          <w:tcPr>
            <w:tcW w:w="180" w:type="dxa"/>
            <w:vAlign w:val="bottom"/>
          </w:tcPr>
          <w:p>
            <w:pPr>
              <w:spacing w:after="0"/>
              <w:rPr>
                <w:sz w:val="16"/>
                <w:szCs w:val="16"/>
                <w:color w:val="auto"/>
              </w:rPr>
            </w:pPr>
          </w:p>
        </w:tc>
        <w:tc>
          <w:tcPr>
            <w:tcW w:w="540" w:type="dxa"/>
            <w:vAlign w:val="bottom"/>
            <w:tcBorders>
              <w:right w:val="single" w:sz="8" w:color="auto"/>
            </w:tcBorders>
            <w:vMerge w:val="continue"/>
          </w:tcPr>
          <w:p>
            <w:pPr>
              <w:spacing w:after="0"/>
              <w:rPr>
                <w:sz w:val="16"/>
                <w:szCs w:val="16"/>
                <w:color w:val="auto"/>
              </w:rPr>
            </w:pPr>
          </w:p>
        </w:tc>
        <w:tc>
          <w:tcPr>
            <w:tcW w:w="620" w:type="dxa"/>
            <w:vAlign w:val="bottom"/>
            <w:vMerge w:val="restart"/>
          </w:tcPr>
          <w:p>
            <w:pPr>
              <w:jc w:val="right"/>
              <w:ind w:right="70"/>
              <w:spacing w:after="0"/>
              <w:rPr>
                <w:sz w:val="20"/>
                <w:szCs w:val="20"/>
                <w:color w:val="auto"/>
              </w:rPr>
            </w:pPr>
            <w:r>
              <w:rPr>
                <w:rFonts w:ascii="Arial" w:cs="Arial" w:eastAsia="Arial" w:hAnsi="Arial"/>
                <w:sz w:val="15"/>
                <w:szCs w:val="15"/>
                <w:b w:val="1"/>
                <w:bCs w:val="1"/>
                <w:color w:val="auto"/>
                <w:w w:val="84"/>
              </w:rPr>
              <w:t>328,089</w:t>
            </w:r>
          </w:p>
        </w:tc>
        <w:tc>
          <w:tcPr>
            <w:tcW w:w="780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9"/>
        </w:trPr>
        <w:tc>
          <w:tcPr>
            <w:tcW w:w="1100" w:type="dxa"/>
            <w:vAlign w:val="bottom"/>
            <w:tcBorders>
              <w:left w:val="single" w:sz="8" w:color="auto"/>
            </w:tcBorders>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Borders>
              <w:right w:val="single" w:sz="8" w:color="auto"/>
            </w:tcBorders>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7800" w:type="dxa"/>
            <w:vAlign w:val="bottom"/>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100" w:type="dxa"/>
            <w:vAlign w:val="bottom"/>
            <w:tcBorders>
              <w:left w:val="single" w:sz="8" w:color="auto"/>
            </w:tcBorders>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40" w:type="dxa"/>
            <w:vAlign w:val="bottom"/>
            <w:tcBorders>
              <w:bottom w:val="single" w:sz="8" w:color="auto"/>
              <w:right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780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31"/>
        </w:trPr>
        <w:tc>
          <w:tcPr>
            <w:tcW w:w="1100" w:type="dxa"/>
            <w:vAlign w:val="bottom"/>
            <w:tcBorders>
              <w:left w:val="single" w:sz="8" w:color="auto"/>
            </w:tcBorders>
          </w:tcPr>
          <w:p>
            <w:pPr>
              <w:spacing w:after="0"/>
              <w:rPr>
                <w:sz w:val="24"/>
                <w:szCs w:val="24"/>
                <w:color w:val="auto"/>
              </w:rPr>
            </w:pPr>
          </w:p>
        </w:tc>
        <w:tc>
          <w:tcPr>
            <w:tcW w:w="70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Borders>
              <w:right w:val="single" w:sz="8" w:color="auto"/>
            </w:tcBorders>
          </w:tcPr>
          <w:p>
            <w:pPr>
              <w:jc w:val="center"/>
              <w:ind w:right="88"/>
              <w:spacing w:after="0"/>
              <w:rPr>
                <w:sz w:val="20"/>
                <w:szCs w:val="20"/>
                <w:color w:val="auto"/>
              </w:rPr>
            </w:pPr>
            <w:r>
              <w:rPr>
                <w:rFonts w:ascii="Arial" w:cs="Arial" w:eastAsia="Arial" w:hAnsi="Arial"/>
                <w:sz w:val="26"/>
                <w:szCs w:val="26"/>
                <w:b w:val="1"/>
                <w:bCs w:val="1"/>
                <w:color w:val="auto"/>
                <w:w w:val="96"/>
              </w:rPr>
              <w:t>10</w:t>
            </w:r>
          </w:p>
        </w:tc>
        <w:tc>
          <w:tcPr>
            <w:tcW w:w="620" w:type="dxa"/>
            <w:vAlign w:val="bottom"/>
          </w:tcPr>
          <w:p>
            <w:pPr>
              <w:spacing w:after="0"/>
              <w:rPr>
                <w:sz w:val="20"/>
                <w:szCs w:val="20"/>
                <w:color w:val="auto"/>
              </w:rPr>
            </w:pPr>
            <w:r>
              <w:rPr>
                <w:rFonts w:ascii="Arial" w:cs="Arial" w:eastAsia="Arial" w:hAnsi="Arial"/>
                <w:sz w:val="17"/>
                <w:szCs w:val="17"/>
                <w:b w:val="1"/>
                <w:bCs w:val="1"/>
                <w:color w:val="auto"/>
                <w:w w:val="71"/>
                <w:vertAlign w:val="superscript"/>
              </w:rPr>
              <w:t>SHARED</w:t>
            </w:r>
            <w:r>
              <w:rPr>
                <w:rFonts w:ascii="Arial" w:cs="Arial" w:eastAsia="Arial" w:hAnsi="Arial"/>
                <w:sz w:val="10"/>
                <w:szCs w:val="10"/>
                <w:b w:val="1"/>
                <w:bCs w:val="1"/>
                <w:color w:val="auto"/>
                <w:w w:val="71"/>
              </w:rPr>
              <w:t>685,834</w:t>
            </w:r>
          </w:p>
        </w:tc>
        <w:tc>
          <w:tcPr>
            <w:tcW w:w="7800" w:type="dxa"/>
            <w:vAlign w:val="bottom"/>
          </w:tcPr>
          <w:p>
            <w:pPr>
              <w:spacing w:after="0"/>
              <w:rPr>
                <w:sz w:val="20"/>
                <w:szCs w:val="20"/>
                <w:color w:val="auto"/>
              </w:rPr>
            </w:pPr>
            <w:r>
              <w:rPr>
                <w:rFonts w:ascii="Arial" w:cs="Arial" w:eastAsia="Arial" w:hAnsi="Arial"/>
                <w:sz w:val="15"/>
                <w:szCs w:val="15"/>
                <w:b w:val="1"/>
                <w:bCs w:val="1"/>
                <w:color w:val="auto"/>
              </w:rPr>
              <w:t>DISPOSITIVE POWER</w:t>
            </w:r>
          </w:p>
        </w:tc>
        <w:tc>
          <w:tcPr>
            <w:tcW w:w="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100" w:type="dxa"/>
            <w:vAlign w:val="bottom"/>
            <w:tcBorders>
              <w:left w:val="single" w:sz="8" w:color="auto"/>
              <w:bottom w:val="single" w:sz="8" w:color="auto"/>
            </w:tcBorders>
          </w:tcPr>
          <w:p>
            <w:pPr>
              <w:spacing w:after="0"/>
              <w:rPr>
                <w:sz w:val="7"/>
                <w:szCs w:val="7"/>
                <w:color w:val="auto"/>
              </w:rPr>
            </w:pPr>
          </w:p>
        </w:tc>
        <w:tc>
          <w:tcPr>
            <w:tcW w:w="700" w:type="dxa"/>
            <w:vAlign w:val="bottom"/>
            <w:tcBorders>
              <w:bottom w:val="single" w:sz="8" w:color="auto"/>
              <w:right w:val="single" w:sz="8" w:color="auto"/>
            </w:tcBorders>
          </w:tcPr>
          <w:p>
            <w:pPr>
              <w:spacing w:after="0"/>
              <w:rPr>
                <w:sz w:val="7"/>
                <w:szCs w:val="7"/>
                <w:color w:val="auto"/>
              </w:rPr>
            </w:pPr>
          </w:p>
        </w:tc>
        <w:tc>
          <w:tcPr>
            <w:tcW w:w="720" w:type="dxa"/>
            <w:vAlign w:val="bottom"/>
            <w:tcBorders>
              <w:bottom w:val="single" w:sz="8" w:color="auto"/>
              <w:right w:val="single" w:sz="8" w:color="auto"/>
            </w:tcBorders>
            <w:gridSpan w:val="2"/>
          </w:tcPr>
          <w:p>
            <w:pPr>
              <w:spacing w:after="0"/>
              <w:rPr>
                <w:sz w:val="7"/>
                <w:szCs w:val="7"/>
                <w:color w:val="auto"/>
              </w:rPr>
            </w:pPr>
          </w:p>
        </w:tc>
        <w:tc>
          <w:tcPr>
            <w:tcW w:w="8420" w:type="dxa"/>
            <w:vAlign w:val="bottom"/>
            <w:tcBorders>
              <w:bottom w:val="single" w:sz="8" w:color="auto"/>
            </w:tcBorders>
            <w:gridSpan w:val="2"/>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11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6"/>
                <w:szCs w:val="26"/>
                <w:b w:val="1"/>
                <w:bCs w:val="1"/>
                <w:color w:val="auto"/>
                <w:w w:val="89"/>
              </w:rPr>
              <w:t>11</w:t>
            </w:r>
          </w:p>
        </w:tc>
        <w:tc>
          <w:tcPr>
            <w:tcW w:w="9840" w:type="dxa"/>
            <w:vAlign w:val="bottom"/>
            <w:gridSpan w:val="5"/>
          </w:tcPr>
          <w:p>
            <w:pPr>
              <w:spacing w:after="0"/>
              <w:rPr>
                <w:sz w:val="20"/>
                <w:szCs w:val="20"/>
                <w:color w:val="auto"/>
              </w:rPr>
            </w:pPr>
            <w:r>
              <w:rPr>
                <w:rFonts w:ascii="Arial" w:cs="Arial" w:eastAsia="Arial" w:hAnsi="Arial"/>
                <w:sz w:val="15"/>
                <w:szCs w:val="15"/>
                <w:b w:val="1"/>
                <w:bCs w:val="1"/>
                <w:color w:val="auto"/>
              </w:rPr>
              <w:t>AGGREGATE AMOUNT BENEFICIALLY OWNED BY EACH REPORTING PERSON</w:t>
            </w: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1100" w:type="dxa"/>
            <w:vAlign w:val="bottom"/>
            <w:tcBorders>
              <w:left w:val="single" w:sz="8" w:color="auto"/>
              <w:right w:val="single" w:sz="8" w:color="auto"/>
            </w:tcBorders>
            <w:vMerge w:val="continue"/>
          </w:tcPr>
          <w:p>
            <w:pPr>
              <w:spacing w:after="0"/>
              <w:rPr>
                <w:sz w:val="21"/>
                <w:szCs w:val="21"/>
                <w:color w:val="auto"/>
              </w:rPr>
            </w:pPr>
          </w:p>
        </w:tc>
        <w:tc>
          <w:tcPr>
            <w:tcW w:w="700" w:type="dxa"/>
            <w:vAlign w:val="bottom"/>
          </w:tcPr>
          <w:p>
            <w:pPr>
              <w:ind w:left="20"/>
              <w:spacing w:after="0"/>
              <w:rPr>
                <w:sz w:val="20"/>
                <w:szCs w:val="20"/>
                <w:color w:val="auto"/>
              </w:rPr>
            </w:pPr>
            <w:r>
              <w:rPr>
                <w:rFonts w:ascii="Arial" w:cs="Arial" w:eastAsia="Arial" w:hAnsi="Arial"/>
                <w:sz w:val="15"/>
                <w:szCs w:val="15"/>
                <w:b w:val="1"/>
                <w:bCs w:val="1"/>
                <w:color w:val="auto"/>
                <w:w w:val="95"/>
              </w:rPr>
              <w:t>1,121,498</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0" w:type="dxa"/>
            <w:vAlign w:val="bottom"/>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100" w:type="dxa"/>
            <w:vAlign w:val="bottom"/>
            <w:tcBorders>
              <w:left w:val="single" w:sz="8" w:color="auto"/>
              <w:bottom w:val="single" w:sz="8" w:color="auto"/>
              <w:right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gridSpan w:val="2"/>
          </w:tcPr>
          <w:p>
            <w:pPr>
              <w:spacing w:after="0"/>
              <w:rPr>
                <w:sz w:val="7"/>
                <w:szCs w:val="7"/>
                <w:color w:val="auto"/>
              </w:rPr>
            </w:pPr>
          </w:p>
        </w:tc>
        <w:tc>
          <w:tcPr>
            <w:tcW w:w="8420" w:type="dxa"/>
            <w:vAlign w:val="bottom"/>
            <w:tcBorders>
              <w:bottom w:val="single" w:sz="8" w:color="auto"/>
            </w:tcBorders>
            <w:gridSpan w:val="2"/>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11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6"/>
                <w:szCs w:val="26"/>
                <w:b w:val="1"/>
                <w:bCs w:val="1"/>
                <w:color w:val="auto"/>
                <w:w w:val="89"/>
              </w:rPr>
              <w:t>12</w:t>
            </w:r>
          </w:p>
        </w:tc>
        <w:tc>
          <w:tcPr>
            <w:tcW w:w="9840" w:type="dxa"/>
            <w:vAlign w:val="bottom"/>
            <w:gridSpan w:val="5"/>
          </w:tcPr>
          <w:p>
            <w:pPr>
              <w:spacing w:after="0"/>
              <w:rPr>
                <w:sz w:val="20"/>
                <w:szCs w:val="20"/>
                <w:color w:val="auto"/>
              </w:rPr>
            </w:pPr>
            <w:r>
              <w:rPr>
                <w:rFonts w:ascii="Arial" w:cs="Arial" w:eastAsia="Arial" w:hAnsi="Arial"/>
                <w:sz w:val="15"/>
                <w:szCs w:val="15"/>
                <w:b w:val="1"/>
                <w:bCs w:val="1"/>
                <w:color w:val="auto"/>
              </w:rPr>
              <w:t>CHECK BOX IF THE AGGREGATE AMOUNT IN ROW (11) EXCLUDES CERTAIN SHARES (SEE INSTRUCTIONS)</w:t>
            </w:r>
          </w:p>
        </w:tc>
        <w:tc>
          <w:tcPr>
            <w:tcW w:w="520" w:type="dxa"/>
            <w:vAlign w:val="bottom"/>
            <w:tcBorders>
              <w:right w:val="single" w:sz="8" w:color="auto"/>
            </w:tcBorders>
          </w:tcPr>
          <w:p>
            <w:pPr>
              <w:jc w:val="right"/>
              <w:ind w:right="48"/>
              <w:spacing w:after="0" w:line="151" w:lineRule="exact"/>
              <w:rPr>
                <w:sz w:val="20"/>
                <w:szCs w:val="20"/>
                <w:color w:val="auto"/>
              </w:rPr>
            </w:pPr>
            <w:r>
              <w:rPr>
                <w:rFonts w:ascii="MS PGothic" w:cs="MS PGothic" w:eastAsia="MS PGothic" w:hAnsi="MS PGothic"/>
                <w:sz w:val="15"/>
                <w:szCs w:val="15"/>
                <w:color w:val="auto"/>
              </w:rPr>
              <w:t>☐</w:t>
            </w:r>
          </w:p>
        </w:tc>
        <w:tc>
          <w:tcPr>
            <w:tcW w:w="0" w:type="dxa"/>
            <w:vAlign w:val="bottom"/>
          </w:tcPr>
          <w:p>
            <w:pPr>
              <w:spacing w:after="0"/>
              <w:rPr>
                <w:sz w:val="1"/>
                <w:szCs w:val="1"/>
                <w:color w:val="auto"/>
              </w:rPr>
            </w:pPr>
          </w:p>
        </w:tc>
      </w:tr>
      <w:tr>
        <w:trPr>
          <w:trHeight w:val="189"/>
        </w:trPr>
        <w:tc>
          <w:tcPr>
            <w:tcW w:w="1100" w:type="dxa"/>
            <w:vAlign w:val="bottom"/>
            <w:tcBorders>
              <w:left w:val="single" w:sz="8" w:color="auto"/>
              <w:right w:val="single" w:sz="8" w:color="auto"/>
            </w:tcBorders>
            <w:vMerge w:val="continue"/>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0" w:type="dxa"/>
            <w:vAlign w:val="bottom"/>
          </w:tcPr>
          <w:p>
            <w:pPr>
              <w:spacing w:after="0"/>
              <w:rPr>
                <w:sz w:val="16"/>
                <w:szCs w:val="16"/>
                <w:color w:val="auto"/>
              </w:rPr>
            </w:pPr>
          </w:p>
        </w:tc>
        <w:tc>
          <w:tcPr>
            <w:tcW w:w="5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1100" w:type="dxa"/>
            <w:vAlign w:val="bottom"/>
            <w:tcBorders>
              <w:left w:val="single" w:sz="8" w:color="auto"/>
              <w:bottom w:val="single" w:sz="8" w:color="auto"/>
              <w:right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gridSpan w:val="2"/>
          </w:tcPr>
          <w:p>
            <w:pPr>
              <w:spacing w:after="0"/>
              <w:rPr>
                <w:sz w:val="9"/>
                <w:szCs w:val="9"/>
                <w:color w:val="auto"/>
              </w:rPr>
            </w:pPr>
          </w:p>
        </w:tc>
        <w:tc>
          <w:tcPr>
            <w:tcW w:w="8420" w:type="dxa"/>
            <w:vAlign w:val="bottom"/>
            <w:tcBorders>
              <w:bottom w:val="single" w:sz="8" w:color="auto"/>
            </w:tcBorders>
            <w:gridSpan w:val="2"/>
          </w:tcPr>
          <w:p>
            <w:pPr>
              <w:spacing w:after="0"/>
              <w:rPr>
                <w:sz w:val="9"/>
                <w:szCs w:val="9"/>
                <w:color w:val="auto"/>
              </w:rPr>
            </w:pPr>
          </w:p>
        </w:tc>
        <w:tc>
          <w:tcPr>
            <w:tcW w:w="5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2"/>
        </w:trPr>
        <w:tc>
          <w:tcPr>
            <w:tcW w:w="1100" w:type="dxa"/>
            <w:vAlign w:val="bottom"/>
            <w:tcBorders>
              <w:left w:val="single" w:sz="8" w:color="auto"/>
              <w:right w:val="single" w:sz="8" w:color="auto"/>
            </w:tcBorders>
          </w:tcPr>
          <w:p>
            <w:pPr>
              <w:spacing w:after="0"/>
              <w:rPr>
                <w:sz w:val="13"/>
                <w:szCs w:val="13"/>
                <w:color w:val="auto"/>
              </w:rPr>
            </w:pPr>
          </w:p>
        </w:tc>
        <w:tc>
          <w:tcPr>
            <w:tcW w:w="9840" w:type="dxa"/>
            <w:vAlign w:val="bottom"/>
            <w:gridSpan w:val="5"/>
          </w:tcPr>
          <w:p>
            <w:pPr>
              <w:spacing w:after="0" w:line="152" w:lineRule="exact"/>
              <w:rPr>
                <w:sz w:val="20"/>
                <w:szCs w:val="20"/>
                <w:color w:val="auto"/>
              </w:rPr>
            </w:pPr>
            <w:r>
              <w:rPr>
                <w:rFonts w:ascii="Arial" w:cs="Arial" w:eastAsia="Arial" w:hAnsi="Arial"/>
                <w:sz w:val="15"/>
                <w:szCs w:val="15"/>
                <w:b w:val="1"/>
                <w:bCs w:val="1"/>
                <w:color w:val="auto"/>
              </w:rPr>
              <w:t>PERCENT OF CLASS REPRESENTED BY AMOUNT IN ROW (11)</w:t>
            </w:r>
          </w:p>
        </w:tc>
        <w:tc>
          <w:tcPr>
            <w:tcW w:w="5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1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6"/>
                <w:szCs w:val="26"/>
                <w:b w:val="1"/>
                <w:bCs w:val="1"/>
                <w:color w:val="auto"/>
                <w:w w:val="89"/>
              </w:rPr>
              <w:t>13</w:t>
            </w:r>
          </w:p>
        </w:tc>
        <w:tc>
          <w:tcPr>
            <w:tcW w:w="700" w:type="dxa"/>
            <w:vAlign w:val="bottom"/>
          </w:tcPr>
          <w:p>
            <w:pPr>
              <w:ind w:left="20"/>
              <w:spacing w:after="0"/>
              <w:rPr>
                <w:sz w:val="20"/>
                <w:szCs w:val="20"/>
                <w:color w:val="auto"/>
              </w:rPr>
            </w:pPr>
            <w:r>
              <w:rPr>
                <w:rFonts w:ascii="Arial" w:cs="Arial" w:eastAsia="Arial" w:hAnsi="Arial"/>
                <w:sz w:val="15"/>
                <w:szCs w:val="15"/>
                <w:b w:val="1"/>
                <w:bCs w:val="1"/>
                <w:color w:val="auto"/>
              </w:rPr>
              <w:t>19.27%</w:t>
            </w: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0" w:type="dxa"/>
            <w:vAlign w:val="bottom"/>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100" w:type="dxa"/>
            <w:vAlign w:val="bottom"/>
            <w:tcBorders>
              <w:left w:val="single" w:sz="8" w:color="auto"/>
              <w:right w:val="single" w:sz="8" w:color="auto"/>
            </w:tcBorders>
            <w:vMerge w:val="continue"/>
          </w:tcPr>
          <w:p>
            <w:pPr>
              <w:spacing w:after="0"/>
              <w:rPr>
                <w:sz w:val="15"/>
                <w:szCs w:val="15"/>
                <w:color w:val="auto"/>
              </w:rPr>
            </w:pPr>
          </w:p>
        </w:tc>
        <w:tc>
          <w:tcPr>
            <w:tcW w:w="9840" w:type="dxa"/>
            <w:vAlign w:val="bottom"/>
            <w:gridSpan w:val="5"/>
          </w:tcPr>
          <w:p>
            <w:pPr>
              <w:ind w:left="20"/>
              <w:spacing w:after="0"/>
              <w:rPr>
                <w:sz w:val="20"/>
                <w:szCs w:val="20"/>
                <w:color w:val="auto"/>
              </w:rPr>
            </w:pPr>
            <w:r>
              <w:rPr>
                <w:rFonts w:ascii="Arial" w:cs="Arial" w:eastAsia="Arial" w:hAnsi="Arial"/>
                <w:sz w:val="15"/>
                <w:szCs w:val="15"/>
                <w:b w:val="1"/>
                <w:bCs w:val="1"/>
                <w:color w:val="auto"/>
                <w:w w:val="90"/>
              </w:rPr>
              <w:t>Calculated based on 5,818,417 shares of Class B Common Stock outstanding (4,869,463 shares of Class B Common Stock reported by the Company as</w:t>
            </w: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1100" w:type="dxa"/>
            <w:vAlign w:val="bottom"/>
            <w:tcBorders>
              <w:left w:val="single" w:sz="8" w:color="auto"/>
              <w:right w:val="single" w:sz="8" w:color="auto"/>
            </w:tcBorders>
          </w:tcPr>
          <w:p>
            <w:pPr>
              <w:spacing w:after="0"/>
              <w:rPr>
                <w:sz w:val="14"/>
                <w:szCs w:val="14"/>
                <w:color w:val="auto"/>
              </w:rPr>
            </w:pPr>
          </w:p>
        </w:tc>
        <w:tc>
          <w:tcPr>
            <w:tcW w:w="9840" w:type="dxa"/>
            <w:vAlign w:val="bottom"/>
            <w:gridSpan w:val="5"/>
          </w:tcPr>
          <w:p>
            <w:pPr>
              <w:ind w:left="20"/>
              <w:spacing w:after="0"/>
              <w:rPr>
                <w:sz w:val="20"/>
                <w:szCs w:val="20"/>
                <w:color w:val="auto"/>
              </w:rPr>
            </w:pPr>
            <w:r>
              <w:rPr>
                <w:rFonts w:ascii="Arial" w:cs="Arial" w:eastAsia="Arial" w:hAnsi="Arial"/>
                <w:sz w:val="15"/>
                <w:szCs w:val="15"/>
                <w:b w:val="1"/>
                <w:bCs w:val="1"/>
                <w:color w:val="auto"/>
                <w:w w:val="89"/>
              </w:rPr>
              <w:t xml:space="preserve">outstanding on May 11, 2015, </w:t>
            </w:r>
            <w:r>
              <w:rPr>
                <w:rFonts w:ascii="Arial" w:cs="Arial" w:eastAsia="Arial" w:hAnsi="Arial"/>
                <w:sz w:val="15"/>
                <w:szCs w:val="15"/>
                <w:i w:val="1"/>
                <w:iCs w:val="1"/>
                <w:color w:val="auto"/>
                <w:w w:val="89"/>
              </w:rPr>
              <w:t>plus</w:t>
            </w:r>
            <w:r>
              <w:rPr>
                <w:rFonts w:ascii="Arial" w:cs="Arial" w:eastAsia="Arial" w:hAnsi="Arial"/>
                <w:sz w:val="15"/>
                <w:szCs w:val="15"/>
                <w:b w:val="1"/>
                <w:bCs w:val="1"/>
                <w:color w:val="auto"/>
                <w:w w:val="89"/>
              </w:rPr>
              <w:t xml:space="preserve"> 948,954 shares issuable upon conversion of Class A Common Stock beneficially owned by Mr. Graham, share for share,</w:t>
            </w: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100" w:type="dxa"/>
            <w:vAlign w:val="bottom"/>
            <w:tcBorders>
              <w:left w:val="single" w:sz="8" w:color="auto"/>
              <w:bottom w:val="single" w:sz="8" w:color="auto"/>
              <w:right w:val="single" w:sz="8" w:color="auto"/>
            </w:tcBorders>
          </w:tcPr>
          <w:p>
            <w:pPr>
              <w:spacing w:after="0"/>
              <w:rPr>
                <w:sz w:val="16"/>
                <w:szCs w:val="16"/>
                <w:color w:val="auto"/>
              </w:rPr>
            </w:pPr>
          </w:p>
        </w:tc>
        <w:tc>
          <w:tcPr>
            <w:tcW w:w="2040" w:type="dxa"/>
            <w:vAlign w:val="bottom"/>
            <w:tcBorders>
              <w:bottom w:val="single" w:sz="8" w:color="auto"/>
            </w:tcBorders>
            <w:gridSpan w:val="4"/>
          </w:tcPr>
          <w:p>
            <w:pPr>
              <w:ind w:left="20"/>
              <w:spacing w:after="0"/>
              <w:rPr>
                <w:sz w:val="20"/>
                <w:szCs w:val="20"/>
                <w:color w:val="auto"/>
              </w:rPr>
            </w:pPr>
            <w:r>
              <w:rPr>
                <w:rFonts w:ascii="Arial" w:cs="Arial" w:eastAsia="Arial" w:hAnsi="Arial"/>
                <w:sz w:val="15"/>
                <w:szCs w:val="15"/>
                <w:b w:val="1"/>
                <w:bCs w:val="1"/>
                <w:color w:val="auto"/>
                <w:w w:val="97"/>
              </w:rPr>
              <w:t>into Class B Common Stock</w:t>
            </w:r>
            <w:r>
              <w:rPr>
                <w:rFonts w:ascii="Arial" w:cs="Arial" w:eastAsia="Arial" w:hAnsi="Arial"/>
                <w:sz w:val="15"/>
                <w:szCs w:val="15"/>
                <w:color w:val="auto"/>
                <w:w w:val="97"/>
              </w:rPr>
              <w:t>)</w:t>
            </w:r>
          </w:p>
        </w:tc>
        <w:tc>
          <w:tcPr>
            <w:tcW w:w="7800" w:type="dxa"/>
            <w:vAlign w:val="bottom"/>
            <w:tcBorders>
              <w:bottom w:val="single" w:sz="8" w:color="auto"/>
            </w:tcBorders>
          </w:tcPr>
          <w:p>
            <w:pPr>
              <w:spacing w:after="0"/>
              <w:rPr>
                <w:sz w:val="16"/>
                <w:szCs w:val="16"/>
                <w:color w:val="auto"/>
              </w:rPr>
            </w:pPr>
          </w:p>
        </w:tc>
        <w:tc>
          <w:tcPr>
            <w:tcW w:w="5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1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6"/>
                <w:szCs w:val="26"/>
                <w:b w:val="1"/>
                <w:bCs w:val="1"/>
                <w:color w:val="auto"/>
                <w:w w:val="89"/>
              </w:rPr>
              <w:t>14</w:t>
            </w:r>
          </w:p>
        </w:tc>
        <w:tc>
          <w:tcPr>
            <w:tcW w:w="9840" w:type="dxa"/>
            <w:vAlign w:val="bottom"/>
            <w:gridSpan w:val="5"/>
          </w:tcPr>
          <w:p>
            <w:pPr>
              <w:spacing w:after="0"/>
              <w:rPr>
                <w:sz w:val="20"/>
                <w:szCs w:val="20"/>
                <w:color w:val="auto"/>
              </w:rPr>
            </w:pPr>
            <w:r>
              <w:rPr>
                <w:rFonts w:ascii="Arial" w:cs="Arial" w:eastAsia="Arial" w:hAnsi="Arial"/>
                <w:sz w:val="15"/>
                <w:szCs w:val="15"/>
                <w:b w:val="1"/>
                <w:bCs w:val="1"/>
                <w:color w:val="auto"/>
              </w:rPr>
              <w:t>TYPE OF REPORTING PERSON</w:t>
            </w: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1100" w:type="dxa"/>
            <w:vAlign w:val="bottom"/>
            <w:tcBorders>
              <w:left w:val="single" w:sz="8" w:color="auto"/>
              <w:right w:val="single" w:sz="8" w:color="auto"/>
            </w:tcBorders>
            <w:vMerge w:val="continue"/>
          </w:tcPr>
          <w:p>
            <w:pPr>
              <w:spacing w:after="0"/>
              <w:rPr>
                <w:sz w:val="21"/>
                <w:szCs w:val="21"/>
                <w:color w:val="auto"/>
              </w:rPr>
            </w:pPr>
          </w:p>
        </w:tc>
        <w:tc>
          <w:tcPr>
            <w:tcW w:w="880" w:type="dxa"/>
            <w:vAlign w:val="bottom"/>
            <w:gridSpan w:val="2"/>
          </w:tcPr>
          <w:p>
            <w:pPr>
              <w:ind w:left="20"/>
              <w:spacing w:after="0"/>
              <w:rPr>
                <w:sz w:val="20"/>
                <w:szCs w:val="20"/>
                <w:color w:val="auto"/>
              </w:rPr>
            </w:pPr>
            <w:r>
              <w:rPr>
                <w:rFonts w:ascii="Arial" w:cs="Arial" w:eastAsia="Arial" w:hAnsi="Arial"/>
                <w:sz w:val="15"/>
                <w:szCs w:val="15"/>
                <w:b w:val="1"/>
                <w:bCs w:val="1"/>
                <w:color w:val="auto"/>
              </w:rPr>
              <w:t>IN</w:t>
            </w:r>
          </w:p>
        </w:tc>
        <w:tc>
          <w:tcPr>
            <w:tcW w:w="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800" w:type="dxa"/>
            <w:vAlign w:val="bottom"/>
          </w:tcPr>
          <w:p>
            <w:pPr>
              <w:spacing w:after="0"/>
              <w:rPr>
                <w:sz w:val="21"/>
                <w:szCs w:val="21"/>
                <w:color w:val="auto"/>
              </w:rPr>
            </w:pPr>
          </w:p>
        </w:tc>
        <w:tc>
          <w:tcPr>
            <w:tcW w:w="5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100" w:type="dxa"/>
            <w:vAlign w:val="bottom"/>
            <w:tcBorders>
              <w:left w:val="single" w:sz="8" w:color="auto"/>
              <w:bottom w:val="single" w:sz="8" w:color="auto"/>
              <w:right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7800" w:type="dxa"/>
            <w:vAlign w:val="bottom"/>
            <w:tcBorders>
              <w:bottom w:val="single" w:sz="8" w:color="auto"/>
            </w:tcBorders>
          </w:tcPr>
          <w:p>
            <w:pPr>
              <w:spacing w:after="0"/>
              <w:rPr>
                <w:sz w:val="7"/>
                <w:szCs w:val="7"/>
                <w:color w:val="auto"/>
              </w:rPr>
            </w:pPr>
          </w:p>
        </w:tc>
        <w:tc>
          <w:tcPr>
            <w:tcW w:w="5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532"/>
        </w:trPr>
        <w:tc>
          <w:tcPr>
            <w:tcW w:w="1100" w:type="dxa"/>
            <w:vAlign w:val="bottom"/>
            <w:tcBorders>
              <w:bottom w:val="single" w:sz="8" w:color="0070C0"/>
            </w:tcBorders>
          </w:tcPr>
          <w:p>
            <w:pPr>
              <w:spacing w:after="0"/>
              <w:rPr>
                <w:sz w:val="24"/>
                <w:szCs w:val="24"/>
                <w:color w:val="auto"/>
              </w:rPr>
            </w:pPr>
          </w:p>
        </w:tc>
        <w:tc>
          <w:tcPr>
            <w:tcW w:w="700" w:type="dxa"/>
            <w:vAlign w:val="bottom"/>
            <w:tcBorders>
              <w:bottom w:val="single" w:sz="8" w:color="0070C0"/>
            </w:tcBorders>
          </w:tcPr>
          <w:p>
            <w:pPr>
              <w:spacing w:after="0"/>
              <w:rPr>
                <w:sz w:val="24"/>
                <w:szCs w:val="24"/>
                <w:color w:val="auto"/>
              </w:rPr>
            </w:pPr>
          </w:p>
        </w:tc>
        <w:tc>
          <w:tcPr>
            <w:tcW w:w="180" w:type="dxa"/>
            <w:vAlign w:val="bottom"/>
            <w:tcBorders>
              <w:bottom w:val="single" w:sz="8" w:color="0070C0"/>
            </w:tcBorders>
          </w:tcPr>
          <w:p>
            <w:pPr>
              <w:spacing w:after="0"/>
              <w:rPr>
                <w:sz w:val="24"/>
                <w:szCs w:val="24"/>
                <w:color w:val="auto"/>
              </w:rPr>
            </w:pPr>
          </w:p>
        </w:tc>
        <w:tc>
          <w:tcPr>
            <w:tcW w:w="540" w:type="dxa"/>
            <w:vAlign w:val="bottom"/>
            <w:tcBorders>
              <w:bottom w:val="single" w:sz="8" w:color="0070C0"/>
            </w:tcBorders>
          </w:tcPr>
          <w:p>
            <w:pPr>
              <w:spacing w:after="0"/>
              <w:rPr>
                <w:sz w:val="24"/>
                <w:szCs w:val="24"/>
                <w:color w:val="auto"/>
              </w:rPr>
            </w:pPr>
          </w:p>
        </w:tc>
        <w:tc>
          <w:tcPr>
            <w:tcW w:w="620" w:type="dxa"/>
            <w:vAlign w:val="bottom"/>
            <w:tcBorders>
              <w:bottom w:val="single" w:sz="8" w:color="0070C0"/>
            </w:tcBorders>
          </w:tcPr>
          <w:p>
            <w:pPr>
              <w:spacing w:after="0"/>
              <w:rPr>
                <w:sz w:val="24"/>
                <w:szCs w:val="24"/>
                <w:color w:val="auto"/>
              </w:rPr>
            </w:pPr>
          </w:p>
        </w:tc>
        <w:tc>
          <w:tcPr>
            <w:tcW w:w="7800" w:type="dxa"/>
            <w:vAlign w:val="bottom"/>
            <w:tcBorders>
              <w:bottom w:val="single" w:sz="8" w:color="0070C0"/>
            </w:tcBorders>
          </w:tcPr>
          <w:p>
            <w:pPr>
              <w:spacing w:after="0"/>
              <w:rPr>
                <w:sz w:val="24"/>
                <w:szCs w:val="24"/>
                <w:color w:val="auto"/>
              </w:rPr>
            </w:pPr>
          </w:p>
        </w:tc>
        <w:tc>
          <w:tcPr>
            <w:tcW w:w="520" w:type="dxa"/>
            <w:vAlign w:val="bottom"/>
            <w:tcBorders>
              <w:bottom w:val="single" w:sz="8" w:color="0070C0"/>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327" w:right="219" w:bottom="1440" w:gutter="0" w:footer="0" w:header="0"/>
        </w:sectPr>
      </w:pPr>
    </w:p>
    <w:bookmarkStart w:id="2" w:name="page3"/>
    <w:bookmarkEnd w:id="2"/>
    <w:p>
      <w:pPr>
        <w:spacing w:after="0"/>
        <w:tabs>
          <w:tab w:leader="none" w:pos="10780" w:val="left"/>
        </w:tabs>
        <w:rPr>
          <w:sz w:val="20"/>
          <w:szCs w:val="20"/>
          <w:color w:val="auto"/>
        </w:rPr>
      </w:pPr>
      <w:r>
        <w:rPr>
          <w:rFonts w:ascii="Arial" w:cs="Arial" w:eastAsia="Arial" w:hAnsi="Arial"/>
          <w:sz w:val="15"/>
          <w:szCs w:val="15"/>
          <w:color w:val="auto"/>
        </w:rPr>
        <w:t>CUSIP No. 939640 10 8</w:t>
      </w:r>
      <w:r>
        <w:rPr>
          <w:sz w:val="20"/>
          <w:szCs w:val="20"/>
          <w:color w:val="auto"/>
        </w:rPr>
        <w:tab/>
      </w:r>
      <w:r>
        <w:rPr>
          <w:rFonts w:ascii="Arial" w:cs="Arial" w:eastAsia="Arial" w:hAnsi="Arial"/>
          <w:sz w:val="12"/>
          <w:szCs w:val="12"/>
          <w:color w:val="auto"/>
        </w:rPr>
        <w:t>Page 3 of 4</w:t>
      </w:r>
    </w:p>
    <w:p>
      <w:pPr>
        <w:spacing w:after="0" w:line="399" w:lineRule="exact"/>
        <w:rPr>
          <w:sz w:val="20"/>
          <w:szCs w:val="20"/>
          <w:color w:val="auto"/>
        </w:rPr>
      </w:pPr>
    </w:p>
    <w:p>
      <w:pPr>
        <w:ind w:right="80" w:firstLine="527"/>
        <w:spacing w:after="0" w:line="289" w:lineRule="auto"/>
        <w:rPr>
          <w:sz w:val="20"/>
          <w:szCs w:val="20"/>
          <w:color w:val="auto"/>
        </w:rPr>
      </w:pPr>
      <w:r>
        <w:rPr>
          <w:rFonts w:ascii="Arial" w:cs="Arial" w:eastAsia="Arial" w:hAnsi="Arial"/>
          <w:sz w:val="13"/>
          <w:szCs w:val="13"/>
          <w:color w:val="auto"/>
        </w:rPr>
        <w:t>This Report relates to the Class B Common Stock, par value $1.00 per share (the “Class B Common Stock”), of Graham Holdings Company (formerly The Washington Post Company, the “Company”). The Report on Schedule 13D filed by Donald E. Graham and Katharine Graham dated March 4, 1977 (the “Original Report”), as amended on February 14, 1983 (“Amendment No. 1”), March 5, 1985 (“Amendment No. 2”), April 16, 1986 (“Amendment No. 3”), January 28, 1987 (“Amendment No. 4”), October 19, 1994 (“Amendment No. 5”), January 27, 1998 (“Amendment No. 6”), March 8, 2001 (“Amendment No. 7”), August 30, 2001 (“Amendment No. 8”), September 21, 2001 (“Amendment No. 9”), September 12, 2002 (“Amendment No. 10”), October 26, 2007 (“Amendment No. 11”), March 5, 2009 (“Amendment No. 12”), August 25, 2010 (“Amendment No. 13”), June 15, 2011 (“Amendment No. 14”), July 26, 2013 (“Amendment No. 15”), July 2, 2014 (“Amendment No. 16”), March 2, 2015 (“Amendment No. 17”) and June 12, 2015 (“Amendment No. 18”), is hereby amended and supplemented as set forth below. The Original Report, as amended by Amendment No. 1, Amendment No. 2, Amendment No. 3, Amendment No. 4, Amendment No. 5, Amendment No. 6, Amendment No. 7, Amendment No. 8, Amendment No. 9, Amendment No. 10, Amendment No. 11, Amendment No. 12, Amendment No. 13, Amendment No. 14, Amendment No. 15, Amendment No. 16, Amendment No. 17 and Amendment No. 18 is hereinafter referred to as “Schedule 13D”. All capitalized terms not otherwise defined herein shall have the meanings ascribed to them in Schedule 13D.</w:t>
      </w:r>
    </w:p>
    <w:p>
      <w:pPr>
        <w:spacing w:after="0" w:line="160" w:lineRule="exact"/>
        <w:rPr>
          <w:sz w:val="20"/>
          <w:szCs w:val="20"/>
          <w:color w:val="auto"/>
        </w:rPr>
      </w:pPr>
    </w:p>
    <w:p>
      <w:pPr>
        <w:ind w:right="40" w:firstLine="527"/>
        <w:spacing w:after="0" w:line="264" w:lineRule="auto"/>
        <w:rPr>
          <w:sz w:val="20"/>
          <w:szCs w:val="20"/>
          <w:color w:val="auto"/>
        </w:rPr>
      </w:pPr>
      <w:r>
        <w:rPr>
          <w:rFonts w:ascii="Arial" w:cs="Arial" w:eastAsia="Arial" w:hAnsi="Arial"/>
          <w:sz w:val="15"/>
          <w:szCs w:val="15"/>
          <w:color w:val="auto"/>
        </w:rPr>
        <w:t>The descriptions contained in this Report of certain agreements and documents are qualified in their entirety by reference to the complete texts of such agreements and documents, which have been filed as exhibits to the Schedule 13D, as amended by this Report, and incorporated by reference herein.</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amendments to the Schedule 13D are as follows:</w:t>
      </w:r>
    </w:p>
    <w:p>
      <w:pPr>
        <w:spacing w:after="0" w:line="197" w:lineRule="exact"/>
        <w:rPr>
          <w:sz w:val="20"/>
          <w:szCs w:val="20"/>
          <w:color w:val="auto"/>
        </w:rPr>
      </w:pPr>
    </w:p>
    <w:p>
      <w:pPr>
        <w:spacing w:after="0"/>
        <w:tabs>
          <w:tab w:leader="none" w:pos="920" w:val="left"/>
        </w:tabs>
        <w:rPr>
          <w:sz w:val="20"/>
          <w:szCs w:val="20"/>
          <w:color w:val="auto"/>
        </w:rPr>
      </w:pPr>
      <w:r>
        <w:rPr>
          <w:rFonts w:ascii="Arial" w:cs="Arial" w:eastAsia="Arial" w:hAnsi="Arial"/>
          <w:sz w:val="15"/>
          <w:szCs w:val="15"/>
          <w:b w:val="1"/>
          <w:bCs w:val="1"/>
          <w:color w:val="auto"/>
        </w:rPr>
        <w:t>ITEM 6.</w:t>
      </w:r>
      <w:r>
        <w:rPr>
          <w:sz w:val="20"/>
          <w:szCs w:val="20"/>
          <w:color w:val="auto"/>
        </w:rPr>
        <w:tab/>
      </w:r>
      <w:r>
        <w:rPr>
          <w:rFonts w:ascii="Arial" w:cs="Arial" w:eastAsia="Arial" w:hAnsi="Arial"/>
          <w:sz w:val="14"/>
          <w:szCs w:val="14"/>
          <w:b w:val="1"/>
          <w:bCs w:val="1"/>
          <w:color w:val="auto"/>
        </w:rPr>
        <w:t>CONTRACTS, ARRANGEMENTS, UNDERSTANDINGS OR RELATIONSHIPS WITH RESPECT TO SECURITIES OF THE ISSUER</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Item 6 is hereby amended to add the following at the end thereof:</w:t>
      </w:r>
    </w:p>
    <w:p>
      <w:pPr>
        <w:spacing w:after="0" w:line="201" w:lineRule="exact"/>
        <w:rPr>
          <w:sz w:val="20"/>
          <w:szCs w:val="20"/>
          <w:color w:val="auto"/>
        </w:rPr>
      </w:pPr>
    </w:p>
    <w:p>
      <w:pPr>
        <w:ind w:right="40" w:firstLine="527"/>
        <w:spacing w:after="0" w:line="297" w:lineRule="auto"/>
        <w:rPr>
          <w:sz w:val="20"/>
          <w:szCs w:val="20"/>
          <w:color w:val="auto"/>
        </w:rPr>
      </w:pPr>
      <w:r>
        <w:rPr>
          <w:rFonts w:ascii="Arial" w:cs="Arial" w:eastAsia="Arial" w:hAnsi="Arial"/>
          <w:sz w:val="13"/>
          <w:szCs w:val="13"/>
          <w:color w:val="auto"/>
        </w:rPr>
        <w:t>In connection with the legal and structural separation of Cable One, Inc., a Delaware corporation (“</w:t>
      </w:r>
      <w:r>
        <w:rPr>
          <w:rFonts w:ascii="Arial" w:cs="Arial" w:eastAsia="Arial" w:hAnsi="Arial"/>
          <w:sz w:val="13"/>
          <w:szCs w:val="13"/>
          <w:u w:val="single" w:color="auto"/>
          <w:color w:val="auto"/>
        </w:rPr>
        <w:t>Cable</w:t>
      </w:r>
      <w:r>
        <w:rPr>
          <w:rFonts w:ascii="Arial" w:cs="Arial" w:eastAsia="Arial" w:hAnsi="Arial"/>
          <w:sz w:val="13"/>
          <w:szCs w:val="13"/>
          <w:color w:val="auto"/>
        </w:rPr>
        <w:t>”), from the Company (the “</w:t>
      </w:r>
      <w:r>
        <w:rPr>
          <w:rFonts w:ascii="Arial" w:cs="Arial" w:eastAsia="Arial" w:hAnsi="Arial"/>
          <w:sz w:val="13"/>
          <w:szCs w:val="13"/>
          <w:u w:val="single" w:color="auto"/>
          <w:color w:val="auto"/>
        </w:rPr>
        <w:t>Spin-Off</w:t>
      </w:r>
      <w:r>
        <w:rPr>
          <w:rFonts w:ascii="Arial" w:cs="Arial" w:eastAsia="Arial" w:hAnsi="Arial"/>
          <w:sz w:val="13"/>
          <w:szCs w:val="13"/>
          <w:color w:val="auto"/>
        </w:rPr>
        <w:t>”), Mr. Graham entered into a Side Letter Agreement with the Company (the “</w:t>
      </w:r>
      <w:r>
        <w:rPr>
          <w:rFonts w:ascii="Arial" w:cs="Arial" w:eastAsia="Arial" w:hAnsi="Arial"/>
          <w:sz w:val="13"/>
          <w:szCs w:val="13"/>
          <w:u w:val="single" w:color="auto"/>
          <w:color w:val="auto"/>
        </w:rPr>
        <w:t>Side Letter Agreement</w:t>
      </w:r>
      <w:r>
        <w:rPr>
          <w:rFonts w:ascii="Arial" w:cs="Arial" w:eastAsia="Arial" w:hAnsi="Arial"/>
          <w:sz w:val="13"/>
          <w:szCs w:val="13"/>
          <w:color w:val="auto"/>
        </w:rPr>
        <w:t>”), pursuant to which, effective as of the completion of the Spin-Off on July 1, 2015 (the “</w:t>
      </w:r>
      <w:r>
        <w:rPr>
          <w:rFonts w:ascii="Arial" w:cs="Arial" w:eastAsia="Arial" w:hAnsi="Arial"/>
          <w:sz w:val="13"/>
          <w:szCs w:val="13"/>
          <w:u w:val="single" w:color="auto"/>
          <w:color w:val="auto"/>
        </w:rPr>
        <w:t>Spin-Off Date</w:t>
      </w:r>
      <w:r>
        <w:rPr>
          <w:rFonts w:ascii="Arial" w:cs="Arial" w:eastAsia="Arial" w:hAnsi="Arial"/>
          <w:sz w:val="13"/>
          <w:szCs w:val="13"/>
          <w:color w:val="auto"/>
        </w:rPr>
        <w:t>”), until the second anniversary of the Spin-Off Date, Mr. Graham agreed not to sell, exchange, convert or otherwise transfer any Class B Common Stock or Class A Common Stock, par value $1.00 per share, of the Company, or common stock, par value $0.01 per share, of Cable, owned directly by Mr. Graham or held in a trust for the benefit of Mr. Graham, subject to certain estate planning exceptions. This Side Letter Agreement does not apply to shares held in a trust for the benefit of someone other than Mr. Graham, even if Mr. Graham is a trustee of the trust.</w:t>
      </w:r>
    </w:p>
    <w:p>
      <w:pPr>
        <w:spacing w:after="0" w:line="152" w:lineRule="exact"/>
        <w:rPr>
          <w:sz w:val="20"/>
          <w:szCs w:val="20"/>
          <w:color w:val="auto"/>
        </w:rPr>
      </w:pPr>
    </w:p>
    <w:p>
      <w:pPr>
        <w:ind w:right="60" w:firstLine="527"/>
        <w:spacing w:after="0" w:line="264" w:lineRule="auto"/>
        <w:rPr>
          <w:sz w:val="20"/>
          <w:szCs w:val="20"/>
          <w:color w:val="auto"/>
        </w:rPr>
      </w:pPr>
      <w:r>
        <w:rPr>
          <w:rFonts w:ascii="Arial" w:cs="Arial" w:eastAsia="Arial" w:hAnsi="Arial"/>
          <w:sz w:val="15"/>
          <w:szCs w:val="15"/>
          <w:color w:val="auto"/>
        </w:rPr>
        <w:t>The foregoing description is a summary of the material terms of the Side Letter Agreement and is qualified in its entirety by the full terms and conditions of the Side Letter Agreement, a copy of which is filed as an exhibit to this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330835</wp:posOffset>
            </wp:positionV>
            <wp:extent cx="7272020" cy="139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13970"/>
                    </a:xfrm>
                    <a:prstGeom prst="rect">
                      <a:avLst/>
                    </a:prstGeom>
                    <a:noFill/>
                  </pic:spPr>
                </pic:pic>
              </a:graphicData>
            </a:graphic>
          </wp:anchor>
        </w:drawing>
      </w:r>
    </w:p>
    <w:p>
      <w:pPr>
        <w:sectPr>
          <w:pgSz w:w="11900" w:h="16838" w:orient="portrait"/>
          <w:cols w:equalWidth="0" w:num="1">
            <w:col w:w="11460"/>
          </w:cols>
          <w:pgMar w:left="220" w:top="327" w:right="219" w:bottom="1440" w:gutter="0" w:footer="0" w:header="0"/>
        </w:sectPr>
      </w:pPr>
    </w:p>
    <w:bookmarkStart w:id="3" w:name="page4"/>
    <w:bookmarkEnd w:id="3"/>
    <w:p>
      <w:pPr>
        <w:spacing w:after="0"/>
        <w:tabs>
          <w:tab w:leader="none" w:pos="10780" w:val="left"/>
        </w:tabs>
        <w:rPr>
          <w:sz w:val="20"/>
          <w:szCs w:val="20"/>
          <w:color w:val="auto"/>
        </w:rPr>
      </w:pPr>
      <w:r>
        <w:rPr>
          <w:rFonts w:ascii="Arial" w:cs="Arial" w:eastAsia="Arial" w:hAnsi="Arial"/>
          <w:sz w:val="15"/>
          <w:szCs w:val="15"/>
          <w:color w:val="auto"/>
        </w:rPr>
        <w:t>CUSIP No. 939640 10 8</w:t>
      </w:r>
      <w:r>
        <w:rPr>
          <w:sz w:val="20"/>
          <w:szCs w:val="20"/>
          <w:color w:val="auto"/>
        </w:rPr>
        <w:tab/>
      </w:r>
      <w:r>
        <w:rPr>
          <w:rFonts w:ascii="Arial" w:cs="Arial" w:eastAsia="Arial" w:hAnsi="Arial"/>
          <w:sz w:val="12"/>
          <w:szCs w:val="12"/>
          <w:color w:val="auto"/>
        </w:rPr>
        <w:t>Page 4 of 4</w:t>
      </w:r>
    </w:p>
    <w:p>
      <w:pPr>
        <w:spacing w:after="0" w:line="395" w:lineRule="exact"/>
        <w:rPr>
          <w:sz w:val="20"/>
          <w:szCs w:val="20"/>
          <w:color w:val="auto"/>
        </w:rPr>
      </w:pPr>
    </w:p>
    <w:p>
      <w:pPr>
        <w:spacing w:after="0"/>
        <w:tabs>
          <w:tab w:leader="none" w:pos="920" w:val="left"/>
        </w:tabs>
        <w:rPr>
          <w:sz w:val="20"/>
          <w:szCs w:val="20"/>
          <w:color w:val="auto"/>
        </w:rPr>
      </w:pPr>
      <w:r>
        <w:rPr>
          <w:rFonts w:ascii="Arial" w:cs="Arial" w:eastAsia="Arial" w:hAnsi="Arial"/>
          <w:sz w:val="15"/>
          <w:szCs w:val="15"/>
          <w:b w:val="1"/>
          <w:bCs w:val="1"/>
          <w:color w:val="auto"/>
        </w:rPr>
        <w:t>ITEM 7.</w:t>
      </w:r>
      <w:r>
        <w:rPr>
          <w:sz w:val="20"/>
          <w:szCs w:val="20"/>
          <w:color w:val="auto"/>
        </w:rPr>
        <w:tab/>
      </w:r>
      <w:r>
        <w:rPr>
          <w:rFonts w:ascii="Arial" w:cs="Arial" w:eastAsia="Arial" w:hAnsi="Arial"/>
          <w:sz w:val="14"/>
          <w:szCs w:val="14"/>
          <w:b w:val="1"/>
          <w:bCs w:val="1"/>
          <w:color w:val="auto"/>
        </w:rPr>
        <w:t>MATERIAL TO BE FILED AS EXHIBITS</w:t>
      </w:r>
    </w:p>
    <w:p>
      <w:pPr>
        <w:spacing w:after="0" w:line="20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Item 7 is hereby amended to add the following at the end thereof:</w:t>
      </w:r>
    </w:p>
    <w:p>
      <w:pPr>
        <w:spacing w:after="0" w:line="201" w:lineRule="exact"/>
        <w:rPr>
          <w:sz w:val="20"/>
          <w:szCs w:val="20"/>
          <w:color w:val="auto"/>
        </w:rPr>
      </w:pPr>
    </w:p>
    <w:p>
      <w:pPr>
        <w:spacing w:after="0"/>
        <w:tabs>
          <w:tab w:leader="none" w:pos="920" w:val="left"/>
        </w:tabs>
        <w:rPr>
          <w:sz w:val="20"/>
          <w:szCs w:val="20"/>
          <w:color w:val="auto"/>
        </w:rPr>
      </w:pPr>
      <w:r>
        <w:rPr>
          <w:rFonts w:ascii="Arial" w:cs="Arial" w:eastAsia="Arial" w:hAnsi="Arial"/>
          <w:sz w:val="15"/>
          <w:szCs w:val="15"/>
          <w:color w:val="auto"/>
        </w:rPr>
        <w:t>Exhibit 99.1</w:t>
      </w:r>
      <w:r>
        <w:rPr>
          <w:sz w:val="20"/>
          <w:szCs w:val="20"/>
          <w:color w:val="auto"/>
        </w:rPr>
        <w:tab/>
      </w:r>
      <w:r>
        <w:rPr>
          <w:rFonts w:ascii="Arial" w:cs="Arial" w:eastAsia="Arial" w:hAnsi="Arial"/>
          <w:sz w:val="13"/>
          <w:szCs w:val="13"/>
          <w:color w:val="auto"/>
        </w:rPr>
        <w:t>Side Letter Agreement between Donald E. Graham and Graham Holdings Company, dated as of June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1481455</wp:posOffset>
            </wp:positionV>
            <wp:extent cx="7272020" cy="13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13970"/>
                    </a:xfrm>
                    <a:prstGeom prst="rect">
                      <a:avLst/>
                    </a:prstGeom>
                    <a:noFill/>
                  </pic:spPr>
                </pic:pic>
              </a:graphicData>
            </a:graphic>
          </wp:anchor>
        </w:drawing>
      </w:r>
    </w:p>
    <w:p>
      <w:pPr>
        <w:sectPr>
          <w:pgSz w:w="11900" w:h="16838" w:orient="portrait"/>
          <w:cols w:equalWidth="0" w:num="1">
            <w:col w:w="11460"/>
          </w:cols>
          <w:pgMar w:left="220" w:top="327" w:right="219" w:bottom="1440" w:gutter="0" w:footer="0" w:header="0"/>
        </w:sectPr>
      </w:pPr>
    </w:p>
    <w:bookmarkStart w:id="4" w:name="page5"/>
    <w:bookmarkEnd w:id="4"/>
    <w:p>
      <w:pPr>
        <w:ind w:left="5160"/>
        <w:spacing w:after="0"/>
        <w:rPr>
          <w:sz w:val="20"/>
          <w:szCs w:val="20"/>
          <w:color w:val="auto"/>
        </w:rPr>
      </w:pPr>
      <w:r>
        <w:rPr>
          <w:rFonts w:ascii="Arial" w:cs="Arial" w:eastAsia="Arial" w:hAnsi="Arial"/>
          <w:sz w:val="18"/>
          <w:szCs w:val="18"/>
          <w:b w:val="1"/>
          <w:bCs w:val="1"/>
          <w:color w:val="auto"/>
        </w:rPr>
        <w:t>SIGNATURES</w:t>
      </w:r>
    </w:p>
    <w:p>
      <w:pPr>
        <w:spacing w:after="0" w:line="399" w:lineRule="exact"/>
        <w:rPr>
          <w:sz w:val="20"/>
          <w:szCs w:val="20"/>
          <w:color w:val="auto"/>
        </w:rPr>
      </w:pPr>
    </w:p>
    <w:p>
      <w:pPr>
        <w:ind w:left="540"/>
        <w:spacing w:after="0"/>
        <w:rPr>
          <w:sz w:val="20"/>
          <w:szCs w:val="20"/>
          <w:color w:val="auto"/>
        </w:rPr>
      </w:pPr>
      <w:r>
        <w:rPr>
          <w:rFonts w:ascii="Arial" w:cs="Arial" w:eastAsia="Arial" w:hAnsi="Arial"/>
          <w:sz w:val="13"/>
          <w:szCs w:val="13"/>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Date: July 2, 2015</w:t>
      </w:r>
    </w:p>
    <w:p>
      <w:pPr>
        <w:spacing w:after="0" w:line="14" w:lineRule="exact"/>
        <w:rPr>
          <w:sz w:val="20"/>
          <w:szCs w:val="20"/>
          <w:color w:val="auto"/>
        </w:rPr>
      </w:pPr>
    </w:p>
    <w:p>
      <w:pPr>
        <w:ind w:left="5740"/>
        <w:spacing w:after="0"/>
        <w:tabs>
          <w:tab w:leader="none" w:pos="606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3"/>
          <w:szCs w:val="13"/>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3864610</wp:posOffset>
            </wp:positionH>
            <wp:positionV relativeFrom="paragraph">
              <wp:posOffset>1905</wp:posOffset>
            </wp:positionV>
            <wp:extent cx="2540635" cy="139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40635" cy="13970"/>
                    </a:xfrm>
                    <a:prstGeom prst="rect">
                      <a:avLst/>
                    </a:prstGeom>
                    <a:noFill/>
                  </pic:spPr>
                </pic:pic>
              </a:graphicData>
            </a:graphic>
          </wp:anchor>
        </w:drawing>
      </w:r>
    </w:p>
    <w:p>
      <w:pPr>
        <w:ind w:left="6080"/>
        <w:spacing w:after="0"/>
        <w:rPr>
          <w:sz w:val="20"/>
          <w:szCs w:val="20"/>
          <w:color w:val="auto"/>
        </w:rPr>
      </w:pPr>
      <w:r>
        <w:rPr>
          <w:rFonts w:ascii="Arial" w:cs="Arial" w:eastAsia="Arial" w:hAnsi="Arial"/>
          <w:sz w:val="15"/>
          <w:szCs w:val="15"/>
          <w:color w:val="auto"/>
        </w:rPr>
        <w:t>Name: Donald E. Graham</w:t>
      </w:r>
    </w:p>
    <w:p>
      <w:pPr>
        <w:sectPr>
          <w:pgSz w:w="11900" w:h="16838" w:orient="portrait"/>
          <w:cols w:equalWidth="0" w:num="1">
            <w:col w:w="10239"/>
          </w:cols>
          <w:pgMar w:left="220" w:top="512"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322820" cy="676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2820"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auto"/>
        </w:rPr>
        <w:t>Mr. Donald E. Graham</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Chief Executive Officer</w:t>
      </w:r>
    </w:p>
    <w:p>
      <w:pPr>
        <w:spacing w:after="0" w:line="235" w:lineRule="auto"/>
        <w:rPr>
          <w:sz w:val="20"/>
          <w:szCs w:val="20"/>
          <w:color w:val="auto"/>
        </w:rPr>
      </w:pPr>
      <w:r>
        <w:rPr>
          <w:rFonts w:ascii="Arial" w:cs="Arial" w:eastAsia="Arial" w:hAnsi="Arial"/>
          <w:sz w:val="15"/>
          <w:szCs w:val="15"/>
          <w:color w:val="auto"/>
        </w:rPr>
        <w:t>Graham Holdings</w:t>
      </w:r>
    </w:p>
    <w:p>
      <w:pPr>
        <w:spacing w:after="0" w:line="186" w:lineRule="auto"/>
        <w:rPr>
          <w:sz w:val="20"/>
          <w:szCs w:val="20"/>
          <w:color w:val="auto"/>
        </w:rPr>
      </w:pPr>
      <w:r>
        <w:rPr>
          <w:rFonts w:ascii="Arial" w:cs="Arial" w:eastAsia="Arial" w:hAnsi="Arial"/>
          <w:sz w:val="13"/>
          <w:szCs w:val="13"/>
          <w:color w:val="auto"/>
        </w:rPr>
        <w:t>1300 North 17</w:t>
      </w:r>
      <w:r>
        <w:rPr>
          <w:rFonts w:ascii="Arial" w:cs="Arial" w:eastAsia="Arial" w:hAnsi="Arial"/>
          <w:sz w:val="21"/>
          <w:szCs w:val="21"/>
          <w:color w:val="auto"/>
          <w:vertAlign w:val="superscript"/>
        </w:rPr>
        <w:t>th</w:t>
      </w:r>
      <w:r>
        <w:rPr>
          <w:rFonts w:ascii="Arial" w:cs="Arial" w:eastAsia="Arial" w:hAnsi="Arial"/>
          <w:sz w:val="13"/>
          <w:szCs w:val="13"/>
          <w:color w:val="auto"/>
        </w:rPr>
        <w:t xml:space="preserve"> Street</w:t>
      </w:r>
    </w:p>
    <w:p>
      <w:pPr>
        <w:spacing w:after="0"/>
        <w:rPr>
          <w:sz w:val="20"/>
          <w:szCs w:val="20"/>
          <w:color w:val="auto"/>
        </w:rPr>
      </w:pPr>
      <w:r>
        <w:rPr>
          <w:rFonts w:ascii="Arial" w:cs="Arial" w:eastAsia="Arial" w:hAnsi="Arial"/>
          <w:sz w:val="15"/>
          <w:szCs w:val="15"/>
          <w:color w:val="auto"/>
        </w:rPr>
        <w:t>Suite 1700</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Arlington, VA 22209</w:t>
      </w:r>
    </w:p>
    <w:p>
      <w:pPr>
        <w:spacing w:after="0" w:line="388" w:lineRule="exact"/>
        <w:rPr>
          <w:sz w:val="20"/>
          <w:szCs w:val="20"/>
          <w:color w:val="auto"/>
        </w:rPr>
      </w:pPr>
    </w:p>
    <w:p>
      <w:pPr>
        <w:spacing w:after="0"/>
        <w:rPr>
          <w:sz w:val="20"/>
          <w:szCs w:val="20"/>
          <w:color w:val="auto"/>
        </w:rPr>
      </w:pPr>
      <w:r>
        <w:rPr>
          <w:rFonts w:ascii="Arial" w:cs="Arial" w:eastAsia="Arial" w:hAnsi="Arial"/>
          <w:sz w:val="15"/>
          <w:szCs w:val="15"/>
          <w:color w:val="auto"/>
        </w:rPr>
        <w:t>Dear Mr. Graham:</w:t>
      </w:r>
    </w:p>
    <w:p>
      <w:pPr>
        <w:spacing w:after="0" w:line="201" w:lineRule="exact"/>
        <w:rPr>
          <w:sz w:val="20"/>
          <w:szCs w:val="20"/>
          <w:color w:val="auto"/>
        </w:rPr>
      </w:pPr>
    </w:p>
    <w:p>
      <w:pPr>
        <w:ind w:right="440" w:firstLine="1055"/>
        <w:spacing w:after="0" w:line="264" w:lineRule="auto"/>
        <w:rPr>
          <w:sz w:val="20"/>
          <w:szCs w:val="20"/>
          <w:color w:val="auto"/>
        </w:rPr>
      </w:pPr>
      <w:r>
        <w:rPr>
          <w:rFonts w:ascii="Arial" w:cs="Arial" w:eastAsia="Arial" w:hAnsi="Arial"/>
          <w:sz w:val="15"/>
          <w:szCs w:val="15"/>
          <w:color w:val="auto"/>
        </w:rPr>
        <w:t>Reference is made to the Separation and Distribution Agreement, dated as of June 16, 2015 (the “</w:t>
      </w:r>
      <w:r>
        <w:rPr>
          <w:rFonts w:ascii="Arial" w:cs="Arial" w:eastAsia="Arial" w:hAnsi="Arial"/>
          <w:sz w:val="15"/>
          <w:szCs w:val="15"/>
          <w:u w:val="single" w:color="auto"/>
          <w:color w:val="auto"/>
        </w:rPr>
        <w:t>Separation Agreement</w:t>
      </w:r>
      <w:r>
        <w:rPr>
          <w:rFonts w:ascii="Arial" w:cs="Arial" w:eastAsia="Arial" w:hAnsi="Arial"/>
          <w:sz w:val="15"/>
          <w:szCs w:val="15"/>
          <w:color w:val="auto"/>
        </w:rPr>
        <w:t>”), by and between Graham Holdings Company, a Delaware corporation (“</w:t>
      </w:r>
      <w:r>
        <w:rPr>
          <w:rFonts w:ascii="Arial" w:cs="Arial" w:eastAsia="Arial" w:hAnsi="Arial"/>
          <w:sz w:val="15"/>
          <w:szCs w:val="15"/>
          <w:u w:val="single" w:color="auto"/>
          <w:color w:val="auto"/>
        </w:rPr>
        <w:t>Graham</w:t>
      </w:r>
      <w:r>
        <w:rPr>
          <w:rFonts w:ascii="Arial" w:cs="Arial" w:eastAsia="Arial" w:hAnsi="Arial"/>
          <w:sz w:val="15"/>
          <w:szCs w:val="15"/>
          <w:color w:val="auto"/>
        </w:rPr>
        <w:t>”), and Cable One, Inc., a Delaware corporation and a wholly owned subsidiary of Graham (“</w:t>
      </w:r>
      <w:r>
        <w:rPr>
          <w:rFonts w:ascii="Arial" w:cs="Arial" w:eastAsia="Arial" w:hAnsi="Arial"/>
          <w:sz w:val="15"/>
          <w:szCs w:val="15"/>
          <w:u w:val="single" w:color="auto"/>
          <w:color w:val="auto"/>
        </w:rPr>
        <w:t>Cable</w:t>
      </w:r>
      <w:r>
        <w:rPr>
          <w:rFonts w:ascii="Arial" w:cs="Arial" w:eastAsia="Arial" w:hAnsi="Arial"/>
          <w:sz w:val="15"/>
          <w:szCs w:val="15"/>
          <w:color w:val="auto"/>
        </w:rPr>
        <w:t>”).</w:t>
      </w:r>
    </w:p>
    <w:p>
      <w:pPr>
        <w:spacing w:after="0" w:line="170" w:lineRule="exact"/>
        <w:rPr>
          <w:sz w:val="20"/>
          <w:szCs w:val="20"/>
          <w:color w:val="auto"/>
        </w:rPr>
      </w:pPr>
    </w:p>
    <w:p>
      <w:pPr>
        <w:ind w:right="180" w:firstLine="1055"/>
        <w:spacing w:after="0" w:line="264" w:lineRule="auto"/>
        <w:rPr>
          <w:sz w:val="20"/>
          <w:szCs w:val="20"/>
          <w:color w:val="auto"/>
        </w:rPr>
      </w:pPr>
      <w:r>
        <w:rPr>
          <w:rFonts w:ascii="Arial" w:cs="Arial" w:eastAsia="Arial" w:hAnsi="Arial"/>
          <w:sz w:val="15"/>
          <w:szCs w:val="15"/>
          <w:color w:val="auto"/>
        </w:rPr>
        <w:t>In consideration of the mutual agreements, provisions and covenants contained in this letter agreement (this “</w:t>
      </w:r>
      <w:r>
        <w:rPr>
          <w:rFonts w:ascii="Arial" w:cs="Arial" w:eastAsia="Arial" w:hAnsi="Arial"/>
          <w:sz w:val="15"/>
          <w:szCs w:val="15"/>
          <w:u w:val="single" w:color="auto"/>
          <w:color w:val="auto"/>
        </w:rPr>
        <w:t>Letter Agreement</w:t>
      </w:r>
      <w:r>
        <w:rPr>
          <w:rFonts w:ascii="Arial" w:cs="Arial" w:eastAsia="Arial" w:hAnsi="Arial"/>
          <w:sz w:val="15"/>
          <w:szCs w:val="15"/>
          <w:color w:val="auto"/>
        </w:rPr>
        <w:t>”), the Separation Agreement and the Ancillary Agreements, Donald E. Graham (“</w:t>
      </w:r>
      <w:r>
        <w:rPr>
          <w:rFonts w:ascii="Arial" w:cs="Arial" w:eastAsia="Arial" w:hAnsi="Arial"/>
          <w:sz w:val="15"/>
          <w:szCs w:val="15"/>
          <w:u w:val="single" w:color="auto"/>
          <w:color w:val="auto"/>
        </w:rPr>
        <w:t>DEG</w:t>
      </w:r>
      <w:r>
        <w:rPr>
          <w:rFonts w:ascii="Arial" w:cs="Arial" w:eastAsia="Arial" w:hAnsi="Arial"/>
          <w:sz w:val="15"/>
          <w:szCs w:val="15"/>
          <w:color w:val="auto"/>
        </w:rPr>
        <w:t>”) hereby agrees as follows:</w:t>
      </w:r>
    </w:p>
    <w:p>
      <w:pPr>
        <w:spacing w:after="0" w:line="170" w:lineRule="exact"/>
        <w:rPr>
          <w:sz w:val="20"/>
          <w:szCs w:val="20"/>
          <w:color w:val="auto"/>
        </w:rPr>
      </w:pPr>
    </w:p>
    <w:p>
      <w:pPr>
        <w:ind w:right="100" w:firstLine="1055"/>
        <w:spacing w:after="0" w:line="264" w:lineRule="auto"/>
        <w:rPr>
          <w:sz w:val="20"/>
          <w:szCs w:val="20"/>
          <w:color w:val="auto"/>
        </w:rPr>
      </w:pPr>
      <w:r>
        <w:rPr>
          <w:rFonts w:ascii="Arial" w:cs="Arial" w:eastAsia="Arial" w:hAnsi="Arial"/>
          <w:sz w:val="15"/>
          <w:szCs w:val="15"/>
          <w:color w:val="auto"/>
        </w:rPr>
        <w:t xml:space="preserve">SECTION 1.01. </w:t>
      </w:r>
      <w:r>
        <w:rPr>
          <w:rFonts w:ascii="Arial" w:cs="Arial" w:eastAsia="Arial" w:hAnsi="Arial"/>
          <w:sz w:val="15"/>
          <w:szCs w:val="15"/>
          <w:u w:val="single" w:color="auto"/>
          <w:color w:val="auto"/>
        </w:rPr>
        <w:t>Definitions.</w:t>
      </w:r>
      <w:r>
        <w:rPr>
          <w:rFonts w:ascii="Arial" w:cs="Arial" w:eastAsia="Arial" w:hAnsi="Arial"/>
          <w:sz w:val="15"/>
          <w:szCs w:val="15"/>
          <w:color w:val="auto"/>
        </w:rPr>
        <w:t xml:space="preserve"> For purposes of this Letter Agreement, the following terms have the following meanings. Capitalized terms not defined in this Letter Agreement have the meanings assigned to them in the Separation Agreement or the TMA.</w:t>
      </w:r>
    </w:p>
    <w:p>
      <w:pPr>
        <w:spacing w:after="0" w:line="170" w:lineRule="exact"/>
        <w:rPr>
          <w:sz w:val="20"/>
          <w:szCs w:val="20"/>
          <w:color w:val="auto"/>
        </w:rPr>
      </w:pPr>
    </w:p>
    <w:p>
      <w:pPr>
        <w:ind w:right="80" w:firstLine="1055"/>
        <w:spacing w:after="0" w:line="341" w:lineRule="auto"/>
        <w:rPr>
          <w:sz w:val="20"/>
          <w:szCs w:val="20"/>
          <w:color w:val="auto"/>
        </w:rPr>
      </w:pPr>
      <w:r>
        <w:rPr>
          <w:rFonts w:ascii="Arial" w:cs="Arial" w:eastAsia="Arial" w:hAnsi="Arial"/>
          <w:sz w:val="13"/>
          <w:szCs w:val="13"/>
          <w:color w:val="auto"/>
        </w:rPr>
        <w:t>“</w:t>
      </w:r>
      <w:r>
        <w:rPr>
          <w:rFonts w:ascii="Arial" w:cs="Arial" w:eastAsia="Arial" w:hAnsi="Arial"/>
          <w:sz w:val="13"/>
          <w:szCs w:val="13"/>
          <w:u w:val="single" w:color="auto"/>
          <w:color w:val="auto"/>
        </w:rPr>
        <w:t>GRAT</w:t>
      </w:r>
      <w:r>
        <w:rPr>
          <w:rFonts w:ascii="Arial" w:cs="Arial" w:eastAsia="Arial" w:hAnsi="Arial"/>
          <w:sz w:val="13"/>
          <w:szCs w:val="13"/>
          <w:color w:val="auto"/>
        </w:rPr>
        <w:t>” means each of the Donald E. Graham 2010 GRAT No. 1 under agreement dated September 13, 2010; the Donald E. Graham 2010 GRAT No. 2 under agreement dated September 13, 2010; the Donald E. Graham 2011 GRAT No. 1 under agreement dated October 19, 2011; and any grantor retained annuity trust described in Section 1.02(a)(i).</w:t>
      </w:r>
    </w:p>
    <w:p>
      <w:pPr>
        <w:spacing w:after="0" w:line="125" w:lineRule="exact"/>
        <w:rPr>
          <w:sz w:val="20"/>
          <w:szCs w:val="20"/>
          <w:color w:val="auto"/>
        </w:rPr>
      </w:pPr>
    </w:p>
    <w:p>
      <w:pPr>
        <w:ind w:left="1060"/>
        <w:spacing w:after="0"/>
        <w:rPr>
          <w:sz w:val="20"/>
          <w:szCs w:val="20"/>
          <w:color w:val="auto"/>
        </w:rPr>
      </w:pPr>
      <w:r>
        <w:rPr>
          <w:rFonts w:ascii="Arial" w:cs="Arial" w:eastAsia="Arial" w:hAnsi="Arial"/>
          <w:sz w:val="14"/>
          <w:szCs w:val="14"/>
          <w:color w:val="auto"/>
        </w:rPr>
        <w:t xml:space="preserve">SECTION 1.02. </w:t>
      </w:r>
      <w:r>
        <w:rPr>
          <w:rFonts w:ascii="Arial" w:cs="Arial" w:eastAsia="Arial" w:hAnsi="Arial"/>
          <w:sz w:val="14"/>
          <w:szCs w:val="14"/>
          <w:u w:val="single" w:color="auto"/>
          <w:color w:val="auto"/>
        </w:rPr>
        <w:t>Covenant.</w:t>
      </w:r>
      <w:r>
        <w:rPr>
          <w:rFonts w:ascii="Arial" w:cs="Arial" w:eastAsia="Arial" w:hAnsi="Arial"/>
          <w:sz w:val="14"/>
          <w:szCs w:val="14"/>
          <w:color w:val="auto"/>
        </w:rPr>
        <w:t xml:space="preserve"> (a) During the period that begins on the Distribution Date and ends on (and includes) the second anniversary of the Distribution Date (the</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Restricted Period</w:t>
      </w:r>
      <w:r>
        <w:rPr>
          <w:rFonts w:ascii="Arial" w:cs="Arial" w:eastAsia="Arial" w:hAnsi="Arial"/>
          <w:sz w:val="14"/>
          <w:szCs w:val="14"/>
          <w:color w:val="auto"/>
        </w:rPr>
        <w:t>”), DEG will not, and will not agree to, sell, exchange, transfer by gift or otherwise dispose of any of the stock of either Graham or Cable owned by DEG individually or</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beneficially unless:</w:t>
      </w:r>
    </w:p>
    <w:p>
      <w:pPr>
        <w:spacing w:after="0" w:line="191" w:lineRule="exact"/>
        <w:rPr>
          <w:sz w:val="20"/>
          <w:szCs w:val="20"/>
          <w:color w:val="auto"/>
        </w:rPr>
      </w:pPr>
    </w:p>
    <w:p>
      <w:pPr>
        <w:ind w:left="540" w:right="660" w:firstLine="523"/>
        <w:spacing w:after="0" w:line="341" w:lineRule="auto"/>
        <w:tabs>
          <w:tab w:leader="none" w:pos="124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the stock is transferred to a grantor retained annuity trust for estate planning purposes in a transaction the motivation, timing and form of which are unrelated to the Distribution;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the transfer reduces DEG’s percentage interest (by value) in Graham and Cable by approximately the same proportion;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272020" cy="139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13970"/>
                    </a:xfrm>
                    <a:prstGeom prst="rect">
                      <a:avLst/>
                    </a:prstGeom>
                    <a:noFill/>
                  </pic:spPr>
                </pic:pic>
              </a:graphicData>
            </a:graphic>
          </wp:anchor>
        </w:drawing>
        <w:drawing>
          <wp:anchor simplePos="0" relativeHeight="251657728" behindDoc="1" locked="0" layoutInCell="0" allowOverlap="1">
            <wp:simplePos x="0" y="0"/>
            <wp:positionH relativeFrom="column">
              <wp:posOffset>1938020</wp:posOffset>
            </wp:positionH>
            <wp:positionV relativeFrom="paragraph">
              <wp:posOffset>309245</wp:posOffset>
            </wp:positionV>
            <wp:extent cx="341249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12490" cy="188595"/>
                    </a:xfrm>
                    <a:prstGeom prst="rect">
                      <a:avLst/>
                    </a:prstGeom>
                    <a:noFill/>
                  </pic:spPr>
                </pic:pic>
              </a:graphicData>
            </a:graphic>
          </wp:anchor>
        </w:drawing>
      </w:r>
    </w:p>
    <w:p>
      <w:pPr>
        <w:sectPr>
          <w:pgSz w:w="11900" w:h="16838" w:orient="portrait"/>
          <w:cols w:equalWidth="0" w:num="1">
            <w:col w:w="11460"/>
          </w:cols>
          <w:pgMar w:left="220" w:top="118" w:right="219" w:bottom="1440" w:gutter="0" w:footer="0" w:header="0"/>
        </w:sectPr>
      </w:pPr>
    </w:p>
    <w:bookmarkStart w:id="6" w:name="page7"/>
    <w:bookmarkEnd w:id="6"/>
    <w:p>
      <w:pPr>
        <w:ind w:left="1280" w:hanging="217"/>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disposition is an annuity payment by a GRAT that reduces the GRAT’s percentage holdings (by value) of Graham and Cable by approximately the same proportion;</w:t>
      </w:r>
    </w:p>
    <w:p>
      <w:pPr>
        <w:spacing w:after="0" w:line="224" w:lineRule="exact"/>
        <w:rPr>
          <w:rFonts w:ascii="Arial" w:cs="Arial" w:eastAsia="Arial" w:hAnsi="Arial"/>
          <w:sz w:val="13"/>
          <w:szCs w:val="13"/>
          <w:color w:val="auto"/>
        </w:rPr>
      </w:pPr>
    </w:p>
    <w:p>
      <w:pPr>
        <w:ind w:left="540" w:right="220" w:firstLine="523"/>
        <w:spacing w:after="0" w:line="264" w:lineRule="auto"/>
        <w:tabs>
          <w:tab w:leader="none" w:pos="1324"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disposition occurs pursuant to the termination of a GRAT in which each beneficiary receives Graham and Cable stock in approximately the same proportions as the GRAT held Graham and Cable stock prior to its termination; or</w:t>
      </w:r>
    </w:p>
    <w:p>
      <w:pPr>
        <w:spacing w:after="0" w:line="170" w:lineRule="exact"/>
        <w:rPr>
          <w:rFonts w:ascii="Arial" w:cs="Arial" w:eastAsia="Arial" w:hAnsi="Arial"/>
          <w:sz w:val="15"/>
          <w:szCs w:val="15"/>
          <w:color w:val="auto"/>
        </w:rPr>
      </w:pPr>
    </w:p>
    <w:p>
      <w:pPr>
        <w:ind w:left="1320" w:hanging="257"/>
        <w:spacing w:after="0"/>
        <w:tabs>
          <w:tab w:leader="none" w:pos="132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disposition is of stock owned by the estate of DEG or the disposition is of stock held in a trust and is triggered by the death of DEG or a beneficiary of such trust.</w:t>
      </w:r>
    </w:p>
    <w:p>
      <w:pPr>
        <w:spacing w:after="0" w:line="224" w:lineRule="exact"/>
        <w:rPr>
          <w:sz w:val="20"/>
          <w:szCs w:val="20"/>
          <w:color w:val="auto"/>
        </w:rPr>
      </w:pPr>
    </w:p>
    <w:p>
      <w:pPr>
        <w:ind w:firstLine="1063"/>
        <w:spacing w:after="0" w:line="271" w:lineRule="auto"/>
        <w:tabs>
          <w:tab w:leader="none" w:pos="1451"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DEG may take an action otherwise prohibited under Section 1.02(a) if, prior to taking such action, Graham, Cable or DEG obtains an unqualified “will” opinion of a nationally recognized Tax counsel, which opinion permits reliance by Graham and is satisfactory to Graham in its reasonable discretion, to the effect that the proposed action will not adversely affect the Intended Tax Treatment;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opinion is satisfactory to Graham in both form and substance and is based on facts and representations provided by Graham, Cable and DEG, as applicable, that are true, complete and correct in all material respects. For each such opinion, Cable and DEG, as applicable, will certify to Graham that the facts and representations on which any such opinion is based are true, complete and correct in all material respects.</w:t>
      </w:r>
    </w:p>
    <w:p>
      <w:pPr>
        <w:spacing w:after="0" w:line="168" w:lineRule="exact"/>
        <w:rPr>
          <w:rFonts w:ascii="Arial" w:cs="Arial" w:eastAsia="Arial" w:hAnsi="Arial"/>
          <w:sz w:val="14"/>
          <w:szCs w:val="14"/>
          <w:color w:val="auto"/>
        </w:rPr>
      </w:pPr>
    </w:p>
    <w:p>
      <w:pPr>
        <w:ind w:right="160" w:firstLine="1063"/>
        <w:spacing w:after="0" w:line="300" w:lineRule="auto"/>
        <w:tabs>
          <w:tab w:leader="none" w:pos="1443" w:val="left"/>
        </w:tabs>
        <w:numPr>
          <w:ilvl w:val="0"/>
          <w:numId w:val="4"/>
        </w:numPr>
        <w:rPr>
          <w:rFonts w:ascii="Arial" w:cs="Arial" w:eastAsia="Arial" w:hAnsi="Arial"/>
          <w:sz w:val="14"/>
          <w:szCs w:val="14"/>
          <w:color w:val="auto"/>
        </w:rPr>
      </w:pPr>
      <w:r>
        <w:rPr>
          <w:rFonts w:ascii="Arial" w:cs="Arial" w:eastAsia="Arial" w:hAnsi="Arial"/>
          <w:sz w:val="14"/>
          <w:szCs w:val="14"/>
          <w:color w:val="auto"/>
        </w:rPr>
        <w:t>During the Restricted Period, DEG will not, and will not agree to, convert, or cause or permit to be converted, shares of Class A Common Stock of Graham owned by DEG individually or beneficially into shares of Class B Common Stock of Graham, except in advance of a disposition of such shares permitted by Section 1.02(a) or (b).</w:t>
      </w:r>
    </w:p>
    <w:p>
      <w:pPr>
        <w:spacing w:after="0" w:line="147"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If you agree to the foregoing terms and restrictions, please so indicate by executing this Letter Agreement in the space provided below.</w:t>
      </w:r>
    </w:p>
    <w:p>
      <w:pPr>
        <w:spacing w:after="0" w:line="201" w:lineRule="exact"/>
        <w:rPr>
          <w:sz w:val="20"/>
          <w:szCs w:val="20"/>
          <w:color w:val="auto"/>
        </w:rPr>
      </w:pPr>
    </w:p>
    <w:p>
      <w:pPr>
        <w:ind w:left="7800"/>
        <w:spacing w:after="0"/>
        <w:rPr>
          <w:sz w:val="20"/>
          <w:szCs w:val="20"/>
          <w:color w:val="auto"/>
        </w:rPr>
      </w:pPr>
      <w:r>
        <w:rPr>
          <w:rFonts w:ascii="Arial" w:cs="Arial" w:eastAsia="Arial" w:hAnsi="Arial"/>
          <w:sz w:val="15"/>
          <w:szCs w:val="15"/>
          <w:color w:val="auto"/>
        </w:rPr>
        <w:t>Sincerely,</w:t>
      </w:r>
    </w:p>
    <w:p>
      <w:pPr>
        <w:spacing w:after="0" w:line="179" w:lineRule="exact"/>
        <w:rPr>
          <w:sz w:val="20"/>
          <w:szCs w:val="20"/>
          <w:color w:val="auto"/>
        </w:rPr>
      </w:pPr>
    </w:p>
    <w:p>
      <w:pPr>
        <w:ind w:left="7800"/>
        <w:spacing w:after="0"/>
        <w:rPr>
          <w:sz w:val="20"/>
          <w:szCs w:val="20"/>
          <w:color w:val="auto"/>
        </w:rPr>
      </w:pPr>
      <w:r>
        <w:rPr>
          <w:rFonts w:ascii="Arial" w:cs="Arial" w:eastAsia="Arial" w:hAnsi="Arial"/>
          <w:sz w:val="15"/>
          <w:szCs w:val="15"/>
          <w:color w:val="auto"/>
        </w:rPr>
        <w:t>Graham Holdings Company</w:t>
      </w:r>
    </w:p>
    <w:p>
      <w:pPr>
        <w:spacing w:after="0" w:line="200" w:lineRule="exact"/>
        <w:rPr>
          <w:sz w:val="20"/>
          <w:szCs w:val="20"/>
          <w:color w:val="auto"/>
        </w:rPr>
      </w:pPr>
    </w:p>
    <w:p>
      <w:pPr>
        <w:spacing w:after="0" w:line="331" w:lineRule="exact"/>
        <w:rPr>
          <w:sz w:val="20"/>
          <w:szCs w:val="20"/>
          <w:color w:val="auto"/>
        </w:rPr>
      </w:pPr>
    </w:p>
    <w:p>
      <w:pPr>
        <w:ind w:left="7800"/>
        <w:spacing w:after="0"/>
        <w:tabs>
          <w:tab w:leader="none" w:pos="812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2"/>
          <w:szCs w:val="12"/>
          <w:color w:val="auto"/>
        </w:rPr>
        <w:t>/s/ Hal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5099685</wp:posOffset>
            </wp:positionH>
            <wp:positionV relativeFrom="paragraph">
              <wp:posOffset>8890</wp:posOffset>
            </wp:positionV>
            <wp:extent cx="2177415" cy="139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77415" cy="13970"/>
                    </a:xfrm>
                    <a:prstGeom prst="rect">
                      <a:avLst/>
                    </a:prstGeom>
                    <a:noFill/>
                  </pic:spPr>
                </pic:pic>
              </a:graphicData>
            </a:graphic>
          </wp:anchor>
        </w:drawing>
      </w:r>
    </w:p>
    <w:p>
      <w:pPr>
        <w:spacing w:after="0" w:line="5" w:lineRule="exact"/>
        <w:rPr>
          <w:sz w:val="20"/>
          <w:szCs w:val="20"/>
          <w:color w:val="auto"/>
        </w:rPr>
      </w:pPr>
    </w:p>
    <w:p>
      <w:pPr>
        <w:ind w:left="7840"/>
        <w:spacing w:after="0"/>
        <w:rPr>
          <w:sz w:val="20"/>
          <w:szCs w:val="20"/>
          <w:color w:val="auto"/>
        </w:rPr>
      </w:pPr>
      <w:r>
        <w:rPr>
          <w:rFonts w:ascii="Arial" w:cs="Arial" w:eastAsia="Arial" w:hAnsi="Arial"/>
          <w:sz w:val="15"/>
          <w:szCs w:val="15"/>
          <w:color w:val="auto"/>
        </w:rPr>
        <w:t>Name: Hal Jones</w:t>
      </w:r>
    </w:p>
    <w:p>
      <w:pPr>
        <w:spacing w:after="0" w:line="14" w:lineRule="exact"/>
        <w:rPr>
          <w:sz w:val="20"/>
          <w:szCs w:val="20"/>
          <w:color w:val="auto"/>
        </w:rPr>
      </w:pPr>
    </w:p>
    <w:p>
      <w:pPr>
        <w:ind w:left="7840"/>
        <w:spacing w:after="0"/>
        <w:tabs>
          <w:tab w:leader="none" w:pos="8280" w:val="left"/>
        </w:tabs>
        <w:rPr>
          <w:sz w:val="20"/>
          <w:szCs w:val="20"/>
          <w:color w:val="auto"/>
        </w:rPr>
      </w:pPr>
      <w:r>
        <w:rPr>
          <w:rFonts w:ascii="Arial" w:cs="Arial" w:eastAsia="Arial" w:hAnsi="Arial"/>
          <w:sz w:val="15"/>
          <w:szCs w:val="15"/>
          <w:color w:val="auto"/>
        </w:rPr>
        <w:t>Title:</w:t>
        <w:tab/>
        <w:t>SVP, Chief Financial Officer</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5"/>
          <w:szCs w:val="15"/>
          <w:color w:val="auto"/>
        </w:rPr>
        <w:t>Accepted and agreed as of</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auto"/>
        </w:rPr>
        <w:t>the date first above written:</w:t>
      </w:r>
    </w:p>
    <w:p>
      <w:pPr>
        <w:spacing w:after="0" w:line="300" w:lineRule="exact"/>
        <w:rPr>
          <w:sz w:val="20"/>
          <w:szCs w:val="20"/>
          <w:color w:val="auto"/>
        </w:rPr>
      </w:pPr>
    </w:p>
    <w:p>
      <w:pPr>
        <w:ind w:left="80"/>
        <w:spacing w:after="0"/>
        <w:rPr>
          <w:sz w:val="20"/>
          <w:szCs w:val="20"/>
          <w:color w:val="auto"/>
        </w:rPr>
      </w:pPr>
      <w:r>
        <w:rPr>
          <w:rFonts w:ascii="Arial" w:cs="Arial" w:eastAsia="Arial" w:hAnsi="Arial"/>
          <w:sz w:val="15"/>
          <w:szCs w:val="15"/>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1814830" cy="13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14830" cy="1397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5"/>
          <w:szCs w:val="15"/>
          <w:color w:val="auto"/>
        </w:rPr>
        <w:t>Donald E. Graham</w:t>
      </w:r>
    </w:p>
    <w:sectPr>
      <w:pgSz w:w="11900" w:h="16838" w:orient="portrait"/>
      <w:cols w:equalWidth="0" w:num="1">
        <w:col w:w="11340"/>
      </w:cols>
      <w:pgMar w:left="220" w:top="5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703"/>
    </w:lvl>
  </w:abstractNum>
  <w:abstractNum w:abstractNumId="1">
    <w:nsid w:val="19495CFF"/>
    <w:multiLevelType w:val="hybridMultilevel"/>
    <w:lvl w:ilvl="0">
      <w:lvlJc w:val="left"/>
      <w:lvlText w:val="(%1)"/>
      <w:numFmt w:val="lowerRoman"/>
      <w:start w:val="1"/>
    </w:lvl>
  </w:abstractNum>
  <w:abstractNum w:abstractNumId="2">
    <w:nsid w:val="2AE8944A"/>
    <w:multiLevelType w:val="hybridMultilevel"/>
    <w:lvl w:ilvl="0">
      <w:lvlJc w:val="left"/>
      <w:lvlText w:val="(%1)"/>
      <w:numFmt w:val="lowerRoman"/>
      <w:start w:val="2"/>
    </w:lvl>
  </w:abstractNum>
  <w:abstractNum w:abstractNumId="3">
    <w:nsid w:val="625558EC"/>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2019-12-16T14:27:49Z</dcterms:created>
  <dcterms:modified xsi:type="dcterms:W3CDTF">2019-12-16T14:27:49Z</dcterms:modified>
</cp:coreProperties>
</file>