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left="1160"/>
        <w:spacing w:after="0"/>
        <w:rPr>
          <w:sz w:val="20"/>
          <w:szCs w:val="20"/>
          <w:color w:val="auto"/>
        </w:rPr>
      </w:pPr>
      <w:r>
        <w:rPr>
          <w:rFonts w:ascii="Arial" w:cs="Arial" w:eastAsia="Arial" w:hAnsi="Arial"/>
          <w:sz w:val="30"/>
          <w:szCs w:val="30"/>
          <w:b w:val="1"/>
          <w:bCs w:val="1"/>
          <w:color w:val="auto"/>
        </w:rPr>
        <w:drawing>
          <wp:anchor simplePos="0" relativeHeight="251657728" behindDoc="1" locked="0" layoutInCell="0" allowOverlap="1">
            <wp:simplePos x="0" y="0"/>
            <wp:positionH relativeFrom="page">
              <wp:posOffset>514350</wp:posOffset>
            </wp:positionH>
            <wp:positionV relativeFrom="page">
              <wp:posOffset>514350</wp:posOffset>
            </wp:positionV>
            <wp:extent cx="6953250" cy="7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53250" cy="7620"/>
                    </a:xfrm>
                    <a:prstGeom prst="rect">
                      <a:avLst/>
                    </a:prstGeom>
                    <a:noFill/>
                  </pic:spPr>
                </pic:pic>
              </a:graphicData>
            </a:graphic>
          </wp:anchor>
        </w:drawing>
        <w:drawing>
          <wp:anchor simplePos="0" relativeHeight="251657728" behindDoc="1" locked="0" layoutInCell="0" allowOverlap="1">
            <wp:simplePos x="0" y="0"/>
            <wp:positionH relativeFrom="page">
              <wp:posOffset>514350</wp:posOffset>
            </wp:positionH>
            <wp:positionV relativeFrom="page">
              <wp:posOffset>553720</wp:posOffset>
            </wp:positionV>
            <wp:extent cx="6953250" cy="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53250" cy="7620"/>
                    </a:xfrm>
                    <a:prstGeom prst="rect">
                      <a:avLst/>
                    </a:prstGeom>
                    <a:noFill/>
                  </pic:spPr>
                </pic:pic>
              </a:graphicData>
            </a:graphic>
          </wp:anchor>
        </w:drawing>
        <w:t>UNITED STATES</w:t>
      </w:r>
    </w:p>
    <w:p>
      <w:pPr>
        <w:spacing w:after="0" w:line="34" w:lineRule="exact"/>
        <w:rPr>
          <w:sz w:val="24"/>
          <w:szCs w:val="24"/>
          <w:color w:val="auto"/>
        </w:rPr>
      </w:pPr>
    </w:p>
    <w:p>
      <w:pPr>
        <w:jc w:val="center"/>
        <w:ind w:left="1160"/>
        <w:spacing w:after="0"/>
        <w:rPr>
          <w:sz w:val="20"/>
          <w:szCs w:val="20"/>
          <w:color w:val="auto"/>
        </w:rPr>
      </w:pPr>
      <w:r>
        <w:rPr>
          <w:rFonts w:ascii="Arial" w:cs="Arial" w:eastAsia="Arial" w:hAnsi="Arial"/>
          <w:sz w:val="30"/>
          <w:szCs w:val="30"/>
          <w:b w:val="1"/>
          <w:bCs w:val="1"/>
          <w:color w:val="auto"/>
        </w:rPr>
        <w:t>SECURITIES AND EXCHANGE COMMISSION</w:t>
      </w:r>
    </w:p>
    <w:p>
      <w:pPr>
        <w:jc w:val="center"/>
        <w:ind w:left="1160"/>
        <w:spacing w:after="0"/>
        <w:rPr>
          <w:sz w:val="20"/>
          <w:szCs w:val="20"/>
          <w:color w:val="auto"/>
        </w:rPr>
      </w:pPr>
      <w:r>
        <w:rPr>
          <w:rFonts w:ascii="Arial" w:cs="Arial" w:eastAsia="Arial" w:hAnsi="Arial"/>
          <w:sz w:val="20"/>
          <w:szCs w:val="20"/>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2268855</wp:posOffset>
            </wp:positionH>
            <wp:positionV relativeFrom="paragraph">
              <wp:posOffset>93980</wp:posOffset>
            </wp:positionV>
            <wp:extent cx="2718435" cy="76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718435" cy="7620"/>
                    </a:xfrm>
                    <a:prstGeom prst="rect">
                      <a:avLst/>
                    </a:prstGeom>
                    <a:noFill/>
                  </pic:spPr>
                </pic:pic>
              </a:graphicData>
            </a:graphic>
          </wp:anchor>
        </w:drawing>
      </w:r>
    </w:p>
    <w:p>
      <w:pPr>
        <w:spacing w:after="0" w:line="181" w:lineRule="exact"/>
        <w:rPr>
          <w:sz w:val="24"/>
          <w:szCs w:val="24"/>
          <w:color w:val="auto"/>
        </w:rPr>
      </w:pPr>
    </w:p>
    <w:p>
      <w:pPr>
        <w:jc w:val="center"/>
        <w:ind w:left="1160"/>
        <w:spacing w:after="0"/>
        <w:rPr>
          <w:sz w:val="20"/>
          <w:szCs w:val="20"/>
          <w:color w:val="auto"/>
        </w:rPr>
      </w:pPr>
      <w:r>
        <w:rPr>
          <w:rFonts w:ascii="Arial" w:cs="Arial" w:eastAsia="Arial" w:hAnsi="Arial"/>
          <w:sz w:val="30"/>
          <w:szCs w:val="30"/>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2268855</wp:posOffset>
            </wp:positionH>
            <wp:positionV relativeFrom="paragraph">
              <wp:posOffset>157480</wp:posOffset>
            </wp:positionV>
            <wp:extent cx="2718435" cy="76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718435" cy="7620"/>
                    </a:xfrm>
                    <a:prstGeom prst="rect">
                      <a:avLst/>
                    </a:prstGeom>
                    <a:noFill/>
                  </pic:spPr>
                </pic:pic>
              </a:graphicData>
            </a:graphic>
          </wp:anchor>
        </w:drawing>
      </w:r>
    </w:p>
    <w:p>
      <w:pPr>
        <w:spacing w:after="0" w:line="285" w:lineRule="exact"/>
        <w:rPr>
          <w:sz w:val="24"/>
          <w:szCs w:val="24"/>
          <w:color w:val="auto"/>
        </w:rPr>
      </w:pPr>
    </w:p>
    <w:p>
      <w:pPr>
        <w:jc w:val="center"/>
        <w:ind w:left="1160"/>
        <w:spacing w:after="0"/>
        <w:rPr>
          <w:sz w:val="20"/>
          <w:szCs w:val="20"/>
          <w:color w:val="auto"/>
        </w:rPr>
      </w:pPr>
      <w:r>
        <w:rPr>
          <w:rFonts w:ascii="Arial" w:cs="Arial" w:eastAsia="Arial" w:hAnsi="Arial"/>
          <w:sz w:val="20"/>
          <w:szCs w:val="20"/>
          <w:b w:val="1"/>
          <w:bCs w:val="1"/>
          <w:color w:val="auto"/>
        </w:rPr>
        <w:t>CURRENT REPORT</w:t>
      </w:r>
    </w:p>
    <w:p>
      <w:pPr>
        <w:spacing w:after="0" w:line="68" w:lineRule="exact"/>
        <w:rPr>
          <w:sz w:val="24"/>
          <w:szCs w:val="24"/>
          <w:color w:val="auto"/>
        </w:rPr>
      </w:pPr>
    </w:p>
    <w:p>
      <w:pPr>
        <w:jc w:val="center"/>
        <w:ind w:left="1160"/>
        <w:spacing w:after="0"/>
        <w:rPr>
          <w:sz w:val="20"/>
          <w:szCs w:val="20"/>
          <w:color w:val="auto"/>
        </w:rPr>
      </w:pPr>
      <w:r>
        <w:rPr>
          <w:rFonts w:ascii="Arial" w:cs="Arial" w:eastAsia="Arial" w:hAnsi="Arial"/>
          <w:sz w:val="20"/>
          <w:szCs w:val="20"/>
          <w:b w:val="1"/>
          <w:bCs w:val="1"/>
          <w:color w:val="auto"/>
        </w:rPr>
        <w:t>Pursuant to Section 13 or 15(d) of the Securities Exchange Act of 1934</w:t>
      </w:r>
    </w:p>
    <w:p>
      <w:pPr>
        <w:spacing w:after="0" w:line="142" w:lineRule="exact"/>
        <w:rPr>
          <w:sz w:val="24"/>
          <w:szCs w:val="24"/>
          <w:color w:val="auto"/>
        </w:rPr>
      </w:pPr>
    </w:p>
    <w:p>
      <w:pPr>
        <w:jc w:val="center"/>
        <w:ind w:left="1160"/>
        <w:spacing w:after="0"/>
        <w:rPr>
          <w:sz w:val="20"/>
          <w:szCs w:val="20"/>
          <w:color w:val="auto"/>
        </w:rPr>
      </w:pPr>
      <w:r>
        <w:rPr>
          <w:rFonts w:ascii="Arial" w:cs="Arial" w:eastAsia="Arial" w:hAnsi="Arial"/>
          <w:sz w:val="20"/>
          <w:szCs w:val="20"/>
          <w:b w:val="1"/>
          <w:bCs w:val="1"/>
          <w:color w:val="auto"/>
        </w:rPr>
        <w:t xml:space="preserve">Date of Report (Date of earliest event reported) </w:t>
      </w:r>
      <w:r>
        <w:rPr>
          <w:rFonts w:ascii="Arial" w:cs="Arial" w:eastAsia="Arial" w:hAnsi="Arial"/>
          <w:sz w:val="20"/>
          <w:szCs w:val="20"/>
          <w:b w:val="1"/>
          <w:bCs w:val="1"/>
          <w:u w:val="single" w:color="auto"/>
          <w:color w:val="auto"/>
        </w:rPr>
        <w:t>January 8, 2013</w:t>
      </w:r>
    </w:p>
    <w:p>
      <w:pPr>
        <w:spacing w:after="0" w:line="48" w:lineRule="exact"/>
        <w:rPr>
          <w:sz w:val="24"/>
          <w:szCs w:val="24"/>
          <w:color w:val="auto"/>
        </w:rPr>
      </w:pPr>
    </w:p>
    <w:p>
      <w:pPr>
        <w:jc w:val="center"/>
        <w:ind w:left="1160"/>
        <w:spacing w:after="0"/>
        <w:rPr>
          <w:sz w:val="20"/>
          <w:szCs w:val="20"/>
          <w:color w:val="auto"/>
        </w:rPr>
      </w:pPr>
      <w:r>
        <w:rPr>
          <w:rFonts w:ascii="Arial" w:cs="Arial" w:eastAsia="Arial" w:hAnsi="Arial"/>
          <w:sz w:val="40"/>
          <w:szCs w:val="40"/>
          <w:b w:val="1"/>
          <w:bCs w:val="1"/>
          <w:color w:val="auto"/>
        </w:rPr>
        <w:t>THE WASHINGTON POST COMPANY</w:t>
      </w:r>
    </w:p>
    <w:p>
      <w:pPr>
        <w:spacing w:after="0" w:line="48" w:lineRule="exact"/>
        <w:rPr>
          <w:sz w:val="24"/>
          <w:szCs w:val="24"/>
          <w:color w:val="auto"/>
        </w:rPr>
      </w:pPr>
    </w:p>
    <w:p>
      <w:pPr>
        <w:ind w:left="3669"/>
        <w:spacing w:after="0"/>
        <w:rPr>
          <w:sz w:val="20"/>
          <w:szCs w:val="20"/>
          <w:color w:val="auto"/>
        </w:rPr>
      </w:pPr>
      <w:r>
        <w:rPr>
          <w:rFonts w:ascii="Arial" w:cs="Arial" w:eastAsia="Arial" w:hAnsi="Arial"/>
          <w:sz w:val="17"/>
          <w:szCs w:val="17"/>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2268855</wp:posOffset>
            </wp:positionH>
            <wp:positionV relativeFrom="paragraph">
              <wp:posOffset>97155</wp:posOffset>
            </wp:positionV>
            <wp:extent cx="2718435" cy="76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718435" cy="7620"/>
                    </a:xfrm>
                    <a:prstGeom prst="rect">
                      <a:avLst/>
                    </a:prstGeom>
                    <a:noFill/>
                  </pic:spPr>
                </pic:pic>
              </a:graphicData>
            </a:graphic>
          </wp:anchor>
        </w:drawing>
      </w:r>
    </w:p>
    <w:p>
      <w:pPr>
        <w:spacing w:after="0" w:line="208" w:lineRule="exact"/>
        <w:rPr>
          <w:sz w:val="24"/>
          <w:szCs w:val="24"/>
          <w:color w:val="auto"/>
        </w:rPr>
      </w:pPr>
    </w:p>
    <w:tbl>
      <w:tblPr>
        <w:tblLayout w:type="fixed"/>
        <w:tblInd w:w="1109" w:type="dxa"/>
        <w:tblCellMar>
          <w:top w:w="0" w:type="dxa"/>
          <w:left w:w="0" w:type="dxa"/>
          <w:bottom w:w="0" w:type="dxa"/>
          <w:right w:w="0" w:type="dxa"/>
        </w:tblCellMar>
      </w:tblPr>
      <w:tr>
        <w:trPr>
          <w:trHeight w:val="195"/>
        </w:trPr>
        <w:tc>
          <w:tcPr>
            <w:tcW w:w="2460" w:type="dxa"/>
            <w:vAlign w:val="bottom"/>
          </w:tcPr>
          <w:p>
            <w:pPr>
              <w:jc w:val="center"/>
              <w:ind w:right="590"/>
              <w:spacing w:after="0"/>
              <w:rPr>
                <w:sz w:val="20"/>
                <w:szCs w:val="20"/>
                <w:color w:val="auto"/>
              </w:rPr>
            </w:pPr>
            <w:r>
              <w:rPr>
                <w:rFonts w:ascii="Arial" w:cs="Arial" w:eastAsia="Arial" w:hAnsi="Arial"/>
                <w:sz w:val="17"/>
                <w:szCs w:val="17"/>
                <w:b w:val="1"/>
                <w:bCs w:val="1"/>
                <w:color w:val="auto"/>
                <w:w w:val="96"/>
              </w:rPr>
              <w:t>Delaware</w:t>
            </w:r>
          </w:p>
        </w:tc>
        <w:tc>
          <w:tcPr>
            <w:tcW w:w="4280" w:type="dxa"/>
            <w:vAlign w:val="bottom"/>
          </w:tcPr>
          <w:p>
            <w:pPr>
              <w:jc w:val="center"/>
              <w:ind w:left="70"/>
              <w:spacing w:after="0"/>
              <w:rPr>
                <w:sz w:val="20"/>
                <w:szCs w:val="20"/>
                <w:color w:val="auto"/>
              </w:rPr>
            </w:pPr>
            <w:r>
              <w:rPr>
                <w:rFonts w:ascii="Arial" w:cs="Arial" w:eastAsia="Arial" w:hAnsi="Arial"/>
                <w:sz w:val="17"/>
                <w:szCs w:val="17"/>
                <w:b w:val="1"/>
                <w:bCs w:val="1"/>
                <w:color w:val="auto"/>
                <w:w w:val="94"/>
              </w:rPr>
              <w:t>1-6714</w:t>
            </w:r>
          </w:p>
        </w:tc>
        <w:tc>
          <w:tcPr>
            <w:tcW w:w="2160" w:type="dxa"/>
            <w:vAlign w:val="bottom"/>
          </w:tcPr>
          <w:p>
            <w:pPr>
              <w:jc w:val="right"/>
              <w:ind w:right="10"/>
              <w:spacing w:after="0"/>
              <w:rPr>
                <w:sz w:val="20"/>
                <w:szCs w:val="20"/>
                <w:color w:val="auto"/>
              </w:rPr>
            </w:pPr>
            <w:r>
              <w:rPr>
                <w:rFonts w:ascii="Arial" w:cs="Arial" w:eastAsia="Arial" w:hAnsi="Arial"/>
                <w:sz w:val="17"/>
                <w:szCs w:val="17"/>
                <w:b w:val="1"/>
                <w:bCs w:val="1"/>
                <w:color w:val="auto"/>
              </w:rPr>
              <w:t>53-0182885</w:t>
            </w:r>
          </w:p>
        </w:tc>
      </w:tr>
      <w:tr>
        <w:trPr>
          <w:trHeight w:val="137"/>
        </w:trPr>
        <w:tc>
          <w:tcPr>
            <w:tcW w:w="2460" w:type="dxa"/>
            <w:vAlign w:val="bottom"/>
          </w:tcPr>
          <w:p>
            <w:pPr>
              <w:jc w:val="center"/>
              <w:ind w:right="610"/>
              <w:spacing w:after="0" w:line="137" w:lineRule="exact"/>
              <w:rPr>
                <w:sz w:val="20"/>
                <w:szCs w:val="20"/>
                <w:color w:val="auto"/>
              </w:rPr>
            </w:pPr>
            <w:r>
              <w:rPr>
                <w:rFonts w:ascii="Arial" w:cs="Arial" w:eastAsia="Arial" w:hAnsi="Arial"/>
                <w:sz w:val="12"/>
                <w:szCs w:val="12"/>
                <w:b w:val="1"/>
                <w:bCs w:val="1"/>
                <w:color w:val="auto"/>
              </w:rPr>
              <w:t>(State or other jurisdiction of</w:t>
            </w:r>
          </w:p>
        </w:tc>
        <w:tc>
          <w:tcPr>
            <w:tcW w:w="4280" w:type="dxa"/>
            <w:vAlign w:val="bottom"/>
          </w:tcPr>
          <w:p>
            <w:pPr>
              <w:jc w:val="center"/>
              <w:ind w:left="70"/>
              <w:spacing w:after="0" w:line="137" w:lineRule="exact"/>
              <w:rPr>
                <w:sz w:val="20"/>
                <w:szCs w:val="20"/>
                <w:color w:val="auto"/>
              </w:rPr>
            </w:pPr>
            <w:r>
              <w:rPr>
                <w:rFonts w:ascii="Arial" w:cs="Arial" w:eastAsia="Arial" w:hAnsi="Arial"/>
                <w:sz w:val="12"/>
                <w:szCs w:val="12"/>
                <w:b w:val="1"/>
                <w:bCs w:val="1"/>
                <w:color w:val="auto"/>
              </w:rPr>
              <w:t>(Commission</w:t>
            </w:r>
          </w:p>
        </w:tc>
        <w:tc>
          <w:tcPr>
            <w:tcW w:w="2160" w:type="dxa"/>
            <w:vAlign w:val="bottom"/>
          </w:tcPr>
          <w:p>
            <w:pPr>
              <w:jc w:val="center"/>
              <w:ind w:left="1050"/>
              <w:spacing w:after="0" w:line="137" w:lineRule="exact"/>
              <w:rPr>
                <w:sz w:val="20"/>
                <w:szCs w:val="20"/>
                <w:color w:val="auto"/>
              </w:rPr>
            </w:pPr>
            <w:r>
              <w:rPr>
                <w:rFonts w:ascii="Arial" w:cs="Arial" w:eastAsia="Arial" w:hAnsi="Arial"/>
                <w:sz w:val="12"/>
                <w:szCs w:val="12"/>
                <w:b w:val="1"/>
                <w:bCs w:val="1"/>
                <w:color w:val="auto"/>
              </w:rPr>
              <w:t>(I.R.S. Employer</w:t>
            </w:r>
          </w:p>
        </w:tc>
      </w:tr>
      <w:tr>
        <w:trPr>
          <w:trHeight w:val="162"/>
        </w:trPr>
        <w:tc>
          <w:tcPr>
            <w:tcW w:w="2460" w:type="dxa"/>
            <w:vAlign w:val="bottom"/>
          </w:tcPr>
          <w:p>
            <w:pPr>
              <w:jc w:val="center"/>
              <w:ind w:right="610"/>
              <w:spacing w:after="0"/>
              <w:rPr>
                <w:sz w:val="20"/>
                <w:szCs w:val="20"/>
                <w:color w:val="auto"/>
              </w:rPr>
            </w:pPr>
            <w:r>
              <w:rPr>
                <w:rFonts w:ascii="Arial" w:cs="Arial" w:eastAsia="Arial" w:hAnsi="Arial"/>
                <w:sz w:val="12"/>
                <w:szCs w:val="12"/>
                <w:b w:val="1"/>
                <w:bCs w:val="1"/>
                <w:color w:val="auto"/>
              </w:rPr>
              <w:t>incorporation or organization)</w:t>
            </w:r>
          </w:p>
        </w:tc>
        <w:tc>
          <w:tcPr>
            <w:tcW w:w="4280" w:type="dxa"/>
            <w:vAlign w:val="bottom"/>
          </w:tcPr>
          <w:p>
            <w:pPr>
              <w:jc w:val="center"/>
              <w:ind w:left="50"/>
              <w:spacing w:after="0"/>
              <w:rPr>
                <w:sz w:val="20"/>
                <w:szCs w:val="20"/>
                <w:color w:val="auto"/>
              </w:rPr>
            </w:pPr>
            <w:r>
              <w:rPr>
                <w:rFonts w:ascii="Arial" w:cs="Arial" w:eastAsia="Arial" w:hAnsi="Arial"/>
                <w:sz w:val="12"/>
                <w:szCs w:val="12"/>
                <w:b w:val="1"/>
                <w:bCs w:val="1"/>
                <w:color w:val="auto"/>
              </w:rPr>
              <w:t>File Number)</w:t>
            </w:r>
          </w:p>
        </w:tc>
        <w:tc>
          <w:tcPr>
            <w:tcW w:w="2160" w:type="dxa"/>
            <w:vAlign w:val="bottom"/>
          </w:tcPr>
          <w:p>
            <w:pPr>
              <w:jc w:val="center"/>
              <w:ind w:left="1050"/>
              <w:spacing w:after="0"/>
              <w:rPr>
                <w:sz w:val="20"/>
                <w:szCs w:val="20"/>
                <w:color w:val="auto"/>
              </w:rPr>
            </w:pPr>
            <w:r>
              <w:rPr>
                <w:rFonts w:ascii="Arial" w:cs="Arial" w:eastAsia="Arial" w:hAnsi="Arial"/>
                <w:sz w:val="12"/>
                <w:szCs w:val="12"/>
                <w:b w:val="1"/>
                <w:bCs w:val="1"/>
                <w:color w:val="auto"/>
              </w:rPr>
              <w:t>Identification No.)</w:t>
            </w:r>
          </w:p>
        </w:tc>
      </w:tr>
      <w:tr>
        <w:trPr>
          <w:trHeight w:val="396"/>
        </w:trPr>
        <w:tc>
          <w:tcPr>
            <w:tcW w:w="6740" w:type="dxa"/>
            <w:vAlign w:val="bottom"/>
            <w:gridSpan w:val="2"/>
          </w:tcPr>
          <w:p>
            <w:pPr>
              <w:jc w:val="center"/>
              <w:ind w:right="1350"/>
              <w:spacing w:after="0"/>
              <w:rPr>
                <w:sz w:val="20"/>
                <w:szCs w:val="20"/>
                <w:color w:val="auto"/>
              </w:rPr>
            </w:pPr>
            <w:r>
              <w:rPr>
                <w:rFonts w:ascii="Arial" w:cs="Arial" w:eastAsia="Arial" w:hAnsi="Arial"/>
                <w:sz w:val="17"/>
                <w:szCs w:val="17"/>
                <w:b w:val="1"/>
                <w:bCs w:val="1"/>
                <w:color w:val="auto"/>
                <w:w w:val="96"/>
              </w:rPr>
              <w:t>1150 15th Street, N.W. Washington, D.C.</w:t>
            </w:r>
          </w:p>
        </w:tc>
        <w:tc>
          <w:tcPr>
            <w:tcW w:w="2160" w:type="dxa"/>
            <w:vAlign w:val="bottom"/>
          </w:tcPr>
          <w:p>
            <w:pPr>
              <w:jc w:val="right"/>
              <w:ind w:right="230"/>
              <w:spacing w:after="0"/>
              <w:rPr>
                <w:sz w:val="20"/>
                <w:szCs w:val="20"/>
                <w:color w:val="auto"/>
              </w:rPr>
            </w:pPr>
            <w:r>
              <w:rPr>
                <w:rFonts w:ascii="Arial" w:cs="Arial" w:eastAsia="Arial" w:hAnsi="Arial"/>
                <w:sz w:val="17"/>
                <w:szCs w:val="17"/>
                <w:b w:val="1"/>
                <w:bCs w:val="1"/>
                <w:color w:val="auto"/>
              </w:rPr>
              <w:t>20071</w:t>
            </w:r>
          </w:p>
        </w:tc>
      </w:tr>
      <w:tr>
        <w:trPr>
          <w:trHeight w:val="162"/>
        </w:trPr>
        <w:tc>
          <w:tcPr>
            <w:tcW w:w="6740" w:type="dxa"/>
            <w:vAlign w:val="bottom"/>
            <w:gridSpan w:val="2"/>
          </w:tcPr>
          <w:p>
            <w:pPr>
              <w:jc w:val="center"/>
              <w:ind w:right="1350"/>
              <w:spacing w:after="0"/>
              <w:rPr>
                <w:sz w:val="20"/>
                <w:szCs w:val="20"/>
                <w:color w:val="auto"/>
              </w:rPr>
            </w:pPr>
            <w:r>
              <w:rPr>
                <w:rFonts w:ascii="Arial" w:cs="Arial" w:eastAsia="Arial" w:hAnsi="Arial"/>
                <w:sz w:val="12"/>
                <w:szCs w:val="12"/>
                <w:b w:val="1"/>
                <w:bCs w:val="1"/>
                <w:color w:val="auto"/>
              </w:rPr>
              <w:t>(Address of principal executive offices)</w:t>
            </w:r>
          </w:p>
        </w:tc>
        <w:tc>
          <w:tcPr>
            <w:tcW w:w="2160" w:type="dxa"/>
            <w:vAlign w:val="bottom"/>
          </w:tcPr>
          <w:p>
            <w:pPr>
              <w:jc w:val="center"/>
              <w:ind w:left="1050"/>
              <w:spacing w:after="0"/>
              <w:rPr>
                <w:sz w:val="20"/>
                <w:szCs w:val="20"/>
                <w:color w:val="auto"/>
              </w:rPr>
            </w:pPr>
            <w:r>
              <w:rPr>
                <w:rFonts w:ascii="Arial" w:cs="Arial" w:eastAsia="Arial" w:hAnsi="Arial"/>
                <w:sz w:val="12"/>
                <w:szCs w:val="12"/>
                <w:b w:val="1"/>
                <w:bCs w:val="1"/>
                <w:color w:val="auto"/>
              </w:rPr>
              <w:t>(Zip Code)</w:t>
            </w:r>
          </w:p>
        </w:tc>
      </w:tr>
      <w:tr>
        <w:trPr>
          <w:trHeight w:val="309"/>
        </w:trPr>
        <w:tc>
          <w:tcPr>
            <w:tcW w:w="2460" w:type="dxa"/>
            <w:vAlign w:val="bottom"/>
          </w:tcPr>
          <w:p>
            <w:pPr>
              <w:spacing w:after="0"/>
              <w:rPr>
                <w:sz w:val="24"/>
                <w:szCs w:val="24"/>
                <w:color w:val="auto"/>
              </w:rPr>
            </w:pPr>
          </w:p>
        </w:tc>
        <w:tc>
          <w:tcPr>
            <w:tcW w:w="4280" w:type="dxa"/>
            <w:vAlign w:val="bottom"/>
          </w:tcPr>
          <w:p>
            <w:pPr>
              <w:jc w:val="right"/>
              <w:ind w:right="1490"/>
              <w:spacing w:after="0"/>
              <w:rPr>
                <w:sz w:val="20"/>
                <w:szCs w:val="20"/>
                <w:color w:val="auto"/>
              </w:rPr>
            </w:pPr>
            <w:r>
              <w:rPr>
                <w:rFonts w:ascii="Arial" w:cs="Arial" w:eastAsia="Arial" w:hAnsi="Arial"/>
                <w:sz w:val="17"/>
                <w:szCs w:val="17"/>
                <w:b w:val="1"/>
                <w:bCs w:val="1"/>
                <w:color w:val="auto"/>
              </w:rPr>
              <w:t>(202) 334-6000</w:t>
            </w:r>
          </w:p>
        </w:tc>
        <w:tc>
          <w:tcPr>
            <w:tcW w:w="2160" w:type="dxa"/>
            <w:vAlign w:val="bottom"/>
          </w:tcPr>
          <w:p>
            <w:pPr>
              <w:spacing w:after="0"/>
              <w:rPr>
                <w:sz w:val="24"/>
                <w:szCs w:val="24"/>
                <w:color w:val="auto"/>
              </w:rPr>
            </w:pPr>
          </w:p>
        </w:tc>
      </w:tr>
      <w:tr>
        <w:trPr>
          <w:trHeight w:val="162"/>
        </w:trPr>
        <w:tc>
          <w:tcPr>
            <w:tcW w:w="2460" w:type="dxa"/>
            <w:vAlign w:val="bottom"/>
          </w:tcPr>
          <w:p>
            <w:pPr>
              <w:spacing w:after="0"/>
              <w:rPr>
                <w:sz w:val="14"/>
                <w:szCs w:val="14"/>
                <w:color w:val="auto"/>
              </w:rPr>
            </w:pPr>
          </w:p>
        </w:tc>
        <w:tc>
          <w:tcPr>
            <w:tcW w:w="4280" w:type="dxa"/>
            <w:vAlign w:val="bottom"/>
          </w:tcPr>
          <w:p>
            <w:pPr>
              <w:jc w:val="center"/>
              <w:spacing w:after="0"/>
              <w:rPr>
                <w:sz w:val="20"/>
                <w:szCs w:val="20"/>
                <w:color w:val="auto"/>
              </w:rPr>
            </w:pPr>
            <w:r>
              <w:rPr>
                <w:rFonts w:ascii="Arial" w:cs="Arial" w:eastAsia="Arial" w:hAnsi="Arial"/>
                <w:sz w:val="12"/>
                <w:szCs w:val="12"/>
                <w:b w:val="1"/>
                <w:bCs w:val="1"/>
                <w:color w:val="auto"/>
              </w:rPr>
              <w:t>(Registrant’s telephone number, including area code)</w:t>
            </w:r>
          </w:p>
        </w:tc>
        <w:tc>
          <w:tcPr>
            <w:tcW w:w="2160" w:type="dxa"/>
            <w:vAlign w:val="bottom"/>
          </w:tcPr>
          <w:p>
            <w:pPr>
              <w:spacing w:after="0"/>
              <w:rPr>
                <w:sz w:val="14"/>
                <w:szCs w:val="14"/>
                <w:color w:val="auto"/>
              </w:rPr>
            </w:pPr>
          </w:p>
        </w:tc>
      </w:tr>
      <w:tr>
        <w:trPr>
          <w:trHeight w:val="138"/>
        </w:trPr>
        <w:tc>
          <w:tcPr>
            <w:tcW w:w="2460" w:type="dxa"/>
            <w:vAlign w:val="bottom"/>
          </w:tcPr>
          <w:p>
            <w:pPr>
              <w:spacing w:after="0"/>
              <w:rPr>
                <w:sz w:val="11"/>
                <w:szCs w:val="11"/>
                <w:color w:val="auto"/>
              </w:rPr>
            </w:pPr>
          </w:p>
        </w:tc>
        <w:tc>
          <w:tcPr>
            <w:tcW w:w="4280" w:type="dxa"/>
            <w:vAlign w:val="bottom"/>
            <w:tcBorders>
              <w:bottom w:val="single" w:sz="8" w:color="auto"/>
            </w:tcBorders>
          </w:tcPr>
          <w:p>
            <w:pPr>
              <w:spacing w:after="0"/>
              <w:rPr>
                <w:sz w:val="11"/>
                <w:szCs w:val="11"/>
                <w:color w:val="auto"/>
              </w:rPr>
            </w:pPr>
          </w:p>
        </w:tc>
        <w:tc>
          <w:tcPr>
            <w:tcW w:w="2160" w:type="dxa"/>
            <w:vAlign w:val="bottom"/>
          </w:tcPr>
          <w:p>
            <w:pPr>
              <w:spacing w:after="0"/>
              <w:rPr>
                <w:sz w:val="11"/>
                <w:szCs w:val="11"/>
                <w:color w:val="auto"/>
              </w:rPr>
            </w:pPr>
          </w:p>
        </w:tc>
      </w:tr>
    </w:tbl>
    <w:p>
      <w:pPr>
        <w:spacing w:after="0" w:line="297" w:lineRule="exact"/>
        <w:rPr>
          <w:sz w:val="24"/>
          <w:szCs w:val="24"/>
          <w:color w:val="auto"/>
        </w:rPr>
      </w:pPr>
    </w:p>
    <w:p>
      <w:pPr>
        <w:ind w:left="9"/>
        <w:spacing w:after="0" w:line="235" w:lineRule="auto"/>
        <w:rPr>
          <w:sz w:val="20"/>
          <w:szCs w:val="20"/>
          <w:color w:val="auto"/>
        </w:rPr>
      </w:pPr>
      <w:r>
        <w:rPr>
          <w:rFonts w:ascii="Arial" w:cs="Arial" w:eastAsia="Arial" w:hAnsi="Arial"/>
          <w:sz w:val="17"/>
          <w:szCs w:val="17"/>
          <w:color w:val="auto"/>
        </w:rPr>
        <w:t>Check the appropriate box below if the Form 8-K filing is intended to simultaneously satisfy the filing obligation of the registrant under any of the follow provisions:</w:t>
      </w:r>
    </w:p>
    <w:p>
      <w:pPr>
        <w:spacing w:after="0" w:line="362" w:lineRule="exact"/>
        <w:rPr>
          <w:sz w:val="24"/>
          <w:szCs w:val="24"/>
          <w:color w:val="auto"/>
        </w:rPr>
      </w:pPr>
    </w:p>
    <w:p>
      <w:pPr>
        <w:ind w:left="89" w:hanging="89"/>
        <w:spacing w:after="0"/>
        <w:tabs>
          <w:tab w:leader="none" w:pos="89" w:val="left"/>
        </w:tabs>
        <w:numPr>
          <w:ilvl w:val="0"/>
          <w:numId w:val="1"/>
        </w:numPr>
        <w:rPr>
          <w:rFonts w:ascii="Arial" w:cs="Arial" w:eastAsia="Arial" w:hAnsi="Arial"/>
          <w:sz w:val="17"/>
          <w:szCs w:val="17"/>
          <w:color w:val="auto"/>
        </w:rPr>
      </w:pPr>
      <w:r>
        <w:rPr>
          <w:rFonts w:ascii="Arial" w:cs="Arial" w:eastAsia="Arial" w:hAnsi="Arial"/>
          <w:sz w:val="17"/>
          <w:szCs w:val="17"/>
          <w:color w:val="auto"/>
        </w:rPr>
        <w:t>] Written communications pursuant to Rule 425 under the Securities Act (17 CFR 230.425)</w:t>
      </w:r>
    </w:p>
    <w:p>
      <w:pPr>
        <w:spacing w:after="0" w:line="139" w:lineRule="exact"/>
        <w:rPr>
          <w:rFonts w:ascii="Arial" w:cs="Arial" w:eastAsia="Arial" w:hAnsi="Arial"/>
          <w:sz w:val="17"/>
          <w:szCs w:val="17"/>
          <w:color w:val="auto"/>
        </w:rPr>
      </w:pPr>
    </w:p>
    <w:p>
      <w:pPr>
        <w:ind w:left="89" w:hanging="89"/>
        <w:spacing w:after="0"/>
        <w:tabs>
          <w:tab w:leader="none" w:pos="89" w:val="left"/>
        </w:tabs>
        <w:numPr>
          <w:ilvl w:val="0"/>
          <w:numId w:val="1"/>
        </w:numPr>
        <w:rPr>
          <w:rFonts w:ascii="Arial" w:cs="Arial" w:eastAsia="Arial" w:hAnsi="Arial"/>
          <w:sz w:val="17"/>
          <w:szCs w:val="17"/>
          <w:color w:val="auto"/>
        </w:rPr>
      </w:pPr>
      <w:r>
        <w:rPr>
          <w:rFonts w:ascii="Arial" w:cs="Arial" w:eastAsia="Arial" w:hAnsi="Arial"/>
          <w:sz w:val="17"/>
          <w:szCs w:val="17"/>
          <w:color w:val="auto"/>
        </w:rPr>
        <w:t>] Soliciting material pursuant to Rule 14a-12 under the Exchange Act (17 CFR 240.14a-12)</w:t>
      </w:r>
    </w:p>
    <w:p>
      <w:pPr>
        <w:spacing w:after="0" w:line="139" w:lineRule="exact"/>
        <w:rPr>
          <w:rFonts w:ascii="Arial" w:cs="Arial" w:eastAsia="Arial" w:hAnsi="Arial"/>
          <w:sz w:val="17"/>
          <w:szCs w:val="17"/>
          <w:color w:val="auto"/>
        </w:rPr>
      </w:pPr>
    </w:p>
    <w:p>
      <w:pPr>
        <w:ind w:left="89" w:hanging="89"/>
        <w:spacing w:after="0"/>
        <w:tabs>
          <w:tab w:leader="none" w:pos="89" w:val="left"/>
        </w:tabs>
        <w:numPr>
          <w:ilvl w:val="0"/>
          <w:numId w:val="1"/>
        </w:numPr>
        <w:rPr>
          <w:rFonts w:ascii="Arial" w:cs="Arial" w:eastAsia="Arial" w:hAnsi="Arial"/>
          <w:sz w:val="17"/>
          <w:szCs w:val="17"/>
          <w:color w:val="auto"/>
        </w:rPr>
      </w:pPr>
      <w:r>
        <w:rPr>
          <w:rFonts w:ascii="Arial" w:cs="Arial" w:eastAsia="Arial" w:hAnsi="Arial"/>
          <w:sz w:val="17"/>
          <w:szCs w:val="17"/>
          <w:color w:val="auto"/>
        </w:rPr>
        <w:t>] Pre-commencement communications pursuant to Rule 14d-2(b) under the Exchange Act (17 CFR 240.14d-2(b))</w:t>
      </w:r>
    </w:p>
    <w:p>
      <w:pPr>
        <w:spacing w:after="0" w:line="139" w:lineRule="exact"/>
        <w:rPr>
          <w:rFonts w:ascii="Arial" w:cs="Arial" w:eastAsia="Arial" w:hAnsi="Arial"/>
          <w:sz w:val="17"/>
          <w:szCs w:val="17"/>
          <w:color w:val="auto"/>
        </w:rPr>
      </w:pPr>
    </w:p>
    <w:p>
      <w:pPr>
        <w:ind w:left="89" w:hanging="89"/>
        <w:spacing w:after="0"/>
        <w:tabs>
          <w:tab w:leader="none" w:pos="89" w:val="left"/>
        </w:tabs>
        <w:numPr>
          <w:ilvl w:val="0"/>
          <w:numId w:val="1"/>
        </w:numPr>
        <w:rPr>
          <w:rFonts w:ascii="Arial" w:cs="Arial" w:eastAsia="Arial" w:hAnsi="Arial"/>
          <w:sz w:val="17"/>
          <w:szCs w:val="17"/>
          <w:color w:val="auto"/>
        </w:rPr>
      </w:pPr>
      <w:r>
        <w:rPr>
          <w:rFonts w:ascii="Arial" w:cs="Arial" w:eastAsia="Arial" w:hAnsi="Arial"/>
          <w:sz w:val="17"/>
          <w:szCs w:val="17"/>
          <w:color w:val="auto"/>
        </w:rPr>
        <w:t>] 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-364490</wp:posOffset>
            </wp:positionH>
            <wp:positionV relativeFrom="paragraph">
              <wp:posOffset>323215</wp:posOffset>
            </wp:positionV>
            <wp:extent cx="7278370" cy="203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78370" cy="20320"/>
                    </a:xfrm>
                    <a:prstGeom prst="rect">
                      <a:avLst/>
                    </a:prstGeom>
                    <a:noFill/>
                  </pic:spPr>
                </pic:pic>
              </a:graphicData>
            </a:graphic>
          </wp:anchor>
        </w:drawing>
      </w:r>
    </w:p>
    <w:p>
      <w:pPr>
        <w:sectPr>
          <w:pgSz w:w="11900" w:h="16838" w:orient="portrait"/>
          <w:cols w:equalWidth="0" w:num="1">
            <w:col w:w="10949"/>
          </w:cols>
          <w:pgMar w:left="811" w:top="961" w:right="139" w:bottom="1440" w:gutter="0" w:footer="0" w:header="0"/>
        </w:sectPr>
      </w:pPr>
    </w:p>
    <w:bookmarkStart w:id="1" w:name="page2"/>
    <w:bookmarkEnd w:id="1"/>
    <w:p>
      <w:pP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514350</wp:posOffset>
            </wp:positionH>
            <wp:positionV relativeFrom="page">
              <wp:posOffset>608965</wp:posOffset>
            </wp:positionV>
            <wp:extent cx="6953250" cy="1587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53250" cy="15875"/>
                    </a:xfrm>
                    <a:prstGeom prst="rect">
                      <a:avLst/>
                    </a:prstGeom>
                    <a:noFill/>
                  </pic:spPr>
                </pic:pic>
              </a:graphicData>
            </a:graphic>
          </wp:anchor>
        </w:drawing>
        <w:t>Section 8 – Other Events</w:t>
      </w:r>
    </w:p>
    <w:p>
      <w:pPr>
        <w:spacing w:after="0" w:line="197" w:lineRule="exact"/>
        <w:rPr>
          <w:sz w:val="20"/>
          <w:szCs w:val="20"/>
          <w:color w:val="auto"/>
        </w:rPr>
      </w:pPr>
    </w:p>
    <w:p>
      <w:pPr>
        <w:spacing w:after="0"/>
        <w:rPr>
          <w:sz w:val="20"/>
          <w:szCs w:val="20"/>
          <w:color w:val="auto"/>
        </w:rPr>
      </w:pPr>
      <w:r>
        <w:rPr>
          <w:rFonts w:ascii="Arial" w:cs="Arial" w:eastAsia="Arial" w:hAnsi="Arial"/>
          <w:sz w:val="17"/>
          <w:szCs w:val="17"/>
          <w:color w:val="auto"/>
        </w:rPr>
        <w:t>Item 8.01 Other Events</w:t>
      </w:r>
    </w:p>
    <w:p>
      <w:pPr>
        <w:spacing w:after="0" w:line="177" w:lineRule="exact"/>
        <w:rPr>
          <w:sz w:val="20"/>
          <w:szCs w:val="20"/>
          <w:color w:val="auto"/>
        </w:rPr>
      </w:pPr>
    </w:p>
    <w:p>
      <w:pPr>
        <w:spacing w:after="0" w:line="235" w:lineRule="auto"/>
        <w:rPr>
          <w:sz w:val="20"/>
          <w:szCs w:val="20"/>
          <w:color w:val="auto"/>
        </w:rPr>
      </w:pPr>
      <w:r>
        <w:rPr>
          <w:rFonts w:ascii="Arial" w:cs="Arial" w:eastAsia="Arial" w:hAnsi="Arial"/>
          <w:sz w:val="17"/>
          <w:szCs w:val="17"/>
          <w:color w:val="auto"/>
        </w:rPr>
        <w:t>On January 8, 2013, Kaplan, Inc., a subsidiary of The Washington Post Company, issued the press release attached as Exhibit 99.1. The text of such Exhibit is hereby incorporated by reference into this Item 8.01.</w:t>
      </w:r>
    </w:p>
    <w:p>
      <w:pPr>
        <w:spacing w:after="0" w:line="34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Section 9 – Financial Statements and Exhibits</w:t>
      </w:r>
    </w:p>
    <w:p>
      <w:pPr>
        <w:spacing w:after="0" w:line="17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9.01 Financial Statements and Exhibits</w:t>
      </w:r>
    </w:p>
    <w:p>
      <w:pPr>
        <w:spacing w:after="0" w:line="197" w:lineRule="exact"/>
        <w:rPr>
          <w:sz w:val="20"/>
          <w:szCs w:val="20"/>
          <w:color w:val="auto"/>
        </w:rPr>
      </w:pPr>
    </w:p>
    <w:p>
      <w:pPr>
        <w:spacing w:after="0"/>
        <w:rPr>
          <w:sz w:val="20"/>
          <w:szCs w:val="20"/>
          <w:color w:val="auto"/>
        </w:rPr>
      </w:pPr>
      <w:r>
        <w:rPr>
          <w:rFonts w:ascii="Arial" w:cs="Arial" w:eastAsia="Arial" w:hAnsi="Arial"/>
          <w:sz w:val="17"/>
          <w:szCs w:val="17"/>
          <w:color w:val="auto"/>
        </w:rPr>
        <w:t>Exhibit 99.1 Kaplan, Inc. Press release dated January 8, 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365125</wp:posOffset>
            </wp:positionV>
            <wp:extent cx="6953250" cy="1587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53250" cy="15875"/>
                    </a:xfrm>
                    <a:prstGeom prst="rect">
                      <a:avLst/>
                    </a:prstGeom>
                    <a:noFill/>
                  </pic:spPr>
                </pic:pic>
              </a:graphicData>
            </a:graphic>
          </wp:anchor>
        </w:drawing>
      </w:r>
    </w:p>
    <w:p>
      <w:pPr>
        <w:spacing w:after="0" w:line="200" w:lineRule="exact"/>
        <w:rPr>
          <w:sz w:val="20"/>
          <w:szCs w:val="20"/>
          <w:color w:val="auto"/>
        </w:rPr>
      </w:pPr>
    </w:p>
    <w:p>
      <w:pPr>
        <w:spacing w:after="0" w:line="379" w:lineRule="exact"/>
        <w:rPr>
          <w:sz w:val="20"/>
          <w:szCs w:val="20"/>
          <w:color w:val="auto"/>
        </w:rPr>
      </w:pPr>
    </w:p>
    <w:p>
      <w:pPr>
        <w:jc w:val="center"/>
        <w:ind w:left="1160"/>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-370840</wp:posOffset>
            </wp:positionH>
            <wp:positionV relativeFrom="paragraph">
              <wp:posOffset>181610</wp:posOffset>
            </wp:positionV>
            <wp:extent cx="7278370" cy="2032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78370" cy="20320"/>
                    </a:xfrm>
                    <a:prstGeom prst="rect">
                      <a:avLst/>
                    </a:prstGeom>
                    <a:noFill/>
                  </pic:spPr>
                </pic:pic>
              </a:graphicData>
            </a:graphic>
          </wp:anchor>
        </w:drawing>
      </w:r>
    </w:p>
    <w:p>
      <w:pPr>
        <w:sectPr>
          <w:pgSz w:w="11900" w:h="16838" w:orient="portrait"/>
          <w:cols w:equalWidth="0" w:num="1">
            <w:col w:w="10900"/>
          </w:cols>
          <w:pgMar w:left="820" w:top="1149" w:right="179" w:bottom="1440" w:gutter="0" w:footer="0" w:header="0"/>
        </w:sectPr>
      </w:pPr>
    </w:p>
    <w:bookmarkStart w:id="2" w:name="page3"/>
    <w:bookmarkEnd w:id="2"/>
    <w:p>
      <w:pPr>
        <w:ind w:left="5800"/>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514350</wp:posOffset>
            </wp:positionH>
            <wp:positionV relativeFrom="page">
              <wp:posOffset>608965</wp:posOffset>
            </wp:positionV>
            <wp:extent cx="6953250" cy="1587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53250" cy="15875"/>
                    </a:xfrm>
                    <a:prstGeom prst="rect">
                      <a:avLst/>
                    </a:prstGeom>
                    <a:noFill/>
                  </pic:spPr>
                </pic:pic>
              </a:graphicData>
            </a:graphic>
          </wp:anchor>
        </w:drawing>
        <w:t>SIGNATURE</w:t>
      </w:r>
    </w:p>
    <w:p>
      <w:pPr>
        <w:spacing w:after="0" w:line="200" w:lineRule="exact"/>
        <w:rPr>
          <w:sz w:val="20"/>
          <w:szCs w:val="20"/>
          <w:color w:val="auto"/>
        </w:rPr>
      </w:pPr>
    </w:p>
    <w:p>
      <w:pPr>
        <w:spacing w:after="0" w:line="369" w:lineRule="exact"/>
        <w:rPr>
          <w:sz w:val="20"/>
          <w:szCs w:val="20"/>
          <w:color w:val="auto"/>
        </w:rPr>
      </w:pPr>
    </w:p>
    <w:p>
      <w:pPr>
        <w:ind w:left="580" w:right="400"/>
        <w:spacing w:after="0" w:line="235" w:lineRule="auto"/>
        <w:rPr>
          <w:sz w:val="20"/>
          <w:szCs w:val="20"/>
          <w:color w:val="auto"/>
        </w:rPr>
      </w:pPr>
      <w:r>
        <w:rPr>
          <w:rFonts w:ascii="Arial" w:cs="Arial" w:eastAsia="Arial" w:hAnsi="Arial"/>
          <w:sz w:val="17"/>
          <w:szCs w:val="17"/>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6840" w:type="dxa"/>
            <w:vAlign w:val="bottom"/>
            <w:gridSpan w:val="3"/>
          </w:tcPr>
          <w:p>
            <w:pPr>
              <w:ind w:left="140"/>
              <w:spacing w:after="0"/>
              <w:rPr>
                <w:sz w:val="20"/>
                <w:szCs w:val="20"/>
                <w:color w:val="auto"/>
              </w:rPr>
            </w:pPr>
            <w:r>
              <w:rPr>
                <w:rFonts w:ascii="Arial" w:cs="Arial" w:eastAsia="Arial" w:hAnsi="Arial"/>
                <w:sz w:val="17"/>
                <w:szCs w:val="17"/>
                <w:color w:val="auto"/>
              </w:rPr>
              <w:t>The Washington Post Company</w:t>
            </w:r>
          </w:p>
        </w:tc>
      </w:tr>
      <w:tr>
        <w:trPr>
          <w:trHeight w:val="198"/>
        </w:trPr>
        <w:tc>
          <w:tcPr>
            <w:tcW w:w="5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6840" w:type="dxa"/>
            <w:vAlign w:val="bottom"/>
            <w:gridSpan w:val="3"/>
          </w:tcPr>
          <w:p>
            <w:pPr>
              <w:ind w:left="800"/>
              <w:spacing w:after="0"/>
              <w:rPr>
                <w:sz w:val="20"/>
                <w:szCs w:val="20"/>
                <w:color w:val="auto"/>
              </w:rPr>
            </w:pPr>
            <w:r>
              <w:rPr>
                <w:rFonts w:ascii="Arial" w:cs="Arial" w:eastAsia="Arial" w:hAnsi="Arial"/>
                <w:sz w:val="17"/>
                <w:szCs w:val="17"/>
                <w:color w:val="auto"/>
              </w:rPr>
              <w:t>(Registrant)</w:t>
            </w:r>
          </w:p>
        </w:tc>
      </w:tr>
      <w:tr>
        <w:trPr>
          <w:trHeight w:val="709"/>
        </w:trPr>
        <w:tc>
          <w:tcPr>
            <w:tcW w:w="580" w:type="dxa"/>
            <w:vAlign w:val="bottom"/>
          </w:tcPr>
          <w:p>
            <w:pPr>
              <w:spacing w:after="0"/>
              <w:rPr>
                <w:sz w:val="24"/>
                <w:szCs w:val="24"/>
                <w:color w:val="auto"/>
              </w:rPr>
            </w:pPr>
          </w:p>
        </w:tc>
        <w:tc>
          <w:tcPr>
            <w:tcW w:w="2720" w:type="dxa"/>
            <w:vAlign w:val="bottom"/>
            <w:gridSpan w:val="3"/>
          </w:tcPr>
          <w:p>
            <w:pPr>
              <w:spacing w:after="0"/>
              <w:rPr>
                <w:sz w:val="20"/>
                <w:szCs w:val="20"/>
                <w:color w:val="auto"/>
              </w:rPr>
            </w:pPr>
            <w:r>
              <w:rPr>
                <w:rFonts w:ascii="Arial" w:cs="Arial" w:eastAsia="Arial" w:hAnsi="Arial"/>
                <w:sz w:val="17"/>
                <w:szCs w:val="17"/>
                <w:color w:val="auto"/>
              </w:rPr>
              <w:t>Date January 8, 2013</w:t>
            </w:r>
          </w:p>
        </w:tc>
        <w:tc>
          <w:tcPr>
            <w:tcW w:w="1380" w:type="dxa"/>
            <w:vAlign w:val="bottom"/>
          </w:tcPr>
          <w:p>
            <w:pPr>
              <w:spacing w:after="0"/>
              <w:rPr>
                <w:sz w:val="24"/>
                <w:szCs w:val="24"/>
                <w:color w:val="auto"/>
              </w:rPr>
            </w:pPr>
          </w:p>
        </w:tc>
        <w:tc>
          <w:tcPr>
            <w:tcW w:w="6840" w:type="dxa"/>
            <w:vAlign w:val="bottom"/>
            <w:gridSpan w:val="3"/>
          </w:tcPr>
          <w:p>
            <w:pPr>
              <w:jc w:val="right"/>
              <w:ind w:right="5200"/>
              <w:spacing w:after="0"/>
              <w:rPr>
                <w:sz w:val="20"/>
                <w:szCs w:val="20"/>
                <w:color w:val="auto"/>
              </w:rPr>
            </w:pPr>
            <w:r>
              <w:rPr>
                <w:rFonts w:ascii="Arial" w:cs="Arial" w:eastAsia="Arial" w:hAnsi="Arial"/>
                <w:sz w:val="17"/>
                <w:szCs w:val="17"/>
                <w:color w:val="auto"/>
              </w:rPr>
              <w:t>/s/ Veronica Dillon</w:t>
            </w:r>
          </w:p>
        </w:tc>
      </w:tr>
      <w:tr>
        <w:trPr>
          <w:trHeight w:val="190"/>
        </w:trPr>
        <w:tc>
          <w:tcPr>
            <w:tcW w:w="5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00" w:type="dxa"/>
            <w:vAlign w:val="bottom"/>
            <w:tcBorders>
              <w:top w:val="single" w:sz="8" w:color="auto"/>
            </w:tcBorders>
          </w:tcPr>
          <w:p>
            <w:pPr>
              <w:spacing w:after="0"/>
              <w:rPr>
                <w:sz w:val="16"/>
                <w:szCs w:val="16"/>
                <w:color w:val="auto"/>
              </w:rPr>
            </w:pPr>
          </w:p>
        </w:tc>
        <w:tc>
          <w:tcPr>
            <w:tcW w:w="114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2200" w:type="dxa"/>
            <w:vAlign w:val="bottom"/>
            <w:tcBorders>
              <w:top w:val="single" w:sz="8" w:color="auto"/>
            </w:tcBorders>
          </w:tcPr>
          <w:p>
            <w:pPr>
              <w:jc w:val="right"/>
              <w:ind w:right="737"/>
              <w:spacing w:after="0" w:line="190" w:lineRule="exact"/>
              <w:rPr>
                <w:sz w:val="20"/>
                <w:szCs w:val="20"/>
                <w:color w:val="auto"/>
              </w:rPr>
            </w:pPr>
            <w:r>
              <w:rPr>
                <w:rFonts w:ascii="Arial" w:cs="Arial" w:eastAsia="Arial" w:hAnsi="Arial"/>
                <w:sz w:val="17"/>
                <w:szCs w:val="17"/>
                <w:color w:val="auto"/>
              </w:rPr>
              <w:t>Veronica Dillon</w:t>
            </w:r>
          </w:p>
        </w:tc>
        <w:tc>
          <w:tcPr>
            <w:tcW w:w="4640" w:type="dxa"/>
            <w:vAlign w:val="bottom"/>
            <w:gridSpan w:val="2"/>
          </w:tcPr>
          <w:p>
            <w:pPr>
              <w:spacing w:after="0"/>
              <w:rPr>
                <w:sz w:val="16"/>
                <w:szCs w:val="16"/>
                <w:color w:val="auto"/>
              </w:rPr>
            </w:pPr>
          </w:p>
        </w:tc>
      </w:tr>
      <w:tr>
        <w:trPr>
          <w:trHeight w:val="186"/>
        </w:trPr>
        <w:tc>
          <w:tcPr>
            <w:tcW w:w="5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6840" w:type="dxa"/>
            <w:vAlign w:val="bottom"/>
            <w:gridSpan w:val="3"/>
          </w:tcPr>
          <w:p>
            <w:pPr>
              <w:ind w:left="60"/>
              <w:spacing w:after="0" w:line="186" w:lineRule="exact"/>
              <w:rPr>
                <w:sz w:val="20"/>
                <w:szCs w:val="20"/>
                <w:color w:val="auto"/>
              </w:rPr>
            </w:pPr>
            <w:r>
              <w:rPr>
                <w:rFonts w:ascii="Arial" w:cs="Arial" w:eastAsia="Arial" w:hAnsi="Arial"/>
                <w:sz w:val="17"/>
                <w:szCs w:val="17"/>
                <w:color w:val="auto"/>
              </w:rPr>
              <w:t>Senior Vice President,</w:t>
            </w:r>
          </w:p>
        </w:tc>
      </w:tr>
      <w:tr>
        <w:trPr>
          <w:trHeight w:val="198"/>
        </w:trPr>
        <w:tc>
          <w:tcPr>
            <w:tcW w:w="5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220" w:type="dxa"/>
            <w:vAlign w:val="bottom"/>
            <w:gridSpan w:val="4"/>
          </w:tcPr>
          <w:p>
            <w:pPr>
              <w:ind w:left="1140"/>
              <w:spacing w:after="0"/>
              <w:rPr>
                <w:sz w:val="20"/>
                <w:szCs w:val="20"/>
                <w:color w:val="auto"/>
              </w:rPr>
            </w:pPr>
            <w:r>
              <w:rPr>
                <w:rFonts w:ascii="Arial" w:cs="Arial" w:eastAsia="Arial" w:hAnsi="Arial"/>
                <w:sz w:val="17"/>
                <w:szCs w:val="17"/>
                <w:color w:val="auto"/>
              </w:rPr>
              <w:t>Secretary and General Counsel</w:t>
            </w:r>
          </w:p>
        </w:tc>
      </w:tr>
      <w:tr>
        <w:trPr>
          <w:trHeight w:val="763"/>
        </w:trPr>
        <w:tc>
          <w:tcPr>
            <w:tcW w:w="58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2200" w:type="dxa"/>
            <w:vAlign w:val="bottom"/>
            <w:tcBorders>
              <w:bottom w:val="single" w:sz="8" w:color="auto"/>
            </w:tcBorders>
          </w:tcPr>
          <w:p>
            <w:pPr>
              <w:spacing w:after="0"/>
              <w:rPr>
                <w:sz w:val="24"/>
                <w:szCs w:val="24"/>
                <w:color w:val="auto"/>
              </w:rPr>
            </w:pPr>
          </w:p>
        </w:tc>
        <w:tc>
          <w:tcPr>
            <w:tcW w:w="45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r>
      <w:tr>
        <w:trPr>
          <w:trHeight w:val="198"/>
        </w:trPr>
        <w:tc>
          <w:tcPr>
            <w:tcW w:w="5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580" w:type="dxa"/>
            <w:vAlign w:val="bottom"/>
            <w:gridSpan w:val="2"/>
          </w:tcPr>
          <w:p>
            <w:pPr>
              <w:jc w:val="right"/>
              <w:ind w:right="457"/>
              <w:spacing w:after="0"/>
              <w:rPr>
                <w:sz w:val="20"/>
                <w:szCs w:val="20"/>
                <w:color w:val="auto"/>
              </w:rPr>
            </w:pPr>
            <w:r>
              <w:rPr>
                <w:rFonts w:ascii="Arial" w:cs="Arial" w:eastAsia="Arial" w:hAnsi="Arial"/>
                <w:sz w:val="17"/>
                <w:szCs w:val="17"/>
                <w:color w:val="auto"/>
              </w:rPr>
              <w:t>3</w:t>
            </w:r>
          </w:p>
        </w:tc>
        <w:tc>
          <w:tcPr>
            <w:tcW w:w="458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95"/>
        </w:trPr>
        <w:tc>
          <w:tcPr>
            <w:tcW w:w="580" w:type="dxa"/>
            <w:vAlign w:val="bottom"/>
            <w:tcBorders>
              <w:bottom w:val="single" w:sz="8" w:color="808080"/>
            </w:tcBorders>
          </w:tcPr>
          <w:p>
            <w:pPr>
              <w:spacing w:after="0"/>
              <w:rPr>
                <w:sz w:val="24"/>
                <w:szCs w:val="24"/>
                <w:color w:val="auto"/>
              </w:rPr>
            </w:pPr>
          </w:p>
        </w:tc>
        <w:tc>
          <w:tcPr>
            <w:tcW w:w="380" w:type="dxa"/>
            <w:vAlign w:val="bottom"/>
            <w:tcBorders>
              <w:bottom w:val="single" w:sz="8" w:color="808080"/>
            </w:tcBorders>
          </w:tcPr>
          <w:p>
            <w:pPr>
              <w:spacing w:after="0"/>
              <w:rPr>
                <w:sz w:val="24"/>
                <w:szCs w:val="24"/>
                <w:color w:val="auto"/>
              </w:rPr>
            </w:pPr>
          </w:p>
        </w:tc>
        <w:tc>
          <w:tcPr>
            <w:tcW w:w="1200" w:type="dxa"/>
            <w:vAlign w:val="bottom"/>
            <w:tcBorders>
              <w:bottom w:val="single" w:sz="8" w:color="808080"/>
            </w:tcBorders>
          </w:tcPr>
          <w:p>
            <w:pPr>
              <w:spacing w:after="0"/>
              <w:rPr>
                <w:sz w:val="24"/>
                <w:szCs w:val="24"/>
                <w:color w:val="auto"/>
              </w:rPr>
            </w:pPr>
          </w:p>
        </w:tc>
        <w:tc>
          <w:tcPr>
            <w:tcW w:w="1140" w:type="dxa"/>
            <w:vAlign w:val="bottom"/>
            <w:tcBorders>
              <w:bottom w:val="single" w:sz="8" w:color="808080"/>
            </w:tcBorders>
          </w:tcPr>
          <w:p>
            <w:pPr>
              <w:spacing w:after="0"/>
              <w:rPr>
                <w:sz w:val="24"/>
                <w:szCs w:val="24"/>
                <w:color w:val="auto"/>
              </w:rPr>
            </w:pPr>
          </w:p>
        </w:tc>
        <w:tc>
          <w:tcPr>
            <w:tcW w:w="1380" w:type="dxa"/>
            <w:vAlign w:val="bottom"/>
            <w:tcBorders>
              <w:bottom w:val="single" w:sz="8" w:color="808080"/>
            </w:tcBorders>
          </w:tcPr>
          <w:p>
            <w:pPr>
              <w:spacing w:after="0"/>
              <w:rPr>
                <w:sz w:val="24"/>
                <w:szCs w:val="24"/>
                <w:color w:val="auto"/>
              </w:rPr>
            </w:pPr>
          </w:p>
        </w:tc>
        <w:tc>
          <w:tcPr>
            <w:tcW w:w="2200" w:type="dxa"/>
            <w:vAlign w:val="bottom"/>
            <w:tcBorders>
              <w:bottom w:val="single" w:sz="8" w:color="808080"/>
            </w:tcBorders>
          </w:tcPr>
          <w:p>
            <w:pPr>
              <w:spacing w:after="0"/>
              <w:rPr>
                <w:sz w:val="24"/>
                <w:szCs w:val="24"/>
                <w:color w:val="auto"/>
              </w:rPr>
            </w:pPr>
          </w:p>
        </w:tc>
        <w:tc>
          <w:tcPr>
            <w:tcW w:w="4580" w:type="dxa"/>
            <w:vAlign w:val="bottom"/>
            <w:tcBorders>
              <w:bottom w:val="single" w:sz="8" w:color="808080"/>
            </w:tcBorders>
          </w:tcPr>
          <w:p>
            <w:pPr>
              <w:spacing w:after="0"/>
              <w:rPr>
                <w:sz w:val="24"/>
                <w:szCs w:val="24"/>
                <w:color w:val="auto"/>
              </w:rPr>
            </w:pPr>
          </w:p>
        </w:tc>
        <w:tc>
          <w:tcPr>
            <w:tcW w:w="6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7262495</wp:posOffset>
            </wp:positionH>
            <wp:positionV relativeFrom="paragraph">
              <wp:posOffset>-13335</wp:posOffset>
            </wp:positionV>
            <wp:extent cx="12700" cy="762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-13335</wp:posOffset>
            </wp:positionV>
            <wp:extent cx="12700" cy="762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700" cy="7620"/>
                    </a:xfrm>
                    <a:prstGeom prst="rect">
                      <a:avLst/>
                    </a:prstGeom>
                    <a:noFill/>
                  </pic:spPr>
                </pic:pic>
              </a:graphicData>
            </a:graphic>
          </wp:anchor>
        </w:drawing>
      </w:r>
    </w:p>
    <w:p>
      <w:pPr>
        <w:sectPr>
          <w:pgSz w:w="11900" w:h="16838" w:orient="portrait"/>
          <w:cols w:equalWidth="0" w:num="1">
            <w:col w:w="11520"/>
          </w:cols>
          <w:pgMar w:left="240" w:top="1149" w:right="139" w:bottom="1440" w:gutter="0" w:footer="0" w:header="0"/>
        </w:sectPr>
      </w:pPr>
    </w:p>
    <w:bookmarkStart w:id="3" w:name="page4"/>
    <w:bookmarkEnd w:id="3"/>
    <w:p>
      <w:pP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514350</wp:posOffset>
            </wp:positionH>
            <wp:positionV relativeFrom="page">
              <wp:posOffset>608965</wp:posOffset>
            </wp:positionV>
            <wp:extent cx="6953250" cy="1587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953250" cy="15875"/>
                    </a:xfrm>
                    <a:prstGeom prst="rect">
                      <a:avLst/>
                    </a:prstGeom>
                    <a:noFill/>
                  </pic:spPr>
                </pic:pic>
              </a:graphicData>
            </a:graphic>
          </wp:anchor>
        </w:drawing>
        <w:t>Exhibit Index</w:t>
      </w:r>
    </w:p>
    <w:p>
      <w:pPr>
        <w:spacing w:after="0" w:line="374" w:lineRule="exact"/>
        <w:rPr>
          <w:sz w:val="20"/>
          <w:szCs w:val="20"/>
          <w:color w:val="auto"/>
        </w:rPr>
      </w:pPr>
    </w:p>
    <w:p>
      <w:pPr>
        <w:spacing w:after="0"/>
        <w:tabs>
          <w:tab w:leader="none" w:pos="980" w:val="left"/>
        </w:tabs>
        <w:rPr>
          <w:sz w:val="20"/>
          <w:szCs w:val="20"/>
          <w:color w:val="auto"/>
        </w:rPr>
      </w:pPr>
      <w:r>
        <w:rPr>
          <w:rFonts w:ascii="Arial" w:cs="Arial" w:eastAsia="Arial" w:hAnsi="Arial"/>
          <w:sz w:val="17"/>
          <w:szCs w:val="17"/>
          <w:color w:val="auto"/>
        </w:rPr>
        <w:t>Exhibit 99.1</w:t>
      </w:r>
      <w:r>
        <w:rPr>
          <w:sz w:val="20"/>
          <w:szCs w:val="20"/>
          <w:color w:val="auto"/>
        </w:rPr>
        <w:tab/>
      </w:r>
      <w:r>
        <w:rPr>
          <w:rFonts w:ascii="Arial" w:cs="Arial" w:eastAsia="Arial" w:hAnsi="Arial"/>
          <w:sz w:val="16"/>
          <w:szCs w:val="16"/>
          <w:color w:val="auto"/>
        </w:rPr>
        <w:t>Kaplan, Inc. press release dated January 8, 2013</w:t>
      </w:r>
    </w:p>
    <w:p>
      <w:pPr>
        <w:jc w:val="right"/>
        <w:ind w:right="3879"/>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-370840</wp:posOffset>
            </wp:positionH>
            <wp:positionV relativeFrom="paragraph">
              <wp:posOffset>189230</wp:posOffset>
            </wp:positionV>
            <wp:extent cx="7278370" cy="2032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78370" cy="20320"/>
                    </a:xfrm>
                    <a:prstGeom prst="rect">
                      <a:avLst/>
                    </a:prstGeom>
                    <a:noFill/>
                  </pic:spPr>
                </pic:pic>
              </a:graphicData>
            </a:graphic>
          </wp:anchor>
        </w:drawing>
      </w:r>
    </w:p>
    <w:p>
      <w:pPr>
        <w:sectPr>
          <w:pgSz w:w="11900" w:h="16838" w:orient="portrait"/>
          <w:cols w:equalWidth="0" w:num="1">
            <w:col w:w="9639"/>
          </w:cols>
          <w:pgMar w:left="820" w:top="1149" w:right="1440" w:bottom="1440" w:gutter="0" w:footer="0" w:header="0"/>
        </w:sectPr>
      </w:pPr>
    </w:p>
    <w:bookmarkStart w:id="4" w:name="page5"/>
    <w:bookmarkEnd w:id="4"/>
    <w:p>
      <w:pPr>
        <w:jc w:val="center"/>
        <w:ind w:left="1160"/>
        <w:spacing w:after="0"/>
        <w:rPr>
          <w:sz w:val="20"/>
          <w:szCs w:val="20"/>
          <w:color w:val="auto"/>
        </w:rPr>
      </w:pPr>
      <w:r>
        <w:rPr>
          <w:rFonts w:ascii="Arial" w:cs="Arial" w:eastAsia="Arial" w:hAnsi="Arial"/>
          <w:sz w:val="17"/>
          <w:szCs w:val="17"/>
          <w:b w:val="1"/>
          <w:bCs w:val="1"/>
          <w:color w:val="auto"/>
        </w:rPr>
        <w:t>Kaplan Appoints Tom Leppert as President and COO</w:t>
      </w:r>
    </w:p>
    <w:p>
      <w:pPr>
        <w:spacing w:after="0" w:line="152" w:lineRule="exact"/>
        <w:rPr>
          <w:sz w:val="20"/>
          <w:szCs w:val="20"/>
          <w:color w:val="auto"/>
        </w:rPr>
      </w:pPr>
    </w:p>
    <w:p>
      <w:pPr>
        <w:jc w:val="center"/>
        <w:ind w:left="1160"/>
        <w:spacing w:after="0"/>
        <w:rPr>
          <w:sz w:val="20"/>
          <w:szCs w:val="20"/>
          <w:color w:val="auto"/>
        </w:rPr>
      </w:pPr>
      <w:r>
        <w:rPr>
          <w:rFonts w:ascii="Arial" w:cs="Arial" w:eastAsia="Arial" w:hAnsi="Arial"/>
          <w:sz w:val="17"/>
          <w:szCs w:val="17"/>
          <w:b w:val="1"/>
          <w:bCs w:val="1"/>
          <w:i w:val="1"/>
          <w:iCs w:val="1"/>
          <w:color w:val="auto"/>
        </w:rPr>
        <w:t>Former Dallas mayor and Turner Corporation chief executive</w:t>
      </w:r>
    </w:p>
    <w:p>
      <w:pPr>
        <w:spacing w:after="0" w:line="11" w:lineRule="exact"/>
        <w:rPr>
          <w:sz w:val="20"/>
          <w:szCs w:val="20"/>
          <w:color w:val="auto"/>
        </w:rPr>
      </w:pPr>
    </w:p>
    <w:p>
      <w:pPr>
        <w:jc w:val="center"/>
        <w:ind w:left="1160"/>
        <w:spacing w:after="0"/>
        <w:rPr>
          <w:sz w:val="20"/>
          <w:szCs w:val="20"/>
          <w:color w:val="auto"/>
        </w:rPr>
      </w:pPr>
      <w:r>
        <w:rPr>
          <w:rFonts w:ascii="Arial" w:cs="Arial" w:eastAsia="Arial" w:hAnsi="Arial"/>
          <w:sz w:val="17"/>
          <w:szCs w:val="17"/>
          <w:b w:val="1"/>
          <w:bCs w:val="1"/>
          <w:i w:val="1"/>
          <w:iCs w:val="1"/>
          <w:color w:val="auto"/>
        </w:rPr>
        <w:t>brings business and public sector acumen to education leader</w:t>
      </w:r>
    </w:p>
    <w:p>
      <w:pPr>
        <w:spacing w:after="0" w:line="331" w:lineRule="exact"/>
        <w:rPr>
          <w:sz w:val="20"/>
          <w:szCs w:val="20"/>
          <w:color w:val="auto"/>
        </w:rPr>
      </w:pPr>
    </w:p>
    <w:p>
      <w:pPr>
        <w:jc w:val="both"/>
        <w:spacing w:after="0" w:line="255" w:lineRule="auto"/>
        <w:rPr>
          <w:sz w:val="20"/>
          <w:szCs w:val="20"/>
          <w:color w:val="auto"/>
        </w:rPr>
      </w:pPr>
      <w:r>
        <w:rPr>
          <w:rFonts w:ascii="Arial" w:cs="Arial" w:eastAsia="Arial" w:hAnsi="Arial"/>
          <w:sz w:val="17"/>
          <w:szCs w:val="17"/>
          <w:b w:val="1"/>
          <w:bCs w:val="1"/>
          <w:color w:val="auto"/>
        </w:rPr>
        <w:t>Fort Lauderdale, FL—January 8, 2013</w:t>
      </w:r>
      <w:r>
        <w:rPr>
          <w:rFonts w:ascii="Arial" w:cs="Arial" w:eastAsia="Arial" w:hAnsi="Arial"/>
          <w:sz w:val="17"/>
          <w:szCs w:val="17"/>
          <w:color w:val="auto"/>
        </w:rPr>
        <w:t>—Kaplan, Inc., a leading international provider of educational services and a subsidiary of The Washington Po</w:t>
      </w:r>
      <w:r>
        <w:rPr>
          <w:rFonts w:ascii="Arial" w:cs="Arial" w:eastAsia="Arial" w:hAnsi="Arial"/>
          <w:sz w:val="17"/>
          <w:szCs w:val="17"/>
          <w:b w:val="1"/>
          <w:bCs w:val="1"/>
          <w:color w:val="auto"/>
        </w:rPr>
        <w:t xml:space="preserve"> </w:t>
      </w:r>
      <w:r>
        <w:rPr>
          <w:rFonts w:ascii="Arial" w:cs="Arial" w:eastAsia="Arial" w:hAnsi="Arial"/>
          <w:sz w:val="17"/>
          <w:szCs w:val="17"/>
          <w:color w:val="auto"/>
        </w:rPr>
        <w:t>Company (NYSE: WPO), today announced the appointment of Thomas C. Leppert as president and chief operating officer.</w:t>
      </w:r>
    </w:p>
    <w:p>
      <w:pPr>
        <w:spacing w:after="0" w:line="163" w:lineRule="exact"/>
        <w:rPr>
          <w:sz w:val="20"/>
          <w:szCs w:val="20"/>
          <w:color w:val="auto"/>
        </w:rPr>
      </w:pPr>
    </w:p>
    <w:p>
      <w:pPr>
        <w:jc w:val="both"/>
        <w:spacing w:after="0" w:line="232" w:lineRule="auto"/>
        <w:rPr>
          <w:sz w:val="20"/>
          <w:szCs w:val="20"/>
          <w:color w:val="auto"/>
        </w:rPr>
      </w:pPr>
      <w:r>
        <w:rPr>
          <w:rFonts w:ascii="Arial" w:cs="Arial" w:eastAsia="Arial" w:hAnsi="Arial"/>
          <w:sz w:val="17"/>
          <w:szCs w:val="17"/>
          <w:color w:val="auto"/>
        </w:rPr>
        <w:t>A former mayor of Dallas, chairman and CEO of The Turner Corporation, the largest commercial builder in the United States, and McKinsey &amp; Co. Prin Leppert brings deep and extensive business and public sector experience to Kaplan. As president and COO, Leppert will assume day-to-day oversigh the company’s operating divisions: Kaplan Test Prep and Kaplan Higher Education in the United States, and Kaplan International based in London, UK with operations across Europe, Asia, and Australia. He will report to Kaplan Chairman and CEO Andrew S. Rosen.</w:t>
      </w:r>
    </w:p>
    <w:p>
      <w:pPr>
        <w:spacing w:after="0" w:line="175" w:lineRule="exact"/>
        <w:rPr>
          <w:sz w:val="20"/>
          <w:szCs w:val="20"/>
          <w:color w:val="auto"/>
        </w:rPr>
      </w:pPr>
    </w:p>
    <w:p>
      <w:pPr>
        <w:jc w:val="both"/>
        <w:spacing w:after="0" w:line="233" w:lineRule="auto"/>
        <w:rPr>
          <w:sz w:val="20"/>
          <w:szCs w:val="20"/>
          <w:color w:val="auto"/>
        </w:rPr>
      </w:pPr>
      <w:r>
        <w:rPr>
          <w:rFonts w:ascii="Arial" w:cs="Arial" w:eastAsia="Arial" w:hAnsi="Arial"/>
          <w:sz w:val="17"/>
          <w:szCs w:val="17"/>
          <w:color w:val="auto"/>
        </w:rPr>
        <w:t xml:space="preserve">Rosen said: </w:t>
      </w:r>
      <w:r>
        <w:rPr>
          <w:rFonts w:ascii="Arial" w:cs="Arial" w:eastAsia="Arial" w:hAnsi="Arial"/>
          <w:sz w:val="17"/>
          <w:szCs w:val="17"/>
          <w:color w:val="222222"/>
        </w:rPr>
        <w:t>“Tom’s exceptional track record of accomplishments in both private business and the public sector makes him an ideal choice to help posi</w:t>
      </w:r>
      <w:r>
        <w:rPr>
          <w:rFonts w:ascii="Arial" w:cs="Arial" w:eastAsia="Arial" w:hAnsi="Arial"/>
          <w:sz w:val="17"/>
          <w:szCs w:val="17"/>
          <w:color w:val="auto"/>
        </w:rPr>
        <w:t xml:space="preserve"> </w:t>
      </w:r>
      <w:r>
        <w:rPr>
          <w:rFonts w:ascii="Arial" w:cs="Arial" w:eastAsia="Arial" w:hAnsi="Arial"/>
          <w:sz w:val="17"/>
          <w:szCs w:val="17"/>
          <w:color w:val="222222"/>
        </w:rPr>
        <w:t>Kaplan for sustained growth in a period of dynamic change and opportunity in the educational marketplace. He has been enormously successful in mu industries and roles, always based on integrity and quality.”</w:t>
      </w:r>
    </w:p>
    <w:p>
      <w:pPr>
        <w:spacing w:after="0" w:line="175" w:lineRule="exact"/>
        <w:rPr>
          <w:sz w:val="20"/>
          <w:szCs w:val="20"/>
          <w:color w:val="auto"/>
        </w:rPr>
      </w:pPr>
    </w:p>
    <w:p>
      <w:pPr>
        <w:jc w:val="both"/>
        <w:ind w:right="20"/>
        <w:spacing w:after="0" w:line="232" w:lineRule="auto"/>
        <w:rPr>
          <w:sz w:val="20"/>
          <w:szCs w:val="20"/>
          <w:color w:val="auto"/>
        </w:rPr>
      </w:pPr>
      <w:r>
        <w:rPr>
          <w:rFonts w:ascii="Arial" w:cs="Arial" w:eastAsia="Arial" w:hAnsi="Arial"/>
          <w:sz w:val="17"/>
          <w:szCs w:val="17"/>
          <w:color w:val="auto"/>
        </w:rPr>
        <w:t xml:space="preserve">Leppert said: </w:t>
      </w:r>
      <w:r>
        <w:rPr>
          <w:rFonts w:ascii="Arial" w:cs="Arial" w:eastAsia="Arial" w:hAnsi="Arial"/>
          <w:sz w:val="17"/>
          <w:szCs w:val="17"/>
          <w:color w:val="222222"/>
        </w:rPr>
        <w:t>“Over the years, as a leader in both the public and private sector, as well as in my personal life, I have developed a deep commitment to</w:t>
      </w:r>
      <w:r>
        <w:rPr>
          <w:rFonts w:ascii="Arial" w:cs="Arial" w:eastAsia="Arial" w:hAnsi="Arial"/>
          <w:sz w:val="17"/>
          <w:szCs w:val="17"/>
          <w:color w:val="auto"/>
        </w:rPr>
        <w:t xml:space="preserve"> </w:t>
      </w:r>
      <w:r>
        <w:rPr>
          <w:rFonts w:ascii="Arial" w:cs="Arial" w:eastAsia="Arial" w:hAnsi="Arial"/>
          <w:sz w:val="17"/>
          <w:szCs w:val="17"/>
          <w:color w:val="222222"/>
        </w:rPr>
        <w:t>education. I understand its importance to the future of our country and the world, and I have seen how education has the power to transform lives. Thi opportunity to be personally involved in influencing education, to improve individual lives, and to help lead a company that is changing the educational landscape at a time when our country and the world needs educational innovation, is unique and compelling.”</w:t>
      </w:r>
    </w:p>
    <w:p>
      <w:pPr>
        <w:spacing w:after="0" w:line="175"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Tom Leppert was the mayor of Dallas, TX, the ninth largest city in the United States, from 2007-2011. In that role, Leppert aggressively pursued polici dramatically improved the quality of life in Dallas. In the areas of public safety, economic development, education and the environment, Dallas emerge one of the focal points in the nation. He was actively involved in education, pioneering a number of innovative educational programs.</w:t>
      </w:r>
    </w:p>
    <w:p>
      <w:pPr>
        <w:spacing w:after="0" w:line="167" w:lineRule="exact"/>
        <w:rPr>
          <w:sz w:val="20"/>
          <w:szCs w:val="20"/>
          <w:color w:val="auto"/>
        </w:rPr>
      </w:pPr>
    </w:p>
    <w:p>
      <w:pPr>
        <w:spacing w:after="0"/>
        <w:rPr>
          <w:sz w:val="20"/>
          <w:szCs w:val="20"/>
          <w:color w:val="auto"/>
        </w:rPr>
      </w:pPr>
      <w:r>
        <w:rPr>
          <w:rFonts w:ascii="Arial" w:cs="Arial" w:eastAsia="Arial" w:hAnsi="Arial"/>
          <w:sz w:val="17"/>
          <w:szCs w:val="17"/>
          <w:color w:val="auto"/>
        </w:rPr>
        <w:t>Following his mayoralty, Leppert was a candidate for the Republican nomination for U.S. Senate in 2012.</w:t>
      </w:r>
    </w:p>
    <w:p>
      <w:pPr>
        <w:spacing w:after="0" w:line="177" w:lineRule="exact"/>
        <w:rPr>
          <w:sz w:val="20"/>
          <w:szCs w:val="20"/>
          <w:color w:val="auto"/>
        </w:rPr>
      </w:pPr>
    </w:p>
    <w:p>
      <w:pPr>
        <w:spacing w:after="0" w:line="251" w:lineRule="auto"/>
        <w:rPr>
          <w:sz w:val="20"/>
          <w:szCs w:val="20"/>
          <w:color w:val="auto"/>
        </w:rPr>
      </w:pPr>
      <w:r>
        <w:rPr>
          <w:rFonts w:ascii="Arial" w:cs="Arial" w:eastAsia="Arial" w:hAnsi="Arial"/>
          <w:sz w:val="16"/>
          <w:szCs w:val="16"/>
          <w:color w:val="auto"/>
        </w:rPr>
        <w:t>Leppert’s public career followed 30 years in the private sector, working in the construction, homebuilding, real estate, and financial services industries. During his tenure as CEO from 1999 to 2006, The Turner Corporation’s revenues grew from $4 billion to nearly $9 billion and total returns increased significantly. He led the entry into new markets and initiated Turner University, an innovative internal, online training program for its 7,000 plus employe</w:t>
      </w:r>
    </w:p>
    <w:p>
      <w:pPr>
        <w:spacing w:after="0" w:line="167" w:lineRule="exact"/>
        <w:rPr>
          <w:sz w:val="20"/>
          <w:szCs w:val="20"/>
          <w:color w:val="auto"/>
        </w:rPr>
      </w:pPr>
    </w:p>
    <w:p>
      <w:pPr>
        <w:jc w:val="both"/>
        <w:spacing w:after="0" w:line="233" w:lineRule="auto"/>
        <w:rPr>
          <w:sz w:val="20"/>
          <w:szCs w:val="20"/>
          <w:color w:val="auto"/>
        </w:rPr>
      </w:pPr>
      <w:r>
        <w:rPr>
          <w:rFonts w:ascii="Arial" w:cs="Arial" w:eastAsia="Arial" w:hAnsi="Arial"/>
          <w:sz w:val="17"/>
          <w:szCs w:val="17"/>
          <w:color w:val="auto"/>
        </w:rPr>
        <w:t>Prior to Turner, Leppert held a number of business leadership positions, including vice chairman of Pacific Century Financial Corporation and its major subsidiary, the Bank of Hawaii, and president and CEO of Castle &amp; Cooke Properties, Inc., both in Honolulu, HI, and a national partner at Trammell Cr Company. He began his career at McKinsey &amp; Co. where he was elected a Principal of the firm.</w:t>
      </w:r>
    </w:p>
    <w:p>
      <w:pPr>
        <w:spacing w:after="0" w:line="175" w:lineRule="exact"/>
        <w:rPr>
          <w:sz w:val="20"/>
          <w:szCs w:val="20"/>
          <w:color w:val="auto"/>
        </w:rPr>
      </w:pPr>
    </w:p>
    <w:p>
      <w:pPr>
        <w:jc w:val="both"/>
        <w:spacing w:after="0" w:line="235" w:lineRule="auto"/>
        <w:rPr>
          <w:sz w:val="20"/>
          <w:szCs w:val="20"/>
          <w:color w:val="auto"/>
        </w:rPr>
      </w:pPr>
      <w:r>
        <w:rPr>
          <w:rFonts w:ascii="Arial" w:cs="Arial" w:eastAsia="Arial" w:hAnsi="Arial"/>
          <w:sz w:val="17"/>
          <w:szCs w:val="17"/>
          <w:color w:val="auto"/>
        </w:rPr>
        <w:t>Leppert was appointed by President Reagan as a White House Fellow in 1984. He served as Executive Assistant to the Deputy Secretary of Treasury a member of the staff, Office of Policy Development, The White House.</w:t>
      </w:r>
    </w:p>
    <w:p>
      <w:pPr>
        <w:spacing w:after="0" w:line="176" w:lineRule="exact"/>
        <w:rPr>
          <w:sz w:val="20"/>
          <w:szCs w:val="20"/>
          <w:color w:val="auto"/>
        </w:rPr>
      </w:pPr>
    </w:p>
    <w:p>
      <w:pPr>
        <w:spacing w:after="0"/>
        <w:rPr>
          <w:sz w:val="20"/>
          <w:szCs w:val="20"/>
          <w:color w:val="auto"/>
        </w:rPr>
      </w:pPr>
      <w:r>
        <w:rPr>
          <w:rFonts w:ascii="Arial" w:cs="Arial" w:eastAsia="Arial" w:hAnsi="Arial"/>
          <w:sz w:val="17"/>
          <w:szCs w:val="17"/>
          <w:color w:val="auto"/>
        </w:rPr>
        <w:t>He holds an MBA with Distinction from the Harvard Business School and a bachelor’s in liberal arts from Claremont McKenna College.</w:t>
      </w:r>
    </w:p>
    <w:p>
      <w:pPr>
        <w:spacing w:after="0" w:line="177" w:lineRule="exact"/>
        <w:rPr>
          <w:sz w:val="20"/>
          <w:szCs w:val="20"/>
          <w:color w:val="auto"/>
        </w:rPr>
      </w:pPr>
    </w:p>
    <w:p>
      <w:pPr>
        <w:ind w:left="5660"/>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-370840</wp:posOffset>
            </wp:positionH>
            <wp:positionV relativeFrom="paragraph">
              <wp:posOffset>181610</wp:posOffset>
            </wp:positionV>
            <wp:extent cx="7278370" cy="2032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78370" cy="20320"/>
                    </a:xfrm>
                    <a:prstGeom prst="rect">
                      <a:avLst/>
                    </a:prstGeom>
                    <a:noFill/>
                  </pic:spPr>
                </pic:pic>
              </a:graphicData>
            </a:graphic>
          </wp:anchor>
        </w:drawing>
      </w:r>
    </w:p>
    <w:p>
      <w:pPr>
        <w:sectPr>
          <w:pgSz w:w="11900" w:h="16838" w:orient="portrait"/>
          <w:cols w:equalWidth="0" w:num="1">
            <w:col w:w="10940"/>
          </w:cols>
          <w:pgMar w:left="820" w:top="739" w:right="139" w:bottom="1440" w:gutter="0" w:footer="0" w:header="0"/>
        </w:sectPr>
      </w:pPr>
    </w:p>
    <w:bookmarkStart w:id="5" w:name="page6"/>
    <w:bookmarkEnd w:id="5"/>
    <w:p>
      <w:pPr>
        <w:ind w:right="20"/>
        <w:spacing w:after="0" w:line="233" w:lineRule="auto"/>
        <w:rPr>
          <w:sz w:val="20"/>
          <w:szCs w:val="20"/>
          <w:color w:val="auto"/>
        </w:rPr>
      </w:pPr>
      <w:r>
        <w:rPr>
          <w:rFonts w:ascii="Arial" w:cs="Arial" w:eastAsia="Arial" w:hAnsi="Arial"/>
          <w:sz w:val="17"/>
          <w:szCs w:val="17"/>
          <w:color w:val="auto"/>
        </w:rPr>
        <w:t>He has been an active leader in civic and community organizations, including chairing the Greater Dallas Regional Chamber, the Hawaii Business Roundtable and the Bishop Museum. He has served on the boards of Baylor Healthcare System, the U.S. Chamber of Commerce, Dallas Citizens Co Dallas Zoological Society, and the National Building Museum, among others.</w:t>
      </w:r>
    </w:p>
    <w:p>
      <w:pPr>
        <w:spacing w:after="0" w:line="175" w:lineRule="exact"/>
        <w:rPr>
          <w:sz w:val="20"/>
          <w:szCs w:val="20"/>
          <w:color w:val="auto"/>
        </w:rPr>
      </w:pPr>
    </w:p>
    <w:p>
      <w:pPr>
        <w:jc w:val="both"/>
        <w:ind w:right="20"/>
        <w:spacing w:after="0" w:line="233" w:lineRule="auto"/>
        <w:rPr>
          <w:sz w:val="20"/>
          <w:szCs w:val="20"/>
          <w:color w:val="auto"/>
        </w:rPr>
      </w:pPr>
      <w:r>
        <w:rPr>
          <w:rFonts w:ascii="Arial" w:cs="Arial" w:eastAsia="Arial" w:hAnsi="Arial"/>
          <w:sz w:val="17"/>
          <w:szCs w:val="17"/>
          <w:color w:val="auto"/>
        </w:rPr>
        <w:t>He has been actively involved in a wide range of educational institutions ranging from chairing the West Dallas Community School, an acclaimed K-8 in one of the lowest income areas of the nation, to serving on the boards of Episcopal School of Dallas, Claremont McKenna College, and Harvard Bu School alumni.</w:t>
      </w:r>
    </w:p>
    <w:p>
      <w:pPr>
        <w:spacing w:after="0" w:line="34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About Kaplan</w:t>
      </w:r>
    </w:p>
    <w:p>
      <w:pPr>
        <w:spacing w:after="0" w:line="11" w:lineRule="exact"/>
        <w:rPr>
          <w:sz w:val="20"/>
          <w:szCs w:val="20"/>
          <w:color w:val="auto"/>
        </w:rPr>
      </w:pPr>
    </w:p>
    <w:p>
      <w:pPr>
        <w:spacing w:after="0" w:line="251" w:lineRule="auto"/>
        <w:rPr>
          <w:sz w:val="20"/>
          <w:szCs w:val="20"/>
          <w:color w:val="auto"/>
        </w:rPr>
      </w:pPr>
      <w:r>
        <w:rPr>
          <w:rFonts w:ascii="Arial" w:cs="Arial" w:eastAsia="Arial" w:hAnsi="Arial"/>
          <w:sz w:val="16"/>
          <w:szCs w:val="16"/>
          <w:color w:val="auto"/>
        </w:rPr>
        <w:t>Kaplan, Inc. is a leading international provider of educational and career services for individuals, schools, and businesses. Kaplan serves students of ages through a wide array of offerings including higher education, test preparation, professional training and programs for kids in grades K through 12. Kaplan is a subsidiary of The Washington Post Company (NYSE: WPO) and its largest division. For more information, please visit www.kaplan.com.</w:t>
      </w:r>
    </w:p>
    <w:p>
      <w:pPr>
        <w:spacing w:after="0" w:line="319" w:lineRule="exact"/>
        <w:rPr>
          <w:sz w:val="20"/>
          <w:szCs w:val="20"/>
          <w:color w:val="auto"/>
        </w:rPr>
      </w:pPr>
    </w:p>
    <w:p>
      <w:pPr>
        <w:spacing w:after="0"/>
        <w:rPr>
          <w:sz w:val="20"/>
          <w:szCs w:val="20"/>
          <w:color w:val="auto"/>
        </w:rPr>
      </w:pPr>
      <w:r>
        <w:rPr>
          <w:rFonts w:ascii="Arial" w:cs="Arial" w:eastAsia="Arial" w:hAnsi="Arial"/>
          <w:sz w:val="17"/>
          <w:szCs w:val="17"/>
          <w:color w:val="auto"/>
        </w:rPr>
        <w:t>Contact:</w:t>
      </w:r>
    </w:p>
    <w:p>
      <w:pPr>
        <w:spacing w:after="0" w:line="228" w:lineRule="auto"/>
        <w:rPr>
          <w:sz w:val="20"/>
          <w:szCs w:val="20"/>
          <w:color w:val="auto"/>
        </w:rPr>
      </w:pPr>
      <w:r>
        <w:rPr>
          <w:rFonts w:ascii="Arial" w:cs="Arial" w:eastAsia="Arial" w:hAnsi="Arial"/>
          <w:sz w:val="17"/>
          <w:szCs w:val="17"/>
          <w:color w:val="auto"/>
        </w:rPr>
        <w:t>Mark Harrad</w:t>
      </w:r>
    </w:p>
    <w:p>
      <w:pPr>
        <w:spacing w:after="0" w:line="229" w:lineRule="auto"/>
        <w:rPr>
          <w:sz w:val="20"/>
          <w:szCs w:val="20"/>
          <w:color w:val="auto"/>
        </w:rPr>
      </w:pPr>
      <w:r>
        <w:rPr>
          <w:rFonts w:ascii="Arial" w:cs="Arial" w:eastAsia="Arial" w:hAnsi="Arial"/>
          <w:sz w:val="17"/>
          <w:szCs w:val="17"/>
          <w:color w:val="auto"/>
        </w:rPr>
        <w:t>212-974-6231</w:t>
      </w:r>
    </w:p>
    <w:p>
      <w:pPr>
        <w:spacing w:after="0"/>
        <w:rPr>
          <w:sz w:val="20"/>
          <w:szCs w:val="20"/>
          <w:color w:val="auto"/>
        </w:rPr>
      </w:pPr>
      <w:r>
        <w:rPr>
          <w:rFonts w:ascii="Arial" w:cs="Arial" w:eastAsia="Arial" w:hAnsi="Arial"/>
          <w:sz w:val="17"/>
          <w:szCs w:val="17"/>
          <w:color w:val="auto"/>
        </w:rPr>
        <w:t>Mark.harrad@kaplan.com</w:t>
      </w:r>
    </w:p>
    <w:p>
      <w:pPr>
        <w:spacing w:after="0" w:line="28" w:lineRule="exact"/>
        <w:rPr>
          <w:sz w:val="20"/>
          <w:szCs w:val="20"/>
          <w:color w:val="auto"/>
        </w:rPr>
      </w:pPr>
    </w:p>
    <w:p>
      <w:pPr>
        <w:jc w:val="center"/>
        <w:ind w:left="1160"/>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-370840</wp:posOffset>
            </wp:positionH>
            <wp:positionV relativeFrom="paragraph">
              <wp:posOffset>189230</wp:posOffset>
            </wp:positionV>
            <wp:extent cx="7278370" cy="2032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78370" cy="20320"/>
                    </a:xfrm>
                    <a:prstGeom prst="rect">
                      <a:avLst/>
                    </a:prstGeom>
                    <a:noFill/>
                  </pic:spPr>
                </pic:pic>
              </a:graphicData>
            </a:graphic>
          </wp:anchor>
        </w:drawing>
      </w:r>
    </w:p>
    <w:p>
      <w:pPr>
        <w:sectPr>
          <w:pgSz w:w="11900" w:h="16838" w:orient="portrait"/>
          <w:cols w:equalWidth="0" w:num="1">
            <w:col w:w="10940"/>
          </w:cols>
          <w:pgMar w:left="820" w:top="759" w:right="139" w:bottom="1440" w:gutter="0" w:footer="0" w:header="0"/>
        </w:sectPr>
      </w:pPr>
    </w:p>
    <w:bookmarkStart w:id="6" w:name="page7"/>
    <w:bookmarkEnd w:id="6"/>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2019-12-05T16:33:24Z</dcterms:created>
  <dcterms:modified xsi:type="dcterms:W3CDTF">2019-12-05T16:33:24Z</dcterms:modified>
</cp:coreProperties>
</file>