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72390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1, 2020</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04"/>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7"/>
                <w:szCs w:val="17"/>
                <w:color w:val="auto"/>
              </w:rPr>
            </w:pP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(Zip Code)</w:t>
            </w:r>
          </w:p>
        </w:tc>
      </w:tr>
      <w:tr>
        <w:trPr>
          <w:trHeight w:val="430"/>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388"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8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sectPr>
      </w:pPr>
    </w:p>
    <w:bookmarkStart w:id="1" w:name="page2"/>
    <w:bookmarkEnd w:id="1"/>
    <w:p>
      <w:pPr>
        <w:ind w:right="5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215" w:lineRule="exact"/>
        <w:rPr>
          <w:sz w:val="20"/>
          <w:szCs w:val="20"/>
          <w:color w:val="auto"/>
        </w:rPr>
      </w:pPr>
    </w:p>
    <w:p>
      <w:pPr>
        <w:ind w:firstLine="8"/>
        <w:spacing w:after="0"/>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November 1, 2020, the full amount of the base salary of the Executive Vice President of Graham Holdings Company (the “Company”) and Chairman of Kaplan, Inc. was restored to the level payable immediately prior to a voluntary reduction of 50% of his annual base salary which had been in effect since April 1, 2020 in response to the impacts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532130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75"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19" w:lineRule="auto"/>
        <w:rPr>
          <w:sz w:val="20"/>
          <w:szCs w:val="20"/>
          <w:color w:val="auto"/>
        </w:rPr>
      </w:pPr>
      <w:r>
        <w:rPr>
          <w:rFonts w:ascii="Arial" w:cs="Arial" w:eastAsia="Arial" w:hAnsi="Arial"/>
          <w:sz w:val="18"/>
          <w:szCs w:val="18"/>
          <w:color w:val="auto"/>
        </w:rPr>
        <w:t>Chief Financial Officer</w:t>
      </w: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1035050</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200"/>
      </w:cols>
      <w:pgMar w:left="320" w:top="10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2020-11-04T16:27:57Z</dcterms:created>
  <dcterms:modified xsi:type="dcterms:W3CDTF">2020-11-04T16:27:57Z</dcterms:modified>
</cp:coreProperties>
</file>