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3"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211455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599"/>
        <w:spacing w:after="0"/>
        <w:rPr>
          <w:sz w:val="20"/>
          <w:szCs w:val="20"/>
          <w:color w:val="auto"/>
        </w:rPr>
      </w:pPr>
      <w:r>
        <w:rPr>
          <w:rFonts w:ascii="Arial" w:cs="Arial" w:eastAsia="Arial" w:hAnsi="Arial"/>
          <w:sz w:val="29"/>
          <w:szCs w:val="29"/>
          <w:color w:val="auto"/>
        </w:rPr>
        <w:t>SCHEDULE 13D</w:t>
      </w:r>
    </w:p>
    <w:p>
      <w:pPr>
        <w:spacing w:after="0" w:line="30"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Under the Securities Exchange Act of 1934</w:t>
      </w:r>
    </w:p>
    <w:p>
      <w:pPr>
        <w:spacing w:after="0" w:line="7"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211455</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639"/>
        <w:spacing w:after="0"/>
        <w:rPr>
          <w:sz w:val="20"/>
          <w:szCs w:val="20"/>
          <w:color w:val="auto"/>
        </w:rPr>
      </w:pPr>
      <w:r>
        <w:rPr>
          <w:rFonts w:ascii="Arial" w:cs="Arial" w:eastAsia="Arial" w:hAnsi="Arial"/>
          <w:sz w:val="32"/>
          <w:szCs w:val="32"/>
          <w:color w:val="auto"/>
        </w:rPr>
        <w:t>Corinthian Colleges, Inc.</w:t>
      </w:r>
    </w:p>
    <w:p>
      <w:pPr>
        <w:spacing w:after="0" w:line="32"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210820</wp:posOffset>
            </wp:positionV>
            <wp:extent cx="1106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63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211455</wp:posOffset>
            </wp:positionV>
            <wp:extent cx="1106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left="5360"/>
        <w:spacing w:after="0"/>
        <w:rPr>
          <w:sz w:val="20"/>
          <w:szCs w:val="20"/>
          <w:color w:val="auto"/>
        </w:rPr>
      </w:pPr>
      <w:r>
        <w:rPr>
          <w:rFonts w:ascii="Arial" w:cs="Arial" w:eastAsia="Arial" w:hAnsi="Arial"/>
          <w:sz w:val="18"/>
          <w:szCs w:val="18"/>
          <w:b w:val="1"/>
          <w:bCs w:val="1"/>
          <w:color w:val="auto"/>
        </w:rPr>
        <w:t>218868107</w:t>
      </w:r>
    </w:p>
    <w:p>
      <w:pPr>
        <w:spacing w:after="0" w:line="27"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74295</wp:posOffset>
            </wp:positionV>
            <wp:extent cx="1106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Veronica Dillon, Esq.</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Graham Holdings Company</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1150 15th Street, N.W.</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Washington, D.C. 20071</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(202) 334-6000</w:t>
      </w:r>
    </w:p>
    <w:p>
      <w:pPr>
        <w:spacing w:after="0" w:line="211"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Authorized to Receive Notices and Communications)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211455</wp:posOffset>
            </wp:positionV>
            <wp:extent cx="1106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March 18, 2014</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Sections 240.13d-1(e), 240.13d-1(f) or 240.13d-1(g), check the following box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45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732790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557" w:right="8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218868107</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right w:val="single" w:sz="8" w:color="auto"/>
            </w:tcBorders>
          </w:tcPr>
          <w:p>
            <w:pPr>
              <w:spacing w:after="0"/>
              <w:rPr>
                <w:sz w:val="18"/>
                <w:szCs w:val="18"/>
                <w:color w:val="auto"/>
              </w:rPr>
            </w:pPr>
          </w:p>
        </w:tc>
        <w:tc>
          <w:tcPr>
            <w:tcW w:w="10280" w:type="dxa"/>
            <w:vAlign w:val="bottom"/>
            <w:tcBorders>
              <w:top w:val="single" w:sz="8" w:color="auto"/>
              <w:right w:val="single" w:sz="8" w:color="auto"/>
            </w:tcBorders>
            <w:gridSpan w:val="4"/>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3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1</w:t>
            </w:r>
          </w:p>
        </w:tc>
        <w:tc>
          <w:tcPr>
            <w:tcW w:w="200" w:type="dxa"/>
            <w:vAlign w:val="bottom"/>
            <w:tcBorders>
              <w:right w:val="single" w:sz="8" w:color="auto"/>
            </w:tcBorders>
          </w:tcPr>
          <w:p>
            <w:pPr>
              <w:spacing w:after="0"/>
              <w:rPr>
                <w:sz w:val="20"/>
                <w:szCs w:val="20"/>
                <w:color w:val="auto"/>
              </w:rPr>
            </w:pPr>
          </w:p>
        </w:tc>
        <w:tc>
          <w:tcPr>
            <w:tcW w:w="1028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Graham Holdings Company</w:t>
            </w:r>
          </w:p>
        </w:tc>
        <w:tc>
          <w:tcPr>
            <w:tcW w:w="0" w:type="dxa"/>
            <w:vAlign w:val="bottom"/>
          </w:tcPr>
          <w:p>
            <w:pPr>
              <w:spacing w:after="0"/>
              <w:rPr>
                <w:sz w:val="1"/>
                <w:szCs w:val="1"/>
                <w:color w:val="auto"/>
              </w:rPr>
            </w:pPr>
          </w:p>
        </w:tc>
      </w:tr>
      <w:tr>
        <w:trPr>
          <w:trHeight w:val="299"/>
        </w:trPr>
        <w:tc>
          <w:tcPr>
            <w:tcW w:w="380" w:type="dxa"/>
            <w:vAlign w:val="bottom"/>
            <w:vMerge w:val="continue"/>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0280" w:type="dxa"/>
            <w:vAlign w:val="bottom"/>
            <w:tcBorders>
              <w:right w:val="single" w:sz="8" w:color="auto"/>
            </w:tcBorders>
            <w:gridSpan w:val="4"/>
            <w:vMerge w:val="restart"/>
          </w:tcPr>
          <w:p>
            <w:pPr>
              <w:ind w:left="16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115"/>
        </w:trPr>
        <w:tc>
          <w:tcPr>
            <w:tcW w:w="3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0280" w:type="dxa"/>
            <w:vAlign w:val="bottom"/>
            <w:tcBorders>
              <w:right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38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280" w:type="dxa"/>
            <w:vAlign w:val="bottom"/>
            <w:tcBorders>
              <w:bottom w:val="single" w:sz="8" w:color="auto"/>
              <w:right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I.R.S. I.D. #53-0182885</w:t>
            </w:r>
          </w:p>
        </w:tc>
        <w:tc>
          <w:tcPr>
            <w:tcW w:w="0" w:type="dxa"/>
            <w:vAlign w:val="bottom"/>
          </w:tcPr>
          <w:p>
            <w:pPr>
              <w:spacing w:after="0"/>
              <w:rPr>
                <w:sz w:val="1"/>
                <w:szCs w:val="1"/>
                <w:color w:val="auto"/>
              </w:rPr>
            </w:pPr>
          </w:p>
        </w:tc>
      </w:tr>
      <w:tr>
        <w:trPr>
          <w:trHeight w:val="230"/>
        </w:trPr>
        <w:tc>
          <w:tcPr>
            <w:tcW w:w="3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2</w:t>
            </w:r>
          </w:p>
        </w:tc>
        <w:tc>
          <w:tcPr>
            <w:tcW w:w="200" w:type="dxa"/>
            <w:vAlign w:val="bottom"/>
            <w:tcBorders>
              <w:right w:val="single" w:sz="8" w:color="auto"/>
            </w:tcBorders>
          </w:tcPr>
          <w:p>
            <w:pPr>
              <w:spacing w:after="0"/>
              <w:rPr>
                <w:sz w:val="20"/>
                <w:szCs w:val="20"/>
                <w:color w:val="auto"/>
              </w:rPr>
            </w:pPr>
          </w:p>
        </w:tc>
        <w:tc>
          <w:tcPr>
            <w:tcW w:w="10280" w:type="dxa"/>
            <w:vAlign w:val="bottom"/>
            <w:gridSpan w:val="4"/>
          </w:tcPr>
          <w:p>
            <w:pPr>
              <w:ind w:left="16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1"/>
        </w:trPr>
        <w:tc>
          <w:tcPr>
            <w:tcW w:w="380" w:type="dxa"/>
            <w:vAlign w:val="bottom"/>
            <w:vMerge w:val="continue"/>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200" w:type="dxa"/>
            <w:vAlign w:val="bottom"/>
            <w:vMerge w:val="restart"/>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080" w:type="dxa"/>
            <w:vAlign w:val="bottom"/>
            <w:gridSpan w:val="3"/>
            <w:vMerge w:val="restart"/>
          </w:tcPr>
          <w:p>
            <w:pPr>
              <w:ind w:left="40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134"/>
        </w:trPr>
        <w:tc>
          <w:tcPr>
            <w:tcW w:w="3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00" w:type="dxa"/>
            <w:vAlign w:val="bottom"/>
            <w:vMerge w:val="continue"/>
          </w:tcPr>
          <w:p>
            <w:pPr>
              <w:spacing w:after="0"/>
              <w:rPr>
                <w:sz w:val="11"/>
                <w:szCs w:val="11"/>
                <w:color w:val="auto"/>
              </w:rPr>
            </w:pPr>
          </w:p>
        </w:tc>
        <w:tc>
          <w:tcPr>
            <w:tcW w:w="90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380" w:type="dxa"/>
            <w:vAlign w:val="bottom"/>
            <w:tcBorders>
              <w:top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3</w:t>
            </w:r>
          </w:p>
        </w:tc>
        <w:tc>
          <w:tcPr>
            <w:tcW w:w="200" w:type="dxa"/>
            <w:vAlign w:val="bottom"/>
            <w:tcBorders>
              <w:top w:val="single" w:sz="8" w:color="auto"/>
              <w:right w:val="single" w:sz="8" w:color="auto"/>
            </w:tcBorders>
          </w:tcPr>
          <w:p>
            <w:pPr>
              <w:spacing w:after="0"/>
              <w:rPr>
                <w:sz w:val="19"/>
                <w:szCs w:val="19"/>
                <w:color w:val="auto"/>
              </w:rPr>
            </w:pPr>
          </w:p>
        </w:tc>
        <w:tc>
          <w:tcPr>
            <w:tcW w:w="182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color w:val="auto"/>
              </w:rPr>
              <w:t>SEC USE ONLY</w:t>
            </w:r>
          </w:p>
        </w:tc>
        <w:tc>
          <w:tcPr>
            <w:tcW w:w="84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80" w:type="dxa"/>
            <w:vAlign w:val="bottom"/>
            <w:vMerge w:val="continue"/>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8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3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4</w:t>
            </w:r>
          </w:p>
        </w:tc>
        <w:tc>
          <w:tcPr>
            <w:tcW w:w="200" w:type="dxa"/>
            <w:vAlign w:val="bottom"/>
            <w:tcBorders>
              <w:right w:val="single" w:sz="8" w:color="auto"/>
            </w:tcBorders>
          </w:tcPr>
          <w:p>
            <w:pPr>
              <w:spacing w:after="0"/>
              <w:rPr>
                <w:sz w:val="19"/>
                <w:szCs w:val="19"/>
                <w:color w:val="auto"/>
              </w:rPr>
            </w:pPr>
          </w:p>
        </w:tc>
        <w:tc>
          <w:tcPr>
            <w:tcW w:w="1820" w:type="dxa"/>
            <w:vAlign w:val="bottom"/>
            <w:gridSpan w:val="3"/>
          </w:tcPr>
          <w:p>
            <w:pPr>
              <w:ind w:left="160"/>
              <w:spacing w:after="0"/>
              <w:rPr>
                <w:sz w:val="20"/>
                <w:szCs w:val="20"/>
                <w:color w:val="auto"/>
              </w:rPr>
            </w:pPr>
            <w:r>
              <w:rPr>
                <w:rFonts w:ascii="Arial" w:cs="Arial" w:eastAsia="Arial" w:hAnsi="Arial"/>
                <w:sz w:val="18"/>
                <w:szCs w:val="18"/>
                <w:color w:val="auto"/>
                <w:w w:val="94"/>
              </w:rPr>
              <w:t>SOURCE OF FUNDS</w:t>
            </w:r>
          </w:p>
        </w:tc>
        <w:tc>
          <w:tcPr>
            <w:tcW w:w="8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80" w:type="dxa"/>
            <w:vAlign w:val="bottom"/>
            <w:vMerge w:val="continue"/>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20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WC</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8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1200" w:type="dxa"/>
            <w:vAlign w:val="bottom"/>
            <w:tcBorders>
              <w:bottom w:val="single" w:sz="8" w:color="auto"/>
            </w:tcBorders>
            <w:vMerge w:val="continue"/>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3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5</w:t>
            </w:r>
          </w:p>
        </w:tc>
        <w:tc>
          <w:tcPr>
            <w:tcW w:w="200" w:type="dxa"/>
            <w:vAlign w:val="bottom"/>
            <w:tcBorders>
              <w:right w:val="single" w:sz="8" w:color="auto"/>
            </w:tcBorders>
          </w:tcPr>
          <w:p>
            <w:pPr>
              <w:spacing w:after="0"/>
              <w:rPr>
                <w:sz w:val="19"/>
                <w:szCs w:val="19"/>
                <w:color w:val="auto"/>
              </w:rPr>
            </w:pPr>
          </w:p>
        </w:tc>
        <w:tc>
          <w:tcPr>
            <w:tcW w:w="10280" w:type="dxa"/>
            <w:vAlign w:val="bottom"/>
            <w:gridSpan w:val="4"/>
          </w:tcPr>
          <w:p>
            <w:pPr>
              <w:ind w:left="1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84"/>
        </w:trPr>
        <w:tc>
          <w:tcPr>
            <w:tcW w:w="380" w:type="dxa"/>
            <w:vAlign w:val="bottom"/>
            <w:vMerge w:val="continue"/>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20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8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1200" w:type="dxa"/>
            <w:vAlign w:val="bottom"/>
            <w:tcBorders>
              <w:bottom w:val="single" w:sz="8" w:color="auto"/>
            </w:tcBorders>
            <w:vMerge w:val="continue"/>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3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200" w:type="dxa"/>
            <w:vAlign w:val="bottom"/>
            <w:tcBorders>
              <w:right w:val="single" w:sz="8" w:color="auto"/>
            </w:tcBorders>
          </w:tcPr>
          <w:p>
            <w:pPr>
              <w:spacing w:after="0"/>
              <w:rPr>
                <w:sz w:val="19"/>
                <w:szCs w:val="19"/>
                <w:color w:val="auto"/>
              </w:rPr>
            </w:pPr>
          </w:p>
        </w:tc>
        <w:tc>
          <w:tcPr>
            <w:tcW w:w="10280" w:type="dxa"/>
            <w:vAlign w:val="bottom"/>
            <w:gridSpan w:val="4"/>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84"/>
        </w:trPr>
        <w:tc>
          <w:tcPr>
            <w:tcW w:w="380" w:type="dxa"/>
            <w:vAlign w:val="bottom"/>
            <w:vMerge w:val="continue"/>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20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Delaware</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8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1200" w:type="dxa"/>
            <w:vAlign w:val="bottom"/>
            <w:tcBorders>
              <w:bottom w:val="single" w:sz="8" w:color="auto"/>
            </w:tcBorders>
            <w:vMerge w:val="continue"/>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80" w:type="dxa"/>
            <w:vAlign w:val="bottom"/>
          </w:tcPr>
          <w:p>
            <w:pPr>
              <w:spacing w:after="0"/>
              <w:rPr>
                <w:sz w:val="19"/>
                <w:szCs w:val="19"/>
                <w:color w:val="auto"/>
              </w:rPr>
            </w:pPr>
          </w:p>
        </w:tc>
        <w:tc>
          <w:tcPr>
            <w:tcW w:w="84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4"/>
        </w:trPr>
        <w:tc>
          <w:tcPr>
            <w:tcW w:w="178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4,123,513</w:t>
            </w:r>
          </w:p>
        </w:tc>
        <w:tc>
          <w:tcPr>
            <w:tcW w:w="0" w:type="dxa"/>
            <w:vAlign w:val="bottom"/>
          </w:tcPr>
          <w:p>
            <w:pPr>
              <w:spacing w:after="0"/>
              <w:rPr>
                <w:sz w:val="1"/>
                <w:szCs w:val="1"/>
                <w:color w:val="auto"/>
              </w:rPr>
            </w:pPr>
          </w:p>
        </w:tc>
      </w:tr>
      <w:tr>
        <w:trPr>
          <w:trHeight w:val="134"/>
        </w:trPr>
        <w:tc>
          <w:tcPr>
            <w:tcW w:w="1780" w:type="dxa"/>
            <w:vAlign w:val="bottom"/>
            <w:tcBorders>
              <w:right w:val="single" w:sz="8" w:color="auto"/>
            </w:tcBorders>
            <w:gridSpan w:val="3"/>
            <w:vMerge w:val="continue"/>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380" w:type="dxa"/>
            <w:vAlign w:val="bottom"/>
          </w:tcPr>
          <w:p>
            <w:pPr>
              <w:spacing w:after="0"/>
              <w:rPr>
                <w:sz w:val="16"/>
                <w:szCs w:val="16"/>
                <w:color w:val="auto"/>
              </w:rPr>
            </w:pPr>
          </w:p>
        </w:tc>
        <w:tc>
          <w:tcPr>
            <w:tcW w:w="1400" w:type="dxa"/>
            <w:vAlign w:val="bottom"/>
            <w:tcBorders>
              <w:right w:val="single" w:sz="8" w:color="auto"/>
            </w:tcBorders>
            <w:gridSpan w:val="2"/>
          </w:tcPr>
          <w:p>
            <w:pPr>
              <w:jc w:val="center"/>
              <w:ind w:right="310"/>
              <w:spacing w:after="0" w:line="195" w:lineRule="exact"/>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80" w:type="dxa"/>
            <w:vAlign w:val="bottom"/>
          </w:tcPr>
          <w:p>
            <w:pPr>
              <w:spacing w:after="0"/>
              <w:rPr>
                <w:sz w:val="16"/>
                <w:szCs w:val="16"/>
                <w:color w:val="auto"/>
              </w:rPr>
            </w:pPr>
          </w:p>
        </w:tc>
        <w:tc>
          <w:tcPr>
            <w:tcW w:w="8460" w:type="dxa"/>
            <w:vAlign w:val="bottom"/>
          </w:tcPr>
          <w:p>
            <w:pPr>
              <w:ind w:left="6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7"/>
        </w:trPr>
        <w:tc>
          <w:tcPr>
            <w:tcW w:w="178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4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40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97"/>
              </w:rPr>
              <w:t>OWNED BY</w:t>
            </w:r>
          </w:p>
        </w:tc>
        <w:tc>
          <w:tcPr>
            <w:tcW w:w="5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Borders>
              <w:right w:val="single" w:sz="8" w:color="auto"/>
            </w:tcBorders>
          </w:tcPr>
          <w:p>
            <w:pPr>
              <w:jc w:val="center"/>
              <w:ind w:right="510"/>
              <w:spacing w:after="0" w:line="182" w:lineRule="exact"/>
              <w:rPr>
                <w:sz w:val="20"/>
                <w:szCs w:val="20"/>
                <w:color w:val="auto"/>
              </w:rPr>
            </w:pPr>
            <w:r>
              <w:rPr>
                <w:rFonts w:ascii="Arial" w:cs="Arial" w:eastAsia="Arial" w:hAnsi="Arial"/>
                <w:sz w:val="18"/>
                <w:szCs w:val="18"/>
                <w:color w:val="auto"/>
                <w:w w:val="95"/>
              </w:rPr>
              <w:t>EACH</w:t>
            </w:r>
          </w:p>
        </w:tc>
        <w:tc>
          <w:tcPr>
            <w:tcW w:w="5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80" w:type="dxa"/>
            <w:vAlign w:val="bottom"/>
            <w:tcBorders>
              <w:top w:val="single" w:sz="8" w:color="auto"/>
            </w:tcBorders>
          </w:tcPr>
          <w:p>
            <w:pPr>
              <w:spacing w:after="0"/>
              <w:rPr>
                <w:sz w:val="15"/>
                <w:szCs w:val="15"/>
                <w:color w:val="auto"/>
              </w:rPr>
            </w:pPr>
          </w:p>
        </w:tc>
        <w:tc>
          <w:tcPr>
            <w:tcW w:w="8460" w:type="dxa"/>
            <w:vAlign w:val="bottom"/>
            <w:tcBorders>
              <w:top w:val="single" w:sz="8" w:color="auto"/>
            </w:tcBorders>
          </w:tcPr>
          <w:p>
            <w:pPr>
              <w:ind w:left="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40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84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4,123,513</w:t>
            </w: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1400" w:type="dxa"/>
            <w:vAlign w:val="bottom"/>
            <w:tcBorders>
              <w:right w:val="single" w:sz="8" w:color="auto"/>
            </w:tcBorders>
            <w:gridSpan w:val="2"/>
          </w:tcPr>
          <w:p>
            <w:pPr>
              <w:jc w:val="center"/>
              <w:ind w:right="310"/>
              <w:spacing w:after="0" w:line="201" w:lineRule="exact"/>
              <w:rPr>
                <w:sz w:val="20"/>
                <w:szCs w:val="20"/>
                <w:color w:val="auto"/>
              </w:rPr>
            </w:pPr>
            <w:r>
              <w:rPr>
                <w:rFonts w:ascii="Arial" w:cs="Arial" w:eastAsia="Arial" w:hAnsi="Arial"/>
                <w:sz w:val="18"/>
                <w:szCs w:val="18"/>
                <w:color w:val="auto"/>
                <w:w w:val="89"/>
              </w:rPr>
              <w:t>PERSON</w:t>
            </w:r>
          </w:p>
        </w:tc>
        <w:tc>
          <w:tcPr>
            <w:tcW w:w="5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color w:val="auto"/>
              </w:rPr>
              <w:t>WITH</w:t>
            </w:r>
          </w:p>
        </w:tc>
        <w:tc>
          <w:tcPr>
            <w:tcW w:w="5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Borders>
              <w:right w:val="single" w:sz="8" w:color="auto"/>
            </w:tcBorders>
            <w:vMerge w:val="continue"/>
          </w:tcPr>
          <w:p>
            <w:pPr>
              <w:spacing w:after="0"/>
              <w:rPr>
                <w:sz w:val="15"/>
                <w:szCs w:val="15"/>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8540" w:type="dxa"/>
            <w:vAlign w:val="bottom"/>
            <w:gridSpan w:val="2"/>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85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460" w:type="dxa"/>
            <w:vAlign w:val="bottom"/>
          </w:tcPr>
          <w:p>
            <w:pPr>
              <w:ind w:left="6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427"/>
        </w:trPr>
        <w:tc>
          <w:tcPr>
            <w:tcW w:w="10860" w:type="dxa"/>
            <w:vAlign w:val="bottom"/>
            <w:tcBorders>
              <w:top w:val="single" w:sz="8" w:color="auto"/>
            </w:tcBorders>
            <w:gridSpan w:val="6"/>
          </w:tcPr>
          <w:p>
            <w:pPr>
              <w:ind w:left="120"/>
              <w:spacing w:after="0" w:line="428" w:lineRule="exact"/>
              <w:rPr>
                <w:sz w:val="20"/>
                <w:szCs w:val="20"/>
                <w:color w:val="auto"/>
              </w:rPr>
            </w:pPr>
            <w:r>
              <w:rPr>
                <w:rFonts w:ascii="Arial" w:cs="Arial" w:eastAsia="Arial" w:hAnsi="Arial"/>
                <w:sz w:val="49"/>
                <w:szCs w:val="49"/>
                <w:b w:val="1"/>
                <w:bCs w:val="1"/>
                <w:color w:val="auto"/>
                <w:vertAlign w:val="subscript"/>
              </w:rPr>
              <w:t>11</w:t>
            </w:r>
            <w:r>
              <w:rPr>
                <w:rFonts w:ascii="Arial" w:cs="Arial" w:eastAsia="Arial" w:hAnsi="Arial"/>
                <w:sz w:val="16"/>
                <w:szCs w:val="16"/>
                <w:color w:val="auto"/>
              </w:rPr>
              <w:t xml:space="preserve">  AGGREGATE AMOUNT BENEFICIALLY OWNED BY EACH REPORTING PERSON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-4751705</wp:posOffset>
            </wp:positionV>
            <wp:extent cx="6877685" cy="6157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77685" cy="6157595"/>
                    </a:xfrm>
                    <a:prstGeom prst="rect">
                      <a:avLst/>
                    </a:prstGeom>
                    <a:noFill/>
                  </pic:spPr>
                </pic:pic>
              </a:graphicData>
            </a:graphic>
          </wp:anchor>
        </w:drawing>
      </w:r>
    </w:p>
    <w:p>
      <w:pPr>
        <w:sectPr>
          <w:pgSz w:w="11900" w:h="16838" w:orient="portrait"/>
          <w:cols w:equalWidth="0" w:num="1">
            <w:col w:w="10840"/>
          </w:cols>
          <w:pgMar w:left="240" w:top="706" w:right="819" w:bottom="1440" w:gutter="0" w:footer="0" w:header="0"/>
        </w:sectPr>
      </w:pPr>
    </w:p>
    <w:p>
      <w:pPr>
        <w:spacing w:after="0" w:line="322" w:lineRule="exact"/>
        <w:rPr>
          <w:sz w:val="20"/>
          <w:szCs w:val="20"/>
          <w:color w:val="auto"/>
        </w:rPr>
      </w:pPr>
    </w:p>
    <w:p>
      <w:pPr>
        <w:ind w:left="120"/>
        <w:spacing w:after="0"/>
        <w:rPr>
          <w:sz w:val="20"/>
          <w:szCs w:val="20"/>
          <w:color w:val="auto"/>
        </w:rPr>
      </w:pPr>
      <w:r>
        <w:rPr>
          <w:rFonts w:ascii="Arial" w:cs="Arial" w:eastAsia="Arial" w:hAnsi="Arial"/>
          <w:sz w:val="28"/>
          <w:szCs w:val="28"/>
          <w:b w:val="1"/>
          <w:bCs w:val="1"/>
          <w:color w:val="auto"/>
        </w:rPr>
        <w:t>12</w:t>
      </w:r>
    </w:p>
    <w:p>
      <w:pPr>
        <w:spacing w:after="0" w:line="340" w:lineRule="exact"/>
        <w:rPr>
          <w:sz w:val="20"/>
          <w:szCs w:val="20"/>
          <w:color w:val="auto"/>
        </w:rPr>
      </w:pPr>
    </w:p>
    <w:p>
      <w:pPr>
        <w:ind w:left="120"/>
        <w:spacing w:after="0"/>
        <w:rPr>
          <w:sz w:val="20"/>
          <w:szCs w:val="20"/>
          <w:color w:val="auto"/>
        </w:rPr>
      </w:pPr>
      <w:r>
        <w:rPr>
          <w:rFonts w:ascii="Arial" w:cs="Arial" w:eastAsia="Arial" w:hAnsi="Arial"/>
          <w:sz w:val="28"/>
          <w:szCs w:val="28"/>
          <w:b w:val="1"/>
          <w:bCs w:val="1"/>
          <w:color w:val="auto"/>
        </w:rPr>
        <w:t>13</w:t>
      </w:r>
    </w:p>
    <w:p>
      <w:pPr>
        <w:spacing w:after="0" w:line="340" w:lineRule="exact"/>
        <w:rPr>
          <w:sz w:val="20"/>
          <w:szCs w:val="20"/>
          <w:color w:val="auto"/>
        </w:rPr>
      </w:pPr>
    </w:p>
    <w:p>
      <w:pPr>
        <w:ind w:left="120"/>
        <w:spacing w:after="0"/>
        <w:rPr>
          <w:sz w:val="20"/>
          <w:szCs w:val="20"/>
          <w:color w:val="auto"/>
        </w:rPr>
      </w:pPr>
      <w:r>
        <w:rPr>
          <w:rFonts w:ascii="Arial" w:cs="Arial" w:eastAsia="Arial" w:hAnsi="Arial"/>
          <w:sz w:val="28"/>
          <w:szCs w:val="28"/>
          <w:b w:val="1"/>
          <w:bCs w:val="1"/>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4,123,513</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CHECK IF THE AGGREGATE AMOUNT IN ROW (11) EXCLUDES CERTAIN SHARES</w:t>
      </w:r>
    </w:p>
    <w:p>
      <w:pPr>
        <w:spacing w:after="0" w:line="203"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(11)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40" w:space="280"/>
            <w:col w:w="10120"/>
          </w:cols>
          <w:pgMar w:left="240" w:top="706" w:right="819" w:bottom="1440" w:gutter="0" w:footer="0" w:header="0"/>
          <w:type w:val="continuous"/>
        </w:sectPr>
      </w:pPr>
    </w:p>
    <w:bookmarkStart w:id="2" w:name="page3"/>
    <w:bookmarkEnd w:id="2"/>
    <w:p>
      <w:pPr>
        <w:ind w:left="660"/>
        <w:spacing w:after="0"/>
        <w:rPr>
          <w:sz w:val="20"/>
          <w:szCs w:val="20"/>
          <w:color w:val="auto"/>
        </w:rPr>
      </w:pPr>
      <w:r>
        <w:rPr>
          <w:rFonts w:ascii="Arial" w:cs="Arial" w:eastAsia="Arial" w:hAnsi="Arial"/>
          <w:sz w:val="16"/>
          <w:szCs w:val="16"/>
          <w:color w:val="auto"/>
        </w:rPr>
        <w:t>This Amendment No. 3 amends and supplements the Schedule 13D filed with the Securities and Exchange Commission on February 15, 2008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Original Statement</w:t>
      </w:r>
      <w:r>
        <w:rPr>
          <w:rFonts w:ascii="Arial" w:cs="Arial" w:eastAsia="Arial" w:hAnsi="Arial"/>
          <w:sz w:val="16"/>
          <w:szCs w:val="16"/>
          <w:color w:val="auto"/>
        </w:rPr>
        <w:t>”), as amended on April 30, 2013 (“</w:t>
      </w:r>
      <w:r>
        <w:rPr>
          <w:rFonts w:ascii="Arial" w:cs="Arial" w:eastAsia="Arial" w:hAnsi="Arial"/>
          <w:sz w:val="16"/>
          <w:szCs w:val="16"/>
          <w:u w:val="single" w:color="auto"/>
          <w:color w:val="auto"/>
        </w:rPr>
        <w:t>Amendment No. 1</w:t>
      </w:r>
      <w:r>
        <w:rPr>
          <w:rFonts w:ascii="Arial" w:cs="Arial" w:eastAsia="Arial" w:hAnsi="Arial"/>
          <w:sz w:val="16"/>
          <w:szCs w:val="16"/>
          <w:color w:val="auto"/>
        </w:rPr>
        <w:t>”) and on March 11, 2014 (“</w:t>
      </w:r>
      <w:r>
        <w:rPr>
          <w:rFonts w:ascii="Arial" w:cs="Arial" w:eastAsia="Arial" w:hAnsi="Arial"/>
          <w:sz w:val="16"/>
          <w:szCs w:val="16"/>
          <w:u w:val="single" w:color="auto"/>
          <w:color w:val="auto"/>
        </w:rPr>
        <w:t>Amendment No. 2</w:t>
      </w:r>
      <w:r>
        <w:rPr>
          <w:rFonts w:ascii="Arial" w:cs="Arial" w:eastAsia="Arial" w:hAnsi="Arial"/>
          <w:sz w:val="16"/>
          <w:szCs w:val="16"/>
          <w:color w:val="auto"/>
        </w:rPr>
        <w:t>”), relating to the common stock, par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$0.0001 per share, of Corinthian Colleges, Inc., a Delaware corporation. The Original Statement, as amended by Amendment No. 1 and Amendment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2, is hereinafter referred to as the “</w:t>
      </w:r>
      <w:r>
        <w:rPr>
          <w:rFonts w:ascii="Arial" w:cs="Arial" w:eastAsia="Arial" w:hAnsi="Arial"/>
          <w:sz w:val="16"/>
          <w:szCs w:val="16"/>
          <w:u w:val="single" w:color="auto"/>
          <w:color w:val="auto"/>
        </w:rPr>
        <w:t>Schedule 13D</w:t>
      </w:r>
      <w:r>
        <w:rPr>
          <w:rFonts w:ascii="Arial" w:cs="Arial" w:eastAsia="Arial" w:hAnsi="Arial"/>
          <w:sz w:val="16"/>
          <w:szCs w:val="16"/>
          <w:color w:val="auto"/>
        </w:rPr>
        <w:t>”. All capitalized terms not otherwise defined herein shall have the meanings ascribed to them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Schedule 13D.</w:t>
      </w:r>
    </w:p>
    <w:p>
      <w:pPr>
        <w:spacing w:after="0" w:line="21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Paragraphs (a)-(e) of Item 5 of the Schedule 13D are hereby amended and restated as follows:</w:t>
      </w:r>
    </w:p>
    <w:p>
      <w:pPr>
        <w:spacing w:after="0" w:line="225"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(a)-(b) As of the date hereof, the Company owns 4,123,513 shares of Issuer Common Stock. The 4,123,513 shares of Issuer Common Stock constitute 4.7% of the issued and outstanding shares of Issuer Common Stock, based upon disclosure in the Issuer’s most recent Form 10-Q that there were 87,237,498 shares of Issuer Common Stock issued and outstanding as of February 1, 2014. The Company has the sole power to vote and dispose of the 4,123,513 shares of Issuer Common Stock.</w:t>
      </w:r>
    </w:p>
    <w:p>
      <w:pPr>
        <w:spacing w:after="0" w:line="187" w:lineRule="exact"/>
        <w:rPr>
          <w:sz w:val="20"/>
          <w:szCs w:val="20"/>
          <w:color w:val="auto"/>
        </w:rPr>
      </w:pPr>
    </w:p>
    <w:p>
      <w:pPr>
        <w:ind w:right="80" w:firstLine="656"/>
        <w:spacing w:after="0" w:line="308" w:lineRule="auto"/>
        <w:tabs>
          <w:tab w:leader="none" w:pos="893" w:val="left"/>
        </w:tabs>
        <w:numPr>
          <w:ilvl w:val="0"/>
          <w:numId w:val="1"/>
        </w:numPr>
        <w:rPr>
          <w:rFonts w:ascii="Arial" w:cs="Arial" w:eastAsia="Arial" w:hAnsi="Arial"/>
          <w:sz w:val="17"/>
          <w:szCs w:val="17"/>
          <w:color w:val="auto"/>
        </w:rPr>
      </w:pPr>
      <w:r>
        <w:rPr>
          <w:rFonts w:ascii="Arial" w:cs="Arial" w:eastAsia="Arial" w:hAnsi="Arial"/>
          <w:sz w:val="17"/>
          <w:szCs w:val="17"/>
          <w:color w:val="auto"/>
        </w:rPr>
        <w:t>Schedule B attached hereto lists all transactions in Issuer Common Stock by the Company since March 11, 2014. To the Company’s knowledge, no person named in Schedule A of the Schedule 13D has effected any transaction in Issuer Common Stock since March 11, 2014.</w:t>
      </w:r>
    </w:p>
    <w:p>
      <w:pPr>
        <w:spacing w:after="0" w:line="146" w:lineRule="exact"/>
        <w:rPr>
          <w:rFonts w:ascii="Arial" w:cs="Arial" w:eastAsia="Arial" w:hAnsi="Arial"/>
          <w:sz w:val="17"/>
          <w:szCs w:val="17"/>
          <w:color w:val="auto"/>
        </w:rPr>
      </w:pPr>
    </w:p>
    <w:p>
      <w:pPr>
        <w:ind w:left="920" w:hanging="264"/>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of March 17, 2014, the Company ceased to be the beneficial owner of more than five percent of Issuer Common Stock.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3" w:name="page4"/>
    <w:bookmarkEnd w:id="3"/>
    <w:p>
      <w:pPr>
        <w:ind w:firstLine="648"/>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2014</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GRAHAM HOLDINGS 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Veronica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Veronica Dillon, Esq.</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Senior Vice President, General Counsel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53" w:right="2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SCHEDULE B</w:t>
      </w:r>
    </w:p>
    <w:p>
      <w:pPr>
        <w:spacing w:after="0" w:line="200" w:lineRule="exact"/>
        <w:rPr>
          <w:sz w:val="20"/>
          <w:szCs w:val="20"/>
          <w:color w:val="auto"/>
        </w:rPr>
      </w:pPr>
    </w:p>
    <w:p>
      <w:pPr>
        <w:spacing w:after="0" w:line="24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sets forth information regarding all transactions by the Company with respect to Issuer Common Stock since March 11, 2014. All such transactions were effected in the open market.</w:t>
      </w:r>
    </w:p>
    <w:p>
      <w:pPr>
        <w:spacing w:after="0" w:line="200" w:lineRule="exact"/>
        <w:rPr>
          <w:sz w:val="20"/>
          <w:szCs w:val="20"/>
          <w:color w:val="auto"/>
        </w:rPr>
      </w:pP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900" w:type="dxa"/>
            <w:vAlign w:val="bottom"/>
            <w:tcBorders>
              <w:top w:val="single" w:sz="8" w:color="auto"/>
              <w:left w:val="single" w:sz="8" w:color="auto"/>
              <w:right w:val="single" w:sz="8" w:color="auto"/>
            </w:tcBorders>
            <w:gridSpan w:val="3"/>
          </w:tcPr>
          <w:p>
            <w:pPr>
              <w:ind w:left="1080"/>
              <w:spacing w:after="0" w:line="202" w:lineRule="exact"/>
              <w:rPr>
                <w:sz w:val="20"/>
                <w:szCs w:val="20"/>
                <w:color w:val="auto"/>
              </w:rPr>
            </w:pPr>
            <w:r>
              <w:rPr>
                <w:rFonts w:ascii="Arial" w:cs="Arial" w:eastAsia="Arial" w:hAnsi="Arial"/>
                <w:sz w:val="18"/>
                <w:szCs w:val="18"/>
                <w:b w:val="1"/>
                <w:bCs w:val="1"/>
                <w:color w:val="auto"/>
              </w:rPr>
              <w:t>Date Sold</w:t>
            </w:r>
          </w:p>
        </w:tc>
        <w:tc>
          <w:tcPr>
            <w:tcW w:w="2840" w:type="dxa"/>
            <w:vAlign w:val="bottom"/>
            <w:tcBorders>
              <w:top w:val="single" w:sz="8" w:color="auto"/>
              <w:right w:val="single" w:sz="8" w:color="auto"/>
            </w:tcBorders>
            <w:gridSpan w:val="3"/>
          </w:tcPr>
          <w:p>
            <w:pPr>
              <w:ind w:left="700"/>
              <w:spacing w:after="0" w:line="202" w:lineRule="exact"/>
              <w:rPr>
                <w:sz w:val="20"/>
                <w:szCs w:val="20"/>
                <w:color w:val="auto"/>
              </w:rPr>
            </w:pPr>
            <w:r>
              <w:rPr>
                <w:rFonts w:ascii="Arial" w:cs="Arial" w:eastAsia="Arial" w:hAnsi="Arial"/>
                <w:sz w:val="18"/>
                <w:szCs w:val="18"/>
                <w:b w:val="1"/>
                <w:bCs w:val="1"/>
                <w:color w:val="auto"/>
              </w:rPr>
              <w:t>No. of Shares Sold</w:t>
            </w:r>
          </w:p>
        </w:tc>
        <w:tc>
          <w:tcPr>
            <w:tcW w:w="260" w:type="dxa"/>
            <w:vAlign w:val="bottom"/>
            <w:tcBorders>
              <w:top w:val="single" w:sz="8" w:color="auto"/>
            </w:tcBorders>
          </w:tcPr>
          <w:p>
            <w:pPr>
              <w:spacing w:after="0"/>
              <w:rPr>
                <w:sz w:val="17"/>
                <w:szCs w:val="17"/>
                <w:color w:val="auto"/>
              </w:rPr>
            </w:pPr>
          </w:p>
        </w:tc>
        <w:tc>
          <w:tcPr>
            <w:tcW w:w="2580" w:type="dxa"/>
            <w:vAlign w:val="bottom"/>
            <w:tcBorders>
              <w:top w:val="single" w:sz="8" w:color="auto"/>
              <w:right w:val="single" w:sz="8" w:color="auto"/>
            </w:tcBorders>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0"/>
              </w:rPr>
              <w:t xml:space="preserve">Average Sale Price </w:t>
            </w: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/Share)*</w:t>
            </w:r>
          </w:p>
        </w:tc>
        <w:tc>
          <w:tcPr>
            <w:tcW w:w="740" w:type="dxa"/>
            <w:vAlign w:val="bottom"/>
            <w:tcBorders>
              <w:top w:val="single" w:sz="8" w:color="auto"/>
            </w:tcBorders>
          </w:tcPr>
          <w:p>
            <w:pPr>
              <w:spacing w:after="0"/>
              <w:rPr>
                <w:sz w:val="17"/>
                <w:szCs w:val="17"/>
                <w:color w:val="auto"/>
              </w:rPr>
            </w:pPr>
          </w:p>
        </w:tc>
        <w:tc>
          <w:tcPr>
            <w:tcW w:w="2100" w:type="dxa"/>
            <w:vAlign w:val="bottom"/>
            <w:tcBorders>
              <w:top w:val="single" w:sz="8" w:color="auto"/>
              <w:right w:val="single" w:sz="8" w:color="auto"/>
            </w:tcBorders>
            <w:gridSpan w:val="2"/>
          </w:tcPr>
          <w:p>
            <w:pPr>
              <w:jc w:val="center"/>
              <w:ind w:right="760"/>
              <w:spacing w:after="0" w:line="202" w:lineRule="exact"/>
              <w:rPr>
                <w:sz w:val="20"/>
                <w:szCs w:val="20"/>
                <w:color w:val="auto"/>
              </w:rPr>
            </w:pPr>
            <w:r>
              <w:rPr>
                <w:rFonts w:ascii="Arial" w:cs="Arial" w:eastAsia="Arial" w:hAnsi="Arial"/>
                <w:sz w:val="18"/>
                <w:szCs w:val="18"/>
                <w:b w:val="1"/>
                <w:bCs w:val="1"/>
                <w:color w:val="auto"/>
                <w:w w:val="89"/>
              </w:rPr>
              <w:t>Transaction Type</w:t>
            </w:r>
          </w:p>
        </w:tc>
      </w:tr>
      <w:tr>
        <w:trPr>
          <w:trHeight w:val="260"/>
        </w:trPr>
        <w:tc>
          <w:tcPr>
            <w:tcW w:w="1080" w:type="dxa"/>
            <w:vAlign w:val="bottom"/>
            <w:tcBorders>
              <w:left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spacing w:after="0"/>
              <w:rPr>
                <w:sz w:val="22"/>
                <w:szCs w:val="22"/>
                <w:color w:val="auto"/>
              </w:rPr>
            </w:pPr>
          </w:p>
        </w:tc>
        <w:tc>
          <w:tcPr>
            <w:tcW w:w="740" w:type="dxa"/>
            <w:vAlign w:val="bottom"/>
            <w:tcBorders>
              <w:bottom w:val="single" w:sz="8" w:color="auto"/>
              <w:right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280" w:type="dxa"/>
            <w:vAlign w:val="bottom"/>
            <w:tcBorders>
              <w:top w:val="single" w:sz="8" w:color="auto"/>
              <w:bottom w:val="single" w:sz="8" w:color="auto"/>
            </w:tcBorders>
          </w:tcPr>
          <w:p>
            <w:pPr>
              <w:spacing w:after="0"/>
              <w:rPr>
                <w:sz w:val="22"/>
                <w:szCs w:val="22"/>
                <w:color w:val="auto"/>
              </w:rPr>
            </w:pPr>
          </w:p>
        </w:tc>
        <w:tc>
          <w:tcPr>
            <w:tcW w:w="30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r>
      <w:tr>
        <w:trPr>
          <w:trHeight w:val="214"/>
        </w:trPr>
        <w:tc>
          <w:tcPr>
            <w:tcW w:w="1820" w:type="dxa"/>
            <w:vAlign w:val="bottom"/>
            <w:tcBorders>
              <w:left w:val="single" w:sz="8" w:color="auto"/>
            </w:tcBorders>
            <w:gridSpan w:val="2"/>
          </w:tcPr>
          <w:p>
            <w:pPr>
              <w:ind w:left="1080"/>
              <w:spacing w:after="0"/>
              <w:rPr>
                <w:sz w:val="20"/>
                <w:szCs w:val="20"/>
                <w:color w:val="auto"/>
              </w:rPr>
            </w:pPr>
            <w:r>
              <w:rPr>
                <w:rFonts w:ascii="Arial" w:cs="Arial" w:eastAsia="Arial" w:hAnsi="Arial"/>
                <w:sz w:val="18"/>
                <w:szCs w:val="18"/>
                <w:color w:val="auto"/>
                <w:w w:val="89"/>
              </w:rPr>
              <w:t>3/13/2014</w:t>
            </w:r>
          </w:p>
        </w:tc>
        <w:tc>
          <w:tcPr>
            <w:tcW w:w="1080" w:type="dxa"/>
            <w:vAlign w:val="bottom"/>
            <w:tcBorders>
              <w:right w:val="single" w:sz="8" w:color="auto"/>
            </w:tcBorders>
          </w:tcPr>
          <w:p>
            <w:pPr>
              <w:spacing w:after="0"/>
              <w:rPr>
                <w:sz w:val="18"/>
                <w:szCs w:val="18"/>
                <w:color w:val="auto"/>
              </w:rPr>
            </w:pPr>
          </w:p>
        </w:tc>
        <w:tc>
          <w:tcPr>
            <w:tcW w:w="2100" w:type="dxa"/>
            <w:vAlign w:val="bottom"/>
            <w:gridSpan w:val="2"/>
          </w:tcPr>
          <w:p>
            <w:pPr>
              <w:jc w:val="center"/>
              <w:ind w:left="590"/>
              <w:spacing w:after="0"/>
              <w:rPr>
                <w:sz w:val="20"/>
                <w:szCs w:val="20"/>
                <w:color w:val="auto"/>
              </w:rPr>
            </w:pPr>
            <w:r>
              <w:rPr>
                <w:rFonts w:ascii="Arial" w:cs="Arial" w:eastAsia="Arial" w:hAnsi="Arial"/>
                <w:sz w:val="18"/>
                <w:szCs w:val="18"/>
                <w:color w:val="auto"/>
                <w:w w:val="89"/>
              </w:rPr>
              <w:t>150,000</w:t>
            </w:r>
          </w:p>
        </w:tc>
        <w:tc>
          <w:tcPr>
            <w:tcW w:w="740" w:type="dxa"/>
            <w:vAlign w:val="bottom"/>
            <w:tcBorders>
              <w:right w:val="single" w:sz="8" w:color="auto"/>
            </w:tcBorders>
          </w:tcPr>
          <w:p>
            <w:pPr>
              <w:spacing w:after="0"/>
              <w:rPr>
                <w:sz w:val="18"/>
                <w:szCs w:val="18"/>
                <w:color w:val="auto"/>
              </w:rPr>
            </w:pPr>
          </w:p>
        </w:tc>
        <w:tc>
          <w:tcPr>
            <w:tcW w:w="254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$1.4068</w:t>
            </w:r>
          </w:p>
        </w:tc>
        <w:tc>
          <w:tcPr>
            <w:tcW w:w="30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210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18"/>
                <w:szCs w:val="18"/>
                <w:color w:val="auto"/>
                <w:w w:val="95"/>
              </w:rPr>
              <w:t>Disposition</w:t>
            </w:r>
          </w:p>
        </w:tc>
      </w:tr>
      <w:tr>
        <w:trPr>
          <w:trHeight w:val="209"/>
        </w:trPr>
        <w:tc>
          <w:tcPr>
            <w:tcW w:w="1080" w:type="dxa"/>
            <w:vAlign w:val="bottom"/>
            <w:tcBorders>
              <w:left w:val="single" w:sz="8" w:color="auto"/>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r>
      <w:tr>
        <w:trPr>
          <w:trHeight w:val="230"/>
        </w:trPr>
        <w:tc>
          <w:tcPr>
            <w:tcW w:w="1820" w:type="dxa"/>
            <w:vAlign w:val="bottom"/>
            <w:tcBorders>
              <w:left w:val="single" w:sz="8" w:color="auto"/>
            </w:tcBorders>
            <w:gridSpan w:val="2"/>
          </w:tcPr>
          <w:p>
            <w:pPr>
              <w:ind w:left="1080"/>
              <w:spacing w:after="0"/>
              <w:rPr>
                <w:sz w:val="20"/>
                <w:szCs w:val="20"/>
                <w:color w:val="auto"/>
              </w:rPr>
            </w:pPr>
            <w:r>
              <w:rPr>
                <w:rFonts w:ascii="Arial" w:cs="Arial" w:eastAsia="Arial" w:hAnsi="Arial"/>
                <w:sz w:val="18"/>
                <w:szCs w:val="18"/>
                <w:color w:val="auto"/>
                <w:w w:val="89"/>
              </w:rPr>
              <w:t>3/14/2014</w:t>
            </w:r>
          </w:p>
        </w:tc>
        <w:tc>
          <w:tcPr>
            <w:tcW w:w="1080" w:type="dxa"/>
            <w:vAlign w:val="bottom"/>
            <w:tcBorders>
              <w:right w:val="single" w:sz="8" w:color="auto"/>
            </w:tcBorders>
          </w:tcPr>
          <w:p>
            <w:pPr>
              <w:spacing w:after="0"/>
              <w:rPr>
                <w:sz w:val="20"/>
                <w:szCs w:val="20"/>
                <w:color w:val="auto"/>
              </w:rPr>
            </w:pPr>
          </w:p>
        </w:tc>
        <w:tc>
          <w:tcPr>
            <w:tcW w:w="2100" w:type="dxa"/>
            <w:vAlign w:val="bottom"/>
            <w:gridSpan w:val="2"/>
          </w:tcPr>
          <w:p>
            <w:pPr>
              <w:jc w:val="center"/>
              <w:ind w:left="590"/>
              <w:spacing w:after="0"/>
              <w:rPr>
                <w:sz w:val="20"/>
                <w:szCs w:val="20"/>
                <w:color w:val="auto"/>
              </w:rPr>
            </w:pPr>
            <w:r>
              <w:rPr>
                <w:rFonts w:ascii="Arial" w:cs="Arial" w:eastAsia="Arial" w:hAnsi="Arial"/>
                <w:sz w:val="18"/>
                <w:szCs w:val="18"/>
                <w:color w:val="auto"/>
                <w:w w:val="90"/>
              </w:rPr>
              <w:t>80,189</w:t>
            </w:r>
          </w:p>
        </w:tc>
        <w:tc>
          <w:tcPr>
            <w:tcW w:w="740" w:type="dxa"/>
            <w:vAlign w:val="bottom"/>
            <w:tcBorders>
              <w:right w:val="single" w:sz="8" w:color="auto"/>
            </w:tcBorders>
          </w:tcPr>
          <w:p>
            <w:pPr>
              <w:spacing w:after="0"/>
              <w:rPr>
                <w:sz w:val="20"/>
                <w:szCs w:val="20"/>
                <w:color w:val="auto"/>
              </w:rPr>
            </w:pPr>
          </w:p>
        </w:tc>
        <w:tc>
          <w:tcPr>
            <w:tcW w:w="254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$1.4124</w:t>
            </w:r>
          </w:p>
        </w:tc>
        <w:tc>
          <w:tcPr>
            <w:tcW w:w="30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210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18"/>
                <w:szCs w:val="18"/>
                <w:color w:val="auto"/>
                <w:w w:val="95"/>
              </w:rPr>
              <w:t>Disposition</w:t>
            </w:r>
          </w:p>
        </w:tc>
      </w:tr>
      <w:tr>
        <w:trPr>
          <w:trHeight w:val="209"/>
        </w:trPr>
        <w:tc>
          <w:tcPr>
            <w:tcW w:w="1080" w:type="dxa"/>
            <w:vAlign w:val="bottom"/>
            <w:tcBorders>
              <w:left w:val="single" w:sz="8" w:color="auto"/>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r>
      <w:tr>
        <w:trPr>
          <w:trHeight w:val="230"/>
        </w:trPr>
        <w:tc>
          <w:tcPr>
            <w:tcW w:w="2900" w:type="dxa"/>
            <w:vAlign w:val="bottom"/>
            <w:tcBorders>
              <w:left w:val="single" w:sz="8" w:color="auto"/>
              <w:right w:val="single" w:sz="8" w:color="auto"/>
            </w:tcBorders>
            <w:gridSpan w:val="3"/>
          </w:tcPr>
          <w:p>
            <w:pPr>
              <w:jc w:val="right"/>
              <w:ind w:right="1060"/>
              <w:spacing w:after="0"/>
              <w:rPr>
                <w:sz w:val="20"/>
                <w:szCs w:val="20"/>
                <w:color w:val="auto"/>
              </w:rPr>
            </w:pPr>
            <w:r>
              <w:rPr>
                <w:rFonts w:ascii="Arial" w:cs="Arial" w:eastAsia="Arial" w:hAnsi="Arial"/>
                <w:sz w:val="18"/>
                <w:szCs w:val="18"/>
                <w:color w:val="auto"/>
              </w:rPr>
              <w:t>3/17/2014</w:t>
            </w:r>
          </w:p>
        </w:tc>
        <w:tc>
          <w:tcPr>
            <w:tcW w:w="2100" w:type="dxa"/>
            <w:vAlign w:val="bottom"/>
            <w:gridSpan w:val="2"/>
          </w:tcPr>
          <w:p>
            <w:pPr>
              <w:jc w:val="center"/>
              <w:ind w:left="590"/>
              <w:spacing w:after="0"/>
              <w:rPr>
                <w:sz w:val="20"/>
                <w:szCs w:val="20"/>
                <w:color w:val="auto"/>
              </w:rPr>
            </w:pPr>
            <w:r>
              <w:rPr>
                <w:rFonts w:ascii="Arial" w:cs="Arial" w:eastAsia="Arial" w:hAnsi="Arial"/>
                <w:sz w:val="18"/>
                <w:szCs w:val="18"/>
                <w:color w:val="auto"/>
                <w:w w:val="89"/>
              </w:rPr>
              <w:t>170,000</w:t>
            </w:r>
          </w:p>
        </w:tc>
        <w:tc>
          <w:tcPr>
            <w:tcW w:w="740" w:type="dxa"/>
            <w:vAlign w:val="bottom"/>
            <w:tcBorders>
              <w:right w:val="single" w:sz="8" w:color="auto"/>
            </w:tcBorders>
          </w:tcPr>
          <w:p>
            <w:pPr>
              <w:spacing w:after="0"/>
              <w:rPr>
                <w:sz w:val="20"/>
                <w:szCs w:val="20"/>
                <w:color w:val="auto"/>
              </w:rPr>
            </w:pPr>
          </w:p>
        </w:tc>
        <w:tc>
          <w:tcPr>
            <w:tcW w:w="254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$1.4149</w:t>
            </w:r>
          </w:p>
        </w:tc>
        <w:tc>
          <w:tcPr>
            <w:tcW w:w="30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210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18"/>
                <w:szCs w:val="18"/>
                <w:color w:val="auto"/>
                <w:w w:val="95"/>
              </w:rPr>
              <w:t>Disposition</w:t>
            </w:r>
          </w:p>
        </w:tc>
      </w:tr>
      <w:tr>
        <w:trPr>
          <w:trHeight w:val="209"/>
        </w:trPr>
        <w:tc>
          <w:tcPr>
            <w:tcW w:w="1080" w:type="dxa"/>
            <w:vAlign w:val="bottom"/>
            <w:tcBorders>
              <w:left w:val="single" w:sz="8" w:color="auto"/>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r>
      <w:tr>
        <w:trPr>
          <w:trHeight w:val="230"/>
        </w:trPr>
        <w:tc>
          <w:tcPr>
            <w:tcW w:w="2900" w:type="dxa"/>
            <w:vAlign w:val="bottom"/>
            <w:tcBorders>
              <w:left w:val="single" w:sz="8" w:color="auto"/>
              <w:right w:val="single" w:sz="8" w:color="auto"/>
            </w:tcBorders>
            <w:gridSpan w:val="3"/>
          </w:tcPr>
          <w:p>
            <w:pPr>
              <w:jc w:val="right"/>
              <w:ind w:right="1060"/>
              <w:spacing w:after="0"/>
              <w:rPr>
                <w:sz w:val="20"/>
                <w:szCs w:val="20"/>
                <w:color w:val="auto"/>
              </w:rPr>
            </w:pPr>
            <w:r>
              <w:rPr>
                <w:rFonts w:ascii="Arial" w:cs="Arial" w:eastAsia="Arial" w:hAnsi="Arial"/>
                <w:sz w:val="18"/>
                <w:szCs w:val="18"/>
                <w:color w:val="auto"/>
              </w:rPr>
              <w:t>3/18/2014</w:t>
            </w:r>
          </w:p>
        </w:tc>
        <w:tc>
          <w:tcPr>
            <w:tcW w:w="2100" w:type="dxa"/>
            <w:vAlign w:val="bottom"/>
            <w:gridSpan w:val="2"/>
          </w:tcPr>
          <w:p>
            <w:pPr>
              <w:jc w:val="right"/>
              <w:ind w:right="380"/>
              <w:spacing w:after="0"/>
              <w:rPr>
                <w:sz w:val="20"/>
                <w:szCs w:val="20"/>
                <w:color w:val="auto"/>
              </w:rPr>
            </w:pPr>
            <w:r>
              <w:rPr>
                <w:rFonts w:ascii="Arial" w:cs="Arial" w:eastAsia="Arial" w:hAnsi="Arial"/>
                <w:sz w:val="18"/>
                <w:szCs w:val="18"/>
                <w:color w:val="auto"/>
              </w:rPr>
              <w:t>100,464</w:t>
            </w:r>
          </w:p>
        </w:tc>
        <w:tc>
          <w:tcPr>
            <w:tcW w:w="740" w:type="dxa"/>
            <w:vAlign w:val="bottom"/>
            <w:tcBorders>
              <w:right w:val="single" w:sz="8" w:color="auto"/>
            </w:tcBorders>
          </w:tcPr>
          <w:p>
            <w:pPr>
              <w:spacing w:after="0"/>
              <w:rPr>
                <w:sz w:val="20"/>
                <w:szCs w:val="20"/>
                <w:color w:val="auto"/>
              </w:rPr>
            </w:pPr>
          </w:p>
        </w:tc>
        <w:tc>
          <w:tcPr>
            <w:tcW w:w="254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$1.4105</w:t>
            </w:r>
          </w:p>
        </w:tc>
        <w:tc>
          <w:tcPr>
            <w:tcW w:w="30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2100" w:type="dxa"/>
            <w:vAlign w:val="bottom"/>
            <w:tcBorders>
              <w:right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95"/>
              </w:rPr>
              <w:t>Disposition</w:t>
            </w:r>
          </w:p>
        </w:tc>
      </w:tr>
      <w:tr>
        <w:trPr>
          <w:trHeight w:val="209"/>
        </w:trPr>
        <w:tc>
          <w:tcPr>
            <w:tcW w:w="1080" w:type="dxa"/>
            <w:vAlign w:val="bottom"/>
            <w:tcBorders>
              <w:left w:val="single" w:sz="8" w:color="auto"/>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*Average sale price excludes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7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2019-12-16T15:20:20Z</dcterms:created>
  <dcterms:modified xsi:type="dcterms:W3CDTF">2019-12-16T15:20:20Z</dcterms:modified>
</cp:coreProperties>
</file>