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Arial" w:cs="Arial" w:eastAsia="Arial" w:hAnsi="Arial"/>
          <w:sz w:val="22"/>
          <w:szCs w:val="22"/>
          <w:color w:val="auto"/>
        </w:rPr>
        <w:t>UNITED STATES SECURITIES AND EXCHANGE COMMISSION</w:t>
      </w:r>
    </w:p>
    <w:p>
      <w:pPr>
        <w:spacing w:after="0" w:line="50"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8" w:lineRule="exact"/>
        <w:rPr>
          <w:sz w:val="24"/>
          <w:szCs w:val="24"/>
          <w:color w:val="auto"/>
        </w:rPr>
      </w:pPr>
    </w:p>
    <w:p>
      <w:pPr>
        <w:ind w:left="400" w:hanging="19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2" w:lineRule="exact"/>
        <w:rPr>
          <w:sz w:val="24"/>
          <w:szCs w:val="24"/>
          <w:color w:val="auto"/>
        </w:rPr>
      </w:pPr>
    </w:p>
    <w:p>
      <w:pPr>
        <w:ind w:left="400" w:hanging="194"/>
        <w:spacing w:after="0"/>
        <w:tabs>
          <w:tab w:leader="none" w:pos="400" w:val="left"/>
        </w:tabs>
        <w:numPr>
          <w:ilvl w:val="0"/>
          <w:numId w:val="2"/>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001-06714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Graham Holdings Company</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43" w:lineRule="exact"/>
        <w:rPr>
          <w:sz w:val="24"/>
          <w:szCs w:val="24"/>
          <w:color w:val="auto"/>
        </w:rPr>
      </w:pPr>
    </w:p>
    <w:tbl>
      <w:tblPr>
        <w:tblLayout w:type="fixed"/>
        <w:tblInd w:w="480" w:type="dxa"/>
        <w:tblCellMar>
          <w:top w:w="0" w:type="dxa"/>
          <w:left w:w="0" w:type="dxa"/>
          <w:bottom w:w="0" w:type="dxa"/>
          <w:right w:w="0" w:type="dxa"/>
        </w:tblCellMar>
      </w:tblPr>
      <w:tr>
        <w:trPr>
          <w:trHeight w:val="217"/>
        </w:trPr>
        <w:tc>
          <w:tcPr>
            <w:tcW w:w="5740" w:type="dxa"/>
            <w:vAlign w:val="bottom"/>
          </w:tcPr>
          <w:p>
            <w:pPr>
              <w:jc w:val="center"/>
              <w:ind w:right="1455"/>
              <w:spacing w:after="0"/>
              <w:rPr>
                <w:sz w:val="20"/>
                <w:szCs w:val="20"/>
                <w:color w:val="auto"/>
              </w:rPr>
            </w:pPr>
            <w:r>
              <w:rPr>
                <w:rFonts w:ascii="Arial" w:cs="Arial" w:eastAsia="Arial" w:hAnsi="Arial"/>
                <w:sz w:val="18"/>
                <w:szCs w:val="18"/>
                <w:color w:val="auto"/>
                <w:w w:val="99"/>
              </w:rPr>
              <w:t>Delaware</w:t>
            </w:r>
          </w:p>
        </w:tc>
        <w:tc>
          <w:tcPr>
            <w:tcW w:w="4040" w:type="dxa"/>
            <w:vAlign w:val="bottom"/>
          </w:tcPr>
          <w:p>
            <w:pPr>
              <w:jc w:val="right"/>
              <w:ind w:right="695"/>
              <w:spacing w:after="0"/>
              <w:rPr>
                <w:sz w:val="20"/>
                <w:szCs w:val="20"/>
                <w:color w:val="auto"/>
              </w:rPr>
            </w:pPr>
            <w:r>
              <w:rPr>
                <w:rFonts w:ascii="Arial" w:cs="Arial" w:eastAsia="Arial" w:hAnsi="Arial"/>
                <w:sz w:val="18"/>
                <w:szCs w:val="18"/>
                <w:color w:val="auto"/>
              </w:rPr>
              <w:t>53-0182885</w:t>
            </w:r>
          </w:p>
        </w:tc>
      </w:tr>
      <w:tr>
        <w:trPr>
          <w:trHeight w:val="224"/>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(State or other jurisdiction of incorporation or organization)</w:t>
            </w:r>
          </w:p>
        </w:tc>
        <w:tc>
          <w:tcPr>
            <w:tcW w:w="4040" w:type="dxa"/>
            <w:vAlign w:val="bottom"/>
          </w:tcPr>
          <w:p>
            <w:pPr>
              <w:jc w:val="center"/>
              <w:ind w:left="1455"/>
              <w:spacing w:after="0"/>
              <w:rPr>
                <w:sz w:val="20"/>
                <w:szCs w:val="20"/>
                <w:color w:val="auto"/>
              </w:rPr>
            </w:pPr>
            <w:r>
              <w:rPr>
                <w:rFonts w:ascii="Arial" w:cs="Arial" w:eastAsia="Arial" w:hAnsi="Arial"/>
                <w:sz w:val="16"/>
                <w:szCs w:val="16"/>
                <w:color w:val="auto"/>
              </w:rPr>
              <w:t>(I.R.S. Employer Identification No.)</w:t>
            </w:r>
          </w:p>
        </w:tc>
      </w:tr>
      <w:tr>
        <w:trPr>
          <w:trHeight w:val="343"/>
        </w:trPr>
        <w:tc>
          <w:tcPr>
            <w:tcW w:w="5740" w:type="dxa"/>
            <w:vAlign w:val="bottom"/>
          </w:tcPr>
          <w:p>
            <w:pPr>
              <w:jc w:val="center"/>
              <w:ind w:right="1475"/>
              <w:spacing w:after="0"/>
              <w:rPr>
                <w:sz w:val="20"/>
                <w:szCs w:val="20"/>
                <w:color w:val="auto"/>
              </w:rPr>
            </w:pPr>
            <w:r>
              <w:rPr>
                <w:rFonts w:ascii="Arial" w:cs="Arial" w:eastAsia="Arial" w:hAnsi="Arial"/>
                <w:sz w:val="18"/>
                <w:szCs w:val="18"/>
                <w:color w:val="auto"/>
              </w:rPr>
              <w:t>1300 North 17th Street, Arlington, Virginia</w:t>
            </w:r>
          </w:p>
        </w:tc>
        <w:tc>
          <w:tcPr>
            <w:tcW w:w="4040" w:type="dxa"/>
            <w:vAlign w:val="bottom"/>
          </w:tcPr>
          <w:p>
            <w:pPr>
              <w:jc w:val="right"/>
              <w:ind w:right="915"/>
              <w:spacing w:after="0"/>
              <w:rPr>
                <w:sz w:val="20"/>
                <w:szCs w:val="20"/>
                <w:color w:val="auto"/>
              </w:rPr>
            </w:pPr>
            <w:r>
              <w:rPr>
                <w:rFonts w:ascii="Arial" w:cs="Arial" w:eastAsia="Arial" w:hAnsi="Arial"/>
                <w:sz w:val="18"/>
                <w:szCs w:val="18"/>
                <w:color w:val="auto"/>
              </w:rPr>
              <w:t>22209</w:t>
            </w:r>
          </w:p>
        </w:tc>
      </w:tr>
      <w:tr>
        <w:trPr>
          <w:trHeight w:val="223"/>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(Address of principal executive offices)</w:t>
            </w:r>
          </w:p>
        </w:tc>
        <w:tc>
          <w:tcPr>
            <w:tcW w:w="4040" w:type="dxa"/>
            <w:vAlign w:val="bottom"/>
          </w:tcPr>
          <w:p>
            <w:pPr>
              <w:jc w:val="center"/>
              <w:ind w:left="1435"/>
              <w:spacing w:after="0"/>
              <w:rPr>
                <w:sz w:val="20"/>
                <w:szCs w:val="20"/>
                <w:color w:val="auto"/>
              </w:rPr>
            </w:pPr>
            <w:r>
              <w:rPr>
                <w:rFonts w:ascii="Arial" w:cs="Arial" w:eastAsia="Arial" w:hAnsi="Arial"/>
                <w:sz w:val="16"/>
                <w:szCs w:val="16"/>
                <w:color w:val="auto"/>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(703) 345-6300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22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240" w:type="dxa"/>
            <w:vAlign w:val="bottom"/>
          </w:tcPr>
          <w:p>
            <w:pPr>
              <w:spacing w:after="0"/>
              <w:rPr>
                <w:sz w:val="19"/>
                <w:szCs w:val="19"/>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2"/>
        </w:trPr>
        <w:tc>
          <w:tcPr>
            <w:tcW w:w="43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9"/>
              </w:rPr>
              <w:t>Class B Common Stock, par value</w:t>
            </w:r>
          </w:p>
        </w:tc>
        <w:tc>
          <w:tcPr>
            <w:tcW w:w="22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9"/>
              </w:rPr>
              <w:t>GHC</w:t>
            </w:r>
          </w:p>
        </w:tc>
        <w:tc>
          <w:tcPr>
            <w:tcW w:w="4640" w:type="dxa"/>
            <w:vAlign w:val="bottom"/>
          </w:tcPr>
          <w:p>
            <w:pPr>
              <w:jc w:val="center"/>
              <w:spacing w:after="0" w:line="201" w:lineRule="exact"/>
              <w:rPr>
                <w:sz w:val="20"/>
                <w:szCs w:val="20"/>
                <w:color w:val="auto"/>
              </w:rPr>
            </w:pPr>
            <w:r>
              <w:rPr>
                <w:rFonts w:ascii="Arial" w:cs="Arial" w:eastAsia="Arial" w:hAnsi="Arial"/>
                <w:sz w:val="18"/>
                <w:szCs w:val="18"/>
                <w:color w:val="auto"/>
                <w:w w:val="99"/>
              </w:rPr>
              <w:t>New York Stock Exchange</w:t>
            </w:r>
          </w:p>
        </w:tc>
      </w:tr>
      <w:tr>
        <w:trPr>
          <w:trHeight w:val="217"/>
        </w:trPr>
        <w:tc>
          <w:tcPr>
            <w:tcW w:w="4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$1.00 per share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tcPr>
          <w:p>
            <w:pPr>
              <w:spacing w:after="0"/>
              <w:rPr>
                <w:sz w:val="18"/>
                <w:szCs w:val="18"/>
                <w:color w:val="auto"/>
              </w:rPr>
            </w:pPr>
          </w:p>
        </w:tc>
      </w:tr>
    </w:tbl>
    <w:p>
      <w:pPr>
        <w:spacing w:after="0" w:line="34" w:lineRule="exact"/>
        <w:rPr>
          <w:sz w:val="24"/>
          <w:szCs w:val="24"/>
          <w:color w:val="auto"/>
        </w:rPr>
      </w:pPr>
    </w:p>
    <w:p>
      <w:pPr>
        <w:ind w:right="740"/>
        <w:spacing w:after="0" w:line="28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ind w:right="6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20"/>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300" w:type="dxa"/>
            <w:vAlign w:val="bottom"/>
            <w:vMerge w:val="restart"/>
          </w:tcPr>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Accelerated</w:t>
            </w:r>
          </w:p>
        </w:tc>
        <w:tc>
          <w:tcPr>
            <w:tcW w:w="66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5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1"/>
        </w:trPr>
        <w:tc>
          <w:tcPr>
            <w:tcW w:w="2300" w:type="dxa"/>
            <w:vAlign w:val="bottom"/>
            <w:vMerge w:val="continue"/>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filer</w:t>
            </w:r>
          </w:p>
        </w:tc>
        <w:tc>
          <w:tcPr>
            <w:tcW w:w="660" w:type="dxa"/>
            <w:vAlign w:val="bottom"/>
            <w:vMerge w:val="continue"/>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580" w:type="dxa"/>
            <w:vAlign w:val="bottom"/>
            <w:vMerge w:val="continue"/>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60" w:type="dxa"/>
            <w:vAlign w:val="bottom"/>
            <w:vMerge w:val="continue"/>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20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40"/>
        <w:spacing w:after="0" w:line="20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ind w:right="740"/>
        <w:spacing w:after="0" w:line="235" w:lineRule="auto"/>
        <w:rPr>
          <w:sz w:val="20"/>
          <w:szCs w:val="20"/>
          <w:color w:val="auto"/>
        </w:rPr>
      </w:pPr>
      <w:r>
        <w:rPr>
          <w:rFonts w:ascii="Arial" w:cs="Arial" w:eastAsia="Arial" w:hAnsi="Arial"/>
          <w:sz w:val="18"/>
          <w:szCs w:val="18"/>
          <w:color w:val="auto"/>
        </w:rPr>
        <w:t>Aggregate market value of the registrant’s common equity held by non-affiliates on June 30, 2021, based on the closing price for the Company’s Class B Common Stock on the New York Stock Exchange on such date: approximately $2,500,000,000.</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18, 2022: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Common Stock – 964,001 shares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B Common Stock – 3,939,977 shares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partially incorporated by reference:</w:t>
      </w:r>
    </w:p>
    <w:p>
      <w:pPr>
        <w:spacing w:after="0" w:line="36" w:lineRule="exact"/>
        <w:rPr>
          <w:sz w:val="24"/>
          <w:szCs w:val="24"/>
          <w:color w:val="auto"/>
        </w:rPr>
      </w:pPr>
    </w:p>
    <w:p>
      <w:pPr>
        <w:jc w:val="both"/>
        <w:ind w:left="2240" w:right="2280" w:firstLine="57"/>
        <w:spacing w:after="0" w:line="235" w:lineRule="auto"/>
        <w:rPr>
          <w:sz w:val="20"/>
          <w:szCs w:val="20"/>
          <w:color w:val="auto"/>
        </w:rPr>
      </w:pPr>
      <w:r>
        <w:rPr>
          <w:rFonts w:ascii="Arial" w:cs="Arial" w:eastAsia="Arial" w:hAnsi="Arial"/>
          <w:sz w:val="18"/>
          <w:szCs w:val="18"/>
          <w:color w:val="auto"/>
        </w:rPr>
        <w:t>Definitive Proxy Statement for the registrant’s 2022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1020" w:type="dxa"/>
            <w:vAlign w:val="bottom"/>
          </w:tcPr>
          <w:p>
            <w:pPr>
              <w:spacing w:after="0"/>
              <w:rPr>
                <w:sz w:val="18"/>
                <w:szCs w:val="18"/>
                <w:color w:val="auto"/>
              </w:rPr>
            </w:pPr>
          </w:p>
        </w:tc>
        <w:tc>
          <w:tcPr>
            <w:tcW w:w="10000" w:type="dxa"/>
            <w:vAlign w:val="bottom"/>
          </w:tcPr>
          <w:p>
            <w:pPr>
              <w:ind w:left="2520"/>
              <w:spacing w:after="0"/>
              <w:rPr>
                <w:sz w:val="20"/>
                <w:szCs w:val="20"/>
                <w:color w:val="auto"/>
              </w:rPr>
            </w:pPr>
            <w:r>
              <w:rPr>
                <w:rFonts w:ascii="Arial" w:cs="Arial" w:eastAsia="Arial" w:hAnsi="Arial"/>
                <w:sz w:val="18"/>
                <w:szCs w:val="18"/>
                <w:color w:val="auto"/>
              </w:rPr>
              <w:t>GRAHAM HOLDINGS COMPANY 2021 FORM 10-K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81"/>
        </w:trPr>
        <w:tc>
          <w:tcPr>
            <w:tcW w:w="1020" w:type="dxa"/>
            <w:vAlign w:val="bottom"/>
          </w:tcPr>
          <w:p>
            <w:pPr>
              <w:ind w:left="20"/>
              <w:spacing w:after="0"/>
              <w:rPr>
                <w:sz w:val="20"/>
                <w:szCs w:val="20"/>
                <w:color w:val="auto"/>
              </w:rPr>
            </w:pPr>
            <w:r>
              <w:rPr>
                <w:rFonts w:ascii="Arial" w:cs="Arial" w:eastAsia="Arial" w:hAnsi="Arial"/>
                <w:sz w:val="15"/>
                <w:szCs w:val="15"/>
                <w:color w:val="auto"/>
              </w:rPr>
              <w:t>Item 1.</w:t>
            </w:r>
          </w:p>
        </w:tc>
        <w:tc>
          <w:tcPr>
            <w:tcW w:w="10000" w:type="dxa"/>
            <w:vAlign w:val="bottom"/>
          </w:tcPr>
          <w:p>
            <w:pPr>
              <w:spacing w:after="0"/>
              <w:rPr>
                <w:sz w:val="20"/>
                <w:szCs w:val="20"/>
                <w:color w:val="auto"/>
              </w:rPr>
            </w:pPr>
            <w:r>
              <w:rPr>
                <w:rFonts w:ascii="Arial" w:cs="Arial" w:eastAsia="Arial" w:hAnsi="Arial"/>
                <w:sz w:val="15"/>
                <w:szCs w:val="15"/>
                <w:color w:val="auto"/>
              </w:rPr>
              <w:t>Business</w:t>
            </w:r>
          </w:p>
        </w:tc>
        <w:tc>
          <w:tcPr>
            <w:tcW w:w="180" w:type="dxa"/>
            <w:vAlign w:val="bottom"/>
            <w:gridSpan w:val="2"/>
          </w:tcPr>
          <w:p>
            <w:pPr>
              <w:jc w:val="right"/>
              <w:spacing w:after="0"/>
              <w:rPr>
                <w:rFonts w:ascii="Arial" w:cs="Arial" w:eastAsia="Arial" w:hAnsi="Arial"/>
                <w:sz w:val="15"/>
                <w:szCs w:val="15"/>
                <w:color w:val="0000FF"/>
              </w:rPr>
            </w:pPr>
            <w:hyperlink w:anchor="page3">
              <w:r>
                <w:rPr>
                  <w:rFonts w:ascii="Arial" w:cs="Arial" w:eastAsia="Arial" w:hAnsi="Arial"/>
                  <w:sz w:val="15"/>
                  <w:szCs w:val="15"/>
                  <w:color w:val="0000FF"/>
                </w:rPr>
                <w:t>1</w:t>
              </w:r>
            </w:hyperlink>
          </w:p>
        </w:tc>
        <w:tc>
          <w:tcPr>
            <w:tcW w:w="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Education</w:t>
            </w:r>
          </w:p>
        </w:tc>
        <w:tc>
          <w:tcPr>
            <w:tcW w:w="180" w:type="dxa"/>
            <w:vAlign w:val="bottom"/>
            <w:gridSpan w:val="2"/>
          </w:tcPr>
          <w:p>
            <w:pPr>
              <w:jc w:val="right"/>
              <w:spacing w:after="0"/>
              <w:rPr>
                <w:rFonts w:ascii="Arial" w:cs="Arial" w:eastAsia="Arial" w:hAnsi="Arial"/>
                <w:sz w:val="15"/>
                <w:szCs w:val="15"/>
                <w:color w:val="0000FF"/>
              </w:rPr>
            </w:pPr>
            <w:hyperlink w:anchor="page3">
              <w:r>
                <w:rPr>
                  <w:rFonts w:ascii="Arial" w:cs="Arial" w:eastAsia="Arial" w:hAnsi="Arial"/>
                  <w:sz w:val="15"/>
                  <w:szCs w:val="15"/>
                  <w:color w:val="0000FF"/>
                </w:rPr>
                <w:t>1</w:t>
              </w:r>
            </w:hyperlink>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Television Broadcasting</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1">
              <w:r>
                <w:rPr>
                  <w:rFonts w:ascii="Arial" w:cs="Arial" w:eastAsia="Arial" w:hAnsi="Arial"/>
                  <w:sz w:val="15"/>
                  <w:szCs w:val="15"/>
                  <w:color w:val="0000FF"/>
                  <w:w w:val="95"/>
                </w:rPr>
                <w:t>10</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Manufacturing</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5">
              <w:r>
                <w:rPr>
                  <w:rFonts w:ascii="Arial" w:cs="Arial" w:eastAsia="Arial" w:hAnsi="Arial"/>
                  <w:sz w:val="15"/>
                  <w:szCs w:val="15"/>
                  <w:color w:val="0000FF"/>
                  <w:w w:val="95"/>
                </w:rPr>
                <w:t>13</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Healthcare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6">
              <w:r>
                <w:rPr>
                  <w:rFonts w:ascii="Arial" w:cs="Arial" w:eastAsia="Arial" w:hAnsi="Arial"/>
                  <w:sz w:val="15"/>
                  <w:szCs w:val="15"/>
                  <w:color w:val="0000FF"/>
                  <w:w w:val="95"/>
                </w:rPr>
                <w:t>14</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Automotive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6">
              <w:r>
                <w:rPr>
                  <w:rFonts w:ascii="Arial" w:cs="Arial" w:eastAsia="Arial" w:hAnsi="Arial"/>
                  <w:sz w:val="15"/>
                  <w:szCs w:val="15"/>
                  <w:color w:val="0000FF"/>
                  <w:w w:val="95"/>
                </w:rPr>
                <w:t>15</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Other Activities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7">
              <w:r>
                <w:rPr>
                  <w:rFonts w:ascii="Arial" w:cs="Arial" w:eastAsia="Arial" w:hAnsi="Arial"/>
                  <w:sz w:val="15"/>
                  <w:szCs w:val="15"/>
                  <w:color w:val="0000FF"/>
                  <w:w w:val="95"/>
                </w:rPr>
                <w:t>15</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Competition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8">
              <w:r>
                <w:rPr>
                  <w:rFonts w:ascii="Arial" w:cs="Arial" w:eastAsia="Arial" w:hAnsi="Arial"/>
                  <w:sz w:val="15"/>
                  <w:szCs w:val="15"/>
                  <w:color w:val="0000FF"/>
                  <w:w w:val="95"/>
                </w:rPr>
                <w:t>16</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Executive Officers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1">
              <w:r>
                <w:rPr>
                  <w:rFonts w:ascii="Arial" w:cs="Arial" w:eastAsia="Arial" w:hAnsi="Arial"/>
                  <w:sz w:val="15"/>
                  <w:szCs w:val="15"/>
                  <w:color w:val="0000FF"/>
                  <w:w w:val="95"/>
                </w:rPr>
                <w:t>19</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Human Capital</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2">
              <w:r>
                <w:rPr>
                  <w:rFonts w:ascii="Arial" w:cs="Arial" w:eastAsia="Arial" w:hAnsi="Arial"/>
                  <w:sz w:val="15"/>
                  <w:szCs w:val="15"/>
                  <w:color w:val="0000FF"/>
                  <w:w w:val="95"/>
                </w:rPr>
                <w:t>20</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Forward-Looking Statements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4">
              <w:r>
                <w:rPr>
                  <w:rFonts w:ascii="Arial" w:cs="Arial" w:eastAsia="Arial" w:hAnsi="Arial"/>
                  <w:sz w:val="15"/>
                  <w:szCs w:val="15"/>
                  <w:color w:val="0000FF"/>
                  <w:w w:val="95"/>
                </w:rPr>
                <w:t>22</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Available Information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4">
              <w:r>
                <w:rPr>
                  <w:rFonts w:ascii="Arial" w:cs="Arial" w:eastAsia="Arial" w:hAnsi="Arial"/>
                  <w:sz w:val="15"/>
                  <w:szCs w:val="15"/>
                  <w:color w:val="0000FF"/>
                  <w:w w:val="95"/>
                </w:rPr>
                <w:t>22</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1A.</w:t>
            </w:r>
          </w:p>
        </w:tc>
        <w:tc>
          <w:tcPr>
            <w:tcW w:w="10000" w:type="dxa"/>
            <w:vAlign w:val="bottom"/>
          </w:tcPr>
          <w:p>
            <w:pPr>
              <w:spacing w:after="0"/>
              <w:rPr>
                <w:sz w:val="20"/>
                <w:szCs w:val="20"/>
                <w:color w:val="auto"/>
              </w:rPr>
            </w:pPr>
            <w:r>
              <w:rPr>
                <w:rFonts w:ascii="Arial" w:cs="Arial" w:eastAsia="Arial" w:hAnsi="Arial"/>
                <w:sz w:val="15"/>
                <w:szCs w:val="15"/>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4">
              <w:r>
                <w:rPr>
                  <w:rFonts w:ascii="Arial" w:cs="Arial" w:eastAsia="Arial" w:hAnsi="Arial"/>
                  <w:sz w:val="15"/>
                  <w:szCs w:val="15"/>
                  <w:color w:val="0000FF"/>
                  <w:w w:val="95"/>
                </w:rPr>
                <w:t>23</w:t>
              </w:r>
            </w:hyperlink>
          </w:p>
        </w:tc>
        <w:tc>
          <w:tcPr>
            <w:tcW w:w="40" w:type="dxa"/>
            <w:vAlign w:val="bottom"/>
          </w:tcPr>
          <w:p>
            <w:pPr>
              <w:spacing w:after="0"/>
              <w:rPr>
                <w:sz w:val="17"/>
                <w:szCs w:val="17"/>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5"/>
                <w:szCs w:val="15"/>
                <w:color w:val="auto"/>
              </w:rPr>
              <w:t>Item 1B.</w:t>
            </w:r>
          </w:p>
        </w:tc>
        <w:tc>
          <w:tcPr>
            <w:tcW w:w="10000" w:type="dxa"/>
            <w:vAlign w:val="bottom"/>
          </w:tcPr>
          <w:p>
            <w:pPr>
              <w:spacing w:after="0"/>
              <w:rPr>
                <w:sz w:val="20"/>
                <w:szCs w:val="20"/>
                <w:color w:val="auto"/>
              </w:rPr>
            </w:pPr>
            <w:r>
              <w:rPr>
                <w:rFonts w:ascii="Arial" w:cs="Arial" w:eastAsia="Arial" w:hAnsi="Arial"/>
                <w:sz w:val="15"/>
                <w:szCs w:val="15"/>
                <w:color w:val="auto"/>
              </w:rPr>
              <w:t>Unresolved Staff Comments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2">
              <w:r>
                <w:rPr>
                  <w:rFonts w:ascii="Arial" w:cs="Arial" w:eastAsia="Arial" w:hAnsi="Arial"/>
                  <w:sz w:val="15"/>
                  <w:szCs w:val="15"/>
                  <w:color w:val="0000FF"/>
                  <w:w w:val="95"/>
                </w:rPr>
                <w:t>40</w:t>
              </w:r>
            </w:hyperlink>
          </w:p>
        </w:tc>
        <w:tc>
          <w:tcPr>
            <w:tcW w:w="40" w:type="dxa"/>
            <w:vAlign w:val="bottom"/>
          </w:tcPr>
          <w:p>
            <w:pPr>
              <w:spacing w:after="0"/>
              <w:rPr>
                <w:sz w:val="19"/>
                <w:szCs w:val="19"/>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2.</w:t>
            </w:r>
          </w:p>
        </w:tc>
        <w:tc>
          <w:tcPr>
            <w:tcW w:w="10000" w:type="dxa"/>
            <w:vAlign w:val="bottom"/>
          </w:tcPr>
          <w:p>
            <w:pPr>
              <w:spacing w:after="0"/>
              <w:rPr>
                <w:sz w:val="20"/>
                <w:szCs w:val="20"/>
                <w:color w:val="auto"/>
              </w:rPr>
            </w:pPr>
            <w:r>
              <w:rPr>
                <w:rFonts w:ascii="Arial" w:cs="Arial" w:eastAsia="Arial" w:hAnsi="Arial"/>
                <w:sz w:val="15"/>
                <w:szCs w:val="15"/>
                <w:color w:val="auto"/>
              </w:rPr>
              <w:t>Properties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2">
              <w:r>
                <w:rPr>
                  <w:rFonts w:ascii="Arial" w:cs="Arial" w:eastAsia="Arial" w:hAnsi="Arial"/>
                  <w:sz w:val="15"/>
                  <w:szCs w:val="15"/>
                  <w:color w:val="0000FF"/>
                  <w:w w:val="95"/>
                </w:rPr>
                <w:t>40</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3.</w:t>
            </w:r>
          </w:p>
        </w:tc>
        <w:tc>
          <w:tcPr>
            <w:tcW w:w="10000" w:type="dxa"/>
            <w:vAlign w:val="bottom"/>
          </w:tcPr>
          <w:p>
            <w:pPr>
              <w:spacing w:after="0"/>
              <w:rPr>
                <w:sz w:val="20"/>
                <w:szCs w:val="20"/>
                <w:color w:val="auto"/>
              </w:rPr>
            </w:pPr>
            <w:r>
              <w:rPr>
                <w:rFonts w:ascii="Arial" w:cs="Arial" w:eastAsia="Arial" w:hAnsi="Arial"/>
                <w:sz w:val="15"/>
                <w:szCs w:val="15"/>
                <w:color w:val="auto"/>
              </w:rPr>
              <w:t>Legal Proceedings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3">
              <w:r>
                <w:rPr>
                  <w:rFonts w:ascii="Arial" w:cs="Arial" w:eastAsia="Arial" w:hAnsi="Arial"/>
                  <w:sz w:val="15"/>
                  <w:szCs w:val="15"/>
                  <w:color w:val="0000FF"/>
                  <w:w w:val="95"/>
                </w:rPr>
                <w:t>41</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4.</w:t>
            </w:r>
          </w:p>
        </w:tc>
        <w:tc>
          <w:tcPr>
            <w:tcW w:w="10000" w:type="dxa"/>
            <w:vAlign w:val="bottom"/>
          </w:tcPr>
          <w:p>
            <w:pPr>
              <w:spacing w:after="0"/>
              <w:rPr>
                <w:sz w:val="20"/>
                <w:szCs w:val="20"/>
                <w:color w:val="auto"/>
              </w:rPr>
            </w:pPr>
            <w:r>
              <w:rPr>
                <w:rFonts w:ascii="Arial" w:cs="Arial" w:eastAsia="Arial" w:hAnsi="Arial"/>
                <w:sz w:val="15"/>
                <w:szCs w:val="15"/>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3">
              <w:r>
                <w:rPr>
                  <w:rFonts w:ascii="Arial" w:cs="Arial" w:eastAsia="Arial" w:hAnsi="Arial"/>
                  <w:sz w:val="15"/>
                  <w:szCs w:val="15"/>
                  <w:color w:val="0000FF"/>
                  <w:w w:val="95"/>
                </w:rPr>
                <w:t>41</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5.</w:t>
            </w:r>
          </w:p>
        </w:tc>
        <w:tc>
          <w:tcPr>
            <w:tcW w:w="10000" w:type="dxa"/>
            <w:vAlign w:val="bottom"/>
          </w:tcPr>
          <w:p>
            <w:pPr>
              <w:spacing w:after="0"/>
              <w:rPr>
                <w:sz w:val="20"/>
                <w:szCs w:val="20"/>
                <w:color w:val="auto"/>
              </w:rPr>
            </w:pPr>
            <w:r>
              <w:rPr>
                <w:rFonts w:ascii="Arial" w:cs="Arial" w:eastAsia="Arial" w:hAnsi="Arial"/>
                <w:sz w:val="15"/>
                <w:szCs w:val="15"/>
                <w:color w:val="auto"/>
              </w:rPr>
              <w:t>Market for the Registrant’s Common Equity, Related Stockholder Matters and Issuer Purchases of Equity Securities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3">
              <w:r>
                <w:rPr>
                  <w:rFonts w:ascii="Arial" w:cs="Arial" w:eastAsia="Arial" w:hAnsi="Arial"/>
                  <w:sz w:val="15"/>
                  <w:szCs w:val="15"/>
                  <w:color w:val="0000FF"/>
                  <w:w w:val="95"/>
                </w:rPr>
                <w:t>41</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6.</w:t>
            </w:r>
          </w:p>
        </w:tc>
        <w:tc>
          <w:tcPr>
            <w:tcW w:w="10000" w:type="dxa"/>
            <w:vAlign w:val="bottom"/>
          </w:tcPr>
          <w:p>
            <w:pPr>
              <w:spacing w:after="0"/>
              <w:rPr>
                <w:sz w:val="20"/>
                <w:szCs w:val="20"/>
                <w:color w:val="auto"/>
              </w:rPr>
            </w:pPr>
            <w:r>
              <w:rPr>
                <w:rFonts w:ascii="Arial" w:cs="Arial" w:eastAsia="Arial" w:hAnsi="Arial"/>
                <w:sz w:val="15"/>
                <w:szCs w:val="15"/>
                <w:color w:val="auto"/>
              </w:rPr>
              <w:t>Reserved</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4">
              <w:r>
                <w:rPr>
                  <w:rFonts w:ascii="Arial" w:cs="Arial" w:eastAsia="Arial" w:hAnsi="Arial"/>
                  <w:sz w:val="15"/>
                  <w:szCs w:val="15"/>
                  <w:color w:val="0000FF"/>
                  <w:w w:val="95"/>
                </w:rPr>
                <w:t>43</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w:t>
            </w:r>
          </w:p>
        </w:tc>
        <w:tc>
          <w:tcPr>
            <w:tcW w:w="1000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5">
              <w:r>
                <w:rPr>
                  <w:rFonts w:ascii="Arial" w:cs="Arial" w:eastAsia="Arial" w:hAnsi="Arial"/>
                  <w:sz w:val="15"/>
                  <w:szCs w:val="15"/>
                  <w:color w:val="0000FF"/>
                  <w:w w:val="95"/>
                </w:rPr>
                <w:t>43</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7A.</w:t>
            </w:r>
          </w:p>
        </w:tc>
        <w:tc>
          <w:tcPr>
            <w:tcW w:w="10000" w:type="dxa"/>
            <w:vAlign w:val="bottom"/>
          </w:tcPr>
          <w:p>
            <w:pPr>
              <w:spacing w:after="0"/>
              <w:rPr>
                <w:sz w:val="20"/>
                <w:szCs w:val="20"/>
                <w:color w:val="auto"/>
              </w:rPr>
            </w:pPr>
            <w:r>
              <w:rPr>
                <w:rFonts w:ascii="Arial" w:cs="Arial" w:eastAsia="Arial" w:hAnsi="Arial"/>
                <w:sz w:val="15"/>
                <w:szCs w:val="15"/>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5">
              <w:r>
                <w:rPr>
                  <w:rFonts w:ascii="Arial" w:cs="Arial" w:eastAsia="Arial" w:hAnsi="Arial"/>
                  <w:sz w:val="15"/>
                  <w:szCs w:val="15"/>
                  <w:color w:val="0000FF"/>
                  <w:w w:val="95"/>
                </w:rPr>
                <w:t>43</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8.</w:t>
            </w:r>
          </w:p>
        </w:tc>
        <w:tc>
          <w:tcPr>
            <w:tcW w:w="10000" w:type="dxa"/>
            <w:vAlign w:val="bottom"/>
          </w:tcPr>
          <w:p>
            <w:pPr>
              <w:spacing w:after="0"/>
              <w:rPr>
                <w:sz w:val="20"/>
                <w:szCs w:val="20"/>
                <w:color w:val="auto"/>
              </w:rPr>
            </w:pPr>
            <w:r>
              <w:rPr>
                <w:rFonts w:ascii="Arial" w:cs="Arial" w:eastAsia="Arial" w:hAnsi="Arial"/>
                <w:sz w:val="15"/>
                <w:szCs w:val="15"/>
                <w:color w:val="auto"/>
              </w:rPr>
              <w:t>Financial Statements and Supplementary Data</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5">
              <w:r>
                <w:rPr>
                  <w:rFonts w:ascii="Arial" w:cs="Arial" w:eastAsia="Arial" w:hAnsi="Arial"/>
                  <w:sz w:val="15"/>
                  <w:szCs w:val="15"/>
                  <w:color w:val="0000FF"/>
                  <w:w w:val="95"/>
                </w:rPr>
                <w:t>43</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w:t>
            </w:r>
          </w:p>
        </w:tc>
        <w:tc>
          <w:tcPr>
            <w:tcW w:w="10000" w:type="dxa"/>
            <w:vAlign w:val="bottom"/>
          </w:tcPr>
          <w:p>
            <w:pPr>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5">
              <w:r>
                <w:rPr>
                  <w:rFonts w:ascii="Arial" w:cs="Arial" w:eastAsia="Arial" w:hAnsi="Arial"/>
                  <w:sz w:val="15"/>
                  <w:szCs w:val="15"/>
                  <w:color w:val="0000FF"/>
                  <w:w w:val="95"/>
                </w:rPr>
                <w:t>43</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9A.</w:t>
            </w:r>
          </w:p>
        </w:tc>
        <w:tc>
          <w:tcPr>
            <w:tcW w:w="10000" w:type="dxa"/>
            <w:vAlign w:val="bottom"/>
          </w:tcPr>
          <w:p>
            <w:pPr>
              <w:spacing w:after="0"/>
              <w:rPr>
                <w:sz w:val="20"/>
                <w:szCs w:val="20"/>
                <w:color w:val="auto"/>
              </w:rPr>
            </w:pPr>
            <w:r>
              <w:rPr>
                <w:rFonts w:ascii="Arial" w:cs="Arial" w:eastAsia="Arial" w:hAnsi="Arial"/>
                <w:sz w:val="15"/>
                <w:szCs w:val="15"/>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5">
              <w:r>
                <w:rPr>
                  <w:rFonts w:ascii="Arial" w:cs="Arial" w:eastAsia="Arial" w:hAnsi="Arial"/>
                  <w:sz w:val="15"/>
                  <w:szCs w:val="15"/>
                  <w:color w:val="0000FF"/>
                  <w:w w:val="95"/>
                </w:rPr>
                <w:t>43</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9B.</w:t>
            </w:r>
          </w:p>
        </w:tc>
        <w:tc>
          <w:tcPr>
            <w:tcW w:w="10000" w:type="dxa"/>
            <w:vAlign w:val="bottom"/>
          </w:tcPr>
          <w:p>
            <w:pPr>
              <w:spacing w:after="0"/>
              <w:rPr>
                <w:sz w:val="20"/>
                <w:szCs w:val="20"/>
                <w:color w:val="auto"/>
              </w:rPr>
            </w:pPr>
            <w:r>
              <w:rPr>
                <w:rFonts w:ascii="Arial" w:cs="Arial" w:eastAsia="Arial" w:hAnsi="Arial"/>
                <w:sz w:val="15"/>
                <w:szCs w:val="15"/>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6">
              <w:r>
                <w:rPr>
                  <w:rFonts w:ascii="Arial" w:cs="Arial" w:eastAsia="Arial" w:hAnsi="Arial"/>
                  <w:sz w:val="15"/>
                  <w:szCs w:val="15"/>
                  <w:color w:val="0000FF"/>
                  <w:w w:val="95"/>
                </w:rPr>
                <w:t>44</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9C.</w:t>
            </w:r>
          </w:p>
        </w:tc>
        <w:tc>
          <w:tcPr>
            <w:tcW w:w="10000" w:type="dxa"/>
            <w:vAlign w:val="bottom"/>
          </w:tcPr>
          <w:p>
            <w:pPr>
              <w:spacing w:after="0"/>
              <w:rPr>
                <w:sz w:val="20"/>
                <w:szCs w:val="20"/>
                <w:color w:val="auto"/>
              </w:rPr>
            </w:pPr>
            <w:r>
              <w:rPr>
                <w:rFonts w:ascii="Arial" w:cs="Arial" w:eastAsia="Arial" w:hAnsi="Arial"/>
                <w:sz w:val="15"/>
                <w:szCs w:val="15"/>
                <w:color w:val="auto"/>
              </w:rPr>
              <w:t>Disclosure Regarding Foreign Jurisdictions that Prevent Inspections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6">
              <w:r>
                <w:rPr>
                  <w:rFonts w:ascii="Arial" w:cs="Arial" w:eastAsia="Arial" w:hAnsi="Arial"/>
                  <w:sz w:val="15"/>
                  <w:szCs w:val="15"/>
                  <w:color w:val="0000FF"/>
                  <w:w w:val="95"/>
                </w:rPr>
                <w:t>44</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10.</w:t>
            </w:r>
          </w:p>
        </w:tc>
        <w:tc>
          <w:tcPr>
            <w:tcW w:w="10000" w:type="dxa"/>
            <w:vAlign w:val="bottom"/>
          </w:tcPr>
          <w:p>
            <w:pPr>
              <w:spacing w:after="0"/>
              <w:rPr>
                <w:sz w:val="20"/>
                <w:szCs w:val="20"/>
                <w:color w:val="auto"/>
              </w:rPr>
            </w:pPr>
            <w:r>
              <w:rPr>
                <w:rFonts w:ascii="Arial" w:cs="Arial" w:eastAsia="Arial" w:hAnsi="Arial"/>
                <w:sz w:val="15"/>
                <w:szCs w:val="15"/>
                <w:color w:val="auto"/>
              </w:rPr>
              <w:t>Directors, Executive Officers and Corporate Governance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6">
              <w:r>
                <w:rPr>
                  <w:rFonts w:ascii="Arial" w:cs="Arial" w:eastAsia="Arial" w:hAnsi="Arial"/>
                  <w:sz w:val="15"/>
                  <w:szCs w:val="15"/>
                  <w:color w:val="0000FF"/>
                  <w:w w:val="95"/>
                </w:rPr>
                <w:t>44</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11.</w:t>
            </w:r>
          </w:p>
        </w:tc>
        <w:tc>
          <w:tcPr>
            <w:tcW w:w="10000" w:type="dxa"/>
            <w:vAlign w:val="bottom"/>
          </w:tcPr>
          <w:p>
            <w:pPr>
              <w:spacing w:after="0"/>
              <w:rPr>
                <w:sz w:val="20"/>
                <w:szCs w:val="20"/>
                <w:color w:val="auto"/>
              </w:rPr>
            </w:pPr>
            <w:r>
              <w:rPr>
                <w:rFonts w:ascii="Arial" w:cs="Arial" w:eastAsia="Arial" w:hAnsi="Arial"/>
                <w:sz w:val="15"/>
                <w:szCs w:val="15"/>
                <w:color w:val="auto"/>
              </w:rPr>
              <w:t>Executive Compensation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6">
              <w:r>
                <w:rPr>
                  <w:rFonts w:ascii="Arial" w:cs="Arial" w:eastAsia="Arial" w:hAnsi="Arial"/>
                  <w:sz w:val="15"/>
                  <w:szCs w:val="15"/>
                  <w:color w:val="0000FF"/>
                  <w:w w:val="95"/>
                </w:rPr>
                <w:t>44</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12.</w:t>
            </w:r>
          </w:p>
        </w:tc>
        <w:tc>
          <w:tcPr>
            <w:tcW w:w="10000" w:type="dxa"/>
            <w:vAlign w:val="bottom"/>
          </w:tcPr>
          <w:p>
            <w:pPr>
              <w:spacing w:after="0"/>
              <w:rPr>
                <w:sz w:val="20"/>
                <w:szCs w:val="20"/>
                <w:color w:val="auto"/>
              </w:rPr>
            </w:pPr>
            <w:r>
              <w:rPr>
                <w:rFonts w:ascii="Arial" w:cs="Arial" w:eastAsia="Arial" w:hAnsi="Arial"/>
                <w:sz w:val="15"/>
                <w:szCs w:val="15"/>
                <w:color w:val="auto"/>
              </w:rPr>
              <w:t>Security Ownership of Certain Beneficial Owners and Management and Related Stockholder Matters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6">
              <w:r>
                <w:rPr>
                  <w:rFonts w:ascii="Arial" w:cs="Arial" w:eastAsia="Arial" w:hAnsi="Arial"/>
                  <w:sz w:val="15"/>
                  <w:szCs w:val="15"/>
                  <w:color w:val="0000FF"/>
                  <w:w w:val="95"/>
                </w:rPr>
                <w:t>45</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13.</w:t>
            </w:r>
          </w:p>
        </w:tc>
        <w:tc>
          <w:tcPr>
            <w:tcW w:w="10000" w:type="dxa"/>
            <w:vAlign w:val="bottom"/>
          </w:tcPr>
          <w:p>
            <w:pPr>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7">
              <w:r>
                <w:rPr>
                  <w:rFonts w:ascii="Arial" w:cs="Arial" w:eastAsia="Arial" w:hAnsi="Arial"/>
                  <w:sz w:val="15"/>
                  <w:szCs w:val="15"/>
                  <w:color w:val="0000FF"/>
                  <w:w w:val="95"/>
                </w:rPr>
                <w:t>45</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14.</w:t>
            </w:r>
          </w:p>
        </w:tc>
        <w:tc>
          <w:tcPr>
            <w:tcW w:w="10000" w:type="dxa"/>
            <w:vAlign w:val="bottom"/>
          </w:tcPr>
          <w:p>
            <w:pPr>
              <w:spacing w:after="0"/>
              <w:rPr>
                <w:sz w:val="20"/>
                <w:szCs w:val="20"/>
                <w:color w:val="auto"/>
              </w:rPr>
            </w:pPr>
            <w:r>
              <w:rPr>
                <w:rFonts w:ascii="Arial" w:cs="Arial" w:eastAsia="Arial" w:hAnsi="Arial"/>
                <w:sz w:val="15"/>
                <w:szCs w:val="15"/>
                <w:color w:val="auto"/>
              </w:rPr>
              <w:t>Principal Accounting Fees and Services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7">
              <w:r>
                <w:rPr>
                  <w:rFonts w:ascii="Arial" w:cs="Arial" w:eastAsia="Arial" w:hAnsi="Arial"/>
                  <w:sz w:val="15"/>
                  <w:szCs w:val="15"/>
                  <w:color w:val="0000FF"/>
                  <w:w w:val="95"/>
                </w:rPr>
                <w:t>45</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15.</w:t>
            </w:r>
          </w:p>
        </w:tc>
        <w:tc>
          <w:tcPr>
            <w:tcW w:w="10000" w:type="dxa"/>
            <w:vAlign w:val="bottom"/>
          </w:tcPr>
          <w:p>
            <w:pPr>
              <w:spacing w:after="0"/>
              <w:rPr>
                <w:sz w:val="20"/>
                <w:szCs w:val="20"/>
                <w:color w:val="auto"/>
              </w:rPr>
            </w:pPr>
            <w:r>
              <w:rPr>
                <w:rFonts w:ascii="Arial" w:cs="Arial" w:eastAsia="Arial" w:hAnsi="Arial"/>
                <w:sz w:val="15"/>
                <w:szCs w:val="15"/>
                <w:color w:val="auto"/>
              </w:rPr>
              <w:t>Exhibits, Financial Statement Schedules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7">
              <w:r>
                <w:rPr>
                  <w:rFonts w:ascii="Arial" w:cs="Arial" w:eastAsia="Arial" w:hAnsi="Arial"/>
                  <w:sz w:val="15"/>
                  <w:szCs w:val="15"/>
                  <w:color w:val="0000FF"/>
                  <w:w w:val="95"/>
                </w:rPr>
                <w:t>45</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16.</w:t>
            </w:r>
          </w:p>
        </w:tc>
        <w:tc>
          <w:tcPr>
            <w:tcW w:w="10000" w:type="dxa"/>
            <w:vAlign w:val="bottom"/>
          </w:tcPr>
          <w:p>
            <w:pPr>
              <w:spacing w:after="0"/>
              <w:rPr>
                <w:sz w:val="20"/>
                <w:szCs w:val="20"/>
                <w:color w:val="auto"/>
              </w:rPr>
            </w:pPr>
            <w:r>
              <w:rPr>
                <w:rFonts w:ascii="Arial" w:cs="Arial" w:eastAsia="Arial" w:hAnsi="Arial"/>
                <w:sz w:val="15"/>
                <w:szCs w:val="15"/>
                <w:color w:val="auto"/>
              </w:rPr>
              <w:t>Form 10-K Summary</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7">
              <w:r>
                <w:rPr>
                  <w:rFonts w:ascii="Arial" w:cs="Arial" w:eastAsia="Arial" w:hAnsi="Arial"/>
                  <w:sz w:val="15"/>
                  <w:szCs w:val="15"/>
                  <w:color w:val="0000FF"/>
                  <w:w w:val="95"/>
                </w:rPr>
                <w:t>45</w:t>
              </w:r>
            </w:hyperlink>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EXHIBITS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7">
              <w:r>
                <w:rPr>
                  <w:rFonts w:ascii="Arial" w:cs="Arial" w:eastAsia="Arial" w:hAnsi="Arial"/>
                  <w:sz w:val="15"/>
                  <w:szCs w:val="15"/>
                  <w:color w:val="0000FF"/>
                  <w:w w:val="95"/>
                </w:rPr>
                <w:t>46</w:t>
              </w:r>
            </w:hyperlink>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SIGNATURES</w:t>
            </w:r>
          </w:p>
        </w:tc>
        <w:tc>
          <w:tcPr>
            <w:tcW w:w="10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9">
              <w:r>
                <w:rPr>
                  <w:rFonts w:ascii="Arial" w:cs="Arial" w:eastAsia="Arial" w:hAnsi="Arial"/>
                  <w:sz w:val="15"/>
                  <w:szCs w:val="15"/>
                  <w:color w:val="0000FF"/>
                  <w:w w:val="95"/>
                </w:rPr>
                <w:t>48</w:t>
              </w:r>
            </w:hyperlink>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FINANCIAL INFORMATION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0">
              <w:r>
                <w:rPr>
                  <w:rFonts w:ascii="Arial" w:cs="Arial" w:eastAsia="Arial" w:hAnsi="Arial"/>
                  <w:sz w:val="15"/>
                  <w:szCs w:val="15"/>
                  <w:color w:val="0000FF"/>
                  <w:w w:val="95"/>
                </w:rPr>
                <w:t>49</w:t>
              </w:r>
            </w:hyperlink>
          </w:p>
        </w:tc>
        <w:tc>
          <w:tcPr>
            <w:tcW w:w="40" w:type="dxa"/>
            <w:vAlign w:val="bottom"/>
          </w:tcPr>
          <w:p>
            <w:pPr>
              <w:spacing w:after="0"/>
              <w:rPr>
                <w:sz w:val="17"/>
                <w:szCs w:val="17"/>
                <w:color w:val="auto"/>
              </w:rPr>
            </w:pPr>
          </w:p>
        </w:tc>
      </w:tr>
      <w:tr>
        <w:trPr>
          <w:trHeight w:val="196"/>
        </w:trPr>
        <w:tc>
          <w:tcPr>
            <w:tcW w:w="11020" w:type="dxa"/>
            <w:vAlign w:val="bottom"/>
            <w:gridSpan w:val="2"/>
          </w:tcPr>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1">
              <w:r>
                <w:rPr>
                  <w:rFonts w:ascii="Arial" w:cs="Arial" w:eastAsia="Arial" w:hAnsi="Arial"/>
                  <w:sz w:val="15"/>
                  <w:szCs w:val="15"/>
                  <w:color w:val="0000FF"/>
                  <w:w w:val="95"/>
                </w:rPr>
                <w:t>50</w:t>
              </w:r>
            </w:hyperlink>
          </w:p>
        </w:tc>
        <w:tc>
          <w:tcPr>
            <w:tcW w:w="40" w:type="dxa"/>
            <w:vAlign w:val="bottom"/>
          </w:tcPr>
          <w:p>
            <w:pPr>
              <w:spacing w:after="0"/>
              <w:rPr>
                <w:sz w:val="17"/>
                <w:szCs w:val="17"/>
                <w:color w:val="auto"/>
              </w:rPr>
            </w:pPr>
          </w:p>
        </w:tc>
      </w:tr>
      <w:tr>
        <w:trPr>
          <w:trHeight w:val="228"/>
        </w:trPr>
        <w:tc>
          <w:tcPr>
            <w:tcW w:w="11020" w:type="dxa"/>
            <w:vAlign w:val="bottom"/>
            <w:gridSpan w:val="2"/>
          </w:tcPr>
          <w:p>
            <w:pPr>
              <w:ind w:left="140"/>
              <w:spacing w:after="0"/>
              <w:rPr>
                <w:sz w:val="20"/>
                <w:szCs w:val="20"/>
                <w:color w:val="auto"/>
              </w:rPr>
            </w:pPr>
            <w:r>
              <w:rPr>
                <w:rFonts w:ascii="Arial" w:cs="Arial" w:eastAsia="Arial" w:hAnsi="Arial"/>
                <w:sz w:val="15"/>
                <w:szCs w:val="15"/>
                <w:color w:val="auto"/>
              </w:rPr>
              <w:t>Financial Statements: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4"/>
        </w:trPr>
        <w:tc>
          <w:tcPr>
            <w:tcW w:w="11020" w:type="dxa"/>
            <w:vAlign w:val="bottom"/>
            <w:gridSpan w:val="2"/>
          </w:tcPr>
          <w:p>
            <w:pPr>
              <w:ind w:left="220"/>
              <w:spacing w:after="0"/>
              <w:rPr>
                <w:sz w:val="20"/>
                <w:szCs w:val="20"/>
                <w:color w:val="auto"/>
              </w:rPr>
            </w:pPr>
            <w:r>
              <w:rPr>
                <w:rFonts w:ascii="Arial" w:cs="Arial" w:eastAsia="Arial" w:hAnsi="Arial"/>
                <w:sz w:val="15"/>
                <w:szCs w:val="15"/>
                <w:color w:val="auto"/>
              </w:rPr>
              <w:t>Report of Independent Registered Public Accounting Firm</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68">
              <w:r>
                <w:rPr>
                  <w:rFonts w:ascii="Arial" w:cs="Arial" w:eastAsia="Arial" w:hAnsi="Arial"/>
                  <w:sz w:val="15"/>
                  <w:szCs w:val="15"/>
                  <w:color w:val="0000FF"/>
                  <w:w w:val="95"/>
                </w:rPr>
                <w:t>67</w:t>
              </w:r>
            </w:hyperlink>
          </w:p>
        </w:tc>
        <w:tc>
          <w:tcPr>
            <w:tcW w:w="40" w:type="dxa"/>
            <w:vAlign w:val="bottom"/>
          </w:tcPr>
          <w:p>
            <w:pPr>
              <w:spacing w:after="0"/>
              <w:rPr>
                <w:sz w:val="15"/>
                <w:szCs w:val="15"/>
                <w:color w:val="auto"/>
              </w:rPr>
            </w:pPr>
          </w:p>
        </w:tc>
      </w:tr>
      <w:tr>
        <w:trPr>
          <w:trHeight w:val="196"/>
        </w:trPr>
        <w:tc>
          <w:tcPr>
            <w:tcW w:w="1102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Operations for the Three Years Ended December 31, 2021</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70">
              <w:r>
                <w:rPr>
                  <w:rFonts w:ascii="Arial" w:cs="Arial" w:eastAsia="Arial" w:hAnsi="Arial"/>
                  <w:sz w:val="15"/>
                  <w:szCs w:val="15"/>
                  <w:color w:val="0000FF"/>
                  <w:w w:val="95"/>
                </w:rPr>
                <w:t>69</w:t>
              </w:r>
            </w:hyperlink>
          </w:p>
        </w:tc>
        <w:tc>
          <w:tcPr>
            <w:tcW w:w="40" w:type="dxa"/>
            <w:vAlign w:val="bottom"/>
          </w:tcPr>
          <w:p>
            <w:pPr>
              <w:spacing w:after="0"/>
              <w:rPr>
                <w:sz w:val="17"/>
                <w:szCs w:val="17"/>
                <w:color w:val="auto"/>
              </w:rPr>
            </w:pPr>
          </w:p>
        </w:tc>
      </w:tr>
      <w:tr>
        <w:trPr>
          <w:trHeight w:val="196"/>
        </w:trPr>
        <w:tc>
          <w:tcPr>
            <w:tcW w:w="1102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Comprehensive Income for the Three Years Ended December 31, 2021</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71">
              <w:r>
                <w:rPr>
                  <w:rFonts w:ascii="Arial" w:cs="Arial" w:eastAsia="Arial" w:hAnsi="Arial"/>
                  <w:sz w:val="15"/>
                  <w:szCs w:val="15"/>
                  <w:color w:val="0000FF"/>
                  <w:w w:val="95"/>
                </w:rPr>
                <w:t>70</w:t>
              </w:r>
            </w:hyperlink>
          </w:p>
        </w:tc>
        <w:tc>
          <w:tcPr>
            <w:tcW w:w="40" w:type="dxa"/>
            <w:vAlign w:val="bottom"/>
          </w:tcPr>
          <w:p>
            <w:pPr>
              <w:spacing w:after="0"/>
              <w:rPr>
                <w:sz w:val="17"/>
                <w:szCs w:val="17"/>
                <w:color w:val="auto"/>
              </w:rPr>
            </w:pPr>
          </w:p>
        </w:tc>
      </w:tr>
      <w:tr>
        <w:trPr>
          <w:trHeight w:val="196"/>
        </w:trPr>
        <w:tc>
          <w:tcPr>
            <w:tcW w:w="11020" w:type="dxa"/>
            <w:vAlign w:val="bottom"/>
            <w:gridSpan w:val="2"/>
          </w:tcPr>
          <w:p>
            <w:pPr>
              <w:ind w:left="220"/>
              <w:spacing w:after="0"/>
              <w:rPr>
                <w:sz w:val="20"/>
                <w:szCs w:val="20"/>
                <w:color w:val="auto"/>
              </w:rPr>
            </w:pPr>
            <w:r>
              <w:rPr>
                <w:rFonts w:ascii="Arial" w:cs="Arial" w:eastAsia="Arial" w:hAnsi="Arial"/>
                <w:sz w:val="15"/>
                <w:szCs w:val="15"/>
                <w:color w:val="auto"/>
              </w:rPr>
              <w:t>Consolidated Balance Sheets at December 31, 2021 and 2020</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72">
              <w:r>
                <w:rPr>
                  <w:rFonts w:ascii="Arial" w:cs="Arial" w:eastAsia="Arial" w:hAnsi="Arial"/>
                  <w:sz w:val="15"/>
                  <w:szCs w:val="15"/>
                  <w:color w:val="0000FF"/>
                  <w:w w:val="95"/>
                </w:rPr>
                <w:t>71</w:t>
              </w:r>
            </w:hyperlink>
          </w:p>
        </w:tc>
        <w:tc>
          <w:tcPr>
            <w:tcW w:w="40" w:type="dxa"/>
            <w:vAlign w:val="bottom"/>
          </w:tcPr>
          <w:p>
            <w:pPr>
              <w:spacing w:after="0"/>
              <w:rPr>
                <w:sz w:val="17"/>
                <w:szCs w:val="17"/>
                <w:color w:val="auto"/>
              </w:rPr>
            </w:pPr>
          </w:p>
        </w:tc>
      </w:tr>
      <w:tr>
        <w:trPr>
          <w:trHeight w:val="196"/>
        </w:trPr>
        <w:tc>
          <w:tcPr>
            <w:tcW w:w="1102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Cash Flows for the Three Years Ended December 31, 2021</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73">
              <w:r>
                <w:rPr>
                  <w:rFonts w:ascii="Arial" w:cs="Arial" w:eastAsia="Arial" w:hAnsi="Arial"/>
                  <w:sz w:val="15"/>
                  <w:szCs w:val="15"/>
                  <w:color w:val="0000FF"/>
                  <w:w w:val="95"/>
                </w:rPr>
                <w:t>72</w:t>
              </w:r>
            </w:hyperlink>
          </w:p>
        </w:tc>
        <w:tc>
          <w:tcPr>
            <w:tcW w:w="40" w:type="dxa"/>
            <w:vAlign w:val="bottom"/>
          </w:tcPr>
          <w:p>
            <w:pPr>
              <w:spacing w:after="0"/>
              <w:rPr>
                <w:sz w:val="17"/>
                <w:szCs w:val="17"/>
                <w:color w:val="auto"/>
              </w:rPr>
            </w:pPr>
          </w:p>
        </w:tc>
      </w:tr>
      <w:tr>
        <w:trPr>
          <w:trHeight w:val="196"/>
        </w:trPr>
        <w:tc>
          <w:tcPr>
            <w:tcW w:w="1102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Changes in Common Stockholders’ Equity for the Three Years Ended December 31, 2021</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74">
              <w:r>
                <w:rPr>
                  <w:rFonts w:ascii="Arial" w:cs="Arial" w:eastAsia="Arial" w:hAnsi="Arial"/>
                  <w:sz w:val="15"/>
                  <w:szCs w:val="15"/>
                  <w:color w:val="0000FF"/>
                  <w:w w:val="95"/>
                </w:rPr>
                <w:t>73</w:t>
              </w:r>
            </w:hyperlink>
          </w:p>
        </w:tc>
        <w:tc>
          <w:tcPr>
            <w:tcW w:w="40" w:type="dxa"/>
            <w:vAlign w:val="bottom"/>
          </w:tcPr>
          <w:p>
            <w:pPr>
              <w:spacing w:after="0"/>
              <w:rPr>
                <w:sz w:val="17"/>
                <w:szCs w:val="17"/>
                <w:color w:val="auto"/>
              </w:rPr>
            </w:pPr>
          </w:p>
        </w:tc>
      </w:tr>
      <w:tr>
        <w:trPr>
          <w:trHeight w:val="196"/>
        </w:trPr>
        <w:tc>
          <w:tcPr>
            <w:tcW w:w="11020" w:type="dxa"/>
            <w:vAlign w:val="bottom"/>
            <w:gridSpan w:val="2"/>
          </w:tcPr>
          <w:p>
            <w:pPr>
              <w:ind w:left="220"/>
              <w:spacing w:after="0"/>
              <w:rPr>
                <w:sz w:val="20"/>
                <w:szCs w:val="20"/>
                <w:color w:val="auto"/>
              </w:rPr>
            </w:pPr>
            <w:r>
              <w:rPr>
                <w:rFonts w:ascii="Arial" w:cs="Arial" w:eastAsia="Arial" w:hAnsi="Arial"/>
                <w:sz w:val="15"/>
                <w:szCs w:val="15"/>
                <w:color w:val="auto"/>
              </w:rPr>
              <w:t>Notes to Consolidated Financial Statements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75">
              <w:r>
                <w:rPr>
                  <w:rFonts w:ascii="Arial" w:cs="Arial" w:eastAsia="Arial" w:hAnsi="Arial"/>
                  <w:sz w:val="15"/>
                  <w:szCs w:val="15"/>
                  <w:color w:val="0000FF"/>
                  <w:w w:val="95"/>
                </w:rPr>
                <w:t>74</w:t>
              </w:r>
            </w:hyperlink>
          </w:p>
        </w:tc>
        <w:tc>
          <w:tcPr>
            <w:tcW w:w="40" w:type="dxa"/>
            <w:vAlign w:val="bottom"/>
          </w:tcPr>
          <w:p>
            <w:pPr>
              <w:spacing w:after="0"/>
              <w:rPr>
                <w:sz w:val="17"/>
                <w:szCs w:val="17"/>
                <w:color w:val="auto"/>
              </w:rPr>
            </w:pPr>
          </w:p>
        </w:tc>
      </w:tr>
      <w:tr>
        <w:trPr>
          <w:trHeight w:val="999"/>
        </w:trPr>
        <w:tc>
          <w:tcPr>
            <w:tcW w:w="102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podcast, print and local TV news; manufacturing; home health and hospice care; and automotive dealerships. The Company’s Kaplan, Inc. (Kaplan) subsidiary provides a wide variety of educational services, both domestically and outside the United States (U.S.). The Company’s media operations comprise the ownership and operation of television broadcasting (through the ownership and operation of seven television broadcast stations) plus Slate and Foreign Policy magazines; City Cast, a daily local news podcast and newsletter company; and Pinna, an ad-free audio streaming service for children. The Company’s manufacturing companies comprise the ownership of a supplier of pressure treated wood, an electrical solutions company, a manufacturer of lifting solutions, and a supplier of certain parts used in electric utilities and industrial systems. The Company’s home health and hospice operations provide home health, hospice and palliative services. The Company’s automotive business comprise four dealerships. The Company also owns restaurants, a custom framing company, a cybersecurity training company, a marketing solutions provider, a customer data and analytics software company, and a consumer internet company that builds creator-driven brands in lifestyle, home and art design categories.</w:t>
      </w:r>
    </w:p>
    <w:p>
      <w:pPr>
        <w:spacing w:after="0" w:line="13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each of the fiscal years 2021, 2020 and 2019, these operations accounted for approximately 22%, 22% and 24%, respectively, of the Company’s consolidated revenues, and the identifiable assets attributable to non-U.S. operations represented approximately 19% and 21% of the Company’s consolidated assets at December 31, 2021 and 2020,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a subsidiary of the Company, provides an extensive range of education and related services worldwide for students and professionals. In 2021, Kaplan served approximately 700,000 students and professionals worldwide and had associations with approximately 12,300 companies and commercial relationships with approximately 4,000 universities, colleges, schools and school districts across the globe. Kaplan conducts its operations through three segments: Kaplan North America Higher Education, Kaplan North America Supplemental Education and Kaplan International. As more fully described below, Kaplan consolidated its former Kaplan Higher Education, Kaplan Test Preparation and Kaplan Professional segments into one business, Kaplan North America, operating through two segments, Higher Education and Supplemental Education. In addition, the results of the Kaplan Corporate segment include results of Kaplan’s investment activities in education technology companies. The following table presents revenues for each of Kaplan’s segments: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r>
      <w:tr>
        <w:trPr>
          <w:trHeight w:val="19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2019</w:t>
            </w:r>
          </w:p>
        </w:tc>
      </w:tr>
      <w:tr>
        <w:trPr>
          <w:trHeight w:val="214"/>
        </w:trPr>
        <w:tc>
          <w:tcPr>
            <w:tcW w:w="732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726,875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653,892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750,245</w:t>
            </w:r>
          </w:p>
        </w:tc>
      </w:tr>
      <w:tr>
        <w:trPr>
          <w:trHeight w:val="225"/>
        </w:trPr>
        <w:tc>
          <w:tcPr>
            <w:tcW w:w="7320" w:type="dxa"/>
            <w:vAlign w:val="bottom"/>
          </w:tcPr>
          <w:p>
            <w:pPr>
              <w:ind w:left="20"/>
              <w:spacing w:after="0"/>
              <w:rPr>
                <w:sz w:val="20"/>
                <w:szCs w:val="20"/>
                <w:color w:val="auto"/>
              </w:rPr>
            </w:pPr>
            <w:r>
              <w:rPr>
                <w:rFonts w:ascii="Arial" w:cs="Arial" w:eastAsia="Arial" w:hAnsi="Arial"/>
                <w:sz w:val="16"/>
                <w:szCs w:val="16"/>
                <w:color w:val="auto"/>
              </w:rPr>
              <w:t>Kaplan North America Higher Education</w:t>
            </w:r>
          </w:p>
        </w:tc>
        <w:tc>
          <w:tcPr>
            <w:tcW w:w="28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317,854</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316,095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305,672</w:t>
            </w:r>
          </w:p>
        </w:tc>
      </w:tr>
      <w:tr>
        <w:trPr>
          <w:trHeight w:val="230"/>
        </w:trPr>
        <w:tc>
          <w:tcPr>
            <w:tcW w:w="7320" w:type="dxa"/>
            <w:vAlign w:val="bottom"/>
          </w:tcPr>
          <w:p>
            <w:pPr>
              <w:ind w:left="20"/>
              <w:spacing w:after="0"/>
              <w:rPr>
                <w:sz w:val="20"/>
                <w:szCs w:val="20"/>
                <w:color w:val="auto"/>
              </w:rPr>
            </w:pPr>
            <w:r>
              <w:rPr>
                <w:rFonts w:ascii="Arial" w:cs="Arial" w:eastAsia="Arial" w:hAnsi="Arial"/>
                <w:sz w:val="16"/>
                <w:szCs w:val="16"/>
                <w:color w:val="auto"/>
              </w:rPr>
              <w:t>Kaplan North America Supplemental Education</w:t>
            </w:r>
          </w:p>
        </w:tc>
        <w:tc>
          <w:tcPr>
            <w:tcW w:w="28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309,069</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327,087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388,814</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Kaplan Corporate and Intersegment Eliminations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7,447</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8,639</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7,019</w:t>
            </w:r>
          </w:p>
        </w:tc>
      </w:tr>
      <w:tr>
        <w:trPr>
          <w:trHeight w:val="230"/>
        </w:trPr>
        <w:tc>
          <w:tcPr>
            <w:tcW w:w="7320" w:type="dxa"/>
            <w:vAlign w:val="bottom"/>
          </w:tcPr>
          <w:p>
            <w:pPr>
              <w:ind w:left="220"/>
              <w:spacing w:after="0"/>
              <w:rPr>
                <w:sz w:val="20"/>
                <w:szCs w:val="20"/>
                <w:color w:val="auto"/>
              </w:rPr>
            </w:pPr>
            <w:r>
              <w:rPr>
                <w:rFonts w:ascii="Arial" w:cs="Arial" w:eastAsia="Arial" w:hAnsi="Arial"/>
                <w:sz w:val="16"/>
                <w:szCs w:val="16"/>
                <w:color w:val="auto"/>
              </w:rPr>
              <w:t>Total Kaplan Revenue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1,361,245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1,305,713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1,451,750</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2020, Kaplan combined its three segments based in the United States (Kaplan Higher Education, Kaplan Test Preparation and Kaplan Professional) into one business known as Kaplan North America. The combination reinforces Kaplan’s interconnected products and services, increases competitiveness in Kaplan’s markets and drives efficiencies.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6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Kaplan International (KI) operates businesses in Europe and the Middle East, North America and the Asia Pacific region, each of which is discussed below.</w:t>
      </w:r>
    </w:p>
    <w:p>
      <w:pPr>
        <w:spacing w:after="0" w:line="11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 xml:space="preserve">Europe and the Middle East. </w:t>
      </w:r>
      <w:r>
        <w:rPr>
          <w:rFonts w:ascii="Arial" w:cs="Arial" w:eastAsia="Arial" w:hAnsi="Arial"/>
          <w:sz w:val="18"/>
          <w:szCs w:val="18"/>
          <w:color w:val="auto"/>
        </w:rPr>
        <w:t>In Europe, KI operates the following businesses, all of which are based in the United Kingdom (U.K.)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Ireland: Kaplan UK, KI Pathways, Kaplan Languages Group, Mander Portman Woodward,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Dublin Business School, Kaplan Open Learning and BridgeU. In the Middle East, Kaplan Middle East is based in the United Arab Emirates.</w:t>
      </w:r>
    </w:p>
    <w:p>
      <w:pPr>
        <w:spacing w:after="0" w:line="144"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Kaplan UK business in Europe, through Kaplan Financial Limited, is a provider of apprenticeship training and test preparation services for accounting and financial services professionals, including those studying for ACCA, CIMA and ICAEW qualifications. In 2021, Kaplan UK provided courses to over 47,000 students in accountancy and financial services. In addition, Kaplan UK has been the sole authorized assessment provider for the Solicitors Regulation Authority of assessments under The Qualified Lawyers Transfer Scheme for candidates seeking to become solicitors of England and Wales who are already qualified lawyers in certain recognized jurisdictions. In 2021 Kaplan UK became the sole authorized assessment provider for the Solicitors Qualifying Examination for all candidates seeking to become a solicitor in England and Wales. Kaplan UK is headquartered in London, England, and has 19 training centers located throughout the U.K.</w:t>
      </w:r>
    </w:p>
    <w:p>
      <w:pPr>
        <w:spacing w:after="0" w:line="139" w:lineRule="exact"/>
        <w:rPr>
          <w:sz w:val="20"/>
          <w:szCs w:val="20"/>
          <w:color w:val="auto"/>
        </w:rPr>
      </w:pPr>
    </w:p>
    <w:p>
      <w:pPr>
        <w:jc w:val="both"/>
        <w:ind w:right="640"/>
        <w:spacing w:after="0" w:line="229" w:lineRule="auto"/>
        <w:rPr>
          <w:sz w:val="20"/>
          <w:szCs w:val="20"/>
          <w:color w:val="auto"/>
        </w:rPr>
      </w:pPr>
      <w:r>
        <w:rPr>
          <w:rFonts w:ascii="Arial" w:cs="Arial" w:eastAsia="Arial" w:hAnsi="Arial"/>
          <w:sz w:val="18"/>
          <w:szCs w:val="18"/>
          <w:color w:val="auto"/>
        </w:rPr>
        <w:t>The KI Pathways business offers academic preparation programs especially designed for international students who wish to study for degrees from universities in English-speaking countries. In 2021, university preparation programs were delivered in Australia, Japan, Myanmar, Singapore and the U.K.</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Kaplan Languages Group business provides English-language training, academic preparation programs and test preparation for English proficiency exams, principally for students wishing to study and travel in English-speaking countries. As of December 31, 2021, the Kaplan Languages Group operated 19 English-language schools, with 12 located in the U.K., Ireland and Canada and seven located in the U.S. In 2021, the Kaplan Languages Group served approximately 10,300 students for in-class and online English-language instruction. Through the Alpadia language schools located in France, Germany and Switzerland, Kaplan Languages Group also offers adolescents (from 16+) and adults, French and German language training. Alpadia also operates language camps for juniors (from 8+) and teens during the fall, spring and summer seasons in the U.K., France, Germany and Switzerland.</w:t>
      </w:r>
    </w:p>
    <w:p>
      <w:pPr>
        <w:spacing w:after="0" w:line="139"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Mander Portman Woodward (MPW) is a U.K. independent sixth-form college that prepares domestic and international students for A-level examinations that are required for admission to U.K. universities. MPW operates three colleges, in London, Cambridge and Birmingham.</w:t>
      </w:r>
    </w:p>
    <w:p>
      <w:pPr>
        <w:spacing w:after="0" w:line="12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KI also operates Dublin Business School in Ireland, a higher education institution, and Kaplan Open Learning in the U.K., an online learning institution. At the end of 2021, these institutions enrolled an aggregate of approximately 10,400 students.</w:t>
      </w:r>
    </w:p>
    <w:p>
      <w:pPr>
        <w:spacing w:after="0" w:line="13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2021, Kaplan Middle East, a financial training business operating in Dubai, United Arab Emirates and Saudi Arabia, taught approximately 3,900 students.</w:t>
      </w:r>
    </w:p>
    <w:p>
      <w:pPr>
        <w:spacing w:after="0" w:line="113"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KI businesses serve a significant number of international students; therefore, the ability to sponsor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students to come to the U.K. is critical to these businesses. Pursuant to regulations administered by the United Kingdom Visas and Immigration Department (UKVI), the KI Pathways business is required to hold or operate Student Route sponsorship licenses for international students to be permitted to enter the U.K. to study the courses that KI Pathways delivers. One of the Kaplan Languages Group schools also has a Student Route license to enable it to teach international students, although students at these schools generally choose to enter the U.K. on a Visitor or Short Term Student visa as opposed to a Student Route visa.</w:t>
      </w:r>
    </w:p>
    <w:p>
      <w:pPr>
        <w:spacing w:after="0" w:line="13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Each Student Route license holder is required to have passed the annual Basic Compliance Assessment (BCA) and hold Educational Oversight accreditation, which requires a current and satisfactory full risk assessment, audit or review by the appropriate academic standards body. For the tenth consecutive year, all KI institutions have retained Educational Oversight accreditation, with high grades across colleges, and all Student Route annual BCA renewals have been approved with high scores in the core measurable requirements. Kaplan Languages Group has one U.K. English-language school listed on the Kaplan Student master license. The MPW schools each hold current Student and Child Student Route licenses and have performed well consistently, with good records in their Office for Standards in Education, Children’s Services and Skills (OFSTED) and Independent Schools Inspectorate (ISI) Educational Oversight inspections.</w:t>
      </w:r>
    </w:p>
    <w:p>
      <w:pPr>
        <w:spacing w:after="0" w:line="139"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Higher Education and Research Act 2017 (HERA) significantly reformed the regulation of the higher education sector in the U.K., including the formation of a new regulator for England, the Office for Students (OfS). Students enrolled at Pathways institutions registered with the OfS are, subject to the institution meeting certain compliance requirements, given many of the same student privileges as students of universities in the U.K. All of KI’s other higher education businesses in the U.K., excluding Glasgow International College and University of York International Pathway College, retained registration with the OfS in 2021 to ensure that they could continue operating and retain their Student Route sponsor licenses and/or continue to accept students funded by U.K. student loans. Glasgow International College, which is located in Scotland, is not regulated by the OfS and remains overseen by the Quality Assurance Agency for Higher Education (QAA). The University of York International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 w:name="page5"/>
    <w:bookmarkEnd w:id="4"/>
    <w:p>
      <w:pPr>
        <w:ind w:right="40"/>
        <w:spacing w:after="0" w:line="225" w:lineRule="auto"/>
        <w:rPr>
          <w:sz w:val="20"/>
          <w:szCs w:val="20"/>
          <w:color w:val="auto"/>
        </w:rPr>
      </w:pPr>
      <w:r>
        <w:rPr>
          <w:rFonts w:ascii="Arial" w:cs="Arial" w:eastAsia="Arial" w:hAnsi="Arial"/>
          <w:sz w:val="18"/>
          <w:szCs w:val="18"/>
          <w:color w:val="auto"/>
        </w:rPr>
        <w:t>Pathway College forms part of the University of York’s OfS registration. No assurance can be given that each KI business in the U.K. will be able to maintain its Student Route or Child Student route license and Educational Oversight or OfS/QAA registration. Maintenance of each of these approvals requires compliance with several core metrics that may be difficult to sustain. The loss by one or more institutions of either the Student Route or Child Student route license or Educational Oversight or OfS/QAA registration would have a material adverse effect on KI Europe’s operating results.</w:t>
      </w:r>
    </w:p>
    <w:p>
      <w:pPr>
        <w:spacing w:after="0" w:line="115" w:lineRule="exact"/>
        <w:rPr>
          <w:sz w:val="20"/>
          <w:szCs w:val="20"/>
          <w:color w:val="auto"/>
        </w:rPr>
      </w:pPr>
    </w:p>
    <w:p>
      <w:pPr>
        <w:ind w:right="320"/>
        <w:spacing w:after="0" w:line="228" w:lineRule="auto"/>
        <w:rPr>
          <w:sz w:val="20"/>
          <w:szCs w:val="20"/>
          <w:color w:val="auto"/>
        </w:rPr>
      </w:pPr>
      <w:r>
        <w:rPr>
          <w:rFonts w:ascii="Arial" w:cs="Arial" w:eastAsia="Arial" w:hAnsi="Arial"/>
          <w:sz w:val="18"/>
          <w:szCs w:val="18"/>
          <w:b w:val="1"/>
          <w:bCs w:val="1"/>
          <w:i w:val="1"/>
          <w:iCs w:val="1"/>
          <w:color w:val="auto"/>
        </w:rPr>
        <w:t xml:space="preserve">Impact of Brexit. </w:t>
      </w:r>
      <w:r>
        <w:rPr>
          <w:rFonts w:ascii="Arial" w:cs="Arial" w:eastAsia="Arial" w:hAnsi="Arial"/>
          <w:sz w:val="18"/>
          <w:szCs w:val="18"/>
          <w:color w:val="auto"/>
        </w:rPr>
        <w:t>On June 23, 2016, the U.K. held a referendum in which voters approved a proposal that the U.K. leave the European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Union (EU), commonly referred to as “Brexit.” The U.K.’s withdrawal became effective on December 31, 2020. The impact of Brexit on KI over time will depend on the long-term effects of the terms of the U.K.’s withdrawal from the EU. If the U.K. is no longer viewed as a favorable study destination, KI’s ability to recruit international students will be adversely impacted, which would materially adversely affect KI’s results of operations and cash flows. In November 2021, the EU granted the U.K. an adequacy decision under the General Data Protection Regulation (GDPR) for an initial period of four years.</w:t>
      </w:r>
    </w:p>
    <w:p>
      <w:pPr>
        <w:spacing w:after="0" w:line="138"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Revised U.K. immigration rules became effective on January 1, 2021, as the Brexit transition was completed. All international students, including EEA and Swiss students studying in the U.K. for more than six months, are required to obtain a Student Route visa unless they are undertaking an English language course in which case they can apply for a Visit Visa for up to six months or a Short Term Study visa of up to 11 months. Free movement ceased between the EEA (together with Switzerland) and the U.K.; students from these countries entering the U.K. are now subject to the same U.K. immigration rules as students from outside the EEA and Switzerland. EEA and Swiss nationals commencing a higher education course in England from August 2021 no longer qualify for home fee status or have access to financial support from Student Finance England. It is unclear how international student recruitment agents and prospective international students view the U.K. as a study destination after the introduction of any new immigration requirements, and the U.K.’s exit from the EU. The introduction of revised immigration rules has historically increased, and may continue to increase, KI’s operating costs in the U.K. The introduction of new visa and other administrative requirements for entry into the U.K., Brexit and the perception of the U.K. as a less favorable study destination may have a materially adverse impact on KI’s ability to recruit international students and KI’s results of operations and cash flows.</w:t>
      </w:r>
    </w:p>
    <w:p>
      <w:pPr>
        <w:spacing w:after="0" w:line="113"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and the People’s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Republic of China, including the Hong Kong Special Administrative Region (Hong Kong).</w:t>
      </w:r>
    </w:p>
    <w:p>
      <w:pPr>
        <w:spacing w:after="0" w:line="120" w:lineRule="exact"/>
        <w:rPr>
          <w:sz w:val="20"/>
          <w:szCs w:val="20"/>
          <w:color w:val="auto"/>
        </w:rPr>
      </w:pPr>
    </w:p>
    <w:p>
      <w:pPr>
        <w:ind w:right="540"/>
        <w:spacing w:after="0" w:line="225" w:lineRule="auto"/>
        <w:rPr>
          <w:sz w:val="20"/>
          <w:szCs w:val="20"/>
          <w:color w:val="auto"/>
        </w:rPr>
      </w:pPr>
      <w:r>
        <w:rPr>
          <w:rFonts w:ascii="Arial" w:cs="Arial" w:eastAsia="Arial" w:hAnsi="Arial"/>
          <w:sz w:val="18"/>
          <w:szCs w:val="18"/>
          <w:color w:val="auto"/>
        </w:rPr>
        <w:t>In Singapore, Kaplan operates two business units: Kaplan Higher Education and KHEA-Genesis (which comprises the former Kaplan Financial and Kaplan Professional business units). During 2021, the Kaplan Higher Education and KHEA-Genesis (Financial) divisions served more than 9,100 students from Singapore and approximately 3,400 students from other countries throughout Asia and Western Europe. KHEA-Genesis (Professional) provided short courses to approximately 400 professionals, managers, executives and businesspeople in 2021.</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Ireland and the U.K. In addition, this division offers pre-university and diploma programs.</w:t>
      </w:r>
    </w:p>
    <w:p>
      <w:pPr>
        <w:spacing w:after="0" w:line="137" w:lineRule="exact"/>
        <w:rPr>
          <w:sz w:val="20"/>
          <w:szCs w:val="20"/>
          <w:color w:val="auto"/>
        </w:rPr>
      </w:pPr>
    </w:p>
    <w:p>
      <w:pPr>
        <w:ind w:right="380"/>
        <w:spacing w:after="0" w:line="223" w:lineRule="auto"/>
        <w:rPr>
          <w:sz w:val="20"/>
          <w:szCs w:val="20"/>
          <w:color w:val="auto"/>
        </w:rPr>
      </w:pPr>
      <w:r>
        <w:rPr>
          <w:rFonts w:ascii="Arial" w:cs="Arial" w:eastAsia="Arial" w:hAnsi="Arial"/>
          <w:sz w:val="18"/>
          <w:szCs w:val="18"/>
          <w:color w:val="auto"/>
        </w:rPr>
        <w:t>Kaplan Singapore’s KHEA-Genesis (Financial) business provides preparatory courses for professional qualifications in accountancy and finance, such as the Association of Chartered Certified Accountants (ACCA) and Chartered Financial Analyst (CFA). Kaplan Singapore’s Professional business, through Kaplan Learning Institute, an authorized SkillsFuture Singapore (SSG) Approved Training Organization (ATO), provided professionals with various skills training through workforce skills qualifications (WSQ) courses. Kaplan Learning Institute ceased offering such courses and voluntarily deregistered Kaplan Learning Institute as a private education institution on March 9, 2020, following a notice in June 2019 from SSG suspending Kaplan Singapore Professional’s WSQ ATO status and revoking accreditation and funding for all WSQ courses effective July 1, 2019. These actions have adversely affected and will continue to adversely affect Kaplan Singapore’s revenues and operating results.</w:t>
      </w:r>
    </w:p>
    <w:p>
      <w:pPr>
        <w:spacing w:after="0" w:line="13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On October 7, 2020, Kaplan Higher Education Academy (KHEA) was granted approval by SSG to deliver WSQ courses as an ATO for a period of two years. KHEA-Genesis (Professional) started offering WSQ courses in the second quarter of 2021.</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three marketing diploma programs on both a full and part-time basis due to noncompliance with minimum entry level requirements for admission and to teach out existing students in these programs. On August 23, 2021, the CPE issued the same instructions with respect to the Kaplan Foundation diploma and four information technology diploma programs on both a full and part-time basis. In November 2021, the CPE issued the same instructions with respect to a further 23 full-time or part-time diploma programs. Post regulatory action, Kaplan Singapore is currently still able to offer 449 programs that are registered with the CPE, out of which there are 16 diplomas, 361 bachelors and the balance of which are certificate and postgraduate courses. Kaplan Singapore will</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 w:name="page6"/>
    <w:bookmarkEnd w:id="5"/>
    <w:p>
      <w:pPr>
        <w:ind w:right="220"/>
        <w:spacing w:after="0" w:line="227" w:lineRule="auto"/>
        <w:rPr>
          <w:sz w:val="20"/>
          <w:szCs w:val="20"/>
          <w:color w:val="auto"/>
        </w:rPr>
      </w:pPr>
      <w:r>
        <w:rPr>
          <w:rFonts w:ascii="Arial" w:cs="Arial" w:eastAsia="Arial" w:hAnsi="Arial"/>
          <w:sz w:val="18"/>
          <w:szCs w:val="18"/>
          <w:color w:val="auto"/>
        </w:rPr>
        <w:t>apply for re-registration of diploma programs in 2022. The impact from regulatory actions by the CPE will have a significant adverse impact on Kaplan Singapore’s revenues, operating results and cash flows in the future. No assurance can be given that applications for re-registration of the impacted programs will be successful. An inability to re-register one or more impacted programs could have a further material adverse effect on Kaplan Singapore’s revenues, operating results and cash flows.</w:t>
      </w:r>
    </w:p>
    <w:p>
      <w:pPr>
        <w:spacing w:after="0" w:line="13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business analytics, hospitality, and tourism and management through Kaplan Business School. In 2021, these businesses provided courses to approximately 4,500 students through face-to-face and online or hybrid classroom programs (within Kaplan Business School) and approximately 30,000 students through online or distance-learning programs offered by Kaplan Professional. In 2021, Kaplan Professional also had approximately 34,000 subscribers for Ontrack, its continuing professional development platform for financial services professionals.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Kaplan Australia’s English-language business, which operates across five locations in Australia and one location in New Zealand, taught approximately 300 students in 2021. In July 2021, after the last student completed their course, the New Zealand English language business suspended its operations indefinitely. During 2021, due to the ongoing border closure, the Australian English businesses faced significant falls in student numbers leading to a consolidation of the four schools into one, with just the Sydney school offering online classes to a small number of remaining students. The Kaplan Australia Pathways business is also part of KI Pathways. In 2021, it consisted of Murdoch Institute of Technology, the University of Newcastle College of International Education and the University of Adelaide College, and offered face-to-face pathways and foundational education in 2021 to approximately 1,000 students wishing to enter Murdoch University, the University of Newcastle and the University of Adelaide. The contract with Murdoch University to run the Murdoch Institute of Technology expired in June 2021. In January 2021, Kaplan Australia launched the University of Newcastle College of International Education, as part of a seven-year collaboration with the University of Newcastle. In March 2021, the University of Adelaide College commenced delivery of teaching. In October 2021, Kaplan International New Zealand obtained approval to establish a new pathways college, Massey University College, which is scheduled to begin diploma and graduate diploma courses in July and October 2022, respectively. Kaplan Australia also owns Red Marker Pty Ltd., a machine learning and artificial intelligence-based provider of legal risk detection for digital, advertising and marketing content. Red Marker supports a wide variety of industries, including financial services, telecoms, automotive, pharmaceutical, food and beverage, media and government bodies. Red Marker’s Artemis product detects potentially noncompliant content as it is being created, helping advisers and licensees to identify and remediate compliance risks.</w:t>
      </w:r>
    </w:p>
    <w:p>
      <w:pPr>
        <w:spacing w:after="0" w:line="13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Hong Kong, Kaplan operates three main business units: Kaplan Financial, Kaplan Language Training and Kaplan Higher Education, serving approximately 10,600 students annually.</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Hong Kong’s Financial division delivers preparatory courses to approximately 8,900 students and business executives wishing to earn professional qualifications in accountancy, financial markets designations and other professional fields.</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Hong Kong’s Language Training division offers test preparation for both overseas study and college applications, including TOEFL, IELTS, SAT and GMAT, to approximately 500 students.</w:t>
      </w:r>
    </w:p>
    <w:p>
      <w:pPr>
        <w:spacing w:after="0" w:line="135"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Kaplan Hong Kong’s Higher Education division offers both full-time and part-time programs to approximately 1,200 students studying for degrees from leading Western universities. Students earn doctorate, master’s and bachelor’s degrees in Hong Kong. Kaplan also offers a proprietary pre-college diploma program through the Kaplan Business and Accountancy School.</w:t>
      </w:r>
    </w:p>
    <w:p>
      <w:pPr>
        <w:spacing w:after="0" w:line="13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2014, Kaplan Holdings Limited (Hong Kong) signed a joint venture agreement with CITIC Press Corporation. Under the terms of the agreement, the parties incorporated a joint venture company, Kaplan CITIC Education Co. Limited, 49% of which is owned by Kaplan Holdings Limited. The joint venture company is carrying out publishing and distribution of Kaplan Financial training products in the People’s Republic of China.</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and the degree of consistency in the application and interpretation of such regulations can vary significantly in certain jurisdictions.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As previously discussed, in 2020 Kaplan combined its segments into one business named Kaplan North America (KNA), comprised of two segments, Kaplan North America Higher Education (comprising primarily former Kaplan Higher Education (KHE) products and services) and Kaplan North America Supplemental Education (comprising primarily former Kaplan Test Preparation (KTP) and former Kaplan Professional (KP) products and services).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Kaplan North America Higher Education</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Until March 22, 2018, through the KHE segment, Kaplan provided postsecondary education services to students through Kaplan University’s (KU) online and fixed-facility colleges. KU provided a wide array of certificate, diploma and degree programs designed to meet the needs of students seeking to advance their education and career goals. On March 22, 2018, certain subsidiaries of Kaplan contributed the institutional assets and operations of KU to a new university: an Indiana nonprofit, public-benefit corporation affiliated with Purdue University, known as Purdue University Global (Purdue Global). As part of the transfer to Purdue Global, KU transferred students, academic personnel, faculty and operations, property leases for KU’s campuses and learning centers, and Kaplan-owned academic curricula and content related to KU courses. Kaplan also indemnified Purdue for certain pre-closing liabilities. At the same time, KU and Purdue Global entered into a Transition and Operations Support Agreement, which was amended on July 29, 2019 (TOSA), pursuant to which KNA provides key non-academic operations support to Purdue Global. Kaplan received nominal upfront cash consideration upon the transfer of the institutional assets and operations of KU. The combination of the KHE, KTP and KP segments into one KNA business did not change Kaplan’s or Purdue Global’s obligations under the TOSA.</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transfer of KU did not include any of the assets of the KU School of Professional and Continuing Education (now managed by KNA), which provides professional training and exam preparation for professional certifications and licensures. The transfer also did not include the transfer of other Kaplan businesses.</w:t>
      </w:r>
    </w:p>
    <w:p>
      <w:pPr>
        <w:spacing w:after="0" w:line="137"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KNA also provides non-academic operations support services for online pre-college, certificate, undergraduate and graduate programs to institutions such as Purdue University, Wake Forest University, and Lynn University. These are the same types of services and operations previously provided by the KHE segment which is now a part of the KNA business.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i w:val="1"/>
          <w:iCs w:val="1"/>
          <w:color w:val="auto"/>
        </w:rPr>
        <w:t xml:space="preserve">Transition and Operations Support Agreement (TOSA). </w:t>
      </w:r>
      <w:r>
        <w:rPr>
          <w:rFonts w:ascii="Arial" w:cs="Arial" w:eastAsia="Arial" w:hAnsi="Arial"/>
          <w:sz w:val="18"/>
          <w:szCs w:val="18"/>
          <w:color w:val="auto"/>
        </w:rPr>
        <w:t>Purdue Global operates largely online as an Indiana public university affiliated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Purdue University. The operations support activities that KNA provides to Purdue Global (and other institutions of higher education, including Purdue University) include technology support, help-desk functions, human resources support for transferred faculty and employees, admissions support, financial aid processing, marketing and advertising, back-office business functions, certain test preparation, and domestic and international student recruiting services.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Pursuant to the TOSA, KNA is not entitled to receive any reimbursement of costs incurred in providing support functions, or any fee, unless and until Purdue Global has first covered all of its operating costs (subject to a cap). If Purdue Global achieves cost efficiencies in its operations, KNA may be entitled to an additional payment equal to 20% of such cost efficiencies (Purdue Efficiency Payment). In addition, during each of Purdue Global’s first five years, prior to any payment to KNA, Purdue Global is entitled to a priority payment of $10 million per year beyond costs (Purdue Priority Payment). To the extent that Purdue Global’s revenue is insufficient to pay the Purdue Priority Payment, KNA is required to advance an amount to Purdue Global to cover such insufficiency. Upon closing of the transaction, Kaplan paid to Purdue Global an advance in the amount of $20 million, representing, and in lieu of, a Purdue Priority Payment for each of the fiscal years ending June 30, 2019, and June 30, 2020.</w:t>
      </w:r>
    </w:p>
    <w:p>
      <w:pPr>
        <w:spacing w:after="0" w:line="13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To the extent that there is sufficient revenue to pay the Purdue Efficiency Payment, Purdue Global will be reimbursed for its operating costs (subject to a cap) and will be paid the Purdue Priority Payment. To the extent that there is remaining revenue, KNA will then be reimbursed for its operating costs (subject to a cap) of providing the support activities. If KNA achieves cost efficiencies in its operations, then KNA may be entitled to an additional payment equal to 20% of such cost efficiencies (KNA Efficiency Payment). The TOSA, as amended, reflects the parties’ intent that, subject to available cash (calculated as cash balance minus cash deficiencies, if any, projected for the next six-month period based on applicable budget), KNA is entitled to receive a fee equal to 12.5% (increasing to 13% from June 30, 2023, through June 30, 2027) of Purdue Global’s revenue, which served as the deferred purchase price for the transfer of KU (Deferred Purchase Price). Separately, KNA is entitled to a fee for services provided equal to 8% of KNA’s costs of providing such services to Purdue</w:t>
      </w:r>
    </w:p>
    <w:p>
      <w:pPr>
        <w:spacing w:after="0" w:line="1"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Global (Contributor Service Fee). KNA’s Contributor Service Fee is deducted from any amounts owed to KNA for the Deferred Purchase Price. Together these payments are known as “Contributor Compensation.” In each case, the Contributor Compensation remains subject to available cash and the limitations of payment carry over from year to year.</w:t>
      </w:r>
    </w:p>
    <w:p>
      <w:pPr>
        <w:spacing w:after="0" w:line="227" w:lineRule="auto"/>
        <w:rPr>
          <w:sz w:val="20"/>
          <w:szCs w:val="20"/>
          <w:color w:val="auto"/>
        </w:rPr>
      </w:pPr>
      <w:r>
        <w:rPr>
          <w:rFonts w:ascii="Arial" w:cs="Arial" w:eastAsia="Arial" w:hAnsi="Arial"/>
          <w:sz w:val="18"/>
          <w:szCs w:val="18"/>
          <w:color w:val="auto"/>
        </w:rPr>
        <w:t>After the first five years of the TOSA, KNA and Purdue Global will be entitled to payments in a manner consistent with the structure described above, except that (i) Purdue Global will no longer be entitled to the Purdue Priority Payment and (ii) to the extent that there are sufficient revenues after payment of the KNA Efficiency Payment (if any), Purdue Global will be entitled to an annual payment equal to 10% of the remaining revenue after the KNA Efficiency Payment (if any) is paid, subject to certain other adjustments.</w:t>
      </w:r>
    </w:p>
    <w:p>
      <w:pPr>
        <w:spacing w:after="0" w:line="135"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Purdue Global has the right to terminate the agreement upon payment of an early termination fee equal to 125% of Purdue Global’s total revenue earned during the preceding 12-month period, which payment would be made pursuant to a 10-year note, and at the election of Purdue Global, it may receive for no additional</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 w:name="page8"/>
    <w:bookmarkEnd w:id="7"/>
    <w:p>
      <w:pPr>
        <w:spacing w:after="0" w:line="221" w:lineRule="auto"/>
        <w:rPr>
          <w:sz w:val="20"/>
          <w:szCs w:val="20"/>
          <w:color w:val="auto"/>
        </w:rPr>
      </w:pPr>
      <w:r>
        <w:rPr>
          <w:rFonts w:ascii="Arial" w:cs="Arial" w:eastAsia="Arial" w:hAnsi="Arial"/>
          <w:sz w:val="18"/>
          <w:szCs w:val="18"/>
          <w:color w:val="auto"/>
        </w:rPr>
        <w:t>consideration certain tangible assets used by KNA exclusively to provide the support activities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it may receive for no additional consideration certain assets used by KNA exclusively to provide the support activities pursuant to the TOSA. Either party may terminate the TOSA at any time if Purdue Global generates (i) $25 million in cash operating losses for three consecutive years or (ii) aggregate cash operating losses greater than $ 75 million at any point during the initial term. Operating loss is defined as the amount by which the sum of (1) Purdue Global’s and KNA’s respective costs in performing academic and support functions and (2) the $10 million Purdue Priority Payment in each of the first five years following March 22, 2018, exceeds the revenue Purdue Global generates for the applicable fiscal year. Upon termination for any reason, Purdue Global will retain the assets that Kaplan contributed pursuant to the TOSA. Each party also has certain termination rights in connection with a material default or material breach of the TOSA by the other party. Short of termination, Purdue Global has the right to take over (in-source) certain back-office support functions at any time with nine-months’ notice. Those include technology support, human resources, facility and property management, finance and accounting, communications, and default management. In 2022 Purdue Global began working with KNA to provide certain human resources, finance and accounting, facility management, and communications services itself, in-house.</w:t>
      </w:r>
    </w:p>
    <w:p>
      <w:pPr>
        <w:spacing w:after="0" w:line="118" w:lineRule="exact"/>
        <w:rPr>
          <w:sz w:val="20"/>
          <w:szCs w:val="20"/>
          <w:color w:val="auto"/>
        </w:rPr>
      </w:pPr>
    </w:p>
    <w:p>
      <w:pPr>
        <w:spacing w:after="0" w:line="223" w:lineRule="auto"/>
        <w:rPr>
          <w:sz w:val="20"/>
          <w:szCs w:val="20"/>
          <w:color w:val="auto"/>
        </w:rPr>
      </w:pPr>
      <w:r>
        <w:rPr>
          <w:rFonts w:ascii="Arial" w:cs="Arial" w:eastAsia="Arial" w:hAnsi="Arial"/>
          <w:sz w:val="18"/>
          <w:szCs w:val="18"/>
          <w:b w:val="1"/>
          <w:bCs w:val="1"/>
          <w:i w:val="1"/>
          <w:iCs w:val="1"/>
          <w:color w:val="auto"/>
        </w:rPr>
        <w:t xml:space="preserve">Regulatory Environment. </w:t>
      </w:r>
      <w:r>
        <w:rPr>
          <w:rFonts w:ascii="Arial" w:cs="Arial" w:eastAsia="Arial" w:hAnsi="Arial"/>
          <w:sz w:val="18"/>
          <w:szCs w:val="18"/>
          <w:color w:val="auto"/>
        </w:rPr>
        <w:t>KNA no longer owns or operates KU or any other institution participating in student financial aid programs created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Title IV of the U.S. Federal Higher Education Act of 1965 (Higher Education Act), as amended (Title IV). KNA provides services to Purdue Global, Purdue University, Wake Forest University, Lynn University and other Title IV participating institutions that may require KNA to comply with certain laws and regulations, including applicable statutory provisions of Title IV. KNA also provides financial aid services to Purdue Global and, as such, meets the definition of a “third-party servicer” contained in the Title IV regulations to Purdue Global (but no other institution as of the date of this report). As a third-party servicer, KNA is subject to applicable statutory provisions of Title IV and U.S. Department of Education (ED) regulations that, among other things, require KNA to be jointly and severally liable with its Title IV participating client institution(s) to the ED for any violation by such client institution of any Title IV statute or ED regulation or requirement. KNA is also subject to other federal and state laws, including, but not limited to,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the applicable provisions of the Family Educational Rights and Privacy Act regarding the privacy of student records. KNA’s failure to comply with these and other federal and state laws and regulations could result in adverse consequences to KNA’s business, including, for example:</w:t>
      </w:r>
    </w:p>
    <w:p>
      <w:pPr>
        <w:spacing w:after="0" w:line="141" w:lineRule="exact"/>
        <w:rPr>
          <w:sz w:val="20"/>
          <w:szCs w:val="20"/>
          <w:color w:val="auto"/>
        </w:rPr>
      </w:pPr>
    </w:p>
    <w:p>
      <w:pPr>
        <w:ind w:left="660" w:right="200" w:hanging="328"/>
        <w:spacing w:after="0" w:line="22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on KNA and/or Kaplan of fines, other sanctions or liabilities, including, without limitation, repayment obligations for Title IV funds to the ED or the termination or limitation on Kaplan’s eligibility to provide services as a third-party servicer to any Title IV participating institution;</w:t>
      </w:r>
    </w:p>
    <w:p>
      <w:pPr>
        <w:spacing w:after="0" w:line="136" w:lineRule="exact"/>
        <w:rPr>
          <w:rFonts w:ascii="Arial" w:cs="Arial" w:eastAsia="Arial" w:hAnsi="Arial"/>
          <w:sz w:val="18"/>
          <w:szCs w:val="18"/>
          <w:color w:val="auto"/>
        </w:rPr>
      </w:pPr>
    </w:p>
    <w:p>
      <w:pPr>
        <w:ind w:left="660" w:right="440" w:hanging="328"/>
        <w:spacing w:after="0" w:line="22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134" w:lineRule="exact"/>
        <w:rPr>
          <w:rFonts w:ascii="Arial" w:cs="Arial" w:eastAsia="Arial" w:hAnsi="Arial"/>
          <w:sz w:val="18"/>
          <w:szCs w:val="18"/>
          <w:color w:val="auto"/>
        </w:rPr>
      </w:pPr>
    </w:p>
    <w:p>
      <w:pPr>
        <w:ind w:left="660" w:right="380" w:hanging="328"/>
        <w:spacing w:after="0" w:line="23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laws and regulations occurring prior to the transfer of KU to Purdue.</w:t>
      </w:r>
    </w:p>
    <w:p>
      <w:pPr>
        <w:spacing w:after="0" w:line="144"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 For example, a Negotiated Rulemaking began in October 2021 that covered, in part, rules related to the borrower defense to repayment adjudication process and recovery from institutions, closed school loan discharges, disability loan discharges, public loan forgiveness, income driven repayment plans and arbitration agreements. As part of this current Rulemaking, in a session that began in January 2022, the ED also proposed a change to the Title IV definition of “Nonprofit” institution to generally exclude from that definition any institution that is an obligor on a debt owed to a former owner of the institution or maintains a revenue-based service agreement with a former owner of the institution. Such regulatory changes as well as those described above could subject Purdue Global to additional regulatory requirements. Any resulting new rules or changes to existing rules are not likely to be effective until July 1, 2023.</w:t>
      </w:r>
    </w:p>
    <w:p>
      <w:pPr>
        <w:spacing w:after="0" w:line="11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Incentive compensation. </w:t>
      </w:r>
      <w:r>
        <w:rPr>
          <w:rFonts w:ascii="Arial" w:cs="Arial" w:eastAsia="Arial" w:hAnsi="Arial"/>
          <w:sz w:val="18"/>
          <w:szCs w:val="18"/>
          <w:color w:val="auto"/>
        </w:rPr>
        <w:t>Under the ED’s incentive compensation rule, an institution participating in Title IV programs may not provide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bonus or other incentive payment to any person or entity engaged in any student recruiting or admission activities or in making decisions regarding the awarding of Title IV funds if such</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spacing w:after="0" w:line="223" w:lineRule="auto"/>
        <w:rPr>
          <w:sz w:val="20"/>
          <w:szCs w:val="20"/>
          <w:color w:val="auto"/>
        </w:rPr>
      </w:pPr>
      <w:r>
        <w:rPr>
          <w:rFonts w:ascii="Arial" w:cs="Arial" w:eastAsia="Arial" w:hAnsi="Arial"/>
          <w:sz w:val="18"/>
          <w:szCs w:val="18"/>
          <w:color w:val="auto"/>
        </w:rPr>
        <w:t>payment is based directly or indirectly on success in securing enrollments or financial aid. KNA is a third party providing bundled services to Title IV participating institutions that include recruiting and, in the case of Purdue Global, financial aid services. As such, KNA is also subject to the incentive compensation rules as applied to the institutions it serves and cannot provide any commission, bonus or other incentive payment to any covered employees, subcontractors or other parties engaged in certain student recruiting, admission or financial aid activities based on success in securing enrollments or financial aid. In addition, tuition revenue sharing payments to KNA under the TOSA (as well as any other agreement with any Title IV participating institution) must comply with revenue sharing guidance provided by the ED related to bundled services agreements. For more information, see Item 1A. Risk Factors. Failure to Comply with the ED’s Title IV Incentive Compensation Rule Could Subject Kaplan to Liabilities, Sanctions and Fines.</w:t>
      </w:r>
    </w:p>
    <w:p>
      <w:pPr>
        <w:spacing w:after="0" w:line="117" w:lineRule="exact"/>
        <w:rPr>
          <w:sz w:val="20"/>
          <w:szCs w:val="20"/>
          <w:color w:val="auto"/>
        </w:rPr>
      </w:pPr>
    </w:p>
    <w:p>
      <w:pPr>
        <w:spacing w:after="0" w:line="223" w:lineRule="auto"/>
        <w:rPr>
          <w:sz w:val="20"/>
          <w:szCs w:val="20"/>
          <w:color w:val="auto"/>
        </w:rPr>
      </w:pPr>
      <w:r>
        <w:rPr>
          <w:rFonts w:ascii="Arial" w:cs="Arial" w:eastAsia="Arial" w:hAnsi="Arial"/>
          <w:sz w:val="18"/>
          <w:szCs w:val="18"/>
          <w:i w:val="1"/>
          <w:iCs w:val="1"/>
          <w:color w:val="auto"/>
        </w:rPr>
        <w:t xml:space="preserve">Misrepresentations. </w:t>
      </w:r>
      <w:r>
        <w:rPr>
          <w:rFonts w:ascii="Arial" w:cs="Arial" w:eastAsia="Arial" w:hAnsi="Arial"/>
          <w:sz w:val="18"/>
          <w:szCs w:val="18"/>
          <w:color w:val="auto"/>
        </w:rPr>
        <w:t>A Title IV participating institution is required to comply with the ED regulations related to misrepresentations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federal and state laws. These laws and regulations are broad in scope and may extend to statements by servicers, such as KNA, that provide marketing or certain other services to such institutions. The laws and regulations may also apply to KNA’s employees and agents, with respect to statements addressing the nature of an institution’s programs, financial charges or the employability of its graduates. Additionally, failure to comply with these and other federal and state laws and regulations regarding misrepresentations and marketing practices could result in the imposition on KNA or its client institutions of fines, other sanctions or liabilities, including, without limitation, federal student aid repayment obligations to the ED, the termination or limitation on KNA’s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and could result in fines, other sanctions or liabilities imposed on KNA.</w:t>
      </w:r>
    </w:p>
    <w:p>
      <w:pPr>
        <w:spacing w:after="0" w:line="122" w:lineRule="exact"/>
        <w:rPr>
          <w:sz w:val="20"/>
          <w:szCs w:val="20"/>
          <w:color w:val="auto"/>
        </w:rPr>
      </w:pPr>
    </w:p>
    <w:p>
      <w:pPr>
        <w:spacing w:after="0" w:line="222" w:lineRule="auto"/>
        <w:rPr>
          <w:sz w:val="20"/>
          <w:szCs w:val="20"/>
          <w:color w:val="auto"/>
        </w:rPr>
      </w:pPr>
      <w:r>
        <w:rPr>
          <w:rFonts w:ascii="Arial" w:cs="Arial" w:eastAsia="Arial" w:hAnsi="Arial"/>
          <w:sz w:val="18"/>
          <w:szCs w:val="18"/>
          <w:i w:val="1"/>
          <w:iCs w:val="1"/>
          <w:color w:val="auto"/>
        </w:rPr>
        <w:t xml:space="preserve">Compliance by client institutions with Title IV program requirements and other federal, state and accreditation requirements. </w:t>
      </w:r>
      <w:r>
        <w:rPr>
          <w:rFonts w:ascii="Arial" w:cs="Arial" w:eastAsia="Arial" w:hAnsi="Arial"/>
          <w:sz w:val="18"/>
          <w:szCs w:val="18"/>
          <w:color w:val="auto"/>
        </w:rPr>
        <w:t>KNA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services to education institutions that are heavily regulated by federal and state laws and regulations and subject to extensive accrediting body requirements. Presently, a material portion of KNA’s revenues are attributable to deferred purchase and service fees it receives under the TOSA, which are dependent upon revenues generated by Purdue Global and dependent upon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 and programmatic accreditation. If the ED finds that Purdue Global or other client institutions have failed to comply with Title IV requirements or improperly disbursed or retained Title IV program funds, it may take one or more of a number of actions, including, but not limited to:</w:t>
      </w:r>
    </w:p>
    <w:p>
      <w:pPr>
        <w:spacing w:after="0" w:line="14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fining the school;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repay Title IV program funds;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or terminating the school’s eligibility to participate in Title IV programs;</w:t>
      </w:r>
    </w:p>
    <w:p>
      <w:pPr>
        <w:spacing w:after="0" w:line="144" w:lineRule="exact"/>
        <w:rPr>
          <w:rFonts w:ascii="Arial" w:cs="Arial" w:eastAsia="Arial" w:hAnsi="Arial"/>
          <w:sz w:val="18"/>
          <w:szCs w:val="18"/>
          <w:color w:val="auto"/>
        </w:rPr>
      </w:pPr>
    </w:p>
    <w:p>
      <w:pPr>
        <w:ind w:left="660" w:right="50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initiating an emergency action to suspend the school’s participation in Title IV programs without prior notice or opportunity for a hearing;</w:t>
      </w:r>
    </w:p>
    <w:p>
      <w:pPr>
        <w:spacing w:after="0" w:line="134" w:lineRule="exact"/>
        <w:rPr>
          <w:rFonts w:ascii="Arial" w:cs="Arial" w:eastAsia="Arial" w:hAnsi="Arial"/>
          <w:sz w:val="18"/>
          <w:szCs w:val="18"/>
          <w:color w:val="auto"/>
        </w:rPr>
      </w:pPr>
    </w:p>
    <w:p>
      <w:pPr>
        <w:ind w:left="660" w:right="38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transferring the school to a method of Title IV payment that would adversely affect the timing of the institution’s receipt of Title IV funds;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submit a letter of credit;</w:t>
      </w:r>
    </w:p>
    <w:p>
      <w:pPr>
        <w:spacing w:after="0" w:line="144" w:lineRule="exact"/>
        <w:rPr>
          <w:rFonts w:ascii="Arial" w:cs="Arial" w:eastAsia="Arial" w:hAnsi="Arial"/>
          <w:sz w:val="18"/>
          <w:szCs w:val="18"/>
          <w:color w:val="auto"/>
        </w:rPr>
      </w:pPr>
    </w:p>
    <w:p>
      <w:pPr>
        <w:ind w:left="660" w:right="40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denying or refusing to consider the school’s application for renewal of its certification to participate in the Title IV programs or for approval to add a new campus or educational program; and</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referring the matter for possible civil or criminal investigation.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9" w:name="page10"/>
    <w:bookmarkEnd w:id="9"/>
    <w:p>
      <w:pPr>
        <w:ind w:right="40"/>
        <w:spacing w:after="0" w:line="221" w:lineRule="auto"/>
        <w:rPr>
          <w:sz w:val="20"/>
          <w:szCs w:val="20"/>
          <w:color w:val="auto"/>
        </w:rPr>
      </w:pPr>
      <w:r>
        <w:rPr>
          <w:rFonts w:ascii="Arial" w:cs="Arial" w:eastAsia="Arial" w:hAnsi="Arial"/>
          <w:sz w:val="18"/>
          <w:szCs w:val="18"/>
          <w:color w:val="auto"/>
        </w:rPr>
        <w:t>If Purdue Global or other client institutions lose or have limits placed on their Title IV eligibility, accreditation or state licensure, or if they are subject to fines, repayment obligations or other adverse actions due to their or KNA’s noncompliance with Title IV regulations, accreditor or state agency requirements or other state or federal laws, KNA’s financial results of operations could be adversely affected. After acquiring KU, on August 3, 2018, Purdue Global received an updated Provisional Program Participation Agreement (PPPA) from the ED which is necessary for continued participation in the federal Title IV programs after the change in ownership from Kaplan to Purdue. The PPPA expired on June 30, 2021, but continues in effect until the ED issues the final approved Program Participation Agreement. On October 15, 2021, Purdue Global received from the ED a new PPPA granting provisional certification until June 30, 2022. Under this PPPA, Purdue Global must apply for and receive approval for expansion or any substantial change before it may award, disburse or distribute Title IV funds based on the substantial change. Substantial changes generally include, but are not limited to: (a) establishment of an additional location; (b) increase in the level of academic offering beyond those listed in the institution's Eligibility and Certification Approval Report (ECAR); (c) addition of any educational program (including degree, non-degree or short-term training programs), or (d) the addition of any new degree program. In addition, the institution must pay any liabilities found in a currently open program review prior to the expiration of the PPPA. The provisional certification ends upon the ED's notification to the institution of the ED's decision to grant or deny a six-year certification to participate in the Title IV, Higher Education Act (HEA) programs.</w:t>
      </w:r>
    </w:p>
    <w:p>
      <w:pPr>
        <w:spacing w:after="0" w:line="122" w:lineRule="exact"/>
        <w:rPr>
          <w:sz w:val="20"/>
          <w:szCs w:val="20"/>
          <w:color w:val="auto"/>
        </w:rPr>
      </w:pPr>
    </w:p>
    <w:p>
      <w:pPr>
        <w:spacing w:after="0" w:line="225" w:lineRule="auto"/>
        <w:rPr>
          <w:sz w:val="20"/>
          <w:szCs w:val="20"/>
          <w:color w:val="auto"/>
        </w:rPr>
      </w:pPr>
      <w:r>
        <w:rPr>
          <w:rFonts w:ascii="Arial" w:cs="Arial" w:eastAsia="Arial" w:hAnsi="Arial"/>
          <w:sz w:val="18"/>
          <w:szCs w:val="18"/>
          <w:i w:val="1"/>
          <w:iCs w:val="1"/>
          <w:color w:val="auto"/>
        </w:rPr>
        <w:t xml:space="preserve">Compliance, regulatory actions, reviews and litigation. </w:t>
      </w:r>
      <w:r>
        <w:rPr>
          <w:rFonts w:ascii="Arial" w:cs="Arial" w:eastAsia="Arial" w:hAnsi="Arial"/>
          <w:sz w:val="18"/>
          <w:szCs w:val="18"/>
          <w:color w:val="auto"/>
        </w:rPr>
        <w:t>KNA and its client institutions are subject to reviews, audits, investigations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reviews conducted by various regulatory agencies and auditors, including, among others, the ED, the ED’s Office of the Inspector General, accrediting bodies and state and various other federal agencies. These compliance reviews could result in findings of noncompliance with statutory and regulatory requirements that could, in turn, result in the imposition of fines, liabilities, civil or criminal penalties or other sanctions against KNA and its client institutions. Separately, if KNA provides financial aid services to more than one Title IV participating institution (i.e., one or more participating institutions in addition to Purdue Global), it will be required to arrange for an independent auditor to conduct an annual Title IV compliance audit of KNA’s compliance with applicable ED requirements. KNA’s client institutions are also required to arrange for an independent auditor to conduct an annual Title IV compliance audit of their compliance with applicable ED requirements, including requirements related to services provided by KNA.</w:t>
      </w:r>
    </w:p>
    <w:p>
      <w:pPr>
        <w:spacing w:after="0" w:line="135"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On May 6, 2021, Kaplan received a notice from the ED that it would be conducting a fact-finding process pursuant to the borrower defense to repayment (BDTR) regulations to determine the validity of more than 800 BDTR claims and a request for documents related to several of Kaplan’s previously owned schools. Beginning in July 2021, Kaplan started receiving the claims and related information requests. In total, Kaplan received 1,449 borrower defense applications that seek discharge of approximately $35 million in loans. Most claims received are from former KU students. The ED’s process for adjudicating these claims is subject to the borrower defense regulations but it is not clear to what extent the ED will exclude claims based on the underlying statutes of limitations, evidence provided by Kaplan, or any prior investigation related to schools attended by the student applicants. Kaplan believes it has defenses that would bar any student discharge or school liability including that the claims are barred by the applicable statute of limitations, unproven, incomplete and fail to meet regulatory filing requirements. Kaplan expects to vigorously defend any attempt by the ED to hold Kaplan liable for any ultimate student discharges and is responding to all claims with documentary and narrative evidence to refute the allegations, demonstrate their lack of merit, and support the denial of all such claims by the ED. If the claims are successful, the ED may seek reimbursement for the amount discharged from Kaplan. If the ED initiates a reimbursement action against Kaplan following approval of former students’ BDTR applications, Kaplan may be subject to significant liability.</w:t>
      </w:r>
    </w:p>
    <w:p>
      <w:pPr>
        <w:spacing w:after="0" w:line="14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September 3, 2015, Kaplan sold to Education Corporation of America (ECA) substantially all of the assets of the prior KHE Campuses. The transaction included the transfer of certain real estate leases that were guaranteed or purportedly guaranteed by Kaplan. ECA is currently in receivership, has terminated all of its higher education operations and has sold most, if not all, of its remaining assets (including New England College of Business). Additionally, the receiver has repudiated all of ECA’s real estate leases. Although ECA is required to indemnify Kaplan for any amounts Kaplan must pay due to ECA’s failure to fulfill its obligations under the real estate leases guaranteed by Kaplan, ECA’s current financial condition and the amount of secured and unsecured creditor claims outstanding against ECA make it unlikely that Kaplan will recover from ECA. In the second half of 2018, the Company recorded an estimated $17.5 million in losses on guarantor lease obligations in connection with this transaction in other non-operating expense. The Company recorded an additional estimated $1.1 million in non-operating expense in 2019, $1 million in non-operating expense in 2020, and $1.1 million in non-operating expense in 2021; in each case consisting of legal fees and lease costs. The Company continues to monitor the status of these obligations.</w:t>
      </w:r>
    </w:p>
    <w:p>
      <w:pPr>
        <w:spacing w:after="0" w:line="137" w:lineRule="exact"/>
        <w:rPr>
          <w:sz w:val="20"/>
          <w:szCs w:val="20"/>
          <w:color w:val="auto"/>
        </w:rPr>
      </w:pPr>
    </w:p>
    <w:p>
      <w:pPr>
        <w:ind w:right="580"/>
        <w:spacing w:after="0" w:line="258" w:lineRule="auto"/>
        <w:rPr>
          <w:sz w:val="20"/>
          <w:szCs w:val="20"/>
          <w:color w:val="auto"/>
        </w:rPr>
      </w:pPr>
      <w:r>
        <w:rPr>
          <w:rFonts w:ascii="Arial" w:cs="Arial" w:eastAsia="Arial" w:hAnsi="Arial"/>
          <w:sz w:val="17"/>
          <w:szCs w:val="17"/>
          <w:color w:val="auto"/>
        </w:rPr>
        <w:t>In addition, Kaplan could be the subject of future compliance reviews or lawsuits related to formerly owned KU and KHE schools in connection with the pre-sale conduct of such schools that could result in monetary liabilities or fines or other sanctions against Kaplan.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Kaplan North America Supplemental Education</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2021, KNA’s supplemental education included all products of the former KTP and KP segments, including exam preparation, professional licensure and certification, and corporate training and continuing education. KNA offers a wide array of programs and services across various markets focusing on lifetime value creation and professional lifecycles. These markets are discussed below.</w:t>
      </w:r>
    </w:p>
    <w:p>
      <w:pPr>
        <w:spacing w:after="0" w:line="11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Precollege and Social Sciences. </w:t>
      </w:r>
      <w:r>
        <w:rPr>
          <w:rFonts w:ascii="Arial" w:cs="Arial" w:eastAsia="Arial" w:hAnsi="Arial"/>
          <w:sz w:val="18"/>
          <w:szCs w:val="18"/>
          <w:color w:val="auto"/>
        </w:rPr>
        <w:t>KNA provides exam preparation for high school and graduate students under the Kaplan Test Prep,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Manhattan Prep and Barron’s Educational Series brands for a broad range of standardized, high-stakes tests, including the SAT, ACT, GMAT and GRE. KNA also provides admissions consulting, tutoring and other advisory services.</w:t>
      </w:r>
    </w:p>
    <w:p>
      <w:pPr>
        <w:spacing w:after="0" w:line="113"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color w:val="222222"/>
        </w:rPr>
        <w:t xml:space="preserve">Healthcare. </w:t>
      </w:r>
      <w:r>
        <w:rPr>
          <w:rFonts w:ascii="Arial" w:cs="Arial" w:eastAsia="Arial" w:hAnsi="Arial"/>
          <w:sz w:val="18"/>
          <w:szCs w:val="18"/>
          <w:color w:val="222222"/>
        </w:rPr>
        <w:t>KNA provides exam preparation for the medical college admissions test (MCAT) and professional licensure exam preparation for</w:t>
      </w:r>
      <w:r>
        <w:rPr>
          <w:rFonts w:ascii="Arial" w:cs="Arial" w:eastAsia="Arial" w:hAnsi="Arial"/>
          <w:sz w:val="18"/>
          <w:szCs w:val="18"/>
          <w:b w:val="1"/>
          <w:bCs w:val="1"/>
          <w:i w:val="1"/>
          <w:iCs w:val="1"/>
          <w:color w:val="222222"/>
        </w:rPr>
        <w:t xml:space="preserve"> </w:t>
      </w:r>
      <w:r>
        <w:rPr>
          <w:rFonts w:ascii="Arial" w:cs="Arial" w:eastAsia="Arial" w:hAnsi="Arial"/>
          <w:sz w:val="18"/>
          <w:szCs w:val="18"/>
          <w:color w:val="000000"/>
        </w:rPr>
        <w:t>physicians (USMLE), nurses (NCLEX), pharmacists (NAPLEX), dentists (NBDE) and physician assistants (PANCE). Under the brand i-Human Patients, KNA offers online, simulated patient interaction training for medical health professionals, which is typically purchased by medical, nursing and physician assistant schools. KNA’s USMLE in-person programs are accredited and Student and Exchange Visitor Program (SEVP) approved for F-1 students and operate under the Kaplan Prep &amp; Achieve brand. In 2021, KNA acquired a continuing medical education business for physicians, nurses and pharmacists which is accredited by Joint Accreditation for Interprofessional Continuing Education and operated under the brand Projects in Knowledge.</w:t>
      </w:r>
    </w:p>
    <w:p>
      <w:pPr>
        <w:spacing w:after="0" w:line="115"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i w:val="1"/>
          <w:iCs w:val="1"/>
          <w:color w:val="auto"/>
        </w:rPr>
        <w:t xml:space="preserve">Legal, Government and Social Justice. </w:t>
      </w:r>
      <w:r>
        <w:rPr>
          <w:rFonts w:ascii="Arial" w:cs="Arial" w:eastAsia="Arial" w:hAnsi="Arial"/>
          <w:sz w:val="18"/>
          <w:szCs w:val="18"/>
          <w:color w:val="auto"/>
        </w:rPr>
        <w:t>KNA offers exam preparation for the law school admissions test (LSAT) and state bar licensure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 preparation for lawyers in 50 jurisdictions through Kaplan Bar Review and Preliminary Multistate Bar Review (PMBR). For the military, KNA offers the Armed Services Vocational Aptitude Battery (ASVAB) that measures developed abilities and helps predict future academic and occupational success in the military and in 2021, Kaplan acquired Bluejacketeer which offers practice test questions for Navy advancement exams on a subscription basis.</w:t>
      </w:r>
    </w:p>
    <w:p>
      <w:pPr>
        <w:spacing w:after="0" w:line="11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b w:val="1"/>
          <w:bCs w:val="1"/>
          <w:i w:val="1"/>
          <w:iCs w:val="1"/>
          <w:color w:val="auto"/>
        </w:rPr>
        <w:t xml:space="preserve">Business and Financial. </w:t>
      </w:r>
      <w:r>
        <w:rPr>
          <w:rFonts w:ascii="Arial" w:cs="Arial" w:eastAsia="Arial" w:hAnsi="Arial"/>
          <w:sz w:val="18"/>
          <w:szCs w:val="18"/>
          <w:color w:val="auto"/>
        </w:rPr>
        <w:t>Professional licensure products are operated under the brands Dearborn Real Estate Education, Kaplan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 Education, Bob Hogue School of Real Estate, Kaplan Financial Education, and Kaplan Schweser. KNA helps professionals obtain certifications, licenses and designations to enable them to advance their careers. Additionally, KNA collaborates with organizations to solve their talent management challenges through customized corporate learning and development solutions. Through live and online instruction, KNA provides professional license test preparation, licensing and continuing education, as well as leadership and professional development programs to businesses and individuals in the accounting, insurance, securities, real estate, financial services and wealth management areas.</w:t>
      </w:r>
    </w:p>
    <w:p>
      <w:pPr>
        <w:spacing w:after="0" w:line="115"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b w:val="1"/>
          <w:bCs w:val="1"/>
          <w:i w:val="1"/>
          <w:iCs w:val="1"/>
          <w:color w:val="auto"/>
        </w:rPr>
        <w:t xml:space="preserve">Technology and Engineering. </w:t>
      </w:r>
      <w:r>
        <w:rPr>
          <w:rFonts w:ascii="Arial" w:cs="Arial" w:eastAsia="Arial" w:hAnsi="Arial"/>
          <w:sz w:val="18"/>
          <w:szCs w:val="18"/>
          <w:color w:val="auto"/>
        </w:rPr>
        <w:t>KNA offers data science and analytics online courses and training for corporations under the brand name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Metis. In 2022, Metis expects to focus on providing courses and programs to educational institutions for their students rather than direct to student sales. KNA also offers licensing exam preparation for engineers, architects and designers under the brand name PPI.</w:t>
      </w:r>
    </w:p>
    <w:p>
      <w:pPr>
        <w:spacing w:after="0" w:line="113"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Kaplan Publishing focuses on Kaplan Test Prep, Barron's, and Manhattan Prep test preparation and reference resources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retail channels. At the end of 2021, Kaplan Publishing had 1,182 products available in print and digital formats, including 368 digital products. In total, KNA test prep prepares students for more than 233 standardized tests, the large majority of which are U.S. focused.</w:t>
      </w:r>
    </w:p>
    <w:p>
      <w:pPr>
        <w:spacing w:after="0" w:line="135"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In 2021, KNA served over 220,000 students through its exam preparation programs and related products (such as tutoring, online question banks and online practice tests), excluding sales of test prep books by third-party retailers. KNA exam preparation programs are taught online and at Kaplan-branded locations and at numerous other locations, such as hotels, high schools, universities and companies throughout the U.S., including Puerto Rico, as well as in Canada, Mexico and the U.K. KNA also licenses material for certain programs to third parties. Since the end of the first quarter of 2020, virtually all KNA exam preparation programs have been offered online, typically in a live online classroom or a self-study format, while some programs have continued in person. Private tutoring services are provided online and, in select markets, in person. In 2022, KNA expects to offer more in-person courses for select exam preparation offerings.</w:t>
      </w:r>
    </w:p>
    <w:p>
      <w:pPr>
        <w:spacing w:after="0" w:line="139"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In 2021, KNA served approximately 2,700 business-to-business clients including approximately 120 Fortune 500 companies. In 2021, approximately 218,000 students used KNA’s professional licensure exam preparation offerings.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TELEVISION BROADCASTING</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Graham Media Group, Inc. (GMG), a subsidiary of the Company, owns seven television stations located in Houston, TX; Detroit, MI; Orlando, FL; San Antonio, TX; Jacksonville, FL; and Roanoke, VA, as well as SocialNewsDesk, a provider of social media management tools designed to connect newsrooms with their users. The following table sets forth certain information with respect to each of the Company’s television stations: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jc w:val="center"/>
              <w:ind w:left="222"/>
              <w:spacing w:after="0"/>
              <w:rPr>
                <w:sz w:val="20"/>
                <w:szCs w:val="20"/>
                <w:color w:val="auto"/>
              </w:rPr>
            </w:pPr>
            <w:r>
              <w:rPr>
                <w:rFonts w:ascii="Arial" w:cs="Arial" w:eastAsia="Arial" w:hAnsi="Arial"/>
                <w:sz w:val="14"/>
                <w:szCs w:val="14"/>
                <w:b w:val="1"/>
                <w:bCs w:val="1"/>
                <w:color w:val="auto"/>
              </w:rPr>
              <w:t>Station, Location and</w:t>
            </w:r>
          </w:p>
        </w:tc>
        <w:tc>
          <w:tcPr>
            <w:tcW w:w="1760" w:type="dxa"/>
            <w:vAlign w:val="bottom"/>
          </w:tcPr>
          <w:p>
            <w:pPr>
              <w:jc w:val="center"/>
              <w:ind w:left="242"/>
              <w:spacing w:after="0"/>
              <w:rPr>
                <w:sz w:val="20"/>
                <w:szCs w:val="20"/>
                <w:color w:val="auto"/>
              </w:rPr>
            </w:pPr>
            <w:r>
              <w:rPr>
                <w:rFonts w:ascii="Arial" w:cs="Arial" w:eastAsia="Arial" w:hAnsi="Arial"/>
                <w:sz w:val="14"/>
                <w:szCs w:val="14"/>
                <w:b w:val="1"/>
                <w:bCs w:val="1"/>
                <w:color w:val="auto"/>
              </w:rPr>
              <w:t>National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48"/>
        </w:trPr>
        <w:tc>
          <w:tcPr>
            <w:tcW w:w="316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rPr>
              <w:t>Year Commercial</w:t>
            </w:r>
          </w:p>
        </w:tc>
        <w:tc>
          <w:tcPr>
            <w:tcW w:w="176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rPr>
              <w:t>Market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Network</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Date of FCC</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Network</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Stations</w:t>
            </w:r>
          </w:p>
        </w:tc>
      </w:tr>
      <w:tr>
        <w:trPr>
          <w:trHeight w:val="196"/>
        </w:trPr>
        <w:tc>
          <w:tcPr>
            <w:tcW w:w="316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rPr>
              <w:t>Operation Commenced</w:t>
            </w:r>
          </w:p>
        </w:tc>
        <w:tc>
          <w:tcPr>
            <w:tcW w:w="17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rPr>
              <w:t>Ranking (a)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10"/>
        </w:trPr>
        <w:tc>
          <w:tcPr>
            <w:tcW w:w="3160" w:type="dxa"/>
            <w:vAlign w:val="bottom"/>
          </w:tcPr>
          <w:p>
            <w:pPr>
              <w:ind w:left="20"/>
              <w:spacing w:after="0"/>
              <w:rPr>
                <w:sz w:val="20"/>
                <w:szCs w:val="20"/>
                <w:color w:val="auto"/>
              </w:rPr>
            </w:pPr>
            <w:r>
              <w:rPr>
                <w:rFonts w:ascii="Arial" w:cs="Arial" w:eastAsia="Arial" w:hAnsi="Arial"/>
                <w:sz w:val="16"/>
                <w:szCs w:val="16"/>
                <w:color w:val="auto"/>
              </w:rPr>
              <w:t>KPRC, Houston, TX, 1949</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rPr>
              <w:t>9th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2022</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2022</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17</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WDIV, Detroit, MI,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15th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2022</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10</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WKMG, Orlando, FL, 1954</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17th</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June 30, 2022</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18</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KSAT, San Antonio, TX, 1957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31st</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2022</w:t>
            </w:r>
          </w:p>
        </w:tc>
        <w:tc>
          <w:tcPr>
            <w:tcW w:w="1740" w:type="dxa"/>
            <w:vAlign w:val="bottom"/>
          </w:tcPr>
          <w:p>
            <w:pPr>
              <w:jc w:val="center"/>
              <w:spacing w:after="0"/>
              <w:rPr>
                <w:sz w:val="20"/>
                <w:szCs w:val="20"/>
                <w:color w:val="auto"/>
              </w:rPr>
            </w:pPr>
            <w:r>
              <w:rPr>
                <w:rFonts w:ascii="Arial" w:cs="Arial" w:eastAsia="Arial" w:hAnsi="Arial"/>
                <w:sz w:val="16"/>
                <w:szCs w:val="16"/>
                <w:color w:val="auto"/>
              </w:rPr>
              <w:t>March 31, 2026</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15</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WJXT, Jacksonville, FL,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w w:val="99"/>
              </w:rPr>
              <w:t>43rd</w:t>
            </w:r>
          </w:p>
        </w:tc>
        <w:tc>
          <w:tcPr>
            <w:tcW w:w="1320" w:type="dxa"/>
            <w:vAlign w:val="bottom"/>
          </w:tcPr>
          <w:p>
            <w:pPr>
              <w:jc w:val="center"/>
              <w:spacing w:after="0"/>
              <w:rPr>
                <w:sz w:val="20"/>
                <w:szCs w:val="20"/>
                <w:color w:val="auto"/>
              </w:rPr>
            </w:pPr>
            <w:r>
              <w:rPr>
                <w:rFonts w:ascii="Arial" w:cs="Arial" w:eastAsia="Arial" w:hAnsi="Arial"/>
                <w:sz w:val="16"/>
                <w:szCs w:val="16"/>
                <w:color w:val="auto"/>
              </w:rPr>
              <w:t>None</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9</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WCWJ, Jacksonville, FL, 1966</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w w:val="99"/>
              </w:rPr>
              <w:t>43rd</w:t>
            </w:r>
          </w:p>
        </w:tc>
        <w:tc>
          <w:tcPr>
            <w:tcW w:w="1320" w:type="dxa"/>
            <w:vAlign w:val="bottom"/>
          </w:tcPr>
          <w:p>
            <w:pPr>
              <w:jc w:val="center"/>
              <w:spacing w:after="0"/>
              <w:rPr>
                <w:sz w:val="20"/>
                <w:szCs w:val="20"/>
                <w:color w:val="auto"/>
              </w:rPr>
            </w:pPr>
            <w:r>
              <w:rPr>
                <w:rFonts w:ascii="Arial" w:cs="Arial" w:eastAsia="Arial" w:hAnsi="Arial"/>
                <w:sz w:val="16"/>
                <w:szCs w:val="16"/>
                <w:color w:val="auto"/>
              </w:rPr>
              <w:t>CW</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Aug.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9</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WSLS, Roanoke, VA, 1952</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71st</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2028</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2022</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8</w:t>
            </w:r>
          </w:p>
        </w:tc>
      </w:tr>
    </w:tbl>
    <w:p>
      <w:pPr>
        <w:spacing w:after="0" w:line="116"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p>
      <w:pPr>
        <w:spacing w:after="0" w:line="100"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Source: 2021/2022 Local Television Market Universe Estimates, the Nielsen Company, November 2021 and January 1, 2022, based on television homes in DMA (see note (b) below).</w:t>
      </w:r>
    </w:p>
    <w:p>
      <w:pPr>
        <w:spacing w:after="0" w:line="39" w:lineRule="exact"/>
        <w:rPr>
          <w:rFonts w:ascii="Arial" w:cs="Arial" w:eastAsia="Arial" w:hAnsi="Arial"/>
          <w:sz w:val="13"/>
          <w:szCs w:val="13"/>
          <w:color w:val="auto"/>
        </w:rPr>
      </w:pPr>
    </w:p>
    <w:p>
      <w:pPr>
        <w:ind w:right="280" w:firstLine="8"/>
        <w:spacing w:after="0" w:line="230"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3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2021, advertising revenue accounted for 57.7% of the total for GMG’s operations. Advertising revenue is sensitive to a number of factors, some specific to a particular station or market and others more general in nature. These factors include a station’s audience share and market ranking; seasonal fluctuations in demand for airtime; annual or biannual events, such as sporting events and political elections; and broader economic trends, among others.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 As shown in the table above, the current terms of the GMG station licenses expire in 2022 through 2029. GMG expects the FCC to grant future renewal applications for its stations in due course, but cannot provide any assurances that the FCC will do so.</w:t>
      </w:r>
    </w:p>
    <w:p>
      <w:pPr>
        <w:spacing w:after="0" w:line="11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broadcasts only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and multiple channels of standard-definition television programming (multicasting).</w:t>
      </w:r>
    </w:p>
    <w:p>
      <w:pPr>
        <w:spacing w:after="0" w:line="135"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135"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In November 2017, the FCC voted to adopt rules authorizing broadcast television stations to voluntarily transition to a new technical standard, called Next Generation TV or ATSC 3.0. The new standard is designed to allow broadcasters to provide consumers with better sound and picture quality; hyper-localized programming, including news and weather; enhanced emergency alerts and improved mobile reception. The standard allows for the use of targeted advertising and more efficient use of spectrum, for example, by allowing for more multicast streams to be aired on the same six-megahertz channel. ATSC 3.0 is not backward compatible with existing television equipment, and the FCC’s rules require full-power television stations that transition to the new standard to continue broadcasting a signal in the existing DTV standard until the FCC phases out the requirement in a future order. A transitioning station’s DTV-formatted content must be substantially similar to the programming aired on its ATSC 3.0 channel until July17, 2023, five years from the date the rules in the original 2017 FCC order were finalized. In June 2020, the FCC re-affirmed this sunset date, but stated that it would open a proceeding one year prior to the sunset date to determine whether the date should be extended.</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GMG launched its first ATSC 3.0 stream in December 2020 for station WDIV-TV in Detroit; prior to the launch, WDIV-TV had applied for and was granted authority by the FCC to effectuate an ATSC 3.0 simulcasting arrangement with WMYD (licensed to Scripps Broadcasting Holdings, LLC) in the Detroit area. In 2021, two GMG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 w:name="page13"/>
    <w:bookmarkEnd w:id="12"/>
    <w:p>
      <w:pPr>
        <w:spacing w:after="0" w:line="223" w:lineRule="auto"/>
        <w:rPr>
          <w:sz w:val="20"/>
          <w:szCs w:val="20"/>
          <w:color w:val="auto"/>
        </w:rPr>
      </w:pPr>
      <w:r>
        <w:rPr>
          <w:rFonts w:ascii="Arial" w:cs="Arial" w:eastAsia="Arial" w:hAnsi="Arial"/>
          <w:sz w:val="18"/>
          <w:szCs w:val="18"/>
          <w:color w:val="auto"/>
        </w:rPr>
        <w:t>stations each entered into simulcasting arrangements. First, in June 2021, GMG station WKMG-TV (Orlando) applied for and was granted authority by the FCC to effectuate an ATSC 3.0 simulcasting arrangement with another station in the Orlando area (WRBW-DT, licensed to Fox Television Stations, LLC). The station’s ATSC 3.0 stream was then launched along with the rest of the market on June 30, 2021. Second, in November 2021, GMG station KPRC-TV (Houston) applied for and was granted authority by the FCC to effectuate an ATSC 3.0 simulcasting arrangement with another station in the Houston area (KIAH, licensed to Tribune Media Company). The station’s ATSC 3.0 stream was then launched on December 2, 2021. As required by the FCC rules, each of the respective station’s stream is in addition to such station’s current DTV stream, which viewers continue to be able to view.</w:t>
      </w:r>
    </w:p>
    <w:p>
      <w:pPr>
        <w:spacing w:after="0" w:line="139"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In connection with the transition to ATSC 3.0, which is an internet protocol-based standard, the FCC has updated its rules to reflect how broadcasters may use their spectrum in non-traditional ways (Broadcast Internet). In June 2020, the FCC issued a Declaratory Ruling clarifying that the television ownership rules would not apply to the lease of broadcast spectrum for Broadcast Internet purposes, and in December 2020, the FCC voted to adopt rules that specifically apply its existing framework regarding derogation of service and use of spectrum for ancillary and supplementary purposes to Broadcast Internet; i.e., a broadcaster must continue to air at least one free, over-the-air television signal in SDTV format, and if a broadcaster opts to use its spectrum for Broadcast Internet services, it will incur a five percent fee based on the gross revenue received by the broadcaster. It is too soon to predict how the use of broadcast spectrum for Broadcast Internet services could impact the industry.</w:t>
      </w:r>
    </w:p>
    <w:p>
      <w:pPr>
        <w:spacing w:after="0" w:line="135"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In April 2017, the FCC announced the completion of an incentive auction in which certain broadcast television stations bid to relinquish spectrum or move to a different spectrum band in exchange for a share of the revenues obtained by auctioning the reallocated broadcast spectrum for use by wireless broadband providers</w:t>
      </w:r>
      <w:r>
        <w:rPr>
          <w:rFonts w:ascii="Arial" w:cs="Arial" w:eastAsia="Arial" w:hAnsi="Arial"/>
          <w:sz w:val="18"/>
          <w:szCs w:val="18"/>
          <w:b w:val="1"/>
          <w:bCs w:val="1"/>
          <w:color w:val="auto"/>
        </w:rPr>
        <w:t>.</w:t>
      </w:r>
      <w:r>
        <w:rPr>
          <w:rFonts w:ascii="Arial" w:cs="Arial" w:eastAsia="Arial" w:hAnsi="Arial"/>
          <w:sz w:val="18"/>
          <w:szCs w:val="18"/>
          <w:color w:val="auto"/>
        </w:rPr>
        <w:t xml:space="preserve"> None of GMG’s stations participated in the incentive auction. However, certain GMG stations—specifically, WDIV, WSLS, WCWJ and WJXT—were required to move to new channel allotments in order to free up a nationwide block of spectrum for wireless broadband use. The FCC adopted rules requiring this “repacking” of broadcast television stations to new channels to be completed within 39 months after the incentive auction closed, with earlier deadlines set for particular stations in order to stagger the transition to new channels. The WSLS transition was completed on September 11, 2019, the WCWJ and WJXT transitions were completed on January 16, 2020, and the WDIV transition was completed on September 16, 2020 (following tolling of its assigned deadline due to delays related to the COVID-19 pandemic).</w:t>
      </w:r>
    </w:p>
    <w:p>
      <w:pPr>
        <w:spacing w:after="0" w:line="140"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GMG’s repacked stations have been eligible to seek reimbursement for repacking-related costs and have been receiving reimbursement payments through the FCC’s process. Congress has capped the overall funds available for repack-related reimbursements. The initial legislation authorizing the incentive auction provided only $1.75 billion in total for all such reimbursements. Congress later made available an additional $1 billion in reimbursement funds, with $600 million in available funds allocated to 2018 and $400 million allocated to 2019.</w:t>
      </w:r>
    </w:p>
    <w:p>
      <w:pPr>
        <w:spacing w:after="0" w:line="135"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To date, each repacked commercial television station, including each of the repacked GMG stations, has been allocated a reimbursement amount equal to approximately 94% of the station’s estimated repacking costs, as verified by the FCC’s fund administrator. Receipt of the allocated funds is subject to FCC approval of particular requests for reimbursement of actual costs fully incurred. By October 8, 2021, stations that transitioned in the first half of the 39-month post-auction repack had to submit all remaining invoices for incurred expenses. WSLS, which transitioned in the first half of the post-auction repack, complied with this deadline. The remaining GMG stations must submit all remaining invoices, to the extent there are any, in 2022. As of December 31, 2021, the repacked GMG stations have received approximately $19.6 million in FCC reimbursements since 2018.</w:t>
      </w:r>
    </w:p>
    <w:p>
      <w:pPr>
        <w:spacing w:after="0" w:line="13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March 2020, the FCC announced the reformation of the 3.7-4.2 GHz band (C-band) through a public auction of the lower 280 megahertz of these frequencies (3.7-3.98 GHz). This auction, which concluded February 2021, allows winning bidders to use the 3.7-3.98 GHz frequencies for wireless broadband services. However, this spectrum reallocation requires the relocation of incumbent C-band satellite operations—including those used to deliver programming to television stations—to a “repacked” 4.0-4.2 GHz band. In exchange for a portion of the auction proceeds, satellite operators have chosen to relocate their operations pursuant to an “accelerated” relocation timeline.</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GMG’s television stations receive programming from the relocating satellite operators, and this requires the transition of operations at GMG stations through the installation of antenna filters, repointing and retuning of antennas, and other activities. Although GMG elected to have the satellite operators manage these transition efforts, GMG coordinated with the satellite operators and submitted various filings to the FCC to confirm the transition eligibility of its stations and ensure the stations remain protected from harmful interference post-transition.</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first phase of the “accelerated” C-band transition concluded December 5, 2021, and the deadline for the second phase is December 5, 2023. GMG anticipates that the satellite operators and the FCC may request additional information about GMG’s stations to complete the second phase of the transition.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ind w:right="240"/>
        <w:spacing w:after="0" w:line="233"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Congress has established, and periodically has extended or otherwise modified, various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copyright licensing regimes governing the local and distant carriage of broadcast television signals on cable and satellite systems. The Company cannot predict whether or how Congress may maintain or modify these regimes in the future, or what net effect such decisions would have on the Company’s broadcast operations or on the Company overall.</w:t>
      </w:r>
    </w:p>
    <w:p>
      <w:pPr>
        <w:spacing w:after="0" w:line="13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Communications Act and the FCC rules allow a commercial television broadcast station, under certain circumstances, to insist on mandatory carriage of its signal on cable systems serving the station’s market area (must carry). Alternatively, stations may elect, at three-year intervals, to forgo must-carry rights and allow their signals to be carried by cable systems only pursuant to a “retransmission consent” agreement. Commercial television stations also may elect either mandatory carriage or retransmission consent with respect to the carriage of their signals on direct broadcast satellite (DBS) systems that provide “local-into-local” service (i.e., distribute the signals of local television stations to viewers in the local market area). Stations that elect retransmission consent may negotiate for compensation from cable or DBS systems in exchange for the right to carry their signals. Each of GMG’s television stations has elected retransmission consent for both cable and DBS operators, and each is carried on all of the major cable and DBS systems serving each station’s respective local market pursuant to retransmission consent agreements. Retransmission consent elections must be made every three years. The most recent election deadline was October 1, 2020; all GMG stations elected retransmission consent for both cable and DBS operators. The 2020 election process was less time-intensive than prior processes, as the FCC in July 2019 moved to an electronic election system that now allows broadcasters to post their carriage elections online and to send notices to covered MVPDs electronically. The next election deadline is October 1, 2023 and will follow the same process.</w:t>
      </w:r>
    </w:p>
    <w:p>
      <w:pPr>
        <w:spacing w:after="0" w:line="14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Recent statutory changes have required the FCC to modify its rules governing retransmission consent negotiations. The Television Viewer Protection Act, enacted on December 20, 2019, made changes to the “good faith” standards for retransmission consent negotiations, calling for the FCC to implement regulations requiring “large station groups” (groups of television broadcast stations that have a national audience reach of more than 20%) to negotiate in good faith with MVPD “buying groups” (entities that negotiate on behalf of multiple small MVPDs). GMG does not qualify as a “large station group” under the statute and therefore will not be subject to this obligation. While GMG does not anticipate that these recent changes will materially affect its bargaining position in retransmission consent negotiations, if Congress or the FCC were to enact further changes to the retransmission consent rules (such as by requiring small station groups like GMG to negotiate with MVPD buying groups, or otherwise giving MVPDs heightened bargaining power), such changes could have a material effect on retransmission consent revenues.</w:t>
      </w:r>
    </w:p>
    <w:p>
      <w:pPr>
        <w:spacing w:after="0" w:line="140"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FCC has also considered proposals to alter its rules governing network non-duplication and syndicated exclusivity. In March 2014, the FCC solicited comments on a proposal to eliminate its network non-duplication and syndicated exclusivity rules, which restrict the ability of cable operators, direct broadcast satellite systems and other distributors classified by the FCC as MVPDs to import the signals of out-of-market television stations with duplicate programming during retransmission consent disputes or otherwise. The FCC has not acted on that proposal to date. If Congress or the FCC were to enact further changes to the exclusivity rules, such changes could materially affect the GMG stations’ bargaining position in future retransmission consent negotiations.</w:t>
      </w:r>
    </w:p>
    <w:p>
      <w:pPr>
        <w:spacing w:after="0" w:line="115"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161616"/>
        </w:rPr>
        <w:t>The Communications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the FCC</w:t>
      </w:r>
      <w:r>
        <w:rPr>
          <w:rFonts w:ascii="Arial" w:cs="Arial" w:eastAsia="Arial" w:hAnsi="Arial"/>
          <w:sz w:val="18"/>
          <w:szCs w:val="18"/>
          <w:color w:val="auto"/>
        </w:rPr>
        <w:t>’</w:t>
      </w:r>
      <w:r>
        <w:rPr>
          <w:rFonts w:ascii="Arial" w:cs="Arial" w:eastAsia="Arial" w:hAnsi="Arial"/>
          <w:sz w:val="18"/>
          <w:szCs w:val="18"/>
          <w:color w:val="161616"/>
        </w:rPr>
        <w:t>s rules limit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types of media outlets in which a single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 xml:space="preserve">entity </w:t>
      </w:r>
      <w:r>
        <w:rPr>
          <w:rFonts w:ascii="Arial" w:cs="Arial" w:eastAsia="Arial" w:hAnsi="Arial"/>
          <w:sz w:val="18"/>
          <w:szCs w:val="18"/>
          <w:color w:val="161616"/>
        </w:rPr>
        <w:t>may have an attributable interest.</w:t>
      </w:r>
      <w:r>
        <w:rPr>
          <w:rFonts w:ascii="Arial" w:cs="Arial" w:eastAsia="Arial" w:hAnsi="Arial"/>
          <w:sz w:val="18"/>
          <w:szCs w:val="18"/>
          <w:color w:val="262826"/>
        </w:rPr>
        <w:t xml:space="preserve"> </w:t>
      </w:r>
      <w:r>
        <w:rPr>
          <w:rFonts w:ascii="Arial" w:cs="Arial" w:eastAsia="Arial" w:hAnsi="Arial"/>
          <w:sz w:val="18"/>
          <w:szCs w:val="18"/>
          <w:color w:val="000000"/>
        </w:rPr>
        <w:t>The FCC is required by statute to review its media ownership rules (with the exception of the national</w:t>
      </w:r>
      <w:r>
        <w:rPr>
          <w:rFonts w:ascii="Arial" w:cs="Arial" w:eastAsia="Arial" w:hAnsi="Arial"/>
          <w:sz w:val="18"/>
          <w:szCs w:val="18"/>
          <w:color w:val="262826"/>
        </w:rPr>
        <w:t xml:space="preserve"> </w:t>
      </w:r>
      <w:r>
        <w:rPr>
          <w:rFonts w:ascii="Arial" w:cs="Arial" w:eastAsia="Arial" w:hAnsi="Arial"/>
          <w:sz w:val="18"/>
          <w:szCs w:val="18"/>
          <w:color w:val="000000"/>
        </w:rPr>
        <w:t xml:space="preserve">television ownership rule, discussed below) every four years to determine whether those rules remain necessary in the public interest as the result of competition. This process is referred to as the quadrennial review. In November 2017, the FCC conducted such a review and voted to eliminate certain of its ownership limit restrictions and to modify others. This FCC decision was challenged in court, and the Third Circuit Court of Appeals set aside the FCC’s decision in </w:t>
      </w:r>
      <w:r>
        <w:rPr>
          <w:rFonts w:ascii="Arial" w:cs="Arial" w:eastAsia="Arial" w:hAnsi="Arial"/>
          <w:sz w:val="18"/>
          <w:szCs w:val="18"/>
          <w:color w:val="161616"/>
        </w:rPr>
        <w:t>November 2019. However,</w:t>
      </w:r>
      <w:r>
        <w:rPr>
          <w:rFonts w:ascii="Arial" w:cs="Arial" w:eastAsia="Arial" w:hAnsi="Arial"/>
          <w:sz w:val="18"/>
          <w:szCs w:val="18"/>
          <w:color w:val="000000"/>
        </w:rPr>
        <w:t xml:space="preserve"> the FCC appealed the Third Circuit court’s decision, and on April 1, 2021, the U.S. Supreme Court reversed that decision. This means that the media ownership rules now reflect the November 2017 changes. </w:t>
      </w:r>
      <w:r>
        <w:rPr>
          <w:rFonts w:ascii="Arial" w:cs="Arial" w:eastAsia="Arial" w:hAnsi="Arial"/>
          <w:sz w:val="18"/>
          <w:szCs w:val="18"/>
          <w:color w:val="161616"/>
        </w:rPr>
        <w:t>The current ownership rule most relevant to GMG is the local television ownership rule. The rule prohibits one broadcaster from</w:t>
      </w:r>
      <w:r>
        <w:rPr>
          <w:rFonts w:ascii="Arial" w:cs="Arial" w:eastAsia="Arial" w:hAnsi="Arial"/>
          <w:sz w:val="18"/>
          <w:szCs w:val="18"/>
          <w:color w:val="000000"/>
        </w:rPr>
        <w:t xml:space="preserve"> </w:t>
      </w:r>
      <w:r>
        <w:rPr>
          <w:rFonts w:ascii="Arial" w:cs="Arial" w:eastAsia="Arial" w:hAnsi="Arial"/>
          <w:sz w:val="18"/>
          <w:szCs w:val="18"/>
          <w:color w:val="161616"/>
        </w:rPr>
        <w:t>owning (or having an attributable interest in) two full-power television stations licensed to the same Nielsen DMA if both of them are ranked among the top four stations in the market, unless the broadcaster can demonstrate to the FCC that the combination serves the public interest. Ownership of more than two full-power television stations is generally prohibited.</w:t>
      </w:r>
    </w:p>
    <w:p>
      <w:pPr>
        <w:spacing w:after="0" w:line="13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FCC’s most recent quadrennial review of its media ownership rules was initiated in December 2018. That proceeding remains open. In June 2021, the FCC solicited comments to refresh the record, but no action has been taken in that proceeding to date. GMG’s ability to enter into certain transactions in the future may be affected by the resolution of the current FCC quadrennial review proceeding.</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 as long as such interest complies with the FCC’s other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4" w:name="page15"/>
    <w:bookmarkEnd w:id="14"/>
    <w:p>
      <w:pPr>
        <w:ind w:right="60"/>
        <w:spacing w:after="0" w:line="223" w:lineRule="auto"/>
        <w:rPr>
          <w:sz w:val="20"/>
          <w:szCs w:val="20"/>
          <w:color w:val="auto"/>
        </w:rPr>
      </w:pPr>
      <w:r>
        <w:rPr>
          <w:rFonts w:ascii="Arial" w:cs="Arial" w:eastAsia="Arial" w:hAnsi="Arial"/>
          <w:sz w:val="18"/>
          <w:szCs w:val="18"/>
          <w:color w:val="auto"/>
        </w:rPr>
        <w:t>ownership restrictions. In 2016, the FCC eliminated the 50% Ultra High Frequency (UHF) discount, under which stations broadcasting on UHF channels are credited with only half the number of households in their market for purposes of calculating compliance with the 39% cap. However, the FCC reversed that decision in early 2017, concluding that the UHF discount should not be altered except in connection with a broader review of the national ownership cap. The reinstatement of the UHF discount was upheld by the D.C. Circuit in the summer of 2018. In December 2017, the FCC initiated a rule making proceeding seeking comments regarding its authority to modify or eliminate the national television ownership cap, which was set at 39% by statute, as well as the potential elimination of the UHF discount. That proceeding remains open.</w:t>
      </w:r>
    </w:p>
    <w:p>
      <w:pPr>
        <w:spacing w:after="0" w:line="117"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with one or more of the national television networks that provide a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programming to their television station affiliates. The expiration dates of GMG’s affiliation agreements are set forth at the beginning of this Television Broadcasting section. WJXT, one of GMG’s Jacksonville stations, has operated as an independent station since 2002. In addition, each of the GMG stations receives programming from syndicators and other third-party programming providers. GMG’s performance depends in part on the quality and availability of third-party programming, and any substantial decline in the quality or availability of this programming could materially affect the ability of GMG and its competitors to enter into certain transactions in the future.</w:t>
      </w:r>
    </w:p>
    <w:p>
      <w:pPr>
        <w:spacing w:after="0" w:line="116"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 xml:space="preserve">Public Interest Obligations. </w:t>
      </w:r>
      <w:r>
        <w:rPr>
          <w:rFonts w:ascii="Arial" w:cs="Arial" w:eastAsia="Arial" w:hAnsi="Arial"/>
          <w:sz w:val="18"/>
          <w:szCs w:val="18"/>
          <w:color w:val="auto"/>
        </w:rPr>
        <w:t>To satisfy FCC requirements, stations generally are expected to air a specified number of hours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intended to serve the educational and informational needs of children and to complete reports on a quarterly basis concerning children’s programming. In July 2019, the FCC modified these rules to provide broadcasters with more flexibility in meeting the public interest obligations. Among other things, these rules allow up to 52 hours per year of children’s programming to consist of educational specials and/or short-form programming. The prior rules required all qualifying programming to be regularly scheduled and in 30 -minute blocks. While stations are required to air the substantial majority of their educational and informational children’s programming on their primary program stream, under the current rules they may now air up to 13 hours per quarter of regularly scheduled weekly programming on a multicast stream. In addition, the FCC requires stations to limit the amount of advertising that appears during certain children’s programs.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and rules concerning the volume of commercials. Compliance with these rules imposes additional costs on the GMG stations that could affect GMG’s operations.</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regarding the broadcast of political announcements more generally, including the disclosures of certain information related to such advertising in the station’s online public inspection file. The application of these regulations may limit the advertising revenues of GMG’s television stations during the periods preceding elections. Failure to comply with the political advertising rules may result in enforcement actions by the FCC. The Company has procedures in place regarding compliance with the FCC’s political advertising rules, but cannot predict how the FCC’s future application of these rules will affect GMG’s stations.</w:t>
      </w:r>
    </w:p>
    <w:p>
      <w:pPr>
        <w:spacing w:after="0" w:line="11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may impose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The Company cannot predict how GMG’s stations may be affected by the FCC’s current or future interpretation and enforcement of its indecency policies.</w:t>
      </w:r>
    </w:p>
    <w:p>
      <w:pPr>
        <w:spacing w:after="0" w:line="115"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In addition to the matters described above, the FCC is conducting proceedings concerning various other matters,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outcome of which could adversely affect the profitability of GMG’s television broadcasting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6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333333"/>
        </w:rPr>
        <w:t>Hoover Treated Wood Products, Inc. (Hoover) is a supplier of pressure impregnated kiln-dried lumber and plywood products for fire-retardant and preservative applications. Hoover, founded in 1955 and acquired by the Company in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333333"/>
        </w:rPr>
        <w:t>2017, is headquartered in Thomson, GA. It operates 10 facilities across the country and services a stocking distributor network of more than</w:t>
      </w:r>
    </w:p>
    <w:p>
      <w:pPr>
        <w:spacing w:after="0"/>
        <w:rPr>
          <w:sz w:val="20"/>
          <w:szCs w:val="20"/>
          <w:color w:val="auto"/>
        </w:rPr>
      </w:pPr>
      <w:r>
        <w:rPr>
          <w:rFonts w:ascii="Arial" w:cs="Arial" w:eastAsia="Arial" w:hAnsi="Arial"/>
          <w:sz w:val="18"/>
          <w:szCs w:val="18"/>
          <w:color w:val="333333"/>
        </w:rPr>
        <w:t>100 locations spanning the U.S. and Canada.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Fort Wayne, IN, and operates 13 facilities in five states and Mexico.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66"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66"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Graham Healthcare Group (GHG) provides home health, hospice and palliative services to more than 50,000 patients annually. GHG operates 13 home care, seven hospice and two palliative care operating units in Michigan, Illinois, Pennsylvania and Florida. Six of GHG’s 19 operating units are operated through joint ventures with health systems and physician groups. The remainder are wholly owned and operated under the “Residential” brand name. Home health services include a wide range of health and social services delivered at home to recovering, disabled and chronically or terminally ill persons in need of medical, nursing, social or therapeutic treatment and assistance with the essential activities of daily living. Hospice care focuses on relieving symptoms and supporting patients with a life expectancy of six months or less. Hospice care involves an interdisciplinary approach to the provision of medical care, pain management and emotional and spiritual support, with an emphasis on comfort, not curing. Hospice services can be provided in the patient’s home, as well as in free-standing hospice facilities, hospitals, nursing homes and other long-term care facilities. Palliative care is a specialized form of medicine provided by nurse practitioners that aims to enhance the quality of life of patients and their families who are faced with serious illness. It focuses on increasing comfort through prevention and treatment of distressing symptoms. In addition to expert symptom management, palliative care focuses on clear communication, advance planning and coordination of care. Each GHG operating unit offers care coordination, healthcare solutions and clinical expertise. All home health and hospice operations are Medicare certified and accredited by the Accreditation Commission for Health Care (ACHC) or are in the process of being ACHC accredited. GHG derives 90% of its revenues for home health and hospice services from Medicare. The remaining sources of revenue are from Medicaid, commercial insurance and private payers.</w:t>
      </w:r>
    </w:p>
    <w:p>
      <w:pPr>
        <w:spacing w:after="0" w:line="138"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In 2019, GHG acquired two business units, Clinical Specialty Infusions, LLC (CSI Pharmacy) located in Texarkana, Texas, and Clarus Care, LLC (Clarus) in Nashville, Tennessee. CSI Pharmacy is a nationwide specialty pharmacy licensed in 38 states that serves patients suffering from chronic illness. CSI Pharmacy specializes in treating rare diseases with biologics and plasma-derived therapies, with revenues derived primarily from intravenous immunoglobulin (IVIG) therapy. CSI Pharmacy delivers products to patients’ houses and employs nurses to provide specialized infusion therapies in the home on a monthly basis. Clarus provides call management solutions to physician groups and hospitals. Clarus replaces traditional human-staffed answering services with a SaaS-based solution. Clarus streamlines calls, eliminates patient hold times, and manages referrals and new appointments. The solution eliminates delays, call routing errors and malpractice risk inherent with traditional call centers.</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December 2021, GHG acquired two businesses, one of which expanded GHG’s home health operations into Florida and Weiss Medical, a full service physician practice based in Riverdale, New Jersey. Weiss has expertise in all allergic and immunologic conditions, and specializes in challenging cases. It is often able to help patients even after they have seen numerous other specialists. The practice also offers infusion services.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AUTOMOTIVE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Graham Automotive LLC</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333333"/>
        </w:rPr>
        <w:t xml:space="preserve">The Company owns a 90% interest in four automotive dealerships. In January 2019, the Company acquired a 90% interest in two automobile dealerships in the Washington, D.C. area, Honda of Tysons Corner in Virginia and Lexus of Rockville in Maryland. The two dealerships are established automotive retailers. In December 2019, the Company opened a new Jeep dealership in Bethesda, MD. In December 2021, the Company acquired a 90% interest in an automobile dealership, Ford of Manassas in Virginia. The Company has a management services agreement with an entity affiliated with Christopher J. Ourisman, a member of the Ourisman Automotive Group family of dealerships, to operate and manage the operations of the dealerships. </w:t>
      </w:r>
      <w:r>
        <w:rPr>
          <w:rFonts w:ascii="Arial" w:cs="Arial" w:eastAsia="Arial" w:hAnsi="Arial"/>
          <w:sz w:val="18"/>
          <w:szCs w:val="18"/>
          <w:color w:val="000000"/>
        </w:rPr>
        <w:t>The Company also owns CarCare To Go, which provides valet repair services to and</w:t>
      </w:r>
      <w:r>
        <w:rPr>
          <w:rFonts w:ascii="Arial" w:cs="Arial" w:eastAsia="Arial" w:hAnsi="Arial"/>
          <w:sz w:val="18"/>
          <w:szCs w:val="18"/>
          <w:color w:val="333333"/>
        </w:rPr>
        <w:t xml:space="preserve"> </w:t>
      </w:r>
      <w:r>
        <w:rPr>
          <w:rFonts w:ascii="Arial" w:cs="Arial" w:eastAsia="Arial" w:hAnsi="Arial"/>
          <w:sz w:val="18"/>
          <w:szCs w:val="18"/>
          <w:color w:val="000000"/>
        </w:rPr>
        <w:t>from a network of dealership service centers in the Washington, D.C.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Leaf Group Ltd.</w:t>
      </w:r>
    </w:p>
    <w:p>
      <w:pPr>
        <w:spacing w:after="0" w:line="166"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In June 2021, the Company acquired Leaf Group Ltd. (Leaf), headquartered in Santa Monica, California. Leaf is a diversified consumer internet company that builds creator-driven brands in lifestyle and home and art design categories. Through its Society6 Group, Leaf operates leading art and design marketplaces where large communities of artists and designers can market and sell their original art and designs printed on a wide variety of products. Its made-to-order marketplaces, consisting of Society6.com (Society6) and its wholesale channel (collectively, Society6 Group), provide artists and designers with an online commerce platform to feature and sell their original art and designs on an array of consumer products primarily in the home décor category. Society6 Group’s wholesale channel sells products to trade and hospitality clients, as well as retail distribution partners. Through Leaf’s Saatchi Art Group, including SaatchiArt.com (Saatchi Art) and its art fair event brand, The Other Art Fair, Leaf provides an online art gallery where a global community of artists exhibit and sell their original artwork directly to consumers through a curated online gallery, virtual reality or in-person at art fairs hosted in the United Kingdom, Australia, Canada and the United States. Saatchi Art’s online art gallery features a wide selection of original paintings, drawings, sculptures and photography. Leaf’s Media Group consists of a diverse portfolio of media properties that educate and inform consumers across a wide variety of life topics, including fitness and wellness brands such as Well+Good and Livestrong.com, Hunker in the home and design space and Only In Your State in the travel sector. Together with these premium brands, Leaf owns and operates or hosts and operates over 45 websites focused on specific categories or interests. Leaf generates the majority of its media revenue from the sale of advertising.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In July 2019, the Company acquired Clyde’s Restaurant Group (Clyde’s). Clyde’s, founded in 1963, owns and operates 11 restaurants and entertainment venues in the Washington, D.C. metropolitan area, including seven Clyde’s locations, Old Ebbitt Grill, The Hamilton, 1789 Restaurant, and The Tombs.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 Inc.</w:t>
      </w:r>
    </w:p>
    <w:p>
      <w:pPr>
        <w:spacing w:after="0" w:line="166"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In May 2020, the Company acquired an additional interest in Framebridge, Inc. (Framebridge), a custom framing service company, that resulted in the Company’s ownership of approximately 93% of Framebridge. The CEO of Framebridge continues to hold an approximately</w:t>
      </w:r>
    </w:p>
    <w:p>
      <w:pPr>
        <w:spacing w:after="0" w:line="224" w:lineRule="auto"/>
        <w:rPr>
          <w:sz w:val="20"/>
          <w:szCs w:val="20"/>
          <w:color w:val="auto"/>
        </w:rPr>
      </w:pPr>
      <w:r>
        <w:rPr>
          <w:rFonts w:ascii="Arial" w:cs="Arial" w:eastAsia="Arial" w:hAnsi="Arial"/>
          <w:sz w:val="18"/>
          <w:szCs w:val="18"/>
          <w:color w:val="auto"/>
        </w:rPr>
        <w:t>7% ownership stake in Framebridge. Framebridge provides high-quality, affordable and fast custom framing directly to consumers. Through its website, app, and retail locations, Framebridge offers consumers the option to drop off or ship artwork, pictures and other personal objects directly to Framebridge to be custom framed and then delivered directly to a customer or a retail store for in-store pick up. Framebridge is headquartered in Washington, D.C., has 5 retail locations in the Washington, D.C./Maryland/Northern Virginia market, three locations in Manhattan and Brooklyn, NY, three in the Chicago market, two locations in Atlanta, GA, one each in the Boston and Philadelphia markets, and two manufacturing facilities in Kentucky and New Jersey.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Code3 is a marketing and insights company that manages digital advertising for global brands and early-stage companies. It delivers media, creative, and data services to transform consumer and performance data into planning, content, media activation and measurement to maximize ROI. Code3 works across platforms such as Facebook, Instagram, Amazon, Google, Twitter, Pinterest, Snapchat and YouTube. The legacy business surrounding the Audience Intelligence Platform (AIP) has been operated since the beginning of 2021 as a separate software company under the name, Decile LLC. “Code3” is the trade name of Social Code, LLC and Marketplace Strategy, LLC.</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Decile LLC</w:t>
      </w:r>
    </w:p>
    <w:p>
      <w:pPr>
        <w:spacing w:after="0" w:line="166"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Decile LLC (Decile) is a customer data and analytics software company that helps marketers extract value from their proprietary first-party customer and sales data. Decile provides software and services to help its business clients better understand customer acquisition costs, customer retention, unit economics and how to increase profitable growth</w:t>
      </w:r>
      <w:r>
        <w:rPr>
          <w:rFonts w:ascii="Arial" w:cs="Arial" w:eastAsia="Arial" w:hAnsi="Arial"/>
          <w:sz w:val="18"/>
          <w:szCs w:val="18"/>
          <w:b w:val="1"/>
          <w:bCs w:val="1"/>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48"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 xml:space="preserve">The Slate Group LLC (Slate)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21 million unique visitors per month and averaged more than 55 million page views per month across desktop and mobile platforms in 2021. The Slate Group owns an interest in 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The Slate Group provides content, technology and branding support.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Pinna is an audio-first children’s media company offering an on-demand subscription service that delivers curated audio programming for children, all in one place, including podcasts, audio shows, audiobooks and music. The service offers children an ad-free, screen-free way to play and listen. Pinna creates and produces award-winning, original shows and partners with best-in-class brands and top creative talent to deliver age-appropriate, high-quality, highly entertaining audio experiences for three- to 12-year-olds.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4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number of live and virtual events, bringing together government, military, business and investment leaders to discuss important regional and topical developments and their implications.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CyberVista LLC</w:t>
      </w:r>
    </w:p>
    <w:p>
      <w:pPr>
        <w:spacing w:after="0" w:line="16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CyberVista LLC (CyberVista) is a cybersecurity training company headquartered in Arlington, VA. Its training solutions span cyber protection, operations, cloud and hardware/software. Its Resolve executive training suite helps large company boards and executives prepare for and mitigate cyber threats. Customers include Fortune 500 companies, leading cybersecurity providers and the defense industrial base.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 LLC</w:t>
      </w:r>
    </w:p>
    <w:p>
      <w:pPr>
        <w:spacing w:after="0" w:line="16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City Cast LLC (City Cast) is a network of daily local news podcasts in cities around the country, accompanied by a daily email newsletter about local communities, including local news, events and places. Currently City Cast is available in Chicago, Denver, Houston, Salt Lake City and Pittsburgh.</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w:t>
      </w:r>
    </w:p>
    <w:p>
      <w:pPr>
        <w:spacing w:after="0" w:line="166" w:lineRule="exact"/>
        <w:rPr>
          <w:sz w:val="20"/>
          <w:szCs w:val="20"/>
          <w:color w:val="auto"/>
        </w:rPr>
      </w:pPr>
    </w:p>
    <w:p>
      <w:pPr>
        <w:jc w:val="both"/>
        <w:ind w:right="80"/>
        <w:spacing w:after="0" w:line="232" w:lineRule="auto"/>
        <w:rPr>
          <w:sz w:val="20"/>
          <w:szCs w:val="20"/>
          <w:color w:val="auto"/>
        </w:rPr>
      </w:pPr>
      <w:r>
        <w:rPr>
          <w:rFonts w:ascii="Arial" w:cs="Arial" w:eastAsia="Arial" w:hAnsi="Arial"/>
          <w:sz w:val="17"/>
          <w:szCs w:val="17"/>
          <w:color w:val="auto"/>
        </w:rPr>
        <w:t>Kaplan’s businesses operate in fragmented and competitive markets. Each of KI businesses competes in disaggregated markets with other for-profit institutions and companies (ranging in size from large for-profit universities to small competitors offering English-language courses) and, in certain instances, with government-supported schools and institutions that provide similar training and educational programs.</w:t>
      </w:r>
    </w:p>
    <w:p>
      <w:pPr>
        <w:spacing w:after="0" w:line="222" w:lineRule="auto"/>
        <w:rPr>
          <w:sz w:val="20"/>
          <w:szCs w:val="20"/>
          <w:color w:val="auto"/>
        </w:rPr>
      </w:pPr>
      <w:r>
        <w:rPr>
          <w:rFonts w:ascii="Arial" w:cs="Arial" w:eastAsia="Arial" w:hAnsi="Arial"/>
          <w:sz w:val="18"/>
          <w:szCs w:val="18"/>
          <w:color w:val="auto"/>
        </w:rPr>
        <w:t>Competitive factors vary by business and include program offerings, ranking of university partners, convenience, quality of instruction, reputation, placement rates, student services and cost. KI derives its competitive advantage from, among other things, delivering high-quality education and training experiences to students, having name brand recognition across multiple markets, developing strong relationships with corporate clients and recruitment partners and offering competitive pricing. KNA competes with companies that provide various education technology solutions, consumer test and licensure preparation and course delivery, corporate training, university administrative support for online programs and courses, curriculum development, overall online program development and analytics for colleges and universities, as well as support for corporate, employer and employee education programs. The market for KNA’s services and products, and especially its higher education services and products, is dynamic and rapidly evolving, and several competitors offer a mix of some of the same products and services or are seeking to move into the markets in which KNA operates. Competitive factors in these KNA markets include the ability to deliver a wide range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8" w:name="page19"/>
    <w:bookmarkEnd w:id="18"/>
    <w:p>
      <w:pPr>
        <w:ind w:right="160"/>
        <w:spacing w:after="0" w:line="221" w:lineRule="auto"/>
        <w:rPr>
          <w:sz w:val="20"/>
          <w:szCs w:val="20"/>
          <w:color w:val="auto"/>
        </w:rPr>
      </w:pPr>
      <w:r>
        <w:rPr>
          <w:rFonts w:ascii="Arial" w:cs="Arial" w:eastAsia="Arial" w:hAnsi="Arial"/>
          <w:sz w:val="18"/>
          <w:szCs w:val="18"/>
          <w:color w:val="auto"/>
        </w:rPr>
        <w:t xml:space="preserve">of educational services and programs to clients across all levels of programs and administrative functions; cost effectiveness; expertise in marketing, recruitment and program delivery; student outcomes and satisfaction; the ability to invest in start-up and scaling initiatives; reputation; and compliance with laws and the ability to navigate complex regulatory requirements. KNA’s ability to effectively compete in the higher education services markets will depend in large part on its successful delivery and navigation of these factors. While the competitive landscape is expanding, KNA’s resources, capabilities and experience are key differentiators in the market. Similarly, KNA’s supplemental education products and services </w:t>
      </w:r>
      <w:r>
        <w:rPr>
          <w:rFonts w:ascii="Arial" w:cs="Arial" w:eastAsia="Arial" w:hAnsi="Arial"/>
          <w:sz w:val="18"/>
          <w:szCs w:val="18"/>
          <w:color w:val="222222"/>
        </w:rPr>
        <w:t>compete with a wide range of national, regional, local, online and location-based competitors. Competitors</w:t>
      </w:r>
      <w:r>
        <w:rPr>
          <w:rFonts w:ascii="Arial" w:cs="Arial" w:eastAsia="Arial" w:hAnsi="Arial"/>
          <w:sz w:val="18"/>
          <w:szCs w:val="18"/>
          <w:color w:val="auto"/>
        </w:rPr>
        <w:t xml:space="preserve"> </w:t>
      </w:r>
      <w:r>
        <w:rPr>
          <w:rFonts w:ascii="Arial" w:cs="Arial" w:eastAsia="Arial" w:hAnsi="Arial"/>
          <w:sz w:val="18"/>
          <w:szCs w:val="18"/>
          <w:color w:val="222222"/>
        </w:rPr>
        <w:t xml:space="preserve">vary by test, with many focused on preparing students for a single high-stakes test. For its curricular and assessment services, KNA has a number of national competitors as well as competitors focused on preparation for particular tests. Competitive factors for the supplemental education products vary by product line and include price, features, modality, schedule and reputation. Although KNA faces intense competition and shifting consumer preferences in these areas, particularly with respect to online test preparation, where some new competitors are offering lower-cost and free test preparation products, KNA, and particularly Kaplan Test Prep, remains a leading name in test preparation owing in part to its technical expertise and capabilities, quality of instructors, content, curricula, longevity and reputation in the industry. KNA’s professional </w:t>
      </w:r>
      <w:r>
        <w:rPr>
          <w:rFonts w:ascii="Arial" w:cs="Arial" w:eastAsia="Arial" w:hAnsi="Arial"/>
          <w:sz w:val="18"/>
          <w:szCs w:val="18"/>
          <w:color w:val="000000"/>
        </w:rPr>
        <w:t>licensure training and preparation and corporate training products and services offer a broad portfolio of</w:t>
      </w:r>
      <w:r>
        <w:rPr>
          <w:rFonts w:ascii="Arial" w:cs="Arial" w:eastAsia="Arial" w:hAnsi="Arial"/>
          <w:sz w:val="18"/>
          <w:szCs w:val="18"/>
          <w:color w:val="222222"/>
        </w:rPr>
        <w:t xml:space="preserve"> </w:t>
      </w:r>
      <w:r>
        <w:rPr>
          <w:rFonts w:ascii="Arial" w:cs="Arial" w:eastAsia="Arial" w:hAnsi="Arial"/>
          <w:sz w:val="18"/>
          <w:szCs w:val="18"/>
          <w:color w:val="000000"/>
        </w:rPr>
        <w:t>products, many within highly regulated and mature industries, including securities, insurance, real estate and wealth management, where competition includes a wide variety of national, regional and local companies seeking the same market share and resulting in deep price discounting and commoditization of offerings.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Media Group</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 other media providers,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an on-demand, digital or pay-per-view basis. In addition, DBS services provide nationwide distribution of television programming, including pay-per-view programming and programming packages unique to DBS, using digital transmission technologies. Moreover, to the extent that competing television stations in the Company’s television markets transition to ATSC 3.0, such stations may pose an increased competitive challenge to the Company’s stations in the future, such as by offering an increased number of multicast channels or by offering advanced features.</w:t>
      </w:r>
    </w:p>
    <w:p>
      <w:pPr>
        <w:spacing w:after="0" w:line="13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Competition continues to increase from established and emerging online distribution platforms. Movies and television programming increasingly are available on an on-demand basis through a variety of online platforms, which include free access on the websites of the major TV networks, ad-supported viewing on platforms such as Hulu, and subscription-based access through services such as Netflix. In addition, online-only subscription services offering live television services have been launched both by traditional pay-TV competitors (such as DISH and DirecTV) and newer entrants (such as Fubo). The Company has entered into agreements for some of its stations to be distributed via certain of these services, typically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 television stations via traditional platforms and/or the Company’s strategic position in negotiations with pay-TV services. In addition, the networks’ increased role in negotiating online distribution arrangements for their affiliated stations, together with the networks’ imposition of higher fees on affiliated stations in exchange for broadcast and traditional pay-TV</w:t>
      </w:r>
    </w:p>
    <w:p>
      <w:pPr>
        <w:spacing w:after="0" w:line="3" w:lineRule="exact"/>
        <w:rPr>
          <w:sz w:val="20"/>
          <w:szCs w:val="20"/>
          <w:color w:val="auto"/>
        </w:rPr>
      </w:pPr>
    </w:p>
    <w:p>
      <w:pPr>
        <w:ind w:right="1120"/>
        <w:spacing w:after="0" w:line="406" w:lineRule="auto"/>
        <w:rPr>
          <w:sz w:val="20"/>
          <w:szCs w:val="20"/>
          <w:color w:val="auto"/>
        </w:rPr>
      </w:pPr>
      <w:r>
        <w:rPr>
          <w:rFonts w:ascii="Arial" w:cs="Arial" w:eastAsia="Arial" w:hAnsi="Arial"/>
          <w:sz w:val="18"/>
          <w:szCs w:val="18"/>
          <w:color w:val="auto"/>
        </w:rPr>
        <w:t xml:space="preserve">retransmission rights, may have broader effects on the overall network-affiliate relationship, which the Company cannot predict. </w:t>
      </w:r>
      <w:r>
        <w:rPr>
          <w:rFonts w:ascii="Arial" w:cs="Arial" w:eastAsia="Arial" w:hAnsi="Arial"/>
          <w:sz w:val="18"/>
          <w:szCs w:val="18"/>
          <w:b w:val="1"/>
          <w:bCs w:val="1"/>
          <w:color w:val="auto"/>
        </w:rPr>
        <w:t>Hoover</w:t>
      </w:r>
    </w:p>
    <w:p>
      <w:pPr>
        <w:spacing w:after="0" w:line="2"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Hoover’s predominant product line is fire-retardant treated wood products for building interior applications that are specified by architects in accordance with building code requirements for multi-family residential, commercial and institutional nonresidential buildings. Hoover’s fire-retardant product lines are sold through a stocking distributor network of more than 100 locations spanning the U.S. and Canada. Hoover’s competitors are licensees of other chemical suppliers to the wood treating industry who compete with Hoover’s stocking distributors on a local basis. The primary areas of competition are product availability and price, although brand loyalty due to product quality is significant. Wood products are commodities with volatile market pricing; however, Hoover’s reputation for quality products and its unique distribution model, which provides superior product availability, enable Hoover to maintain a leading position across the continent.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Dekko</w:t>
      </w:r>
    </w:p>
    <w:p>
      <w:pPr>
        <w:spacing w:after="0" w:line="16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Dekko has three distinct product families that compete in fragmented, competitive global markets: power and data distribution for office and furniture products, lighting solutions, and electrical harness manufacturing. These products are sold through dealer and distribution channels and original equipment manufacturer (OEM) customers, focused primarily on the North American market. While all markets and products are price sensitive, technology, engineering solutions, quality and delivery performance are critical in purchase decisions. Dekko’s multiple long-term relationships, high-quality manufacturing facilities, engineering support and reputation as a solutions provider, in addition to being a product supplier, all contribute to sustaining its competitive advantages.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6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 According to the Medicare Payment Advisory Commission’s July 2021 Data Book, there are approximately 11,456 Medicare-certified home health providers and approximately 4,840 hospice providers in the U.S., with the number of active home healthcare providers rapidly increasing. GHG markets its services to physicians, discharge planners and social workers at hospitals, nursing homes, senior living communities and physicians’ offices through a direct sales model. GHG differentiates its offerings based on response time, clinical programming, clinical outcomes and patient satisfaction. Throughout the three states in which it operates, GHG competes primarily with both privately owned and hospital-operated home health and hospice service providers.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w:t>
      </w:r>
    </w:p>
    <w:p>
      <w:pPr>
        <w:spacing w:after="0" w:line="166"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retail automotive industry is highly competitive and fragmented. Automobile dealerships compete with dealerships offering the same brands as well as those offering other manufacturers’ brands. Competitors include small local dealerships and large national multi-franchise automotive dealership groups. In addition to competition for vehicle sales, dealerships compete for parts and service business with other dealerships, automotive parts retailers and independent mechanics. The principal competitive factors in vehicle sales are price, selection of vehicles, location of dealerships and quality of customer service. The principal competitive factors in parts and service sales are price, the use of factory-approved replacement parts, factory-trained technicians and the quality of customer service.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Leaf</w:t>
      </w:r>
    </w:p>
    <w:p>
      <w:pPr>
        <w:spacing w:after="0" w:line="166"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Leaf operates in highly competitive and developing industries that are characterized by rapid technological change, a variety of business models and frequent disruption of incumbents by innovative entrants. Its art and design marketplaces, Society6 Group and Saatchi Art Group, compete with a wide variety of online and brick-and-mortar companies selling comparable products. Its made-to-order marketplace business, Society6 Group, primarily competes with companies that also utilize a made-to-order business model whereby consumer products featuring artist designs are produced by third-party fulfillment partners and shipped directly to customers, such as Redbubble, Zazzle, Art.com, Shutterfly and Minted, as well as companies that offer broader home décor and apparel products, such as Amazon, Etsy, Wayfair, Urban Outfitters and West Elm. Its online art gallery and in-person art fair business, Saatchi Art Group, competes with traditional offline art galleries, art consultants and online platforms selling original artwork, such as Artfinder, Artspace, Rise Art, Singulart, eBay and Amazon Art, as well as various art fairs that feature reasonably priced artwork from emerging artists, such as The Affordable Art Fair. Leaf’s marketplaces must successfully attract, retain and engage both buyers and sellers to use our platforms and attend our fairs. The principal competitive factors for such marketplaces include the quality, price and uniqueness of the products, artwork or services being offered; the selection of goods and artists featured; the ability to source numerous products efficiently and cost-effectively with respect to its made-to-order products; customer service; the convenience and ease of the shopping experience; and its reputation and brand strength. Competition is expected to continue to intensify as online and offline businesses increasingly compete with each other and the barriers to enter online channels are reduced. For properties within its Media Group, Leaf faces intense competition from a wide range of competitors. These markets are rapidly evolving, highly fragmented and competition could increase in the future as more companies enter the space. The Media Group competes for advertisers on the basis of a number of factors, including return on marketing expenditures, price of our offerings, and the ability to deliver large audiences or precise types of segmented audiences. Principal competitors in this space currently include various online media companies ranging from large internet media companies to specialized and enthusiast properties that focus on particular areas of consumer interest, as well as social media outlets such as Facebook, TikTok, Snapchat, Instagram and Pinterest, where brands and advertisers are focusing a significant portion of their online advertising spend in order to connect with their customers. Some of its competitors have larger audiences and more financial resources and many of its competitors are making significant investments in order to compete with various aspects of this business. Many of Leaf’s current competitors have, and potential competitors may have, substantially greater financial, marketing and other resources than Leaf; greater technical capabilities; greater brand recognition; longer operating histories; differentiated products and services; and larger customer bases. These resources may help some of these competitors and potential competitors respond more quickly as the industry and technology evolves,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0" w:name="page21"/>
    <w:bookmarkEnd w:id="20"/>
    <w:p>
      <w:pPr>
        <w:ind w:right="280"/>
        <w:spacing w:after="0" w:line="235" w:lineRule="auto"/>
        <w:rPr>
          <w:sz w:val="20"/>
          <w:szCs w:val="20"/>
          <w:color w:val="auto"/>
        </w:rPr>
      </w:pPr>
      <w:r>
        <w:rPr>
          <w:rFonts w:ascii="Arial" w:cs="Arial" w:eastAsia="Arial" w:hAnsi="Arial"/>
          <w:sz w:val="18"/>
          <w:szCs w:val="18"/>
          <w:color w:val="auto"/>
        </w:rPr>
        <w:t>focus more on product innovation, adopt more aggressive pricing policies and devote substantially more resources to website and system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restaurant industry is highly competitive. Clyde’s competes with national and regional chains and independent, locally owned restaurants for customers and personnel. The principal basis for competition are types of food and service, quality, price, location, brand and attractiveness of facilities.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Framebridge operates in a highly fragmented market. Competitors include small local retail operations and a few national retail chains. The competitive factors in the framing industry are price, selection and convenience. Framebridge’s centralized manufacturing, clear and transparent pricing, retail stores that are optimized for foot traffic and a curated buying experience rather than framing workshops, and strong e-commerce and digital capabilities contribute to its competitive advantages.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 service and technology offerings. Code3 seeks to maintain a competitive advantage and maximize its clients’ return on advertising budgets by utilizing a combination of the deep expertise of its employees, who manage media spending on the largest digital platforms and a full-service creative team with a nuanced understanding of digital media.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Decile faces competition from lower-cost providers that provide a narrower data analytics offering. In addition, at higher price points aimed at larger marketers ($50M+ annual revenue), there are several large customer data platform (CDP) competitors that attempt to unify many disparate sources of data to improve omnichannel advertising outcomes. Decile seeks to maintain a competitive advantage by simplifying the connection between data and marketing and bridging the gap between financial and marketing analytics to help marketers extract the most value out of their customer and sales data, all at a competitive price. Decile’s additional third-party data enrichment capabilities and data science analytics serve as key differentiators in the mid-market space where those capabilities are not available at a competitive price.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Slate</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As a digital media company, Slate operates in highly competitive markets for subscribers, audiences and advertisers. For written work, Slate faces competition from other online publishers, especially magazines and newspapers. In podcasting, Slate faces competition from other podcast networks, as well as traditional radio networks. In the face of stiff competition, Slate is able to attract and retain a large educated, affluent audience and subscriber base by creating high-quality content, and is then able to compete for advertisers who wish to reach that audience on trusted, brand-safe properties.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w:t>
      </w:r>
    </w:p>
    <w:p>
      <w:pPr>
        <w:spacing w:after="0" w:line="166"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Pinna is currently the only ad-free, audio on-demand streaming service designed just for children that offers multiple audio formats in one space that complies with the Children’s Online Privacy Protection Act (COPPA). The market for children’s subscription digital media entertainment is large. It includes media subscription services for families, subscription services for children, online learning/gaming destinations, audiobooks and podcasts for children, gaming subscriptions and free digital content. Key differentiators for Pinna include its access to multiple formats and its offering of curated best-in-class brands and original shows all in one ad-free COPPA-compliant place.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 xml:space="preserve">Donald E. Graham, age 76, has been Chairman of the Board of the Company since September 1993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1" w:name="page22"/>
    <w:bookmarkEnd w:id="21"/>
    <w:p>
      <w:pPr>
        <w:spacing w:after="0" w:line="227" w:lineRule="auto"/>
        <w:rPr>
          <w:sz w:val="20"/>
          <w:szCs w:val="20"/>
          <w:color w:val="auto"/>
        </w:rPr>
      </w:pPr>
      <w:r>
        <w:rPr>
          <w:rFonts w:ascii="Arial" w:cs="Arial" w:eastAsia="Arial" w:hAnsi="Arial"/>
          <w:sz w:val="18"/>
          <w:szCs w:val="18"/>
          <w:color w:val="auto"/>
        </w:rPr>
        <w:t>Timothy J. O’Shaughnessy, age 40, became Chief Executive Officer of the Company in November 2015. From November 2014 until November 2015, he served as President of the Company. He was elected to the Board of Directors in November 2014. From 2007 to August 2014, Mr. O’Shaughnessy served as chief executive officer of LivingSocial, an e-commerce and marketing company that he co-founded in 2007. Mr. O’Shaughnessy is the son-in-law of Donald E. Graham, Chairman of the Company.</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 xml:space="preserve">Andrew S. Rosen, age 61, became Executive Vice President of the Company in April 2014. He became Chairman of Kaplan, Inc. in November 2008 and served as Chief Executive Officer of Kaplan, Inc. from November 2008 to April 2014 and from August 2015 to the present. Mr. Rosen has spent nearly 36 years at the Company and its affiliates. He joined the Company in 1986 as a staff attorney with the </w:t>
      </w:r>
      <w:r>
        <w:rPr>
          <w:rFonts w:ascii="Arial" w:cs="Arial" w:eastAsia="Arial" w:hAnsi="Arial"/>
          <w:sz w:val="18"/>
          <w:szCs w:val="18"/>
          <w:i w:val="1"/>
          <w:iCs w:val="1"/>
          <w:color w:val="auto"/>
        </w:rPr>
        <w:t xml:space="preserve">Post </w:t>
      </w:r>
      <w:r>
        <w:rPr>
          <w:rFonts w:ascii="Arial" w:cs="Arial" w:eastAsia="Arial" w:hAnsi="Arial"/>
          <w:sz w:val="18"/>
          <w:szCs w:val="18"/>
          <w:color w:val="auto"/>
        </w:rPr>
        <w:t>and later served as assistant counsel at Newsweek. He moved to Kaplan in 1992 and held numerous leadership positions there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being named Chairman and Chief Executive Officer of Kaplan, Inc.</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Wallace R. Cooney, age 59, became Senior Vice President–Finance and Chief Financial Officer of the Company in April 2017. Mr. Cooney served as the Company’s Vice President–Finance and Chief Accounting Officer from 2008 to 2017. He joined the Company in 2001 as Controller.</w:t>
      </w:r>
    </w:p>
    <w:p>
      <w:pPr>
        <w:spacing w:after="0" w:line="137"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Jacob M. Maas, age 45, became Executive Vice President of the Company in January 2022, prior to which he served as Senior Vice President–Planning and Development beginning October 2015. Prior to joining the Company, he served as executive vice president of operations and head of corporate development at LivingSocial, an e-commerce and marketing company that he joined as chief financial officer in 2008.</w:t>
      </w:r>
    </w:p>
    <w:p>
      <w:pPr>
        <w:spacing w:after="0" w:line="135"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Nicole M. Maddrey, age 57, became Senior Vice President, General Counsel and Secretary of the Company in April 2015. Ms. Maddrey joined the Company in 2007 as Associate General Counsel. Prior to joining the Company, Ms. Maddrey served as Special Counsel in the Division of Corporation Finance at the U.S. Securities and Exchange Commission.</w:t>
      </w:r>
    </w:p>
    <w:p>
      <w:pPr>
        <w:spacing w:after="0" w:line="13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Marcel A. Snyman, age 47, became Vice President and Chief Accounting Officer of the Company in January 2018. Mr. Snyman served as Controller of the Company from 2016 to 2018, prior to which he served as Assistant Controller beginning in April 2014 and Director of Accounting Policy beginning in July 2008.</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Sandra M. Stonesifer, age 37, became Vice President–Chief Human Resources Officer of the Company in January 2021. Prior to joining the Company, Ms. Stonesifer was a consultant with S-Squared Consulting, an organization development consulting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employs approximately 18,000 people worldwide, of which approximately 12,350 were employed in the United States and approximately 5,650 were employed outside the United States. Employment across each of the Company’s businesses is further discussed below.</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employs approximately 6,100 people on a full-time basis in 27 countries. Kaplan also employs substantial numbers of part-time employees who serve in instructional and administrative capacities. Kaplan’s part-time workforce comprises approximately 4,000 individuals in 17 countries. Collectively, in the U.S. and Canada, 52 Kaplan employees are represented by a union. In countries where Kaplan has a presence but union membership is not disclosed to the employer – the U.K., Australia and Singapore – there may be union represented employees as well.</w:t>
      </w:r>
    </w:p>
    <w:p>
      <w:pPr>
        <w:spacing w:after="0" w:line="137"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Graham Media Group has approximately 1,012 employees, including 968 full-time employees and 44 part-time employees, of whom approximately 105 are represented by a union.</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the Manufacturing segment, Hoover has approximately 356 full-time employees, of whom 15 are represented by a union, and one part-time employee. Dekko has approximately 1,185 full-time employees, none of whom is represented by a union. Joyce/Dayton has approximately 165 full-time employees, none of whom is represented by a union. Forney has approximately 109 full-time employees, of whom 43 are represented by a union.</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the Healthcare segment, Graham Healthcare Group has approximately 1,159 full-time employees and 243 part-time employees. None of these employees is represented by a union.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Graham Automotive employs approximately 412 full-time employees. None of these employees is represented by a union.</w:t>
      </w:r>
    </w:p>
    <w:p>
      <w:pPr>
        <w:spacing w:after="0" w:line="144"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the Other Businesses segment, Leaf Group employs 390 full-time employees, none of whom is represented by a union. Clyde’s has approximately 148 full-time employees and 1,342 part-time employees, none of whom is represented by a union. Framebridge has approximately 782 employees, including 243 seasonal employees, none of whom is represented by a union. Code3 has approximately 236 full-time employees, none of whom is</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7" w:right="419" w:bottom="1440" w:gutter="0" w:footer="0" w:header="0"/>
        </w:sectPr>
      </w:pPr>
    </w:p>
    <w:bookmarkStart w:id="22" w:name="page23"/>
    <w:bookmarkEnd w:id="22"/>
    <w:p>
      <w:pPr>
        <w:ind w:right="60"/>
        <w:spacing w:after="0" w:line="227" w:lineRule="auto"/>
        <w:rPr>
          <w:sz w:val="20"/>
          <w:szCs w:val="20"/>
          <w:color w:val="auto"/>
        </w:rPr>
      </w:pPr>
      <w:r>
        <w:rPr>
          <w:rFonts w:ascii="Arial" w:cs="Arial" w:eastAsia="Arial" w:hAnsi="Arial"/>
          <w:sz w:val="18"/>
          <w:szCs w:val="18"/>
          <w:color w:val="auto"/>
        </w:rPr>
        <w:t>represented by a union. Decile has 34 full-time employees and two part-time employees, none of whom is represented by a union. Slate employs 123 full-time employees and seven part-time employees, of whom approximately 57 are represented by a union. Pinna employs 10 full-time employees, none of whom is represented by a union. The FP Group has 56 full-time employees and four part-time employees. CyberVista employs 37 full-time employees and 11 part-time employees, none of whom is represented by a union.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72 full-time employees and one part-time employee, none of whom is represented by a union.</w:t>
      </w:r>
    </w:p>
    <w:p>
      <w:pPr>
        <w:spacing w:after="0" w:line="144" w:lineRule="exact"/>
        <w:rPr>
          <w:sz w:val="20"/>
          <w:szCs w:val="20"/>
          <w:color w:val="auto"/>
        </w:rPr>
      </w:pPr>
    </w:p>
    <w:p>
      <w:pPr>
        <w:jc w:val="both"/>
        <w:ind w:right="880"/>
        <w:spacing w:after="0" w:line="235" w:lineRule="auto"/>
        <w:rPr>
          <w:sz w:val="20"/>
          <w:szCs w:val="20"/>
          <w:color w:val="auto"/>
        </w:rPr>
      </w:pPr>
      <w:r>
        <w:rPr>
          <w:rFonts w:ascii="Arial" w:cs="Arial" w:eastAsia="Arial" w:hAnsi="Arial"/>
          <w:sz w:val="18"/>
          <w:szCs w:val="18"/>
          <w:color w:val="auto"/>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113"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b w:val="1"/>
          <w:bCs w:val="1"/>
          <w:i w:val="1"/>
          <w:iCs w:val="1"/>
          <w:color w:val="auto"/>
        </w:rPr>
        <w:t xml:space="preserve">Oversight and Management. </w:t>
      </w:r>
      <w:r>
        <w:rPr>
          <w:rFonts w:ascii="Arial" w:cs="Arial" w:eastAsia="Arial" w:hAnsi="Arial"/>
          <w:sz w:val="17"/>
          <w:szCs w:val="17"/>
          <w:color w:val="auto"/>
        </w:rPr>
        <w:t>The Company’s human resources organization and the human resource organizations of its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manage employment-related matters, including recruiting and hiring, training, compensation, workplace safety, performance management, support for specific needs including supporting employees who are caregivers or working remotely, and creating diversity, equity and inclusion strategies. The Compensation Committee of the Board of Directors provides oversight of certain human capital matters, including compensation and benefits, executive development, workforce diversity and inclusion initiatives, and succession planning.</w:t>
      </w:r>
    </w:p>
    <w:p>
      <w:pPr>
        <w:spacing w:after="0" w:line="109"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The Company offers strong compensation and benefits programs to its employees. In 2021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utilized a market pay tool to ensure all our units have access to high-quality market compensation data that enables them to set fair and equitable compensation rates. Depending on the business unit, employee benefits may include healthcare and insurance benefits, health savings and flexible spending accounts, paid time off, family leave, employee assistance programs, tuition assistance programs, bonuses, long-term incentive compensation plans, pension and a 401(k) Plan. The Company also offers a small group of eligible employees certain equity-based grants under the Company’s incentive compensation plan with vesting and performance conditions to facilitate the attraction, retention, motivation and reward of key employees and to align their interests with those of the Company’s stockholders.</w:t>
      </w:r>
    </w:p>
    <w:p>
      <w:pPr>
        <w:spacing w:after="0" w:line="115"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i w:val="1"/>
          <w:iCs w:val="1"/>
          <w:color w:val="auto"/>
        </w:rPr>
        <w:t xml:space="preserve">Health and Safety. </w:t>
      </w:r>
      <w:r>
        <w:rPr>
          <w:rFonts w:ascii="Arial" w:cs="Arial" w:eastAsia="Arial" w:hAnsi="Arial"/>
          <w:sz w:val="18"/>
          <w:szCs w:val="18"/>
          <w:color w:val="auto"/>
        </w:rPr>
        <w:t>The health and safety of the Company’s employees is paramount. The Company’s health and safety programs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address multiple jurisdictions and regulations as well as the specific risks and unique working environments of each of the Company’s businesses. In response to the COVID-19 pandemic, the Company’s businesses have adopted return to office and vaccination policies and procedures that are most appropriate for their businesses based on their industry and health risks as well as federal, state and local guidance and regulation. At this time the majority of our workforce is required to be vaccinated against COVID-19 for in-person work.</w:t>
      </w:r>
    </w:p>
    <w:p>
      <w:pPr>
        <w:spacing w:after="0" w:line="115"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 xml:space="preserve">Training and Talent Development. </w:t>
      </w:r>
      <w:r>
        <w:rPr>
          <w:rFonts w:ascii="Arial" w:cs="Arial" w:eastAsia="Arial" w:hAnsi="Arial"/>
          <w:sz w:val="17"/>
          <w:szCs w:val="17"/>
          <w:color w:val="auto"/>
        </w:rPr>
        <w:t>The Company is committed to the continued growth and development of its employees across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While development opportunities vary across the Company’s businesses, the Company seeks to offer a variety of learning opportunities including virtual learning as well as on-the-job mentoring and coaching. All employees complete core harassment and discrimination training and ethics training and are offered specific skills training designed to support the growth and advancement of their professional skills. For example, CyberVista conducts web-based leadership management training for first-time managers. Leaf Group has deployed several continuous learning platforms, including a diversity and inclusion learning platform; an eLearning and development platform; and a performance management platform. Leaf Group’s leadership development program includes personal assessments and one-on-one coaching for senior leadership. Joyce/Dayton conducted leadership assessments for executives and managers as well as a personal assessment tool to improve organizational communication. GMG has established learning and development opportunities to support its mission to be the authentic, local voice in the communities they serve. GMG proudly offers in-house leadership programs such as ‘Boss School’ which focuses on key skills and knowledge for new managers and a continuing development program for experienced producers.</w:t>
      </w:r>
    </w:p>
    <w:p>
      <w:pPr>
        <w:spacing w:after="0" w:line="118"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b w:val="1"/>
          <w:bCs w:val="1"/>
          <w:i w:val="1"/>
          <w:iCs w:val="1"/>
          <w:color w:val="auto"/>
        </w:rPr>
        <w:t xml:space="preserve">Diversity and Inclusion. </w:t>
      </w:r>
      <w:r>
        <w:rPr>
          <w:rFonts w:ascii="Arial" w:cs="Arial" w:eastAsia="Arial" w:hAnsi="Arial"/>
          <w:sz w:val="18"/>
          <w:szCs w:val="18"/>
          <w:color w:val="auto"/>
        </w:rPr>
        <w:t>Diversity and inclusion remains a high priority within the Company and in 2021 several new initiatives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launched at both the corporate level and at our business units. These initiatives are focused on supporting the retention and training of a diverse workforce across the Company. The Company encourages all business units to promote policies prioritizing diversity, equity and inclusion (DEI), and offers courses on inclusive leadership and unconscious bias as part of Company-wide training options. In 2021, the Company chose to focus its global efforts on learning and strategy-building. The Company’s business units participated in a corporate-funded training program to establish DEI goals focused on attracting, retaining, developing and engaging underrepresented talent. The outcomes of the exercise were reported to the Board in November 2021. Following the completion of the program, a GHC Diversity, Equity and Inclusion Council was formed to support ongoing progress at each individual business and collectively across the Company.</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23" w:name="page24"/>
    <w:bookmarkEnd w:id="23"/>
    <w:p>
      <w:pPr>
        <w:jc w:val="both"/>
        <w:ind w:right="540"/>
        <w:spacing w:after="0" w:line="229" w:lineRule="auto"/>
        <w:rPr>
          <w:sz w:val="20"/>
          <w:szCs w:val="20"/>
          <w:color w:val="auto"/>
        </w:rPr>
      </w:pPr>
      <w:r>
        <w:rPr>
          <w:rFonts w:ascii="Arial" w:cs="Arial" w:eastAsia="Arial" w:hAnsi="Arial"/>
          <w:sz w:val="18"/>
          <w:szCs w:val="18"/>
          <w:color w:val="auto"/>
        </w:rPr>
        <w:t>The Company is committed to a culture in which its diverse employee base can thrive in an inclusive and respectful environment. As of December 2021, the diversity of the Company’s employees in the U.S. was: 54% female; 46% male; 63% White; 14% Black or African American; 14% Hispanic or Latino; 7% Asian; and 2% Other.</w:t>
      </w:r>
    </w:p>
    <w:p>
      <w:pPr>
        <w:spacing w:after="0" w:line="137"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The Company’s businesses have launched various initiatives to support their individual DEI efforts. For example, GMG launched a strategy that included the adoption of new training tools, the creation of employee resource groups, virtual employee learning activities around Juneteenth and other celebration events, and talent sourcing focused on attracting underrepresented talent. At Kaplan, they have prioritized educating managers and employees on DEI best practices and expectations, including creation of a Global Inclusive Leader and Inclusive Colleague training for all current and new employees. Kaplan also sponsors diversity appreciation months that include social activities and discussion forums around relevant topics that raise awareness and increase understanding of diversity. Kaplan continues to be the primary donor and supporter of The Kaplan Educational Foundation (KEF), an independent public charity founded by Kaplan executives to help promote racial equality through higher education. Other business units have established strategic diversity and inclusion initiatives in ways that speak to their unique environment and human capital needs. For example, GHG has committed to building a career pathing and mentorship program for all field-based positions to help employees, especially underrepresented talent, achieve their career advancement goals. Most of the Company’s businesses have incorporated diversity, equity and inclusion related questions in their engagement surveys and are beginning to gather and analyze their human capital data to better understand existing conditions, set goals, and measure progress moving forward.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2021 Annual Report to Stockholders, are “forward-looking statements” within the meaning of the Private Securities Litigation Reform Act of 1995. Forward-looking statements include comments about expectations related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Exchange Act.</w:t>
      </w:r>
    </w:p>
    <w:p>
      <w:pPr>
        <w:spacing w:after="0" w:line="140"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 as elsewhere in this Annual Report on Form 10-K. Additional risks, beyond those summarized below or discussed elsewhere in this Annual Report on Form 10-K, may apply to the Company’s business, activities or operations as currently conducted or as may be conducted in the future. These risks include, but are not limited to, the following: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66" w:lineRule="exact"/>
        <w:rPr>
          <w:sz w:val="20"/>
          <w:szCs w:val="20"/>
          <w:color w:val="auto"/>
        </w:rPr>
      </w:pPr>
    </w:p>
    <w:p>
      <w:pPr>
        <w:ind w:left="260" w:right="40" w:hanging="252"/>
        <w:spacing w:after="0" w:line="235" w:lineRule="auto"/>
        <w:tabs>
          <w:tab w:leader="none" w:pos="27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Business, Results of Operations and Cash Flows Have Been and Will Continue to Be Adversely Impacted by the Effects of the COVID-19 Pandemic.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6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International Regulations, Travel Restrictions and Sanctions.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of Managing Foreign Operations and Failure to Comply with Foreign Regulatory Requirements.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U.K. Tax Laws.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Statutory and Regulatory Requirements as a Third-Party Servicer to Title IV Participating Institutions.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the ED’s Title IV Incentive Compensation Rule.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the ED’s Title IV Misrepresentation Regulations.</w:t>
      </w:r>
    </w:p>
    <w:p>
      <w:pPr>
        <w:spacing w:after="0" w:line="144" w:lineRule="exact"/>
        <w:rPr>
          <w:rFonts w:ascii="Arial" w:cs="Arial" w:eastAsia="Arial" w:hAnsi="Arial"/>
          <w:sz w:val="18"/>
          <w:szCs w:val="18"/>
          <w:color w:val="auto"/>
        </w:rPr>
      </w:pPr>
    </w:p>
    <w:p>
      <w:pPr>
        <w:ind w:left="260" w:right="520" w:hanging="252"/>
        <w:spacing w:after="0" w:line="235"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Reviews, Program Reviews, Audits and Investigations, Including in Connection with Borrower Defense to Repayment Claims.</w:t>
      </w:r>
    </w:p>
    <w:p>
      <w:pPr>
        <w:spacing w:after="0" w:line="13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Noncompliance with Regulations by KNA’s Client Institutions.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Kaplan May Fail to Realize the Anticipated Benefits of the Purdue Global Transaction.</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144" w:lineRule="exact"/>
        <w:rPr>
          <w:rFonts w:ascii="Arial" w:cs="Arial" w:eastAsia="Arial" w:hAnsi="Arial"/>
          <w:sz w:val="18"/>
          <w:szCs w:val="18"/>
          <w:color w:val="auto"/>
        </w:rPr>
      </w:pPr>
    </w:p>
    <w:p>
      <w:pPr>
        <w:ind w:left="260" w:right="740" w:hanging="252"/>
        <w:spacing w:after="0" w:line="235"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Extent to Which Standardized Tests Are Used in the Admissions Process by Colleges or Graduate Schools and Increased Competition.</w:t>
      </w:r>
    </w:p>
    <w:p>
      <w:pPr>
        <w:spacing w:after="0" w:line="134" w:lineRule="exact"/>
        <w:rPr>
          <w:rFonts w:ascii="Arial" w:cs="Arial" w:eastAsia="Arial" w:hAnsi="Arial"/>
          <w:sz w:val="18"/>
          <w:szCs w:val="18"/>
          <w:color w:val="auto"/>
        </w:rPr>
      </w:pPr>
    </w:p>
    <w:p>
      <w:pPr>
        <w:ind w:left="260" w:right="20" w:hanging="252"/>
        <w:spacing w:after="0" w:line="235"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Postponement and Cancellation of Examinations and Changes in the Extent to Which Licensing and Proficiency Examinations Are Used to Qualify Individuals to Pursue Certain Careers.</w:t>
      </w:r>
    </w:p>
    <w:p>
      <w:pPr>
        <w:spacing w:after="0" w:line="134"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Liability under Real Estate Lease Guarantees for Certain Real Estate Leases that were Assigned to Education Corporation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1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Perceptions about the Effectiveness of Television Broadcasting in Delivering Advertising.</w:t>
      </w:r>
    </w:p>
    <w:p>
      <w:pPr>
        <w:spacing w:after="0" w:line="144" w:lineRule="exact"/>
        <w:rPr>
          <w:rFonts w:ascii="Arial" w:cs="Arial" w:eastAsia="Arial" w:hAnsi="Arial"/>
          <w:sz w:val="18"/>
          <w:szCs w:val="18"/>
          <w:color w:val="auto"/>
        </w:rPr>
      </w:pPr>
    </w:p>
    <w:p>
      <w:pPr>
        <w:ind w:left="260" w:hanging="252"/>
        <w:spacing w:after="0" w:line="235"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Resulting from Technological Innovations in News, Information and Video Programming Distribution Systems and Changing Consumer Behavior.</w:t>
      </w:r>
    </w:p>
    <w:p>
      <w:pPr>
        <w:spacing w:after="0" w:line="134"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Nature and Extent of Government Regulations.</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to New Technical Standards for Broadcast Television Stations.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for Intellectual Property Infringement.</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6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Comply with Environmental, Health, Safety and Other Laws Applicable to the Company’s Manufacturing Operations.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May Be Subject to Liability Claims.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Recruit and Retain Production Staff Needed to Meet Customer Demand.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6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Regulation of the Healthcare Industry.</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Nursing Staffing Shortages.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12" w:lineRule="exact"/>
        <w:rPr>
          <w:sz w:val="20"/>
          <w:szCs w:val="20"/>
          <w:color w:val="auto"/>
        </w:rPr>
      </w:pPr>
    </w:p>
    <w:p>
      <w:pPr>
        <w:ind w:left="260" w:right="440" w:hanging="252"/>
        <w:spacing w:after="0" w:line="235" w:lineRule="auto"/>
        <w:tabs>
          <w:tab w:leader="none" w:pos="2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Termination or Non-renewal of a Dealership Agreement by an Automobile Manufacturer and Limitations on the Company’s Ability to Acquire Additional Dealerships.</w:t>
      </w:r>
    </w:p>
    <w:p>
      <w:pPr>
        <w:spacing w:after="0" w:line="134"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Affecting Automobile Manufacturers.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State Dealer Franchise Laws to Permit Manufacturers to Enter the Retail Market Directly and Technological Innovations.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 Manufacturer’s Incentive Programs.</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Environmental Regulations Governing the Operations of the Automotive Business.</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Economic Conditions and Vehicle Inventories.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66"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Successfully Drive Traffic to Leaf’s Marketplaces and Media Properties and Expand its Customer Base for its Marketplaces.</w:t>
      </w:r>
    </w:p>
    <w:p>
      <w:pPr>
        <w:spacing w:after="0" w:line="144" w:lineRule="exact"/>
        <w:rPr>
          <w:rFonts w:ascii="Arial" w:cs="Arial" w:eastAsia="Arial" w:hAnsi="Arial"/>
          <w:sz w:val="18"/>
          <w:szCs w:val="18"/>
          <w:color w:val="auto"/>
        </w:rPr>
      </w:pPr>
    </w:p>
    <w:p>
      <w:pPr>
        <w:ind w:left="260" w:right="220" w:hanging="252"/>
        <w:spacing w:after="0" w:line="235"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Effectively Distribute Leaf’s Media Content on Social Media Platforms or Effectively Optimize its Mobile Solutions in Order to Improve User Experience or Comply with Requirements of Leaf’s Advertising Partners.</w:t>
      </w:r>
    </w:p>
    <w:p>
      <w:pPr>
        <w:spacing w:after="0" w:line="134"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Leaf’s Businesses Face Significant Competition.</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Recruit and Retain Employees in the Company’s Restaurants.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Food-Borne Illness Concerns and Damage to the Company’s Reputation.</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Concentration of the Company’s Restaurants in the Washington, D.C. Region.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Information Technology and Data Management</w:t>
      </w:r>
    </w:p>
    <w:p>
      <w:pPr>
        <w:spacing w:after="0" w:line="11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 Disruptions and Security Threats to the Company’s Information Technology Infrastructure.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Comply with Privacy Laws or Regulations.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1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Business Conditions.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faces a number of risks and uncertainties in connection with its operations. Described below are the most material risks faced by the Company. These risks and uncertainties may not be the only ones faced by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44" w:lineRule="exact"/>
        <w:rPr>
          <w:sz w:val="20"/>
          <w:szCs w:val="20"/>
          <w:color w:val="auto"/>
        </w:rPr>
      </w:pPr>
    </w:p>
    <w:p>
      <w:pPr>
        <w:ind w:left="260" w:hanging="252"/>
        <w:spacing w:after="0" w:line="256" w:lineRule="auto"/>
        <w:tabs>
          <w:tab w:leader="none" w:pos="2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The Company’s Business, Results of Operations and Cash Flows Have Been and Will Continue to Be Adversely Impacted by the Effects of the COVID-19 Pandemic, the Significance of Which Will Depend on the Longevity and Severity of the Pandemic.</w:t>
      </w:r>
    </w:p>
    <w:p>
      <w:pPr>
        <w:spacing w:after="0" w:line="120"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 xml:space="preserve">The COVID-19 pandemic and measures taken to prevent its spread, such as travel restrictions, shelter in place orders and mandatory closures, have materially affected the Company’s businesses, including the demand for its products and services. Travel restrictions and school closures have impeded and will continue to impede the ability of students to travel to undertake overseas study or to accept a place or remain in their student halls of residence as long as they remain in place, and have reduced student applications for programs offered by Kaplan International’s (KI) operations and halls of residence, including Kaplan Languages Group, KI Pathways, Kaplan Australia, Kaplan Singapore, MPW and certain KNA preparation programs that recruit foreign students. </w:t>
      </w:r>
      <w:r>
        <w:rPr>
          <w:rFonts w:ascii="Arial" w:cs="Arial" w:eastAsia="Arial" w:hAnsi="Arial"/>
          <w:sz w:val="18"/>
          <w:szCs w:val="18"/>
          <w:color w:val="222222"/>
        </w:rPr>
        <w:t>Instruction moving online reduced demand for halls of</w:t>
      </w:r>
      <w:r>
        <w:rPr>
          <w:rFonts w:ascii="Arial" w:cs="Arial" w:eastAsia="Arial" w:hAnsi="Arial"/>
          <w:sz w:val="18"/>
          <w:szCs w:val="18"/>
          <w:color w:val="auto"/>
        </w:rPr>
        <w:t xml:space="preserve"> </w:t>
      </w:r>
      <w:r>
        <w:rPr>
          <w:rFonts w:ascii="Arial" w:cs="Arial" w:eastAsia="Arial" w:hAnsi="Arial"/>
          <w:sz w:val="18"/>
          <w:szCs w:val="18"/>
          <w:color w:val="222222"/>
        </w:rPr>
        <w:t xml:space="preserve">residence for international students and where such demand continued to exist in the first half of 2021, students sought discounts for periods they had not been able to stay in their accommodations due to COVID-19 travel restrictions. </w:t>
      </w:r>
      <w:r>
        <w:rPr>
          <w:rFonts w:ascii="Arial" w:cs="Arial" w:eastAsia="Arial" w:hAnsi="Arial"/>
          <w:sz w:val="18"/>
          <w:szCs w:val="18"/>
          <w:color w:val="000000"/>
        </w:rPr>
        <w:t>Further lockdowns or other measures in</w:t>
      </w:r>
      <w:r>
        <w:rPr>
          <w:rFonts w:ascii="Arial" w:cs="Arial" w:eastAsia="Arial" w:hAnsi="Arial"/>
          <w:sz w:val="18"/>
          <w:szCs w:val="18"/>
          <w:color w:val="222222"/>
        </w:rPr>
        <w:t xml:space="preserve"> </w:t>
      </w:r>
      <w:r>
        <w:rPr>
          <w:rFonts w:ascii="Arial" w:cs="Arial" w:eastAsia="Arial" w:hAnsi="Arial"/>
          <w:sz w:val="18"/>
          <w:szCs w:val="18"/>
          <w:color w:val="000000"/>
        </w:rPr>
        <w:t>response to COVID-19 variants could negatively affect demand for housing and may result in residents again seeking discounts for periods they had not been able to stay in their accommodations. Travel restrictions, decreased enrollments and delays and cancellations of standardized tests have, and are expected to continue to, materially adversely affect the Company’s revenues, operating results and cash flows. Manufacturing restrictions, including plant closures and disruptions in the Company’s supply chains, declines in demand for products and advertising, restaurant and live art fair closures, competition for labor and COVID-19 absenteeism, and other developments related to the COVID-19 pandemic have also adversely impacted the Company’s media, manufacturing, healthcare, automotive and other businesses. For example, at certain periods during the pandemic, the Company had to temporarily close all of its restaurants and entertainment venues pursuant to government orders, before later obtaining permission to resume indoor dining services. The long-term impact of the pandemic on public demand for crowded dining facilities cannot be predicted. Moreover, the Company cannot predict the duration or scope of the COVID-19 pandemic and what actions will be taken by governmental authorities and other third parties in response to the pandemic and new variants. On January 13, 2022, the U.S. Supreme Court blocked the Occupational Safety and Health Administration (OSHA) emergency temporary standard (ETS) requiring all employers with at least 100 employees to mandate vaccination or weekly testing for unvaccinated employees. In a separate decision, the U.S. Supreme Court allowed the federal Centers for Medicare &amp; Medicaid Services (CMS) to enforce a vaccination mandate for healthcare employees at facilities receiving Medicare or Medicaid payments. Additional vaccine mandates may be announced in jurisdictions in which the Company’s businesses operate. Vaccination mandates and other government mandated restrictions, such as density limitations and travel restrictions, may result in employee attrition and difficulty in meeting labor needs. The Company expects the COVID-19 pandemic and related developments to negatively impact its financial results and such impact is expected to be material to the Company’s financial results, operations and cash flows. Additionally, to the extent the COVID-19 pandemic adversely affects the Company’s business operations, financial condition or operating results, it may also have the effect of heightening many of the other risks described in this “Risk Factors” section.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44" w:lineRule="exact"/>
        <w:rPr>
          <w:sz w:val="20"/>
          <w:szCs w:val="20"/>
          <w:color w:val="auto"/>
        </w:rPr>
      </w:pPr>
    </w:p>
    <w:p>
      <w:pPr>
        <w:ind w:left="260" w:right="100" w:hanging="252"/>
        <w:spacing w:after="0" w:line="256" w:lineRule="auto"/>
        <w:tabs>
          <w:tab w:leader="none" w:pos="2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International Regulations and Travel Restrictions Have Materially Adversely Affected and Together with Changes in Sanctions Could Continue to Materially Adversely Affect International Student Enrollments and Kaplan’s Business.</w:t>
      </w:r>
    </w:p>
    <w:p>
      <w:pPr>
        <w:spacing w:after="0" w:line="120"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Kaplan is subject to a wide range of laws and regulations relating to its international operations. These include domestic laws with extraterritorial reach, such as the U.S. Foreign Corrupt Practices Act, international laws, such as the U.K. Bribery Act, as well as the local regulatory regimes of the countries in which Kaplan operates. These laws and regulations change frequently. Failure to comply with these laws and regulations could result in significant penalties or the revocation of Kaplan’s authority to operate in the applicable jurisdiction, each of which could have a material adverse effect on Kaplan’s operating results.</w:t>
      </w:r>
    </w:p>
    <w:p>
      <w:pPr>
        <w:spacing w:after="0" w:line="137"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In response to the COVID-19 pandemic, many governments have imposed s</w:t>
      </w:r>
      <w:r>
        <w:rPr>
          <w:rFonts w:ascii="Arial" w:cs="Arial" w:eastAsia="Arial" w:hAnsi="Arial"/>
          <w:sz w:val="18"/>
          <w:szCs w:val="18"/>
          <w:color w:val="333333"/>
        </w:rPr>
        <w:t>tudent travel restrictions (applicable to exit and entry), made</w:t>
      </w:r>
      <w:r>
        <w:rPr>
          <w:rFonts w:ascii="Arial" w:cs="Arial" w:eastAsia="Arial" w:hAnsi="Arial"/>
          <w:sz w:val="18"/>
          <w:szCs w:val="18"/>
          <w:color w:val="auto"/>
        </w:rPr>
        <w:t xml:space="preserve"> </w:t>
      </w:r>
      <w:r>
        <w:rPr>
          <w:rFonts w:ascii="Arial" w:cs="Arial" w:eastAsia="Arial" w:hAnsi="Arial"/>
          <w:sz w:val="18"/>
          <w:szCs w:val="18"/>
          <w:color w:val="333333"/>
        </w:rPr>
        <w:t xml:space="preserve">recommendations for their students to return home and closed physical campus locations, and many state and professional bodies have postponed or canceled examination dates related to state examinations and professional education programs, all of which have materially adversely affected Kaplan International’s operations and resulted in </w:t>
      </w:r>
      <w:r>
        <w:rPr>
          <w:rFonts w:ascii="Arial" w:cs="Arial" w:eastAsia="Arial" w:hAnsi="Arial"/>
          <w:sz w:val="18"/>
          <w:szCs w:val="18"/>
          <w:color w:val="000000"/>
        </w:rPr>
        <w:t>significant losses at Kaplan Languages Group. The emergence of new</w:t>
      </w:r>
      <w:r>
        <w:rPr>
          <w:rFonts w:ascii="Arial" w:cs="Arial" w:eastAsia="Arial" w:hAnsi="Arial"/>
          <w:sz w:val="18"/>
          <w:szCs w:val="18"/>
          <w:color w:val="333333"/>
        </w:rPr>
        <w:t xml:space="preserve"> </w:t>
      </w:r>
      <w:r>
        <w:rPr>
          <w:rFonts w:ascii="Arial" w:cs="Arial" w:eastAsia="Arial" w:hAnsi="Arial"/>
          <w:sz w:val="18"/>
          <w:szCs w:val="18"/>
          <w:color w:val="000000"/>
        </w:rPr>
        <w:t>variants of COVID-19, and consequential changes to travel and study arrangements could further negatively affect Kaplan International and its operating results. Further changes to the regulatory environment, including changes to government policy or practice in oversight and enforcement, or other factors, including geopolitical instability, imposition or extension of international sanctions, a natural disaster or pandemic in either the students’ countries of origin or countries in which they desire to study, could continue to negatively affect Kaplan’s ability to attract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7" w:name="page28"/>
    <w:bookmarkEnd w:id="27"/>
    <w:p>
      <w:pPr>
        <w:ind w:right="100"/>
        <w:spacing w:after="0" w:line="225" w:lineRule="auto"/>
        <w:rPr>
          <w:sz w:val="20"/>
          <w:szCs w:val="20"/>
          <w:color w:val="auto"/>
        </w:rPr>
      </w:pPr>
      <w:r>
        <w:rPr>
          <w:rFonts w:ascii="Arial" w:cs="Arial" w:eastAsia="Arial" w:hAnsi="Arial"/>
          <w:sz w:val="18"/>
          <w:szCs w:val="18"/>
          <w:color w:val="auto"/>
        </w:rPr>
        <w:t>retain students and negatively affect Kaplan’s operating results. Additionally, increasingly, governments have begun imposing sales taxes on digital services, such as education, offered in their jurisdictions by foreign providers. Any significant changes to availability of government funding for education, visa policies or other administrative immigration requirements, or the tax environment, including changes to tax laws, policies and practices, in any one or more countries in which KI operates or makes its services available could negatively affect its operating results.</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KI’s operations, institutions and programs in the U.S. may be subject to state-level 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 policies and responsibility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A substantial portion of KI’s revenue comes from programs that prepare international students to study and travel in English-speaking countries. In 2021, university preparation programs were principally delivered in Australia, Singapore and the U.K. KI’s ability to enroll students in these programs is directly dependent on its ability to comply with complex regulatory environments. For example, the impact of Brexit on KI over time will depend on the agreed terms of the U.K.’s withdrawal from the EU. Uncertainty over the impact and terms of Brexit trade deals may materially diminish interest in traveling to the U.K. for study. If the U.K. is no longer viewed as a favorable study destination, KI’s ability to recruit international students would be adversely impacted, which would materially adversely affect KI’s results of operations and cash flows.</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Revised U.K. immigration rules became effective on January 1, 2021, as the Brexit transition was completed. Effective January 1, 2021, all international students, including EEA and Swiss students studying in the U.K. for more than six months, are included in the Student Route, unless they are undertaking an English language course under a Short-Term Study visa of up to 11 months. Free movement ceased between the EEA (together with Switzerland) and the U.K.; students from these countries entering the U.K. are now subject to the same U.K. immigration rules as students from outside the EEA and Switzerland. EEA and Swiss nationals commencing a higher education course in England from August 2021 will no longer qualify for home fee status or have access to financial support from Student Finance England. It is unclear how international student recruitment agents and prospective international students may view the U.K. as a study destination after the introduction of any new immigration requirements and the U.K.’s exit from the EU. The introduction of revised immigration rules has historically increased, and may continue to increase, KI’s operating costs in the U.K. The introduction of new visa and other administrative requirements for entry into the U.K., Brexit and the perception of the U.K. as a less favorable study destination may have a materially adverse impact on KI’s ability to recruit international students and KI’s results of operations and cash flows.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13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In January 2021, President Biden reversed a previously enacted ban on travel from certain counties to the U.S. and directed the State Department to restart visa processing for individuals from the affected countries. There have since been new, unrelated travel restrictions into the U.S. due to COVID-19, and those restrictions can be expected to continue changing. On September 25, 2020, the previous U.S. presidential administration proposed significant changes to the visa rules governing entry of non-immigrant academic students and exchange visitors. In July 2021, the Biden administration formally withdrew the notice of proposed rulemaking regarding these changes. Nevertheless, negative perceptions regarding travel to the U.S. could continue to have a significant negative impact on KI’s ability to recruit international students, and Kaplan’s business could be adversely and materially affected. In 2018, the Australian government introduced legislation that requires higher-level education standards, a compulsory national exam and increased continuing professional development requirements for all financial advisers in Australia. It had been expected that the new requirements could result in financial advisers leaving the industry, which would have resulted in a loss of those existing students for Kaplan Professional Australia. Although advisers did leave the industry, the market leading position of Kaplan Professional meant that its student numbers actually increased. In 2021, the numbers of advisers pursuing compulsory education upgrades slowed as advisers focused on completing the national exam requirement before a year-end deadline. As predicted, there has been a loss of existing advisers as a result of their unwillingness to meet the new standards. Although Kaplan Professional was able to increase its market share due, in part, to the increased annual continuing education development requirements, the legislation has had a negative impact on results of operations.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ind w:left="260" w:right="500" w:hanging="252"/>
        <w:spacing w:after="0" w:line="256" w:lineRule="auto"/>
        <w:tabs>
          <w:tab w:leader="none" w:pos="2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Difficulties of Managing Foreign Operations and Failure to Comply with Foreign Regulatory Requirements Have Negatively Impacted and Could Continue to Negatively Affect Kaplan’s Business.</w:t>
      </w:r>
    </w:p>
    <w:p>
      <w:pPr>
        <w:spacing w:after="0" w:line="120"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has operations and investments in a growing number of foreign countries and regions, including Australia, Canada, the People’s Republic of China, Colombia, France, Germany, Hong Kong, India, Ireland, Japan, Myanmar (in which operations are in the process of being closed), New Zealand, Nigeria, Saudi Arabia, Singapore, the U.K. and the United Arab Emirates. Operating in foreign countries and regions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three marketing diploma programs on both a full and part-time basis due to noncompliance with minimum entry level requirements for admission and to teach out existing students in these programs. On August 23, 2021, the CPE issued the same instructions with respect to the Kaplan Foundation diploma and four information technology diploma programs on both a full and part-time basis. In November 2021, the CPE issued the same instructions with respect to a further 23 full-time or part-time diploma programs. Post regulatory action, Kaplan Singapore is currently still able to offer 449 programs that are registered with the CPE, out of which there are 16 diploma programs, 361 bachelors programs, with the balance comprising certificate and postgraduate courses. Kaplan Singapore will apply for re-registration of diploma programs in 2022. The impact from regulatory actions by the CPE will have a significant adverse impact on Kaplan Singapore’s revenues, operating results and cash flows in the future. No assurance can be given that applications for re-registration of the impacted programs will be successful. An inability to re-register one or more impacted programs could have a further material adverse effect on Kaplan Singapore’s revenues, operating results and cash flows.</w:t>
      </w:r>
    </w:p>
    <w:p>
      <w:pPr>
        <w:spacing w:after="0" w:line="113"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Tax Laws Could Have a Material Adverse Effect on Kaplan International.</w:t>
      </w:r>
    </w:p>
    <w:p>
      <w:pPr>
        <w:spacing w:after="0" w:line="16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UK Pathways Colleges located in England were required to register with the Office for Students (OfS) to ensure they could continue operating as English higher education providers. The UK Pathways Colleges (excluding Glasgow and York) were entered on the OfS register of approved providers with Approved Fee Cap Status in August 2020. These colleges now operate under the regulatory oversight of the OfS. Colleges registered with the OfS under Approved Fee Cap status do not charge students Value Added Tax (VAT) on tuition fees based on a statutory exemption available to Approved Fee Cap providers. The York College forms part of the University of York’s Approved Fee Cap registration. If KI Pathways were to lose its Approved Fee Cap status with the OfS, KI Pathways Colleges’ financial results may be materially adversely impacted.</w:t>
      </w:r>
    </w:p>
    <w:p>
      <w:pPr>
        <w:spacing w:after="0" w:line="139"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Glasgow College is not currently included in the OfS registration as it is located in Scotland. Under a different statutory VAT exemption, bodies which qualify for VAT purposes as “colleges of a university” are able to exempt their tuition fees from VAT, and UK Pathways Glasgow College applies this status. In 2019; a tax case was determined by the U.K. Supreme Court on the meaning of “college of a university.” The U.K. Supreme Court decided the case in the college’s favor. The result was more favorable to private providers working in collaboration with a university. The U.K. Supreme Court emphasized five principal tests for a private provider to meet, for it to be sufficiently integrated with a university, to qualify as a “college of a university” even if it does not have a constitutional link to the university. Although the focus on these five tests has now been incorporated into official Her Majesty's Revenue and Customs (HMRC) guidance, it is not yet clear how HMRC will apply the Supreme Court judgment and the five key tests in practice. If the HMRC’s application of the Supreme Court judgment and the five key tests deems Glasgow International College not to constitute a “college of a university” and not entitled to a VAT exemption, KI Pathways Colleges’ financial results may be materially adversely impacted if they are not able to meet any new requirements.</w:t>
      </w:r>
    </w:p>
    <w:p>
      <w:pPr>
        <w:spacing w:after="0" w:line="13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Following the departure of the U.K. from the EU on December 31, 2020, the U.K. may further develop its VAT rules in this complex area separate from the EU rules. Kaplan is closely monitoring this area.</w:t>
      </w:r>
    </w:p>
    <w:p>
      <w:pPr>
        <w:spacing w:after="0" w:line="126" w:lineRule="exact"/>
        <w:rPr>
          <w:sz w:val="20"/>
          <w:szCs w:val="20"/>
          <w:color w:val="auto"/>
        </w:rPr>
      </w:pPr>
    </w:p>
    <w:p>
      <w:pPr>
        <w:ind w:left="260" w:right="400" w:hanging="252"/>
        <w:spacing w:after="0" w:line="271" w:lineRule="auto"/>
        <w:tabs>
          <w:tab w:leader="none" w:pos="2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Statutory and Regulatory Requirements as a Third-Party Servicer to Title IV Participating Institutions Could Result in Monetary Liabilities or Subject Kaplan to Other Material Adverse Consequences.</w:t>
      </w:r>
    </w:p>
    <w:p>
      <w:pPr>
        <w:spacing w:after="0" w:line="108"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KNA provides services to Purdue Global, Purdue University and other Title IV participating institutions. KNA also provides financial aid services to Purdue Global, and as such, KNA meets the definition of a “third-party servicer” for Purdue Global contained in Title IV regulations. As a result, KNA is subject to applicable statutory provisions of Title IV and ED regulations that, among other things, require Kaplan to be jointly and severally liable with its Title IV participating client institution(s) to the ED for any violation by such client institution(s) of any Title IV statute or ED regulation or requirement. Separately, if KNA provides financial aid services to more than one Title IV participating institution, it will be required to arrange for an independent auditor to conduct an annual Title IV audit of KNA’s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9" w:name="page30"/>
    <w:bookmarkEnd w:id="29"/>
    <w:p>
      <w:pPr>
        <w:ind w:right="160"/>
        <w:spacing w:after="0" w:line="227" w:lineRule="auto"/>
        <w:rPr>
          <w:sz w:val="20"/>
          <w:szCs w:val="20"/>
          <w:color w:val="auto"/>
        </w:rPr>
      </w:pPr>
      <w:r>
        <w:rPr>
          <w:rFonts w:ascii="Arial" w:cs="Arial" w:eastAsia="Arial" w:hAnsi="Arial"/>
          <w:sz w:val="18"/>
          <w:szCs w:val="18"/>
          <w:color w:val="auto"/>
        </w:rPr>
        <w:t>compliance with applicable ED requirements. KNA is also subject to other federal and state laws, including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applicable provisions of the Family Educational Rights and Privacy Act regarding the privacy of student records.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adverse consequences, including, for example:</w:t>
      </w:r>
    </w:p>
    <w:p>
      <w:pPr>
        <w:spacing w:after="0" w:line="144" w:lineRule="exact"/>
        <w:rPr>
          <w:sz w:val="20"/>
          <w:szCs w:val="20"/>
          <w:color w:val="auto"/>
        </w:rPr>
      </w:pPr>
    </w:p>
    <w:p>
      <w:pPr>
        <w:ind w:left="660" w:right="20" w:hanging="328"/>
        <w:spacing w:after="0" w:line="22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on Kaplan of fines, other sanctions or liabilities, including repayment obligations for Title IV funds to the ED or the termination or limitation of Kaplan’s eligibility to provide services as a third-party servicer to any Title IV participating institution if KNA fails to comply with statutory or regulatory requirements applicable to such service providers;</w:t>
      </w:r>
    </w:p>
    <w:p>
      <w:pPr>
        <w:spacing w:after="0" w:line="136" w:lineRule="exact"/>
        <w:rPr>
          <w:rFonts w:ascii="Arial" w:cs="Arial" w:eastAsia="Arial" w:hAnsi="Arial"/>
          <w:sz w:val="18"/>
          <w:szCs w:val="18"/>
          <w:color w:val="auto"/>
        </w:rPr>
      </w:pPr>
    </w:p>
    <w:p>
      <w:pPr>
        <w:ind w:left="660" w:right="540" w:hanging="328"/>
        <w:spacing w:after="0" w:line="22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34" w:lineRule="exact"/>
        <w:rPr>
          <w:rFonts w:ascii="Arial" w:cs="Arial" w:eastAsia="Arial" w:hAnsi="Arial"/>
          <w:sz w:val="18"/>
          <w:szCs w:val="18"/>
          <w:color w:val="auto"/>
        </w:rPr>
      </w:pPr>
    </w:p>
    <w:p>
      <w:pPr>
        <w:ind w:left="660" w:right="360" w:hanging="328"/>
        <w:spacing w:after="0" w:line="23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KU to Purdue.</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Although KNA endeavors to comply with all U.S. Federal and state laws and regulations, KNA cannot guarantee that its implementation of the relevant rules will be upheld by the ED or other agencies or upon judicial review. The laws, regulations and other requirements applicable to KNA and its client institutions are subject to change and to interpretation. In addition, there are other factors related to KNA’s client institutions’ compliance with federal, state and accrediting agency requirements, some of which are outside of KNA’s control, that could have a material adverse effect on KNA’s client institutions’ revenues and, in turn, on KNA’s operating results.</w:t>
      </w:r>
    </w:p>
    <w:p>
      <w:pPr>
        <w:spacing w:after="0" w:line="115"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Incentive Compensation Rule Could Subject Kaplan to Liabilities, Sanctions and Fines.</w:t>
      </w:r>
    </w:p>
    <w:p>
      <w:pPr>
        <w:spacing w:after="0" w:line="166"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Under the ED’s incentive compensation rule, an institution participating in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KNA is a third party providing bundled services to Title IV participating institutions, including recruiting and, in the case of Purdue Global, financial aid services. As such, KNA is also subject to the incentive compensation rule and cannot provide any commission, bonus or other incentive payment to any covered employees, subcontractors or other parties engaged in certain student recruiting, admission or financial aid activities based on success in securing enrollments or financial aid. In addition, Purdue Global’s payments to KNA under the TOSA (as well as any other agreement with any Title IV participating institution) must comply with revenue sharing guidance provided by the ED related to bundled services agreements. In 2011 guidance, the ED provided that in certain arrangements with Title IV participating institutions where student recruiting services are “bundled” with other non-recruiting services, revenue sharing may be allowable despite the incentive compensation rule’s general prohibition on such revenue sharing with entities or individuals that provide recruiting services. Because this guidance is not codified in any rule or law, but is instead an ED opinion on the applicability of the incentive compensation rule, such guidance can be revoked at any time and without notice. Some lawmakers and states, such as California, have publicly called for the revocation of this guidance or sought to introduce federal and state legislation seeking to prevent any such revenue sharing. The change of control of the executive branch and Congress in 2021 could increase the likelihood of changes to this guidance and to the incentive compensation rule. As previously described, the TOSA revenue sharing fee provisions are defined as deferred purchase price payments rather than payments for services. KNA’s services are paid for as a percentage of KNA’s costs of delivering those services to Purdue Global. KNA cannot predict how the ED or a federal court will interpret, revise or enforce all aspects of the incentive compensation rule or the bundled service revenue sharing guidance in the future or how they would be applied to the TOSA or any of KNA’s agreements by the ED or in any litigation. Any revisions or changes in interpretation or enforcement could require KNA and its client institutions to change their practices or renegotiate the tuition revenue sharing payment terms of KNA’s agreements with such client institutions and could have a material adverse effect on Kaplan’s business and results of operations. Additionally, failure to comply with the incentive compensation rule could result in litigation or enforcement actions against KNA or its clients and could result in liabilities, fines or other sanctions against KNA or its clients, which could have a material adverse effect on Kaplan’s business and results of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0" w:name="page31"/>
    <w:bookmarkEnd w:id="30"/>
    <w:p>
      <w:pPr>
        <w:ind w:left="280" w:hanging="272"/>
        <w:spacing w:after="0"/>
        <w:tabs>
          <w:tab w:leader="none" w:pos="2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Misrepresentation Regulations Could Subject Kaplan to Liabilities, Sanctions and Fines.</w:t>
      </w:r>
    </w:p>
    <w:p>
      <w:pPr>
        <w:spacing w:after="0" w:line="166"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A Title IV participating institution is required to comply with the ED regulations related to misrepresentations and with related federal and state laws. These laws and regulations are broad in scope and may extend to statements by servicers, such as KNA, that provide marketing or certain other services to such institutions. These laws and regulations may also apply to KNA’s employees and agents, with respect to statements addressing the nature of an institution’s programs, financial charges or the employability of its graduates. KNA provides certain marketing and other services to Title IV participating institutions. The failure to comply with these or other federal and state laws and regulations regarding misrepresentation and marketing practices could result in the imposition on KNA or its client institutions of fines, other sanctions or liabilities, including federal student aid repayment obligations to the ED, the termination or limitation of Kaplan’s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or could result in termination by such client institutions of their services agreements with KNA.</w:t>
      </w:r>
    </w:p>
    <w:p>
      <w:pPr>
        <w:spacing w:after="0" w:line="121" w:lineRule="exact"/>
        <w:rPr>
          <w:sz w:val="20"/>
          <w:szCs w:val="20"/>
          <w:color w:val="auto"/>
        </w:rPr>
      </w:pPr>
    </w:p>
    <w:p>
      <w:pPr>
        <w:ind w:left="260" w:right="500" w:hanging="252"/>
        <w:spacing w:after="0" w:line="238" w:lineRule="auto"/>
        <w:tabs>
          <w:tab w:leader="none" w:pos="2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135"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KNA and its client institutions are 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the imposition of fines, liabilities, civil or criminal penalties or other sanctions against KNA and its client institutions, which could have an adverse effect on Kaplan’s financial results and operations. Separately, if KNA provides financial aid services to more than one Title IV participating institution, it will be required to arrange for an independent auditor to conduct an annual Title IV compliance audit of KNA’s compliance with applicable ED requirements. KNA’s client institutions are also required to arrange for an independent auditor to conduct an annual Title IV audit of their compliance with applicable ED requirements, including requirements related to services provided by KNA.</w:t>
      </w:r>
    </w:p>
    <w:p>
      <w:pPr>
        <w:spacing w:after="0" w:line="14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September 3, 2015, Kaplan sold substantially all of the assets of the former Kaplan Higher Education Campuses (KHE Campuses). As part of the transaction, similar to the transfer of KU, Kaplan retained liability for the pre-sale conduct of the KHE schools. Although Kaplan no longer owns KU or the former KHE Campuses, Kaplan may be liable to the current owners of KU and the former KHE Campuses, for the pre-sale conduct of the schools, and the pre-sale conduct of the schools has been and could be the subject of future compliance reviews, regulatory proceedings or lawsuits that could result in monetary liabilities or fines or other sanctions.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On May 6, 2021, Kaplan received a notice from the ED that it would be conducting a fact-finding process pursuant to the borrower defense to repayment regulations to determine the validity of more than 800 borrower defense to repayment claims and a request for documents related to several of Kaplan’s previously owned schools. Beginning in July 2021, Kaplan started receiving the claims and related information requests. In total, Kaplan received 1,449 borrower defense applications that seek discharge of approximately $35 million in loans. Most claims received are from former KU students. The ED’s process for adjudicating these claims is subject to the borrower defense regulations but it is not clear to what extent the ED will exclude claims based on the underlying statutes of limitations, evidence provided by Kaplan, or any prior investigation related to schools attended by the student applicants. Kaplan believes it has defenses that would bar any student discharge or school liability including that the claims are barred by the applicable statute of limitations, unproven, incomplete and fail to meet regulatory filing requirements. Kaplan expects to vigorously defend any attempt by the ED to hold Kaplan liable for any ultimate student discharges and is responding to all claims with documentary and narrative evidence to refute the allegations, demonstrate their lack of merit, and support the denial of all such claims by the ED. If the claims are successful, the ED may seek reimbursement for the amount discharged from Kaplan. If the ED initiates a reimbursement action against Kaplan following approval of former students’ borrower defense to repayment applications, Kaplan may be subject to significant liability.</w:t>
      </w:r>
    </w:p>
    <w:p>
      <w:pPr>
        <w:spacing w:after="0" w:line="119"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Noncompliance with Regulations by KNA’s Client Institutions May Adversely Impact Kaplan’s Results of Operations.</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KNA currently provides services to higher education institutions that are heavily regulated by federal and state laws and regulations and by accrediting bodies. Currently, a substantial portion of KNA’s revenue is attributable to service fees and deferred purchase price payments it receives under its agreement with Purdue Global, which are dependent upon revenue generated by Purdue Global and upon Purdue Global’s eligibility to participate in the Title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31" w:name="page32"/>
    <w:bookmarkEnd w:id="31"/>
    <w:p>
      <w:pPr>
        <w:ind w:right="20"/>
        <w:spacing w:after="0" w:line="221" w:lineRule="auto"/>
        <w:rPr>
          <w:sz w:val="20"/>
          <w:szCs w:val="20"/>
          <w:color w:val="auto"/>
        </w:rPr>
      </w:pPr>
      <w:r>
        <w:rPr>
          <w:rFonts w:ascii="Arial" w:cs="Arial" w:eastAsia="Arial" w:hAnsi="Arial"/>
          <w:sz w:val="18"/>
          <w:szCs w:val="18"/>
          <w:color w:val="auto"/>
        </w:rPr>
        <w:t>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 and programmatic accreditation. In addition, the Coronavirus Aid, Relief, and Economic Security (CARES) Act, the Consolidated Appropriations Act of 2021, and subsequent guidance from the ED have created changes in the administration of federal financial assistance programs, the interpretation of which may not yet be fully understood.</w:t>
      </w:r>
    </w:p>
    <w:p>
      <w:pPr>
        <w:spacing w:after="0" w:line="141"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school to submit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lawsuits, program reviews or otherwise. In addition, on October 15, 2021, Purdue Global received from the ED a new PPPA granting provisional certification until June 30, 2022. Under this PPPA, Purdue Global must apply for and receive approval for expansion or any substantial change before it may award, disburse or distribute Title IV funds based on the substantial change. Substantial changes generally include, but are not limited to: (a) establishment of an additional location; (b) increase in the level of academic offering beyond those listed in the institution's Eligibility and Certification Approval Report (ECAR); (c) addition of any educational program (including degree, non-degree or short-term training programs), or (d) the addition of any new degree program. In addition, the institution must pay any liabilities found in a currently open program review prior to the expiration of the PPPA. The provisional certification ends upon the ED's notification to the institution of the ED's decision to grant or deny a six-year certification to participate in the Title IV, HEA programs. If Purdue Global or another KNA client institution loses or has limits placed on its Title IV eligibility, accreditation or state licensure, or if Purdue Global or another KNA client institution is subject to fines, repayment obligations or other adverse actions owing to its or Kaplan’s noncompliance with Title IV regulations, accreditor or state agency requirements, or other state or federal laws, Kaplan’s financial results of operations could be adversely affected. Additionally, as a prior owner of Title IV institutions, KNA may retain certain liability for student loans related to the current BDTR applications described above or future similar applications.</w:t>
      </w:r>
    </w:p>
    <w:p>
      <w:pPr>
        <w:spacing w:after="0" w:line="147"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135" w:lineRule="exact"/>
        <w:rPr>
          <w:sz w:val="20"/>
          <w:szCs w:val="20"/>
          <w:color w:val="auto"/>
        </w:rPr>
      </w:pPr>
    </w:p>
    <w:p>
      <w:pPr>
        <w:ind w:left="660" w:right="40" w:hanging="328"/>
        <w:spacing w:after="0" w:line="235"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KNA client institution loses or has limits placed on its Title IV eligibility, accreditation or state licensure;</w:t>
      </w:r>
    </w:p>
    <w:p>
      <w:pPr>
        <w:spacing w:after="0" w:line="134" w:lineRule="exact"/>
        <w:rPr>
          <w:rFonts w:ascii="Arial" w:cs="Arial" w:eastAsia="Arial" w:hAnsi="Arial"/>
          <w:sz w:val="18"/>
          <w:szCs w:val="18"/>
          <w:color w:val="auto"/>
        </w:rPr>
      </w:pPr>
    </w:p>
    <w:p>
      <w:pPr>
        <w:ind w:left="660" w:right="160" w:hanging="328"/>
        <w:spacing w:after="0" w:line="229"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client institution is subject to fines, repayment obligations or other adverse actions owing to noncompliance by Purdue Global (or Kaplan) with Title IV, accreditor or state agency requirements;</w:t>
      </w:r>
    </w:p>
    <w:p>
      <w:pPr>
        <w:spacing w:after="0" w:line="136" w:lineRule="exact"/>
        <w:rPr>
          <w:rFonts w:ascii="Arial" w:cs="Arial" w:eastAsia="Arial" w:hAnsi="Arial"/>
          <w:sz w:val="18"/>
          <w:szCs w:val="18"/>
          <w:color w:val="auto"/>
        </w:rPr>
      </w:pPr>
    </w:p>
    <w:p>
      <w:pPr>
        <w:ind w:left="660" w:right="360" w:hanging="328"/>
        <w:spacing w:after="0" w:line="227"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34" w:lineRule="exact"/>
        <w:rPr>
          <w:rFonts w:ascii="Arial" w:cs="Arial" w:eastAsia="Arial" w:hAnsi="Arial"/>
          <w:sz w:val="18"/>
          <w:szCs w:val="18"/>
          <w:color w:val="auto"/>
        </w:rPr>
      </w:pPr>
    </w:p>
    <w:p>
      <w:pPr>
        <w:ind w:left="660" w:right="200" w:hanging="328"/>
        <w:spacing w:after="0" w:line="235"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KNA’s conduct.</w:t>
      </w:r>
    </w:p>
    <w:p>
      <w:pPr>
        <w:spacing w:after="0" w:line="112"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Kaplan May Fail to Realize the Anticipated Benefits of the Purdue Global Transaction.</w:t>
      </w:r>
    </w:p>
    <w:p>
      <w:pPr>
        <w:spacing w:after="0" w:line="166"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Kaplan’s ability to realize the anticipated benefits of the Purdue Global transaction will depend, in part, on its ability to successfully and efficiently provide services to Purdue Global. Achieving the anticipated benefits is subject to a</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2" w:name="page33"/>
    <w:bookmarkEnd w:id="32"/>
    <w:p>
      <w:pPr>
        <w:ind w:right="40"/>
        <w:spacing w:after="0" w:line="225" w:lineRule="auto"/>
        <w:rPr>
          <w:sz w:val="20"/>
          <w:szCs w:val="20"/>
          <w:color w:val="auto"/>
        </w:rPr>
      </w:pPr>
      <w:r>
        <w:rPr>
          <w:rFonts w:ascii="Arial" w:cs="Arial" w:eastAsia="Arial" w:hAnsi="Arial"/>
          <w:sz w:val="18"/>
          <w:szCs w:val="18"/>
          <w:color w:val="auto"/>
        </w:rPr>
        <w:t>number of uncertainties, including whether the services can be provided in the manner and at the cost Kaplan anticipated and whether Purdue Global is able to realize anticipated student enrollment levels. If Kaplan is unable to effectively execute its post-transaction strategy, it may take longer than anticipated to achieve the benefits of the transaction or it may not realize those benefits at all. In 2022 Purdue Global began working with KNA to provide certain human resources, finance and accounting, facility management, and communications services itself, in-house.</w:t>
      </w:r>
    </w:p>
    <w:p>
      <w:pPr>
        <w:spacing w:after="0" w:line="115"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 Regulatory activity in 2022 may include possible restrictions on revenue sharing arrangements with universities, as discussed above, which could impact KNA Higher Education managed service provider contracts with Purdue, Purdue Global, Wake Forest and other client institutions. Additional regulatory, policy or legal changes could include imposing outcome metrics on universities, a form of free community college, changes to the financial aid system, and the reinstatement of broader borrower defenses to loan repayment. In addition, a Negotiated Rulemaking began in October 2021 that covered, in part, rules related to the borrower defense to repayment adjudication process and recovery from institutions, closed school loan discharges, disability loan discharges, public loan forgiveness, income driven repayment plans and arbitration agreements. As part of this current Rulemaking, in a session that began in January 2022, the ED also proposed a change to the Title IV definition of “Nonprofit” institution to generally exclude from that definition any institution that is an obligor on a debt owed to a former owner of the institution or maintains a revenue-based service agreement with a former owner of the institution. Such regulatory changes as well as those described above could subject Purdue Global to additional regulatory requirements. Any resulting new rules or changes to existing rules are not likely to be effective until July 1, 2023. In addition, there are other factors related to Purdue Global’s and other client institutions’ compliance with federal, state and accrediting agency requirements—many of which are largely outside of Kaplan’s control—that could have a material adverse effect on Purdue Global’s and other client institutions’ revenues and, in turn, on Kaplan’s operating results, including, for example:</w:t>
      </w:r>
    </w:p>
    <w:p>
      <w:pPr>
        <w:spacing w:after="0" w:line="116" w:lineRule="exact"/>
        <w:rPr>
          <w:sz w:val="20"/>
          <w:szCs w:val="20"/>
          <w:color w:val="auto"/>
        </w:rPr>
      </w:pPr>
    </w:p>
    <w:p>
      <w:pPr>
        <w:ind w:left="660" w:right="60"/>
        <w:spacing w:after="0" w:line="227" w:lineRule="auto"/>
        <w:rPr>
          <w:sz w:val="20"/>
          <w:szCs w:val="20"/>
          <w:color w:val="auto"/>
        </w:rPr>
      </w:pPr>
      <w:r>
        <w:rPr>
          <w:rFonts w:ascii="Arial" w:cs="Arial" w:eastAsia="Arial" w:hAnsi="Arial"/>
          <w:sz w:val="18"/>
          <w:szCs w:val="18"/>
          <w:b w:val="1"/>
          <w:bCs w:val="1"/>
          <w:i w:val="1"/>
          <w:iCs w:val="1"/>
          <w:color w:val="auto"/>
        </w:rPr>
        <w:t xml:space="preserve">Reduction in Title IV or other federal, state or private financial assistance: </w:t>
      </w:r>
      <w:r>
        <w:rPr>
          <w:rFonts w:ascii="Arial" w:cs="Arial" w:eastAsia="Arial" w:hAnsi="Arial"/>
          <w:sz w:val="18"/>
          <w:szCs w:val="18"/>
          <w:color w:val="auto"/>
        </w:rPr>
        <w:t>KNA receives revenue based on its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 institutions and particularly revenue from Purdue Global under the TOSA. Purdue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effect on Kaplan’s business and results of operations.</w:t>
      </w:r>
    </w:p>
    <w:p>
      <w:pPr>
        <w:spacing w:after="0" w:line="115" w:lineRule="exact"/>
        <w:rPr>
          <w:sz w:val="20"/>
          <w:szCs w:val="20"/>
          <w:color w:val="auto"/>
        </w:rPr>
      </w:pPr>
    </w:p>
    <w:p>
      <w:pPr>
        <w:ind w:left="660" w:right="100"/>
        <w:spacing w:after="0" w:line="226" w:lineRule="auto"/>
        <w:rPr>
          <w:sz w:val="20"/>
          <w:szCs w:val="20"/>
          <w:color w:val="auto"/>
        </w:rPr>
      </w:pPr>
      <w:r>
        <w:rPr>
          <w:rFonts w:ascii="Arial" w:cs="Arial" w:eastAsia="Arial" w:hAnsi="Arial"/>
          <w:sz w:val="18"/>
          <w:szCs w:val="18"/>
          <w:b w:val="1"/>
          <w:bCs w:val="1"/>
          <w:i w:val="1"/>
          <w:iCs w:val="1"/>
          <w:color w:val="auto"/>
        </w:rPr>
        <w:t xml:space="preserve">Compliance reviews and litigation: </w:t>
      </w:r>
      <w:r>
        <w:rPr>
          <w:rFonts w:ascii="Arial" w:cs="Arial" w:eastAsia="Arial" w:hAnsi="Arial"/>
          <w:sz w:val="18"/>
          <w:szCs w:val="18"/>
          <w:color w:val="auto"/>
        </w:rPr>
        <w:t>Institutions participating in the Title IV programs, including Purdue Global and other client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and other client institutions also may be subject to various lawsuits and claims related to a variety of matters, including but not limited to alleged violations of federal and state laws and accrediting agency requirements. These compliance reviews and litigation matters could extend to activities conducted by KNA on behalf of Purdue Global or other client institutions and to KNA itself as a third-party servicer subject to Title IV regulations.</w:t>
      </w:r>
    </w:p>
    <w:p>
      <w:pPr>
        <w:spacing w:after="0" w:line="115" w:lineRule="exact"/>
        <w:rPr>
          <w:sz w:val="20"/>
          <w:szCs w:val="20"/>
          <w:color w:val="auto"/>
        </w:rPr>
      </w:pPr>
    </w:p>
    <w:p>
      <w:pPr>
        <w:ind w:left="660" w:right="60"/>
        <w:spacing w:after="0" w:line="239" w:lineRule="auto"/>
        <w:rPr>
          <w:sz w:val="20"/>
          <w:szCs w:val="20"/>
          <w:color w:val="auto"/>
        </w:rPr>
      </w:pPr>
      <w:r>
        <w:rPr>
          <w:rFonts w:ascii="Arial" w:cs="Arial" w:eastAsia="Arial" w:hAnsi="Arial"/>
          <w:sz w:val="17"/>
          <w:szCs w:val="17"/>
          <w:b w:val="1"/>
          <w:bCs w:val="1"/>
          <w:i w:val="1"/>
          <w:iCs w:val="1"/>
          <w:color w:val="auto"/>
        </w:rPr>
        <w:t xml:space="preserve">Legislative and regulatory change: </w:t>
      </w:r>
      <w:r>
        <w:rPr>
          <w:rFonts w:ascii="Arial" w:cs="Arial" w:eastAsia="Arial" w:hAnsi="Arial"/>
          <w:sz w:val="17"/>
          <w:szCs w:val="17"/>
          <w:color w:val="auto"/>
        </w:rPr>
        <w:t>Congress periodically revises the Higher Education Act and other laws and enacts new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governing the Title IV programs and annually determines the funding level for each Title IV program and may make changes in the laws at any time. The ED and other federal and state agencies also may issue new regulations and guidance or change their interpretation of regulations at any time. For example, on September 23, 2019, the ED released new final regulations affecting the ability of student borrowers to obtain discharges of their obligations to repay certain Title IV loans that were first disbursed on or after July 1, 2020, and loans disbursed between July 2017 and July 1, 2020. The new regulations, among other things, expand the ability of borrowers to obtain loan discharges based on substantial misrepresentations. Application of these regulations to Purdue Global or other client institutions could materially affect revenue and result in liabilities to the ED. In addition, application of these regulations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ind w:left="660" w:right="40"/>
        <w:spacing w:after="0" w:line="221" w:lineRule="auto"/>
        <w:rPr>
          <w:sz w:val="20"/>
          <w:szCs w:val="20"/>
          <w:color w:val="auto"/>
        </w:rPr>
      </w:pPr>
      <w:r>
        <w:rPr>
          <w:rFonts w:ascii="Arial" w:cs="Arial" w:eastAsia="Arial" w:hAnsi="Arial"/>
          <w:sz w:val="18"/>
          <w:szCs w:val="18"/>
          <w:color w:val="auto"/>
        </w:rPr>
        <w:t>to KNA for loans disbursed between July 1, 2017, and March 22, 2018, the close of the Purdue Global transaction, could materially affect Kaplan’s revenues. Additionally, changes to the ability of students to discharge loans owing to prior school closures could impose liability on Kaplan for loans made to students at institutions previously owned by Kaplan and closed during Kaplan’s ownership. ED also published final regulations on September 2, 2020, regarding distance education and various other matters. Any action by Congress or the ED that significantly reduces funding for Title IV programs or the ability of Purdue Global or other client institutions to receive funding through these programs could reduce Purdue Global’s or other client institutions’ enrollments and tuition revenues and, in turn, the revenues KNA receives under the TOSA or other agreements. Any action by Congress or the ED that impacts the ability of Purdue Global to contract with KNA to receive a share of revenue as deferred payment for the sale of KU or the ability of KNA to contract with any client institution to provide bundled services in exchange for a share of tuition revenue could require KNA to modify the TOSA, other agreements or its practices and could impact the revenues KNA may receive under such agreements. Congress, the ED and other federal and state regulators may create new laws or take actions that may require Purdue Global, other client institutions or KNA to modify practices in ways that could have a material adverse effect on Kaplan’s business and results of operations.</w:t>
      </w:r>
    </w:p>
    <w:p>
      <w:pPr>
        <w:spacing w:after="0" w:line="119" w:lineRule="exact"/>
        <w:rPr>
          <w:sz w:val="20"/>
          <w:szCs w:val="20"/>
          <w:color w:val="auto"/>
        </w:rPr>
      </w:pPr>
    </w:p>
    <w:p>
      <w:pPr>
        <w:ind w:left="660" w:right="40"/>
        <w:spacing w:after="0" w:line="223" w:lineRule="auto"/>
        <w:rPr>
          <w:sz w:val="20"/>
          <w:szCs w:val="20"/>
          <w:color w:val="auto"/>
        </w:rPr>
      </w:pPr>
      <w:r>
        <w:rPr>
          <w:rFonts w:ascii="Arial" w:cs="Arial" w:eastAsia="Arial" w:hAnsi="Arial"/>
          <w:sz w:val="18"/>
          <w:szCs w:val="18"/>
          <w:b w:val="1"/>
          <w:bCs w:val="1"/>
          <w:i w:val="1"/>
          <w:iCs w:val="1"/>
          <w:color w:val="auto"/>
        </w:rPr>
        <w:t xml:space="preserve">Increased regulatory scrutiny of postsecondary education and service providers: </w:t>
      </w:r>
      <w:r>
        <w:rPr>
          <w:rFonts w:ascii="Arial" w:cs="Arial" w:eastAsia="Arial" w:hAnsi="Arial"/>
          <w:sz w:val="18"/>
          <w:szCs w:val="18"/>
          <w:color w:val="auto"/>
        </w:rPr>
        <w:t>The increased scrutiny of online schools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programs similar to those offered by Purdue Global or other client institutions and of service providers that provide services similar to Kaplan’s has resulted, and may continue to result, in additional enforcement actions, investigations and lawsuits by the ED, other federal agencies, Congress, state Attorneys General and state licensing agencies. Recent enforcement actions have resulted in substantial liabilities, restrictions and sanctions and in some cases have led to the loss of Title IV eligibility and closure of institutions. The change of control of the executive branch and Congress in 2021 could increase the amount of regulation and scrutiny of service companies like Kaplan and online schools like Kaplan’s client institutions. This increased activity and other current and future activity may result in further legislation, rulemaking and other governmental actions affecting the amount of student financial assistance for which Purdue Global’s or other client institutions’ students are eligible, or Kaplan’s participation in Title IV programs as a third-party servicer to Purdue Global or such other client institutions. In addition, increased scrutiny and legislative proposals restricting the ability of entities like KNA that provide certain admissions related services to Title IV participating institutions under revenue sharing arrangements could impact KNA agreements. Such scrutiny could result in requests to Kaplan for information or negative publicity that could adversely affect KNA and its client institutions.</w:t>
      </w:r>
    </w:p>
    <w:p>
      <w:pPr>
        <w:spacing w:after="0" w:line="119" w:lineRule="exact"/>
        <w:rPr>
          <w:sz w:val="20"/>
          <w:szCs w:val="20"/>
          <w:color w:val="auto"/>
        </w:rPr>
      </w:pPr>
    </w:p>
    <w:p>
      <w:pPr>
        <w:ind w:left="260" w:right="140" w:hanging="252"/>
        <w:spacing w:after="0" w:line="256" w:lineRule="auto"/>
        <w:tabs>
          <w:tab w:leader="none" w:pos="2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and Increased Competition Could Reduce Demand for KNA Supplemental Education Test Preparation Offerings.</w:t>
      </w:r>
    </w:p>
    <w:p>
      <w:pPr>
        <w:spacing w:after="0" w:line="120"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KNA Supplemental Education Exam Preparation provides courses that prepare students for a broad range of admissions examinations that are considered by colleges and graduate schools. Historically, colleges and graduate schools have required standardized tests as part of the admissions process. As a result of the COVID-19 pandemic, a number of colleges and graduate schools have waived standardized tests as part of the admissions process for the upcoming academic year or longer. These changes have had a negative impact on KNA’s results of operations for the test preparation products. In addition, there had already been some movement away from the historical reliance on standardized admissions tests among certain colleges, which have phased out admissions tests, are in the process of phasing out admissions tests or have adopted “test-optional” admissions policies. Moreover, as a part of a settlement in a lawsuit brought by students in 2019, a large public university will no longer use the SAT and ACT for admissions or scholarship decisions for its system of 10 schools. Any significant reduction in the use of standardized tests in the college or graduate school admissions processes could have an adverse effect on Kaplan’s operating results.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Additionally, KNA faces increased competition from competitors offering lower-cost or free test prep products that may be used by students to piece together alternatives to traditional comprehensive test prep programs. Kaplan’s operating results may be adversely affected if student demand for KNA’s traditional comprehensive programs shifts to KNA’s lower-cost, standalone offerings, or if competitors offer lower-cost, standalone offerings or free test prep products that are more attractive to students than KNA’s products.</w:t>
      </w:r>
    </w:p>
    <w:p>
      <w:pPr>
        <w:spacing w:after="0" w:line="113" w:lineRule="exact"/>
        <w:rPr>
          <w:sz w:val="20"/>
          <w:szCs w:val="20"/>
          <w:color w:val="auto"/>
        </w:rPr>
      </w:pPr>
    </w:p>
    <w:p>
      <w:pPr>
        <w:ind w:left="260" w:right="180" w:hanging="252"/>
        <w:spacing w:after="0" w:line="256" w:lineRule="auto"/>
        <w:tabs>
          <w:tab w:leader="none" w:pos="2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Postponement and Cancellation of Examinations and Changes in the Extent to Which Licensing and Proficiency Examinations Are Used to Qualify Individuals to Pursue Certain Careers Could Reduce Demand for Kaplan’s Offerings.</w:t>
      </w:r>
    </w:p>
    <w:p>
      <w:pPr>
        <w:spacing w:after="0" w:line="120"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 material portion of KNA’s and KI’s revenue comes from preparing individuals for licensing or technical proficiency examinations in various fields. Any significant relaxation or elimination of licensing or technical proficiency requirements in those fields served by KNA’s and KI’s businesses could negatively affect Kaplan’s operating results. As a result of the COVID-19 pandemic, a number of professional certification examinations have been cancelled or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ind w:right="500"/>
        <w:spacing w:after="0" w:line="235" w:lineRule="auto"/>
        <w:rPr>
          <w:sz w:val="20"/>
          <w:szCs w:val="20"/>
          <w:color w:val="auto"/>
        </w:rPr>
      </w:pPr>
      <w:r>
        <w:rPr>
          <w:rFonts w:ascii="Arial" w:cs="Arial" w:eastAsia="Arial" w:hAnsi="Arial"/>
          <w:sz w:val="18"/>
          <w:szCs w:val="18"/>
          <w:color w:val="auto"/>
        </w:rPr>
        <w:t>permanently altered. While the impact of these changes on Kaplan’s operations improved in 2021 relative to 2020, further changes and impacts on student timing due to the pandemic may impact Kaplan’s results.</w:t>
      </w:r>
    </w:p>
    <w:p>
      <w:pPr>
        <w:spacing w:after="0" w:line="113" w:lineRule="exact"/>
        <w:rPr>
          <w:sz w:val="20"/>
          <w:szCs w:val="20"/>
          <w:color w:val="auto"/>
        </w:rPr>
      </w:pPr>
    </w:p>
    <w:p>
      <w:pPr>
        <w:ind w:left="260" w:right="340" w:hanging="252"/>
        <w:spacing w:after="0" w:line="256" w:lineRule="auto"/>
        <w:tabs>
          <w:tab w:leader="none" w:pos="2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Liability under Real Estate Lease Guarantees for Certain Real Estate Leases that were Assigned to Education Corporation of America Could Have a Material Adverse Effect on the Company’s Results.</w:t>
      </w:r>
    </w:p>
    <w:p>
      <w:pPr>
        <w:spacing w:after="0" w:line="120" w:lineRule="exact"/>
        <w:rPr>
          <w:sz w:val="20"/>
          <w:szCs w:val="20"/>
          <w:color w:val="auto"/>
        </w:rPr>
      </w:pPr>
    </w:p>
    <w:p>
      <w:pPr>
        <w:spacing w:after="0" w:line="222" w:lineRule="auto"/>
        <w:rPr>
          <w:sz w:val="20"/>
          <w:szCs w:val="20"/>
          <w:color w:val="auto"/>
        </w:rPr>
      </w:pPr>
      <w:r>
        <w:rPr>
          <w:rFonts w:ascii="Arial" w:cs="Arial" w:eastAsia="Arial" w:hAnsi="Arial"/>
          <w:sz w:val="18"/>
          <w:szCs w:val="18"/>
          <w:color w:val="222222"/>
        </w:rPr>
        <w:t xml:space="preserve">On September 3, 2015, Kaplan sold to ECA substantially all of the assets of the KHE Campuses. The transaction included the transfer of certain real estate leases that were guaranteed or purportedly guaranteed by Kaplan. </w:t>
      </w:r>
      <w:r>
        <w:rPr>
          <w:rFonts w:ascii="Arial" w:cs="Arial" w:eastAsia="Arial" w:hAnsi="Arial"/>
          <w:sz w:val="18"/>
          <w:szCs w:val="18"/>
          <w:color w:val="000000"/>
        </w:rPr>
        <w:t>ECA is currently in receivership, has terminated all of</w:t>
      </w:r>
      <w:r>
        <w:rPr>
          <w:rFonts w:ascii="Arial" w:cs="Arial" w:eastAsia="Arial" w:hAnsi="Arial"/>
          <w:sz w:val="18"/>
          <w:szCs w:val="18"/>
          <w:color w:val="222222"/>
        </w:rPr>
        <w:t xml:space="preserve"> </w:t>
      </w:r>
      <w:r>
        <w:rPr>
          <w:rFonts w:ascii="Arial" w:cs="Arial" w:eastAsia="Arial" w:hAnsi="Arial"/>
          <w:sz w:val="18"/>
          <w:szCs w:val="18"/>
          <w:color w:val="000000"/>
        </w:rPr>
        <w:t>its higher-education operations and has sold most, if not all, of its remaining assets (including New England College of Business). Additionally, the receiver has repudiated all of ECA’s real estate leases. Although ECA is required to indemnify Kaplan for any amounts Kaplan must pay due to ECA’s failure to fulfill its obligations under the real estate leases guaranteed by Kaplan, ECA’s current financial condition and the amount of secured and unsecured creditor claims outstanding against ECA make it unlikely that Kaplan will recover from ECA. If Kaplan is not successful in mitigating these liabilities, the Company’s results could be materially adversely impacted. In the second half of 2018, the Company recorded an estimated $17.5 million in losses on guarantor lease obligations in connection with this transaction in other non-operating expense. The Company recorded an additional estimated $1.1 million in non-operating expense in 2019 and $1 million in non-operating expense in 2020, and $1.1 million in non-operating expense in 2021, in each case consisting of legal fees and lease costs. The Company continues to monitor the status of these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44" w:lineRule="exact"/>
        <w:rPr>
          <w:sz w:val="20"/>
          <w:szCs w:val="20"/>
          <w:color w:val="auto"/>
        </w:rPr>
      </w:pPr>
    </w:p>
    <w:p>
      <w:pPr>
        <w:ind w:left="260" w:right="140" w:hanging="252"/>
        <w:spacing w:after="0" w:line="256" w:lineRule="auto"/>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Could Adversely Affect the Profitability of Television Broadcasting.</w:t>
      </w:r>
    </w:p>
    <w:p>
      <w:pPr>
        <w:spacing w:after="0" w:line="120"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 could be adversely affected.</w:t>
      </w:r>
    </w:p>
    <w:p>
      <w:pPr>
        <w:spacing w:after="0" w:line="108" w:lineRule="exact"/>
        <w:rPr>
          <w:sz w:val="20"/>
          <w:szCs w:val="20"/>
          <w:color w:val="auto"/>
        </w:rPr>
      </w:pPr>
    </w:p>
    <w:p>
      <w:pPr>
        <w:ind w:left="260" w:right="400" w:hanging="252"/>
        <w:spacing w:after="0" w:line="256" w:lineRule="auto"/>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and Changing Consumer Behavior Could Adversely Affect the Company’s Operating Results.</w:t>
      </w:r>
    </w:p>
    <w:p>
      <w:pPr>
        <w:spacing w:after="0" w:line="120"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Examples of such developments include online delivery of programming, technologies that enable users to fast-forward or skip advertisements and devices that allow users to consume content on demand and in remote locations while avoiding traditional commercial advertisements or cable and satellite subscriptions. Changing consumer behavior may also put pressure on the Company’s media businesses to change traditional distribution methods. The Company obtains significant revenue from its retransmission consent agreements with traditional cable and satellite distributors. These payments are on a per-subscriber basis and payments to the Company may decrease as customers “cut the cord” and cancel their cable and satellite subscriptions. The Company also receives payments for distribution of its stations’ signals on certain online “over-the-top” services, however these revenues may be less than those from traditional cable and satellite distribution. Anticipating and adapting to changes in technology and consumer behavior on a timely basis will affect the Company’s media businesses’ ability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w:t>
      </w:r>
    </w:p>
    <w:p>
      <w:pPr>
        <w:spacing w:after="0" w:line="121" w:lineRule="exact"/>
        <w:rPr>
          <w:sz w:val="20"/>
          <w:szCs w:val="20"/>
          <w:color w:val="auto"/>
        </w:rPr>
      </w:pPr>
    </w:p>
    <w:p>
      <w:pPr>
        <w:ind w:left="260" w:right="200" w:hanging="252"/>
        <w:spacing w:after="0" w:line="256"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120"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In addition, changes to the FCC’s rules governing broadcast ownership may affect the Company’s ability to expand its television broadcasting business and/or may enable the Company’s competitors to improve their market positions through consolidation. More generally, all of the Company’s businesses could have their profitability or their competitive positions adversely affected by significant changes in applicable regulations.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ind w:left="260" w:right="840" w:hanging="252"/>
        <w:spacing w:after="0" w:line="256"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Transition to New Technical Standards for Broadcast Television Stations May Alter the Competitive Environment in the Company’s Stations’ Markets or Cause the Company to Incur Increased Costs.</w:t>
      </w:r>
    </w:p>
    <w:p>
      <w:pPr>
        <w:spacing w:after="0" w:line="120"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Company cannot predict how the market will react to the new broadcast television station technical standard, ATSC 3.0, as the period for voluntary transition to the new standard has only recently begun, and some of the market rollouts originally planned for 2020 or 2021 have been delayed by the COVID-19 pandemic. Equipment manufacturers began releasing certain TV set models with built-in ATSC 3.0-capable receivers in 2020, but ATSC 3.0-capable consumer devices are not yet widely available in the U.S. As part of the voluntary transition, many station groups are beginning to test ATSC 3.0 streams. Notably, there is a large consortium led by Pearl TV (of which GMG is a member) that has been leading test trials in the Phoenix, Detroit, Portland and other markets. ATSC 3.0 streams are now available in more than 40 markets across the country. Competing stations that transition to ATSC 3.0 may increase competition for the Company’s stations and/or create competitive pressure for the Company’s stations to launch ATSC 3.0 streams. As noted above, GMG stations’ WDIV-TV, WKMG-TV and KPRC-TV have begun broadcasting ATSC 3.0 streams over the course of 2020 and 2021. The transition to ATSC 3.0 may cause the Company to incur substantial costs over time. More generally, the deployment of ATSC 3.0 may have other material effects on the Company’s media businesses that cannot now be reliably predicted and that may have a material adverse effect on the Company’s operating results.</w:t>
      </w:r>
    </w:p>
    <w:p>
      <w:pPr>
        <w:spacing w:after="0" w:line="121"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product claims is a time-consuming and expensive endeavor, regardless of the merits of the claims. In order to resolve such claims, the Company may have to change its method of doing business, enter into licensing agreements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44" w:lineRule="exact"/>
        <w:rPr>
          <w:sz w:val="20"/>
          <w:szCs w:val="20"/>
          <w:color w:val="auto"/>
        </w:rPr>
      </w:pPr>
    </w:p>
    <w:p>
      <w:pPr>
        <w:ind w:left="260" w:right="240" w:hanging="252"/>
        <w:spacing w:after="0" w:line="256" w:lineRule="auto"/>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Environmental, Health, Safety and Other Laws Applicable to the Company’s Manufacturing Operations Could Negatively Impact the Company’s Business.</w:t>
      </w:r>
    </w:p>
    <w:p>
      <w:pPr>
        <w:spacing w:after="0" w:line="12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Company’s operations are subject to extensive federal, state and local laws and regulations relating to the environment, as well as health and workplace safety, including those set forth by the OSHA, the Environmental Protection Agency (EPA) and state and local regulatory authorities in the U.S. Such laws and regulations affect operations and require compliance with various environmental registrations, licenses, permits, inspections and other approvals. The Company incurs substantial costs to comply with these regulations, and any failure to comply may expose the Company to civil, criminal and administrative fees, fines, penalties and interruptions in operations that could have a material adverse impact on the Company’s results of operations, financial position or cash flows.</w:t>
      </w:r>
    </w:p>
    <w:p>
      <w:pPr>
        <w:spacing w:after="0" w:line="115"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 or the environment; or a suspension of operations. Insurance may not protect the Company against liability for certain kinds of events, including those involving pollution or losses resulting from business interruption. Any damages caused by the Company’s operations that are not covered by insurance, or are in excess of policy limits, could materially adversely affect the Company’s results of operations, financial position or cash flows.</w:t>
      </w:r>
    </w:p>
    <w:p>
      <w:pPr>
        <w:spacing w:after="0" w:line="115" w:lineRule="exact"/>
        <w:rPr>
          <w:sz w:val="20"/>
          <w:szCs w:val="20"/>
          <w:color w:val="auto"/>
        </w:rPr>
      </w:pPr>
    </w:p>
    <w:p>
      <w:pPr>
        <w:ind w:left="260" w:right="180" w:hanging="252"/>
        <w:spacing w:after="0" w:line="256" w:lineRule="auto"/>
        <w:tabs>
          <w:tab w:leader="none" w:pos="33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Production Staff Needed to Meet Customer Demand Could Have a Material Adverse Effect on the Company’s Manufacturing Businesses.</w:t>
      </w:r>
    </w:p>
    <w:p>
      <w:pPr>
        <w:spacing w:after="0" w:line="120"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Company’s manufacturing operations are experiencing a highly competitive market for production labor that may limit its ability to meet customer demand. If staffing cannot be hired at a cost-efficient wage rate relative to product pricing, volume will be impacted. In addition, COVID-19 absenteeism and potential vaccine mandates announced in jurisdictions in which the Company’s manufacturing businesses operate, will result in employee attrition and difficulty in meeting labor needs. Both factors impacting labor availability could have an adverse effect on future revenues and costs, which could be material.</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44" w:lineRule="exact"/>
        <w:rPr>
          <w:sz w:val="20"/>
          <w:szCs w:val="20"/>
          <w:color w:val="auto"/>
        </w:rPr>
      </w:pPr>
    </w:p>
    <w:p>
      <w:pPr>
        <w:ind w:left="260" w:right="160" w:hanging="252"/>
        <w:spacing w:after="0" w:line="25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12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a wide range of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cannot be predicted.</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Reimbursement for services by third-party payers, including Medicare, Medicaid and private health insurance providers, may decline, while authorization, audit and compliance requirements continue to add to the cost of providing those services.</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Managed-care organizations, hospitals, physician practices and other third-party payers continue to consolidate in response to the evolving regulatory environment, thereby enhancing their ability to influence the delivery of healthcare services and decreasing the number of organizations serving patients. This consolidation could adversely impact GHG’s businesses if they are unable to maintain their ability to participate in established networks. In addition, CSI Pharmacy and Weiss Medical both face risks from manufacturer supply shortages, competitive vertical integration and pricing power, and government intervention on drug pricing.</w:t>
      </w:r>
    </w:p>
    <w:p>
      <w:pPr>
        <w:spacing w:after="0" w:line="13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GHG is also subject to periodic and routine reviews, audits and investigations by federal and state government agencies and private payers, which could result in negative findings that adversely impact the business. CMS increasingly uses third-party, for-profit contractors to conduct these reviews, many of which share in the amounts that CMS denies. These reviews, audits and investigations consume significant staff and financial resources and may take years to resolve.</w:t>
      </w:r>
    </w:p>
    <w:p>
      <w:pPr>
        <w:spacing w:after="0" w:line="11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Continued Nursing Staffing Shortages Could Adversely Affect the Growth of the Company’s Healthcare Businesses.</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country’s severe shortage of nurses could adversely affect GHG’s ability to meet customer demand and may impact its ability to take on new business. In addition, competition to attract new nurses necessitates offering increased wages and benefits, which increases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44" w:lineRule="exact"/>
        <w:rPr>
          <w:sz w:val="20"/>
          <w:szCs w:val="20"/>
          <w:color w:val="auto"/>
        </w:rPr>
      </w:pPr>
    </w:p>
    <w:p>
      <w:pPr>
        <w:ind w:left="260" w:right="520" w:hanging="252"/>
        <w:spacing w:after="0" w:line="238" w:lineRule="auto"/>
        <w:tabs>
          <w:tab w:leader="none" w:pos="2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13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Company’s automobile dealerships are dependent on maintaining strong relationships with manufacturers, and the Company’s ownership and operation of automobile dealerships is subject to its ability to comply with various requirements established by automobile manufacturers. The Company’s dealerships operate under separate agreements with each applicable automobile manufacturer. Manufacturers may terminate their agreements for a variety of reasons, including a dealership’s failure to meet a manufacturer’s standards for financial and sales performance, customer satisfaction, facilities and the quality of dealership management; and any unapproved change in ownership or management. These agreements also limit the Company’s ability to acquire multiple dealerships of the same brand within a particular market and preclude the Company from establishing new dealerships within an area already served by another dealer of the same vehicle brand. In addition, dealerships controlled by related parties of the management team operating the Company’s dealerships may restrict the Company’s ability to acquire new dealerships within an area in which such dealerships operate. Manufacturers also have the right of first refusal if the Company seeks to sell dealerships and may limit the Company’s ability to transfer ownership of a dealership without the prior approval of the manufacturer. Failure to maintain ownership of the dealerships in compliance with manufacturer agreements could constitute a breach of the agreements and could result in termination or non-renewal of existing dealer agreements. If one of the Company’s manufacturers does not renew its dealer agreement or terminates the agreement, the Company’s dealership would be unable to sell or distribute new vehicles or perform manufacturer authorized warranty service, which would adversely affect the Company’s automotive business.</w:t>
      </w:r>
    </w:p>
    <w:p>
      <w:pPr>
        <w:spacing w:after="0" w:line="116"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Changes Affecting Automobile Manufacturers Could Adversely Affect the Company’s Automotive Business.</w:t>
      </w:r>
    </w:p>
    <w:p>
      <w:pPr>
        <w:spacing w:after="0" w:line="16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Company’s dealerships are dependent on the products and services offered by the brand of automobiles that its dealerships sell. The ability of the Company’s dealerships to sell and service these brands may be adversely</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7" w:name="page38"/>
    <w:bookmarkEnd w:id="37"/>
    <w:p>
      <w:pPr>
        <w:ind w:right="80"/>
        <w:spacing w:after="0" w:line="223" w:lineRule="auto"/>
        <w:rPr>
          <w:sz w:val="20"/>
          <w:szCs w:val="20"/>
          <w:color w:val="auto"/>
        </w:rPr>
      </w:pPr>
      <w:r>
        <w:rPr>
          <w:rFonts w:ascii="Arial" w:cs="Arial" w:eastAsia="Arial" w:hAnsi="Arial"/>
          <w:sz w:val="18"/>
          <w:szCs w:val="18"/>
          <w:color w:val="auto"/>
        </w:rPr>
        <w:t>affected by negative conditions faced by manufacturers such as negative changes to a manufacturer’s financial condition, negative publicity concerning a manufacturer or vehicle model, declines in consumer demand or brand preferences, changes in consumer preferences driven by fuel price volatility, disruptions in production and delivery, including those caused by natural disasters or labor strikes, new laws or regulations, including more stringent fuel economy and greenhouse gas emission standards, and technological innovations in ride-sharing, electric vehicles and autonomous driving. The ability of the Company’s dealerships to align with manufacturers and adapt to evolving consumer demand for electric vehicles could adversely affect new and used vehicle sales volumes, parts and service revenue and results of operations.</w:t>
      </w:r>
    </w:p>
    <w:p>
      <w:pPr>
        <w:spacing w:after="0" w:line="117" w:lineRule="exact"/>
        <w:rPr>
          <w:sz w:val="20"/>
          <w:szCs w:val="20"/>
          <w:color w:val="auto"/>
        </w:rPr>
      </w:pPr>
    </w:p>
    <w:p>
      <w:pPr>
        <w:ind w:left="260" w:right="840" w:hanging="252"/>
        <w:spacing w:after="0" w:line="256" w:lineRule="auto"/>
        <w:tabs>
          <w:tab w:leader="none" w:pos="25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State Dealer Franchise Laws to Permit Manufacturers to Enter the Retail Market Directly and Technological Innovations Could Adversely Impact the Company’s Traditional Dealership Model.</w:t>
      </w:r>
    </w:p>
    <w:p>
      <w:pPr>
        <w:spacing w:after="0" w:line="120"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Changes to state dealer franchise laws to permit the sale of new vehicles without the involvement of franchised dealers could adversely affect the Company’s dealerships. Certain manufacturers have been challenging state dealer franchise laws in many states and some have expressed interest in selling directly to customers. The Company’s dealership model could be adversely affected if new vehicle sales are allowed to be conducted on the internet without the involvement of franchised dealers.</w:t>
      </w:r>
    </w:p>
    <w:p>
      <w:pPr>
        <w:spacing w:after="0" w:line="113"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Changes in a Manufacturer’s Incentive Programs Could Adversely Affect the Dealerships’ Sales Volume and Profit Margins</w:t>
      </w:r>
      <w:r>
        <w:rPr>
          <w:rFonts w:ascii="Arial" w:cs="Arial" w:eastAsia="Arial" w:hAnsi="Arial"/>
          <w:sz w:val="18"/>
          <w:szCs w:val="18"/>
          <w:color w:val="auto"/>
        </w:rPr>
        <w:t>.</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Automobile manufacturers offer various marketing and sales incentive programs to promote and support new vehicle sales. These programs include customer rebates, dealer incentives on new vehicles, employee pricing, manufacturer floor plan interest assistance, advertising assistance and product warranties. A reduction or discontinuation of a manufacturer’s incentive programs could adversely affect vehicle demand and results of operations.</w:t>
      </w:r>
    </w:p>
    <w:p>
      <w:pPr>
        <w:spacing w:after="0" w:line="11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tab/>
        <w:t>Changes in Environmental Regulations Governing the Operations of the Automotive Business Could Result in Increased Costs.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Company is subject to a wide range of environmental laws and regulations, including those governing discharges into the air and water, the operation and removal of above-ground and underground storage tanks, the use, handling, storage and disposal of hazardous substances and other materials, and the investigation and remediation of environmental contamination at facilities that are owned or operated. The business involves the generation, use, handling and contracting for recycling or disposal of hazardous or toxic substances or wastes, including environmentally sensitive materials such as motor oil, filters, transmission fluid, antifreeze, refrigerant, batteries, solvents, lubricants, tires and fuel. The Company has incurred, and will continue to incur, capital and operating expenditures and other costs in complying with such laws and regulations and changes to such regulations could result in increased costs.</w:t>
      </w:r>
    </w:p>
    <w:p>
      <w:pPr>
        <w:spacing w:after="0" w:line="117" w:lineRule="exact"/>
        <w:rPr>
          <w:sz w:val="20"/>
          <w:szCs w:val="20"/>
          <w:color w:val="auto"/>
        </w:rPr>
      </w:pPr>
    </w:p>
    <w:p>
      <w:pPr>
        <w:ind w:left="260" w:right="560" w:hanging="252"/>
        <w:spacing w:after="0" w:line="256" w:lineRule="auto"/>
        <w:tabs>
          <w:tab w:leader="none" w:pos="25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Economic Conditions and Vehicle Inventories Are Difficult to Predict and May Adversely Impact the Results of Operations of the Company’s Dealerships.</w:t>
      </w:r>
    </w:p>
    <w:p>
      <w:pPr>
        <w:spacing w:after="0" w:line="1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Sales of new and used vehicles are cyclical. Historically there have been periods of downturns characterized by weak demand due to general economic conditions, excess supplies, consumer confidence, discretionary income and credit availability. Recently, supply shortages have led to a period of higher average new and used selling prices as a result of strong consumer demand and inventory shortages related to supply chain disruptions and production delays at vehicle manufacturers. These conditions may deteriorate in the future. Changes in these conditions could materially adversely impact sales and related margins of new and used vehicles, parts and repair and maintenance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44" w:lineRule="exact"/>
        <w:rPr>
          <w:sz w:val="20"/>
          <w:szCs w:val="20"/>
          <w:color w:val="auto"/>
        </w:rPr>
      </w:pPr>
    </w:p>
    <w:p>
      <w:pPr>
        <w:ind w:left="260" w:right="340" w:hanging="252"/>
        <w:spacing w:after="0" w:line="256" w:lineRule="auto"/>
        <w:tabs>
          <w:tab w:leader="none" w:pos="25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If Leaf is Unable to Successfully Drive Traffic to its Marketplaces and Media Properties and Expand its Customer Base for its Marketplaces, its Business and Results of Operations Would be Adversely Affected.</w:t>
      </w:r>
    </w:p>
    <w:p>
      <w:pPr>
        <w:spacing w:after="0" w:line="120"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In order for Leaf’s businesses to grow, Leaf must attract new visitors and customers to its marketplaces and media properties and retain its existing visitors and customers. Leaf’s success in attracting traffic to its media properties and converting these visitors into repeat users depends, in part, upon Leaf’s ability to identify, create and distribute high-quality and reliable content through engaging products and Leaf’s ability to meet rapidly changing consumer demand. Leaf may not be able to identify and create the desired content or produce an engaging user experience in a cost-effective or timely manner, if at all. Leaf depends on search engines, primarily Google, to direct a significant amount of traffic to its media properties, and Leaf utilizes search engine optimization efforts to help generate search referral traffic to its media properties. If Leaf is unable to successfully modify its search engine optimization practices in response to changes regularly implemented by search engine algorithms and in search query trends, or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8" w:name="page39"/>
    <w:bookmarkEnd w:id="38"/>
    <w:p>
      <w:pPr>
        <w:ind w:right="20"/>
        <w:spacing w:after="0" w:line="224" w:lineRule="auto"/>
        <w:rPr>
          <w:sz w:val="20"/>
          <w:szCs w:val="20"/>
          <w:color w:val="auto"/>
        </w:rPr>
      </w:pPr>
      <w:r>
        <w:rPr>
          <w:rFonts w:ascii="Arial" w:cs="Arial" w:eastAsia="Arial" w:hAnsi="Arial"/>
          <w:sz w:val="18"/>
          <w:szCs w:val="18"/>
          <w:color w:val="auto"/>
        </w:rPr>
        <w:t>if Leaf is unable to generate increased or diversified traffic from other sources such as social media, email, direct navigation and online marketing activities, Leaf could experience substantial declines in traffic to its media properties and to its partners’ media properties, which would adversely impact Leaf’s business and results of operations. One of the key factors to growing the marketplace platforms for Society6 Group and Saatchi Art Group is expanding their new and repeat customer base. Their ability to attract new customers, some of whom may already purchase similar products from competitors, depends in part on Leaf’s ability to successfully drive traffic to Leaf’s marketplaces using social media platforms, email marketing campaigns and promotions, paid referrals and search engines.</w:t>
      </w:r>
    </w:p>
    <w:p>
      <w:pPr>
        <w:spacing w:after="0" w:line="115" w:lineRule="exact"/>
        <w:rPr>
          <w:sz w:val="20"/>
          <w:szCs w:val="20"/>
          <w:color w:val="auto"/>
        </w:rPr>
      </w:pPr>
    </w:p>
    <w:p>
      <w:pPr>
        <w:ind w:left="260" w:right="300" w:hanging="252"/>
        <w:spacing w:after="0" w:line="238" w:lineRule="auto"/>
        <w:tabs>
          <w:tab w:leader="none" w:pos="2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If Leaf is Unable to Effectively Distribute its Media Content on Social Media Platforms or Effectively Optimize its Mobile Solutions in Order to Improve User Experience or Comply with Requirements of Leaf’s Advertising Partners, Leaf’s Business and Results of Operation Could Be Negatively Impacted.</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number of people who access the internet through mobile devices such as smartphones and tablets, rather than through desktop or laptop computers, has increased substantially in recent years. Additionally, individuals are increasingly consuming publisher content through social media platforms. If Leaf cannot effectively distribute its media content, products and services on these devices or through these platforms, Leaf could experience a decline in visits and traffic and a corresponding decline in revenue. The significant increase in consumption of Leaf’s media content on mobile devices and through social media platforms depresses revenue per one thousand visits, or RPVs. As a result of these factors, the increasing use of mobile devices and social media platforms to access Leaf’s content could negatively impact its business and results of operations.</w:t>
      </w:r>
    </w:p>
    <w:p>
      <w:pPr>
        <w:spacing w:after="0" w:line="139"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Further, consumers are increasingly conducting online shopping on mobile devices, including smartphones and tablets, rather than on desktop or laptop computers. Although Leaf continually strives to improve the mobile experience for users accessing its marketplaces through mobile devices, the smaller screen size and reduced functionality associated with some mobile device interfaces may make the use of Leaf’s marketplace platforms more difficult or less appealing to its members. Historically, visits to Leaf’s marketplaces on mobile devices have not converted into purchases as often as visits made through desktop or laptop computers, and the average order value for mobile transactions has been lower than desktop transactions. If conversion rates and average order values for mobile transactions on Leaf’s marketplaces do not increase, the revenue and results of operations of Society6 Group and Saatchi Art Group may be adversely affected.</w:t>
      </w:r>
    </w:p>
    <w:p>
      <w:pPr>
        <w:spacing w:after="0" w:line="117" w:lineRule="exact"/>
        <w:rPr>
          <w:sz w:val="20"/>
          <w:szCs w:val="20"/>
          <w:color w:val="auto"/>
        </w:rPr>
      </w:pPr>
    </w:p>
    <w:p>
      <w:pPr>
        <w:ind w:left="260" w:right="360" w:hanging="252"/>
        <w:spacing w:after="0" w:line="256" w:lineRule="auto"/>
        <w:tabs>
          <w:tab w:leader="none" w:pos="25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Leaf’s Businesses Face Significant Competition, Which Leaf Expects Will Continue to Intensify, and Leaf May Not Be Able to Maintain or Improve its Competitive Position or Market Share.</w:t>
      </w:r>
    </w:p>
    <w:p>
      <w:pPr>
        <w:spacing w:after="0" w:line="120"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Leaf’s Society6 Group and Saatchi Art Group businesses compete with a wide variety of online and brick-and-mortar companies selling comparable products. Leaf expects competition to continue to intensify given the low barrier of entry into online channels and the increase in conversion and competition between online and offline businesses. Leaf’s Media Group faces intense competition from a wide range of competitors. Leaf’s current principal competitors include online media properties, some of which have much larger audiences than Leaf, for online marketing budgets. Leaf also competes with companies and individuals that provide specialized consumer information online, including through enthusiast websites, message boards and blogs. Many of Leaf’s current and potential competitors enjoy substantial competitive advantages, such as greater brand recognition, greater technical capabilities, access to larger customer bases and, in some cases, the ability to combine their online marketing products with traditional offline media such as newspapers or magazines. These companies may use these advantages to offer similar products and services at a lower price, develop different products to compete with Leaf’s current offerings and respond more quickly and effectively than Leaf can to new or changing opportunities, technologies, standards or customer requirements. For example, if Google chose to compete more directly with Leaf as a publisher of similar content, Leaf may face the prospect of the loss of business or other adverse financial consequences due to Google’s significantly greater customer base, financial resources, distribution channels and patent portfolio.</w:t>
      </w:r>
    </w:p>
    <w:p>
      <w:pPr>
        <w:spacing w:after="0" w:line="119" w:lineRule="exact"/>
        <w:rPr>
          <w:sz w:val="20"/>
          <w:szCs w:val="20"/>
          <w:color w:val="auto"/>
        </w:rPr>
      </w:pPr>
    </w:p>
    <w:p>
      <w:pPr>
        <w:ind w:left="260" w:right="460" w:hanging="252"/>
        <w:spacing w:after="0" w:line="256" w:lineRule="auto"/>
        <w:tabs>
          <w:tab w:leader="none" w:pos="25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Employees in the Company’s Restaurants Could Adversely Impact the Company’s Restaurant Business.</w:t>
      </w:r>
    </w:p>
    <w:p>
      <w:pPr>
        <w:spacing w:after="0" w:line="120"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Historically, competition among restaurant companies for qualified management and staff has been very high. The Company’s ability to recruit and retain managers and staff to operate the Company’s restaurants is critical to a customer’s dining experience. Failure to recruit and retain employees, low levels of unemployment or high turnover levels could negatively affect the Company’s restaurant business.</w:t>
      </w:r>
    </w:p>
    <w:p>
      <w:pPr>
        <w:spacing w:after="0" w:line="1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Food-Borne Illness Concerns and Damage to the Company’s Reputation Could Harm the Company’s Restaurant Business.</w:t>
      </w:r>
    </w:p>
    <w:p>
      <w:pPr>
        <w:spacing w:after="0" w:line="166"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Historically, reports of food-borne illness or food safety issues, even if caused by food suppliers or distributors, have had negative effects on restaurant sales. Because food safety issues could be experienced at the source by food suppliers or distributors, food safety could, in part, be out of the Company’s control. Even instances of food-borne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9" w:name="page40"/>
    <w:bookmarkEnd w:id="39"/>
    <w:p>
      <w:pPr>
        <w:ind w:right="140"/>
        <w:spacing w:after="0" w:line="227" w:lineRule="auto"/>
        <w:rPr>
          <w:sz w:val="20"/>
          <w:szCs w:val="20"/>
          <w:color w:val="auto"/>
        </w:rPr>
      </w:pPr>
      <w:r>
        <w:rPr>
          <w:rFonts w:ascii="Arial" w:cs="Arial" w:eastAsia="Arial" w:hAnsi="Arial"/>
          <w:sz w:val="18"/>
          <w:szCs w:val="18"/>
          <w:color w:val="auto"/>
        </w:rPr>
        <w:t>illness at a location served by one of the Company’s competitors could result in negative publicity regarding the food service industry generally and could negatively impact restaurant revenue. Regardless of the source or cause, negative publicity about food-borne illness or other food safety issues could adversely impact the Company’s reputation. Similarly, publicity about litigation, violence, complaints or government investigations could have a negative effect on restaurant sales.</w:t>
      </w:r>
    </w:p>
    <w:p>
      <w:pPr>
        <w:spacing w:after="0" w:line="113" w:lineRule="exact"/>
        <w:rPr>
          <w:sz w:val="20"/>
          <w:szCs w:val="20"/>
          <w:color w:val="auto"/>
        </w:rPr>
      </w:pPr>
    </w:p>
    <w:p>
      <w:pPr>
        <w:ind w:left="260" w:right="180" w:hanging="252"/>
        <w:spacing w:after="0" w:line="256"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Concentration of the Company’s Restaurants in the Washington, D.C. Region Subjects the Company's Restaurant Business to Regional Economic Conditions.</w:t>
      </w:r>
    </w:p>
    <w:p>
      <w:pPr>
        <w:spacing w:after="0" w:line="120"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concentration of the Company’s restaurants in the Washington, D.C. region subjects it to adverse economic conditions and trends in the region that are out of the Company's control. For example, increases in the level of unemployment, a temporary government shutdown or a decrease in tourism would decrease customers’ disposable income available for discretionary spending. These and other national, regional and local economic pressures could result in decreases in customer traffic and lower sales and profits.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Information Technology and Data Management</w:t>
      </w:r>
    </w:p>
    <w:p>
      <w:pPr>
        <w:spacing w:after="0" w:line="144" w:lineRule="exact"/>
        <w:rPr>
          <w:sz w:val="20"/>
          <w:szCs w:val="20"/>
          <w:color w:val="auto"/>
        </w:rPr>
      </w:pPr>
    </w:p>
    <w:p>
      <w:pPr>
        <w:ind w:left="260" w:right="660" w:hanging="252"/>
        <w:spacing w:after="0" w:line="256" w:lineRule="auto"/>
        <w:tabs>
          <w:tab w:leader="none" w:pos="28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System Disruptions and Security Threats to the Company’s Information Technology Infrastructure Could Have a Material Adverse Effect on Its Businesses and Results of Operations.</w:t>
      </w:r>
    </w:p>
    <w:p>
      <w:pPr>
        <w:spacing w:after="0" w:line="120"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The Company relies extensively on information technology systems, networks and services, including internet sites, data hosting and processing facilities and tools and other hardware, software and technical platforms, some of which are managed, hosted, provided and/or used by third parties or their vendors, to assist in conducting the Company’s business.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Company’s systems and the third-party systems on which it relies are subject to damage or interruption from a number of causes, including power outages; computer and telecommunications failures; computer viruses; security breaches; cyberattacks, including the use of ransomware; catastrophic events such as fires, floods, earthquakes, tornadoes and hurricanes; infectious disease outbreaks (such as COVID-19); acts of war or terrorism; and design or usage errors by our employees, contractors or third-party service providers. Although the Company and the third-party service providers seek to maintain their respective systems effectively and to successfully address the risk of compromise of the integrity, security and consistent operations of these systems, such efforts may not be successful. As a result, the Company or its service providers could experience errors, interruptions, delays or cessations of service in key portions of the Company’s information technology infrastructure, which could significantly disrupt its operations and be costly, time-consuming and resource-intensive to remedy. Any security breach or unauthorized access also could result in a misappropriation of the Company’s proprietary information or the proprietary information of the Company’s users, customers or partners, which could result in significant legal and financial exposure and damage to the Company’s reputation. If an actual or perceived breach of the Company’s security occurs, or if the Company’s consumer facing sites become the subject of external attacks that affect or disrupt service or availability, the market perception of the effectiveness of the Company’s security measures could be harmed and the Company could lose users, customers, advertisers or partners, all of which could have a material adverse effect on the Company’s business, financial condition and results of operations. Any security breach at a company providing services to the Company or the Company’s users, including third-party payment processors, could have similar effects and the Company may not be fully indemnified for the costs it may incur as a result of any such breach. To the extent that such vulnerabilities require remediation, such remedial measures could require significant resources and may not be implemented before such vulnerabilities are exploited. As the cybersecurity landscape evolves, the Company may also find it necessary to make significant further investments to protect data and infrastructure, including continuing to evaluate control changes and investments needed to support an increased remote workforce. Any of these events could have a material adverse effect on the Company’s businesses and results of operations. Sustained or repeated system failures or security breaches that interrupt the Company’s ability to process information in a timely manner or that result in a breach of proprietary or personal information could have a material adverse effect on the Company’s operations and reputation.</w:t>
      </w:r>
    </w:p>
    <w:p>
      <w:pPr>
        <w:spacing w:after="0" w:line="193"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Failure to Comply with Privacy Laws or Regulations Could Have an Adverse Effect on the Company’s Businesses.</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Various 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including restrictions on the collection, use and sharing of consumer data that could limit our ability to use the data for marketing or advertising, and could result in exposure to material liability. For example, general data privacy regulations adopted by the European Union known as the General Data Protection Regulation (GDPR), became effective in May 2018. These regulations require certain of the Company’s operations to meet extensive requirements regarding the handling of personal data, including its use, protection and transfer. In addition, the GDPR provides the legal right for persons whose data is stored to request access to or correction or deletion of their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0" w:name="page41"/>
    <w:bookmarkEnd w:id="40"/>
    <w:p>
      <w:pPr>
        <w:spacing w:after="0" w:line="224" w:lineRule="auto"/>
        <w:rPr>
          <w:sz w:val="20"/>
          <w:szCs w:val="20"/>
          <w:color w:val="auto"/>
        </w:rPr>
      </w:pPr>
      <w:r>
        <w:rPr>
          <w:rFonts w:ascii="Arial" w:cs="Arial" w:eastAsia="Arial" w:hAnsi="Arial"/>
          <w:sz w:val="18"/>
          <w:szCs w:val="18"/>
          <w:color w:val="auto"/>
        </w:rPr>
        <w:t>personal data, among other rights. Failure to meet the applicable requirements in the GDPR could result in fines of up to 4% of the Company’s annual global revenues. In addition to the GDPR in Europe, new privacy laws and regulations are rapidly developing elsewhere around the globe, including amendments to the scope, penalties and other provisions of existing data protection laws. Failure to comply with these international data protection laws and regulations could have a negative impact on the Company’s reputation and subject the Company to significant fines, penalties or other liabilities, all of which may increase the cost of operations, reduce customer growth, or otherwise harm the Company’s business.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California Consumer Privacy Act of 2018 (CCPA), which became effective on January 1, 2020, provided a new private right of action for data breaches and requires companies that process personal information pertaining to California residents to make disclosures to consumers about their data collection, use and sharing practices and allows consumers to opt out of certain data sharing with third parties. The enforcement of the CCPA by the California Attorney General commenced on July 1, 2020. In November 2020, the California Privacy Rights Act (CPRA) was approved by California voters, and goes into effect on January 1, 2023. The CPRA includes new requirements that are not in the CCPA. In 2020, Virginia and Colorado passed similar laws that are effective January 1, 2023 and July 1, 2023, respectively. In addition, data privacy bills have been introduced in various U.S state legislatures, including, but not limited to Washington, New York and Florida. There are also bills that have been introduced at the U.S. federal level. The passage of any additional laws could result in further uncertainty and cause the Company to incur additional costs and expenses in order to comply. Compliance with the GDPR, the CCPA, the CPRA and other applicable international and U.S. privacy laws can be costly and time-consuming. If the Company fails to properly respond to security breaches of its or its third-party’s information technology systems or fails to properly respond to consumer requests under these laws, the Company could experience damage to its reputation, adverse publicity, loss of consumer confidence, reduced sales and profits, complications in executing the Company’s growth initiatives and regulatory and legal risk, including criminal penalties or civil liabilities.</w:t>
      </w:r>
    </w:p>
    <w:p>
      <w:pPr>
        <w:spacing w:after="0" w:line="141"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Claims of failure to comply with the Company’s privacy policies or applicable laws or regulations could form the basis of governmental or private party actions against the Company and could result in significant penalties. Additionally, evolving concerns regarding data privacy may cause the Company’s customers and potential customers to resist providing the data necessary to allow the Company to deliver its solutions effectively. Even the perception that personal information is not satisfactorily protected or does not meet regulatory requirements could inhibit sales and any failure to comply with such laws and regulations could lead to significant fines, penalties or other liabilities. Such claims and actions could cause damage to the Company’s reputation and could have an adverse effect on the Company’s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44"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Successfully Integrate Acquired Businesses Could Negatively Affect the Company’s Business.</w:t>
      </w:r>
    </w:p>
    <w:p>
      <w:pPr>
        <w:spacing w:after="0" w:line="16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liabilities associated with the acquired business. In June 2021, the Company acquired Leaf, a diversified consumer internet company that builds creator-driven brands in lifestyle and home and art design categories. A failure to effectively manage growth and integrate acquired businesses such as Leaf could have 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63" w:lineRule="exact"/>
        <w:rPr>
          <w:sz w:val="20"/>
          <w:szCs w:val="20"/>
          <w:color w:val="auto"/>
        </w:rPr>
      </w:pPr>
    </w:p>
    <w:p>
      <w:pPr>
        <w:ind w:left="260" w:right="240" w:hanging="252"/>
        <w:spacing w:after="0" w:line="256"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Changes in Business Conditions Have Caused and May in the Future Cause Goodwill and Other Intangible Assets to Become Impaired.</w:t>
      </w:r>
    </w:p>
    <w:p>
      <w:pPr>
        <w:spacing w:after="0" w:line="120"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Each of the Company’s businesses faces uncertainty in its business environment due to a variety of factors, including challenges in operating environments created by the COVID-19 pandemic. In the first quarter of 2020, the Company recorded a goodwill and indefinite-lived intangible asset impairment charge at Clyde’s and an indefinite-lived intangible asset impairment charge at the auto dealerships. In the third quarter of 2021, the Company recorded a goodwill impairment charge at Dekko.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 The Company may experience other unforeseen circumstances that adversely affect the value of the Company’s goodwill or intangible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1" w:name="page42"/>
    <w:bookmarkEnd w:id="41"/>
    <w:p>
      <w:pPr>
        <w:spacing w:after="0" w:line="225" w:lineRule="auto"/>
        <w:rPr>
          <w:sz w:val="20"/>
          <w:szCs w:val="20"/>
          <w:color w:val="auto"/>
        </w:rPr>
      </w:pPr>
      <w:r>
        <w:rPr>
          <w:rFonts w:ascii="Arial" w:cs="Arial" w:eastAsia="Arial" w:hAnsi="Arial"/>
          <w:sz w:val="18"/>
          <w:szCs w:val="18"/>
          <w:color w:val="auto"/>
        </w:rPr>
        <w:t>assets and trigger an evaluation of the amount of the recorded goodwill and intangible assets. There also 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The Company leases space for its corporate offices in Arlington, VA. The lease expires in 2024, subject to an option of the Company to extend.</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Directly or through its subsidiaries, Kaplan owns a total of four commercial properties: a six-story building located at 131 West 56th Street in New York City, used by KNA as an education center primarily for medical students; an office condominium in Chapel Hill, NC, used by KNA; a three-story building in Berkeley, CA, used for classroom space by KNA and KI North America; and, in August 2021, MPW purchased a building in South Kensington, London intended for academic dormitory space. KI also entered into a 135-year lease of land in Liverpool, U.K. on which it completed the construction of college and dormitory space that opened in January 2020.</w:t>
      </w:r>
    </w:p>
    <w:p>
      <w:pPr>
        <w:spacing w:after="0" w:line="137"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In the U.S., KNA leases space in Fort Lauderdale, FL, for corporate offices, data and call centers and employee-training facilities, which leases expire in 2024. In addition, KNA leases corporate offices in La Crosse, WI, under a lease expiring in 2023 and in Pittsburgh under a lease expiring in 2024. KNA has 18 smaller leases in the U.S. and also delivers classes at schools, colleges, hotels and other premises for which KNA is not a leaseholder. Kaplan, Inc. leases office space in Alpharetta, GA, pursuant to a lease that expires in 2024. The Kaplan Languages Group business maintains 14 leases for office and instructional space in the U.S.</w:t>
      </w:r>
    </w:p>
    <w:p>
      <w:pPr>
        <w:spacing w:after="0" w:line="137"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Overseas, Dublin Business School’s facilities in Dublin, Ireland, are located in three buildings which are rented under leases expiring between 2028 and 2029. Kaplan Publishing has an office and distribution warehouse in Wokingham, Berkshire, U.K., under a lease expiring in 2027. Kaplan Financial’s largest leaseholds are office and instructional spaces in London, U.K., expiring in 2033, and two leases, expiring in 2030; office and instructional space in Birmingham, U.K., expiring in 2027; two locations in Manchester, U.K. comprising an office for central support services expiring in 2027, and office and instructional space expiring in 2027; office and instructional space in Singapore, comprising two separate leases and expiring between 2022 and 2023; and office and instructional space in Hong Kong expiring in 2025. Palace House in London, U.K., is primarily occupied by the KI Pathways business and KI corporate offices comprising several separate leases expiring in 2032. Kaplan has leases expiring in 2027 for education space in Nottingham, U.K. It also leases dormitory space as the main tenant of a student residential building in Nottingham, U.K. Kaplan has two separate leases in Glasgow, Scotland for dormitory space that was constructed and opened to students in 2012 which leases expire in 2032. Kaplan has further entered into a lease for a residential college in Bournemouth, England, and a lease in Brighton, U.K., for dormitory space which expires in 2040. In Australia, Kaplan leases one location in Melbourne, three locations in Sydney, one location in Brisbane, and three locations in Adelaide under leases expiring between 2022 through 2031.</w:t>
      </w:r>
    </w:p>
    <w:p>
      <w:pPr>
        <w:spacing w:after="0" w:line="141"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The operations of each of the Company’s television stations are owned by subsidiaries of the Company, as are the related tower sites, except in Houston, Orlando and Jacksonville, where the tower sites are 50% owned.</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Hoover owns nine U.S. properties: a 29-acre site in Thomson, GA; a 35-acre site in Pine Bluff, AR; a 60-acre site in Milford, VA; a 15-acre site in Detroit, MI; a 14-acre site in Bakersfield, CA; a 17-acre site in Oxford, PA; a 15-acre site in Halifax, NC; an 11-acre site in Belington, WV; and a 65-acre site in Havana, FL. In addition, Hoover leases a 10-acre site in Winston, OR, on a long-term lease with renewal terms available through December 31, 2044. Hoover’s corporate, sales and accounting office, and research, engineering and development offices are also located on the Thomson, GA, campus.</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Dekko owns four U.S. properties: manufacturing buildings in Garrett, IN and Avilla, IN; a manufacturing and warehouse space in Ardmore, AL; and a warehouse space in El Paso, TX. In addition, Dekko owns two buildings in Juarez, Mexico, one of which consists of manufacturing and office space and the other consists of manufacturing and office space. In the U.S., Dekko leases headquarters and innovation center space in Fort Wayne, IN, under a lease that expires in 2029; manufacturing and warehouse space in North Webster, IN, under a lease that expires in 2022; warehouse space in Kendallville, IN, under a lease that expires in 2022; manufacturing, warehouse and office space in Shelton, CT and in Fallston, NC, under leases that expire 2022-2024; and office space in Grand Rapids, MI, that expires in 2024.</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2" w:name="page43"/>
    <w:bookmarkEnd w:id="42"/>
    <w:p>
      <w:pPr>
        <w:ind w:right="240"/>
        <w:spacing w:after="0" w:line="235" w:lineRule="auto"/>
        <w:rPr>
          <w:sz w:val="20"/>
          <w:szCs w:val="20"/>
          <w:color w:val="auto"/>
        </w:rPr>
      </w:pPr>
      <w:r>
        <w:rPr>
          <w:rFonts w:ascii="Arial" w:cs="Arial" w:eastAsia="Arial" w:hAnsi="Arial"/>
          <w:sz w:val="18"/>
          <w:szCs w:val="18"/>
          <w:color w:val="auto"/>
        </w:rPr>
        <w:t>Joyce/Dayton owns three properties: its corporate headquarters in Kettering, OH, and manufacturing facilities in Portland, IN, and Clayton, OH. It also leases a manufacturing facility in Newington, CT.</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Forney leases corporate office space in Addison, TX under a lease that expires in 2024, and leases a distribution center in Laredo, TX, under a lease that expires in August 2022. Forney’s manufacturing facility in Monterrey, Mexico, is in a building that contains office and manufacturing space under a lease that expires in 2022. Forney also leases offices in Shanghai, China, under a lease that expires in December 2022.</w:t>
      </w:r>
    </w:p>
    <w:p>
      <w:pPr>
        <w:spacing w:after="0" w:line="13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corporate office of GHG is located in leased office space in Troy, MI. GHG also leases a small office in Nashville, TN. GHG leases small office spaces in Mechanicsburg, PA; Williamsport, PA; Harrisburg, PA; Kingston, PA; Milford, PA; Stroudsburg, PA; New Castle, PA; Warrendale, PA; Shiloh, IL; Marion, IL; Glen Carbon, IL; Troy, MI; Grand Rapids, MI; Lansing, MI; Lapeer, MI; Zephyrhills, FL; Osprey; FL; Palmetto, FL; Downers Grove, IL; and Nashville, TN. In addition, GHG leases space for a hospice for nursing offices at Edward and Elmhurst hospitals in northern Illinois. GHG leases office space for Weiss Medical in Riverdale, NJ. GHG also has leased office space in Mars, PA, which expires in October 2022. GHG also owns property in Benton, IL.</w:t>
      </w:r>
    </w:p>
    <w:p>
      <w:pPr>
        <w:spacing w:after="0" w:line="137" w:lineRule="exact"/>
        <w:rPr>
          <w:sz w:val="20"/>
          <w:szCs w:val="20"/>
          <w:color w:val="auto"/>
        </w:rPr>
      </w:pPr>
    </w:p>
    <w:p>
      <w:pPr>
        <w:jc w:val="both"/>
        <w:ind w:right="380"/>
        <w:spacing w:after="0" w:line="229" w:lineRule="auto"/>
        <w:rPr>
          <w:sz w:val="20"/>
          <w:szCs w:val="20"/>
          <w:color w:val="auto"/>
        </w:rPr>
      </w:pPr>
      <w:r>
        <w:rPr>
          <w:rFonts w:ascii="Arial" w:cs="Arial" w:eastAsia="Arial" w:hAnsi="Arial"/>
          <w:sz w:val="18"/>
          <w:szCs w:val="18"/>
          <w:color w:val="auto"/>
        </w:rPr>
        <w:t>Graham Automotive owns the Honda dealership space in Tysons Corner, VA. Graham Automotive leases space in Rockville, MD, for its Lexus dealership, Bethesda MD for its Jeep dealership, and Manassas, VA for its Ford dealership. These leases expire between 2036 to 2060, including renewal options.</w:t>
      </w:r>
    </w:p>
    <w:p>
      <w:pPr>
        <w:spacing w:after="0" w:line="137"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Leaf leases office space in Santa Monica, California that serves as its corporate headquarters. The lease for its Santa Monica facility expires in July 2024. Leaf also leases additional facilities and purchase service memberships in Denver, Colorado, New York, New York and London, United Kingdom.</w:t>
      </w:r>
    </w:p>
    <w:p>
      <w:pPr>
        <w:spacing w:after="0" w:line="137" w:lineRule="exact"/>
        <w:rPr>
          <w:sz w:val="20"/>
          <w:szCs w:val="20"/>
          <w:color w:val="auto"/>
        </w:rPr>
      </w:pPr>
    </w:p>
    <w:p>
      <w:pPr>
        <w:jc w:val="both"/>
        <w:ind w:right="380"/>
        <w:spacing w:after="0" w:line="229" w:lineRule="auto"/>
        <w:rPr>
          <w:sz w:val="20"/>
          <w:szCs w:val="20"/>
          <w:color w:val="auto"/>
        </w:rPr>
      </w:pPr>
      <w:r>
        <w:rPr>
          <w:rFonts w:ascii="Arial" w:cs="Arial" w:eastAsia="Arial" w:hAnsi="Arial"/>
          <w:sz w:val="18"/>
          <w:szCs w:val="18"/>
          <w:color w:val="auto"/>
        </w:rPr>
        <w:t>Clyde’s leases restaurant facilities in Maryland, Virginia and Washington, D.C., under non-cancellable lease agreements. The restaurant facilities average just over 15,000 square feet, ranging from 10,000 to 30,000 square feet. Renewal options are available on many of the leases for one or more periods of five to 10 years each. Final lease expiration dates range from 2022 to 2051.</w:t>
      </w:r>
    </w:p>
    <w:p>
      <w:pPr>
        <w:spacing w:after="0" w:line="13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Framebridge leases retail locations in Washington, D.C. (2), Bethesda, MD (1), Northern Virginia, VA (2), Chicago, IL (3), Brooklyn, NY (2), Atlanta, GA (2), Manhattan, NY (1), Boston suburb (1), Philadelphia suburb (1) and two manufacturing facilities in Richmond, KY and Moorestown, NJ.</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Code3 leases office space in New York, NY; Los Angeles, CA; and Cleveland, OH.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leases office space in Brooklyn, NY, and Washington, D.C.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Information with respect to legal proceedings may be found in Note 18, “Contingencies and other commitments - Litigation, Legal and Other Matters” to the consolidated financial statements in Part II of this Annual Report, which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680"/>
        <w:spacing w:after="0" w:line="419"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At January 31, 2022, there were 27 holders of record of the Company’s Class A Common Stock and 339 holders of record of the Company’s Class B Common Stock.</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6"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During the quarter ended December 31, 2021, the Company purchased shares of its Class B Common Stock as set forth in the following table:</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80" w:type="dxa"/>
            <w:vAlign w:val="bottom"/>
          </w:tcPr>
          <w:p>
            <w:pPr>
              <w:jc w:val="center"/>
              <w:ind w:right="3"/>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4"/>
                <w:szCs w:val="14"/>
                <w:color w:val="auto"/>
              </w:rPr>
            </w:pPr>
          </w:p>
        </w:tc>
        <w:tc>
          <w:tcPr>
            <w:tcW w:w="1180" w:type="dxa"/>
            <w:vAlign w:val="bottom"/>
          </w:tcPr>
          <w:p>
            <w:pPr>
              <w:jc w:val="center"/>
              <w:ind w:right="283"/>
              <w:spacing w:after="0"/>
              <w:rPr>
                <w:sz w:val="20"/>
                <w:szCs w:val="20"/>
                <w:color w:val="auto"/>
              </w:rPr>
            </w:pPr>
            <w:r>
              <w:rPr>
                <w:rFonts w:ascii="Arial" w:cs="Arial" w:eastAsia="Arial" w:hAnsi="Arial"/>
                <w:sz w:val="14"/>
                <w:szCs w:val="14"/>
                <w:b w:val="1"/>
                <w:bCs w:val="1"/>
                <w:color w:val="auto"/>
              </w:rPr>
              <w:t>Average</w:t>
            </w:r>
          </w:p>
        </w:tc>
        <w:tc>
          <w:tcPr>
            <w:tcW w:w="2300" w:type="dxa"/>
            <w:vAlign w:val="bottom"/>
          </w:tcPr>
          <w:p>
            <w:pPr>
              <w:jc w:val="center"/>
              <w:ind w:right="3"/>
              <w:spacing w:after="0"/>
              <w:rPr>
                <w:sz w:val="20"/>
                <w:szCs w:val="20"/>
                <w:color w:val="auto"/>
              </w:rPr>
            </w:pPr>
            <w:r>
              <w:rPr>
                <w:rFonts w:ascii="Arial" w:cs="Arial" w:eastAsia="Arial" w:hAnsi="Arial"/>
                <w:sz w:val="14"/>
                <w:szCs w:val="14"/>
                <w:b w:val="1"/>
                <w:bCs w:val="1"/>
                <w:color w:val="auto"/>
              </w:rPr>
              <w:t>Total Number of Shares</w:t>
            </w:r>
          </w:p>
        </w:tc>
        <w:tc>
          <w:tcPr>
            <w:tcW w:w="2600" w:type="dxa"/>
            <w:vAlign w:val="bottom"/>
          </w:tcPr>
          <w:p>
            <w:pPr>
              <w:jc w:val="center"/>
              <w:ind w:left="24"/>
              <w:spacing w:after="0"/>
              <w:rPr>
                <w:sz w:val="20"/>
                <w:szCs w:val="20"/>
                <w:color w:val="auto"/>
              </w:rPr>
            </w:pPr>
            <w:r>
              <w:rPr>
                <w:rFonts w:ascii="Arial" w:cs="Arial" w:eastAsia="Arial" w:hAnsi="Arial"/>
                <w:sz w:val="14"/>
                <w:szCs w:val="14"/>
                <w:b w:val="1"/>
                <w:bCs w:val="1"/>
                <w:color w:val="auto"/>
              </w:rPr>
              <w:t>Maximum Number of Shares That</w:t>
            </w:r>
          </w:p>
        </w:tc>
        <w:tc>
          <w:tcPr>
            <w:tcW w:w="0" w:type="dxa"/>
            <w:vAlign w:val="bottom"/>
          </w:tcPr>
          <w:p>
            <w:pPr>
              <w:spacing w:after="0"/>
              <w:rPr>
                <w:sz w:val="1"/>
                <w:szCs w:val="1"/>
                <w:color w:val="auto"/>
              </w:rPr>
            </w:pPr>
          </w:p>
        </w:tc>
      </w:tr>
      <w:tr>
        <w:trPr>
          <w:trHeight w:val="148"/>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2"/>
                <w:szCs w:val="12"/>
                <w:color w:val="auto"/>
              </w:rPr>
            </w:pPr>
          </w:p>
        </w:tc>
        <w:tc>
          <w:tcPr>
            <w:tcW w:w="118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rPr>
              <w:t>Price Paid</w:t>
            </w:r>
          </w:p>
        </w:tc>
        <w:tc>
          <w:tcPr>
            <w:tcW w:w="23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rPr>
              <w:t>Purchased as Part of</w:t>
            </w:r>
          </w:p>
        </w:tc>
        <w:tc>
          <w:tcPr>
            <w:tcW w:w="26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rPr>
              <w:t>May Yet Be Purchased Under the</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per Share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60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90"/>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Arial" w:cs="Arial" w:eastAsia="Arial" w:hAnsi="Arial"/>
                <w:sz w:val="16"/>
                <w:szCs w:val="16"/>
                <w:color w:val="auto"/>
              </w:rPr>
              <w:t>October</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12,730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601.02</w:t>
            </w:r>
          </w:p>
        </w:tc>
        <w:tc>
          <w:tcPr>
            <w:tcW w:w="2300" w:type="dxa"/>
            <w:vAlign w:val="bottom"/>
          </w:tcPr>
          <w:p>
            <w:pPr>
              <w:jc w:val="right"/>
              <w:ind w:right="3"/>
              <w:spacing w:after="0"/>
              <w:rPr>
                <w:sz w:val="20"/>
                <w:szCs w:val="20"/>
                <w:color w:val="auto"/>
              </w:rPr>
            </w:pPr>
            <w:r>
              <w:rPr>
                <w:rFonts w:ascii="Arial" w:cs="Arial" w:eastAsia="Arial" w:hAnsi="Arial"/>
                <w:sz w:val="16"/>
                <w:szCs w:val="16"/>
                <w:color w:val="auto"/>
              </w:rPr>
              <w:t>12,730</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314,910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6"/>
                <w:szCs w:val="16"/>
                <w:color w:val="auto"/>
              </w:rPr>
              <w:t>November</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12,957</w:t>
            </w:r>
          </w:p>
        </w:tc>
        <w:tc>
          <w:tcPr>
            <w:tcW w:w="240" w:type="dxa"/>
            <w:vAlign w:val="bottom"/>
          </w:tcPr>
          <w:p>
            <w:pPr>
              <w:spacing w:after="0"/>
              <w:rPr>
                <w:sz w:val="19"/>
                <w:szCs w:val="19"/>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597.04</w:t>
            </w:r>
          </w:p>
        </w:tc>
        <w:tc>
          <w:tcPr>
            <w:tcW w:w="2300" w:type="dxa"/>
            <w:vAlign w:val="bottom"/>
          </w:tcPr>
          <w:p>
            <w:pPr>
              <w:jc w:val="right"/>
              <w:ind w:right="3"/>
              <w:spacing w:after="0"/>
              <w:rPr>
                <w:sz w:val="20"/>
                <w:szCs w:val="20"/>
                <w:color w:val="auto"/>
              </w:rPr>
            </w:pPr>
            <w:r>
              <w:rPr>
                <w:rFonts w:ascii="Arial" w:cs="Arial" w:eastAsia="Arial" w:hAnsi="Arial"/>
                <w:sz w:val="16"/>
                <w:szCs w:val="16"/>
                <w:color w:val="auto"/>
              </w:rPr>
              <w:t>12,957</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301,953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December</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31,771</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580.93</w:t>
            </w:r>
          </w:p>
        </w:tc>
        <w:tc>
          <w:tcPr>
            <w:tcW w:w="2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31,771</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270,182</w:t>
            </w:r>
          </w:p>
        </w:tc>
        <w:tc>
          <w:tcPr>
            <w:tcW w:w="0" w:type="dxa"/>
            <w:vAlign w:val="bottom"/>
          </w:tcPr>
          <w:p>
            <w:pPr>
              <w:spacing w:after="0"/>
              <w:rPr>
                <w:sz w:val="1"/>
                <w:szCs w:val="1"/>
                <w:color w:val="auto"/>
              </w:rPr>
            </w:pPr>
          </w:p>
        </w:tc>
      </w:tr>
      <w:tr>
        <w:trPr>
          <w:trHeight w:val="236"/>
        </w:trPr>
        <w:tc>
          <w:tcPr>
            <w:tcW w:w="35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57,458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589.01</w:t>
            </w:r>
          </w:p>
        </w:tc>
        <w:tc>
          <w:tcPr>
            <w:tcW w:w="2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57,458</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31" w:lineRule="exact"/>
        <w:rPr>
          <w:sz w:val="20"/>
          <w:szCs w:val="20"/>
          <w:color w:val="auto"/>
        </w:rPr>
      </w:pPr>
    </w:p>
    <w:p>
      <w:pPr>
        <w:ind w:right="260"/>
        <w:spacing w:after="0" w:line="219" w:lineRule="auto"/>
        <w:rPr>
          <w:sz w:val="20"/>
          <w:szCs w:val="20"/>
          <w:color w:val="auto"/>
        </w:rPr>
      </w:pPr>
      <w:r>
        <w:rPr>
          <w:rFonts w:ascii="Arial" w:cs="Arial" w:eastAsia="Arial" w:hAnsi="Arial"/>
          <w:sz w:val="13"/>
          <w:szCs w:val="13"/>
          <w:color w:val="auto"/>
        </w:rPr>
        <w:t>*On September 10, 2020, the Company’s Board of Directors authorized the Company to purchase, on the open market or otherwise, up to 500,000 shares of its Class B Common Stock. There is no expiration date for this authorization. All purchases made during the quarter ended December 31, 2021, were open market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2"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a composite group of education and television broadcasting companies. The Standard &amp; Poor’s 500 Stock Index is comprised of 500 U.S. companies in the industrial, transportation, utilities and financial industries and is weighted by market capitalization. The custom peer group of composite companies includes Adtalem Global Education Inc., Chegg, Inc., The E.W. Scripps Company, Grand Canyon Education Inc., Nexstar Media Group Inc., Gray Television Inc., New Oriental Education &amp; Technology Group Inc., Pearson plc and Tegna Inc. The graph reflects the investment of $100 on December 31, 2016, in the Company’s Class B Common Stock, the Standard &amp; Poor’s 500 Stock Index and the custom peer group index of composite companies. For purposes of this graph, it has been assumed that dividends were reinvested on the date paid in the case of the Company, and on a quarterly basis in the case of the Standard &amp; Poor’s 500 Index and the custom peer group index of composite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62230</wp:posOffset>
            </wp:positionV>
            <wp:extent cx="5229225" cy="3429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292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2016</w:t>
            </w: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2017</w:t>
            </w:r>
          </w:p>
        </w:tc>
        <w:tc>
          <w:tcPr>
            <w:tcW w:w="10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2018</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2019</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2021</w:t>
            </w:r>
          </w:p>
        </w:tc>
      </w:tr>
      <w:tr>
        <w:trPr>
          <w:trHeight w:val="207"/>
        </w:trPr>
        <w:tc>
          <w:tcPr>
            <w:tcW w:w="3460" w:type="dxa"/>
            <w:vAlign w:val="bottom"/>
          </w:tcPr>
          <w:p>
            <w:pPr>
              <w:ind w:left="20"/>
              <w:spacing w:after="0"/>
              <w:rPr>
                <w:sz w:val="20"/>
                <w:szCs w:val="20"/>
                <w:color w:val="auto"/>
              </w:rPr>
            </w:pPr>
            <w:r>
              <w:rPr>
                <w:rFonts w:ascii="Arial" w:cs="Arial" w:eastAsia="Arial" w:hAnsi="Arial"/>
                <w:sz w:val="15"/>
                <w:szCs w:val="15"/>
                <w:color w:val="auto"/>
              </w:rPr>
              <w:t>Graham Holdings Company</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110.05</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127.41</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128.13</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108.51</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129.40</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S&amp;P 500 Index</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121.83</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116.49</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153.17</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181.35</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233.41</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Composite Peer Group</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140.02</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131.41</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173.42</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229.65</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116.07</w:t>
            </w:r>
          </w:p>
        </w:tc>
      </w:tr>
    </w:tbl>
    <w:p>
      <w:pPr>
        <w:spacing w:after="0" w:line="200" w:lineRule="exact"/>
        <w:rPr>
          <w:sz w:val="20"/>
          <w:szCs w:val="20"/>
          <w:color w:val="auto"/>
        </w:rPr>
      </w:pP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Reserved.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49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1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$810.0 million at December 31, 2021.</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 manages the risk associated with interest rate movements through the use of a combination of variable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fixed-rate debt.</w:t>
      </w:r>
    </w:p>
    <w:p>
      <w:pPr>
        <w:spacing w:after="0" w:line="120"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At December 31, 2021, the Company had $400 million principal amount of 5.75% unsecured fixed-rate notes due June 1, 2026 (the Notes). At December 31, 2021, the aggregate fair value of the Notes, based upon quoted market prices, was $417.5 million. There were no earnings or liquidity risks associated with the Company’s Notes. The fair value of the Notes varies with fluctuations in market interest rates. A 100 basis point decrease in market interest rates would increase the fair value of the Notes by $ 9.5 million at December 31, 2021 using a yield to par call. A 100 basis point increase in market interest rates would decrease the fair value of the Notes by $9.3 million at December 31, 2021, using a yield to par call. The Company also had approximately $13 million of other fixed-rate debt, primarily relating to the healthcare business (as discussed in Note 11 to the Company’s Consolidated Financial Statements).</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At December 31, 2021, the Company had approximately $290 million of variable-rate debt, including floor plan facility obligations. Approximately $24.6 million of this debt is hedged by an interest rate swap. The Company is subject to earnings and liquidity risks for changes in the interest rate on the unhedged portion of this debt. A 100 basis point increase in the applicable floating rates for the unhedged portions of our variable-rate debt would increase annual interest expense by approximately $2.6 million.</w:t>
      </w:r>
    </w:p>
    <w:p>
      <w:pPr>
        <w:spacing w:after="0" w:line="113"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 xml:space="preserve">Foreign Exchange Rate Risk. </w:t>
      </w:r>
      <w:r>
        <w:rPr>
          <w:rFonts w:ascii="Arial" w:cs="Arial" w:eastAsia="Arial" w:hAnsi="Arial"/>
          <w:sz w:val="17"/>
          <w:szCs w:val="17"/>
          <w:color w:val="auto"/>
        </w:rPr>
        <w:t>The Company is exposed to foreign exchange rate risk primarily at its Kaplan international operations,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primary exposure relates to the exchange rate between the U.S. dollar and the British pound, the Australian dollar, and the Singapore dollar. In 2021, 2020 and 2019 the Company reported net foreign currency losses of $0.2 million, $2.2 million and $1.1 million, respectively.</w:t>
      </w:r>
    </w:p>
    <w:p>
      <w:pPr>
        <w:spacing w:after="0" w:line="12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If the values of the British pound, the Australian dollar, and the Singapore dollar relative to the U.S. dollar had been 10% lower than the values that prevailed during 2021, the Company’s pre-tax income for 2021 would have been approximately $13 million lower. Conversely, if such values had been 10% higher, the Company’s reported pre-tax income for 2021 would have been approximately $13 million higher.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See the Company’s Consolidated Financial Statements at December 31, 2021, and for the periods then ended, together with the report of PricewaterhouseCoopers LLP thereon, which are included in this Annual Report on Form 10-K and listed in the index to financial information on page 49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6"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December 31, 2021. Based on that evaluation, the Company’s Chief Executive Officer and Chief Financial Officer have concluded that the Company’s disclosure controls and procedures, as</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5" w:name="page46"/>
    <w:bookmarkEnd w:id="45"/>
    <w:p>
      <w:pPr>
        <w:ind w:right="120"/>
        <w:spacing w:after="0" w:line="227" w:lineRule="auto"/>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2021. In making this assessment, management used the criteria set forth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 Organizations of the Treadway Commission (COSO) in 2013. Management has concluded that as of December 31, 2021, the Company’s internal control over financial reporting was effective based on these criteria.</w:t>
      </w:r>
    </w:p>
    <w:p>
      <w:pPr>
        <w:spacing w:after="0" w:line="135" w:lineRule="exact"/>
        <w:rPr>
          <w:sz w:val="20"/>
          <w:szCs w:val="20"/>
          <w:color w:val="auto"/>
        </w:rPr>
      </w:pPr>
    </w:p>
    <w:p>
      <w:pPr>
        <w:ind w:right="1440"/>
        <w:spacing w:after="0" w:line="235"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included 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2021, that has materially affected, or is reasonably likely to materially affect,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2022 Annual Meeting of Stockholders is incorporated herein by reference thereto.</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May 20, 2021,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53"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2022 Annual Meeting of Stockholders is incorporated herein by reference thereto.</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3"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2022 Annual Meeting of Stockholders is incorporated herein by reference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2022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53"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2022 Annual Meeting of Stockholders is incorporated herein by reference thereto.</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68" w:lineRule="exact"/>
        <w:rPr>
          <w:sz w:val="20"/>
          <w:szCs w:val="20"/>
          <w:color w:val="auto"/>
        </w:rPr>
      </w:pPr>
    </w:p>
    <w:p>
      <w:pPr>
        <w:ind w:left="860" w:hanging="407"/>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49 hereof.</w:t>
      </w:r>
    </w:p>
    <w:p>
      <w:pPr>
        <w:spacing w:after="0" w:line="90" w:lineRule="exact"/>
        <w:rPr>
          <w:rFonts w:ascii="Arial" w:cs="Arial" w:eastAsia="Arial" w:hAnsi="Arial"/>
          <w:sz w:val="18"/>
          <w:szCs w:val="18"/>
          <w:color w:val="auto"/>
        </w:rPr>
      </w:pPr>
    </w:p>
    <w:p>
      <w:pPr>
        <w:ind w:left="860" w:hanging="407"/>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46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9"/>
        </w:trPr>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720" w:type="dxa"/>
            <w:vAlign w:val="bottom"/>
            <w:gridSpan w:val="37"/>
          </w:tcPr>
          <w:p>
            <w:pPr>
              <w:ind w:left="200"/>
              <w:spacing w:after="0"/>
              <w:rPr>
                <w:sz w:val="20"/>
                <w:szCs w:val="20"/>
                <w:color w:val="auto"/>
              </w:rPr>
            </w:pPr>
            <w:r>
              <w:rPr>
                <w:rFonts w:ascii="Arial" w:cs="Arial" w:eastAsia="Arial" w:hAnsi="Arial"/>
                <w:sz w:val="18"/>
                <w:szCs w:val="18"/>
                <w:b w:val="1"/>
                <w:bCs w:val="1"/>
                <w:color w:val="auto"/>
              </w:rPr>
              <w:t>INDEX TO EXHIBITS</w:t>
            </w:r>
          </w:p>
        </w:tc>
      </w:tr>
      <w:tr>
        <w:trPr>
          <w:trHeight w:val="37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34"/>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364"/>
        </w:trPr>
        <w:tc>
          <w:tcPr>
            <w:tcW w:w="1340" w:type="dxa"/>
            <w:vAlign w:val="bottom"/>
          </w:tcPr>
          <w:p>
            <w:pPr>
              <w:ind w:left="20"/>
              <w:spacing w:after="0"/>
              <w:rPr>
                <w:sz w:val="20"/>
                <w:szCs w:val="20"/>
                <w:color w:val="auto"/>
              </w:rPr>
            </w:pPr>
            <w:r>
              <w:rPr>
                <w:rFonts w:ascii="Arial" w:cs="Arial" w:eastAsia="Arial" w:hAnsi="Arial"/>
                <w:sz w:val="17"/>
                <w:szCs w:val="17"/>
                <w:color w:val="auto"/>
              </w:rPr>
              <w:t>2.1</w:t>
            </w:r>
          </w:p>
        </w:tc>
        <w:tc>
          <w:tcPr>
            <w:tcW w:w="9940" w:type="dxa"/>
            <w:vAlign w:val="bottom"/>
            <w:gridSpan w:val="40"/>
          </w:tcPr>
          <w:p>
            <w:pPr>
              <w:spacing w:after="0"/>
              <w:rPr>
                <w:rFonts w:ascii="Arial" w:cs="Arial" w:eastAsia="Arial" w:hAnsi="Arial"/>
                <w:sz w:val="17"/>
                <w:szCs w:val="17"/>
                <w:color w:val="0000FF"/>
              </w:rPr>
            </w:pPr>
            <w:hyperlink r:id="rId59">
              <w:r>
                <w:rPr>
                  <w:rFonts w:ascii="Arial" w:cs="Arial" w:eastAsia="Arial" w:hAnsi="Arial"/>
                  <w:sz w:val="17"/>
                  <w:szCs w:val="17"/>
                  <w:color w:val="0000FF"/>
                </w:rPr>
                <w:t>Contribution and Transfer Agreement, dated April 27, 2017, by and among Kaplan Higher Education, LLC, Iowa College</w:t>
              </w:r>
            </w:hyperlink>
          </w:p>
        </w:tc>
      </w:tr>
      <w:tr>
        <w:trPr>
          <w:trHeight w:val="155"/>
        </w:trPr>
        <w:tc>
          <w:tcPr>
            <w:tcW w:w="1340" w:type="dxa"/>
            <w:vAlign w:val="bottom"/>
          </w:tcPr>
          <w:p>
            <w:pPr>
              <w:spacing w:after="0"/>
              <w:rPr>
                <w:sz w:val="13"/>
                <w:szCs w:val="13"/>
                <w:color w:val="auto"/>
              </w:rPr>
            </w:pPr>
          </w:p>
        </w:tc>
        <w:tc>
          <w:tcPr>
            <w:tcW w:w="9060" w:type="dxa"/>
            <w:vAlign w:val="bottom"/>
            <w:tcBorders>
              <w:top w:val="single" w:sz="8" w:color="0000FF"/>
            </w:tcBorders>
            <w:gridSpan w:val="14"/>
          </w:tcPr>
          <w:p>
            <w:pPr>
              <w:spacing w:after="0" w:line="155" w:lineRule="exact"/>
              <w:rPr>
                <w:rFonts w:ascii="Arial" w:cs="Arial" w:eastAsia="Arial" w:hAnsi="Arial"/>
                <w:sz w:val="17"/>
                <w:szCs w:val="17"/>
                <w:color w:val="0000FF"/>
              </w:rPr>
            </w:pPr>
            <w:hyperlink r:id="rId59">
              <w:r>
                <w:rPr>
                  <w:rFonts w:ascii="Arial" w:cs="Arial" w:eastAsia="Arial" w:hAnsi="Arial"/>
                  <w:sz w:val="17"/>
                  <w:szCs w:val="17"/>
                  <w:color w:val="0000FF"/>
                </w:rPr>
                <w:t>Acquisition, LLC, Purdue University and Purdue New U, Inc. (incorporated by reference to Exhibit 2.1 to the Company’s</w:t>
              </w:r>
            </w:hyperlink>
          </w:p>
        </w:tc>
        <w:tc>
          <w:tcPr>
            <w:tcW w:w="880" w:type="dxa"/>
            <w:vAlign w:val="bottom"/>
            <w:gridSpan w:val="26"/>
          </w:tcPr>
          <w:p>
            <w:pPr>
              <w:spacing w:after="0" w:line="155" w:lineRule="exact"/>
              <w:rPr>
                <w:rFonts w:ascii="Arial" w:cs="Arial" w:eastAsia="Arial" w:hAnsi="Arial"/>
                <w:sz w:val="17"/>
                <w:szCs w:val="17"/>
                <w:color w:val="0000FF"/>
              </w:rPr>
            </w:pPr>
            <w:hyperlink r:id="rId59">
              <w:r>
                <w:rPr>
                  <w:rFonts w:ascii="Arial" w:cs="Arial" w:eastAsia="Arial" w:hAnsi="Arial"/>
                  <w:sz w:val="17"/>
                  <w:szCs w:val="17"/>
                  <w:color w:val="0000FF"/>
                </w:rPr>
                <w:t>Current</w:t>
              </w:r>
            </w:hyperlink>
          </w:p>
        </w:tc>
      </w:tr>
      <w:tr>
        <w:trPr>
          <w:trHeight w:val="156"/>
        </w:trPr>
        <w:tc>
          <w:tcPr>
            <w:tcW w:w="134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3"/>
          </w:tcPr>
          <w:p>
            <w:pPr>
              <w:spacing w:after="0" w:line="155" w:lineRule="exact"/>
              <w:rPr>
                <w:rFonts w:ascii="Arial" w:cs="Arial" w:eastAsia="Arial" w:hAnsi="Arial"/>
                <w:sz w:val="17"/>
                <w:szCs w:val="17"/>
                <w:color w:val="0000FF"/>
              </w:rPr>
            </w:pPr>
            <w:hyperlink r:id="rId59">
              <w:r>
                <w:rPr>
                  <w:rFonts w:ascii="Arial" w:cs="Arial" w:eastAsia="Arial" w:hAnsi="Arial"/>
                  <w:sz w:val="17"/>
                  <w:szCs w:val="17"/>
                  <w:color w:val="0000FF"/>
                </w:rPr>
                <w:t>Report on Form 8-K filed April 27, 2017).**</w:t>
              </w:r>
            </w:hyperlink>
          </w:p>
        </w:tc>
        <w:tc>
          <w:tcPr>
            <w:tcW w:w="64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3.1</w:t>
            </w:r>
          </w:p>
        </w:tc>
        <w:tc>
          <w:tcPr>
            <w:tcW w:w="9940" w:type="dxa"/>
            <w:vAlign w:val="bottom"/>
            <w:gridSpan w:val="40"/>
          </w:tcPr>
          <w:p>
            <w:pPr>
              <w:spacing w:after="0"/>
              <w:rPr>
                <w:rFonts w:ascii="Arial" w:cs="Arial" w:eastAsia="Arial" w:hAnsi="Arial"/>
                <w:sz w:val="17"/>
                <w:szCs w:val="17"/>
                <w:color w:val="0000FF"/>
              </w:rPr>
            </w:pPr>
            <w:hyperlink r:id="rId60">
              <w:r>
                <w:rPr>
                  <w:rFonts w:ascii="Arial" w:cs="Arial" w:eastAsia="Arial" w:hAnsi="Arial"/>
                  <w:sz w:val="17"/>
                  <w:szCs w:val="17"/>
                  <w:color w:val="0000FF"/>
                </w:rPr>
                <w:t>Restated Certificate of Incorporation of the Company dated November 13, 2003 (incorporated by reference to Exhibit 3.1 to the</w:t>
              </w:r>
            </w:hyperlink>
          </w:p>
        </w:tc>
      </w:tr>
      <w:tr>
        <w:trPr>
          <w:trHeight w:val="155"/>
        </w:trPr>
        <w:tc>
          <w:tcPr>
            <w:tcW w:w="134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8"/>
          </w:tcPr>
          <w:p>
            <w:pPr>
              <w:spacing w:after="0" w:line="155" w:lineRule="exact"/>
              <w:rPr>
                <w:rFonts w:ascii="Arial" w:cs="Arial" w:eastAsia="Arial" w:hAnsi="Arial"/>
                <w:sz w:val="17"/>
                <w:szCs w:val="17"/>
                <w:color w:val="0000FF"/>
              </w:rPr>
            </w:pPr>
            <w:hyperlink r:id="rId60">
              <w:r>
                <w:rPr>
                  <w:rFonts w:ascii="Arial" w:cs="Arial" w:eastAsia="Arial" w:hAnsi="Arial"/>
                  <w:sz w:val="17"/>
                  <w:szCs w:val="17"/>
                  <w:color w:val="0000FF"/>
                </w:rPr>
                <w:t>Company’s Annual Report on Form 10-K for the fiscal year ended December 28, 2003).</w:t>
              </w:r>
            </w:hyperlink>
          </w:p>
        </w:tc>
        <w:tc>
          <w:tcPr>
            <w:tcW w:w="29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3.2</w:t>
            </w:r>
          </w:p>
        </w:tc>
        <w:tc>
          <w:tcPr>
            <w:tcW w:w="9940" w:type="dxa"/>
            <w:vAlign w:val="bottom"/>
            <w:gridSpan w:val="40"/>
          </w:tcPr>
          <w:p>
            <w:pPr>
              <w:spacing w:after="0"/>
              <w:rPr>
                <w:rFonts w:ascii="Arial" w:cs="Arial" w:eastAsia="Arial" w:hAnsi="Arial"/>
                <w:sz w:val="17"/>
                <w:szCs w:val="17"/>
                <w:color w:val="0000FF"/>
              </w:rPr>
            </w:pPr>
            <w:hyperlink r:id="rId61">
              <w:r>
                <w:rPr>
                  <w:rFonts w:ascii="Arial" w:cs="Arial" w:eastAsia="Arial" w:hAnsi="Arial"/>
                  <w:sz w:val="17"/>
                  <w:szCs w:val="17"/>
                  <w:color w:val="0000FF"/>
                </w:rPr>
                <w:t>Certificate of Amendment, effective November 29, 2013, to the Restated Certificate of Incorporation of the Company (incorporated</w:t>
              </w:r>
            </w:hyperlink>
          </w:p>
        </w:tc>
      </w:tr>
      <w:tr>
        <w:trPr>
          <w:trHeight w:val="155"/>
        </w:trPr>
        <w:tc>
          <w:tcPr>
            <w:tcW w:w="134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0"/>
          </w:tcPr>
          <w:p>
            <w:pPr>
              <w:spacing w:after="0" w:line="155" w:lineRule="exact"/>
              <w:rPr>
                <w:rFonts w:ascii="Arial" w:cs="Arial" w:eastAsia="Arial" w:hAnsi="Arial"/>
                <w:sz w:val="17"/>
                <w:szCs w:val="17"/>
                <w:color w:val="0000FF"/>
              </w:rPr>
            </w:pPr>
            <w:hyperlink r:id="rId61">
              <w:r>
                <w:rPr>
                  <w:rFonts w:ascii="Arial" w:cs="Arial" w:eastAsia="Arial" w:hAnsi="Arial"/>
                  <w:sz w:val="17"/>
                  <w:szCs w:val="17"/>
                  <w:color w:val="0000FF"/>
                </w:rPr>
                <w:t>by reference to Exhibit 3.1 to the Company’s Current Report on Form 8-K filed November 29, 2013).</w:t>
              </w:r>
            </w:hyperlink>
          </w:p>
        </w:tc>
        <w:tc>
          <w:tcPr>
            <w:tcW w:w="23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3.3</w:t>
            </w:r>
          </w:p>
        </w:tc>
        <w:tc>
          <w:tcPr>
            <w:tcW w:w="9940" w:type="dxa"/>
            <w:vAlign w:val="bottom"/>
            <w:gridSpan w:val="40"/>
          </w:tcPr>
          <w:p>
            <w:pPr>
              <w:spacing w:after="0"/>
              <w:rPr>
                <w:rFonts w:ascii="Arial" w:cs="Arial" w:eastAsia="Arial" w:hAnsi="Arial"/>
                <w:sz w:val="17"/>
                <w:szCs w:val="17"/>
                <w:color w:val="0000FF"/>
              </w:rPr>
            </w:pPr>
            <w:hyperlink r:id="rId62">
              <w:r>
                <w:rPr>
                  <w:rFonts w:ascii="Arial" w:cs="Arial" w:eastAsia="Arial" w:hAnsi="Arial"/>
                  <w:sz w:val="17"/>
                  <w:szCs w:val="17"/>
                  <w:color w:val="0000FF"/>
                </w:rPr>
                <w:t>By-Laws of the Company as amended and restated through November 29, 2013 (incorporated by reference to Exhibit 3.2 to the</w:t>
              </w:r>
            </w:hyperlink>
          </w:p>
        </w:tc>
      </w:tr>
      <w:tr>
        <w:trPr>
          <w:trHeight w:val="156"/>
        </w:trPr>
        <w:tc>
          <w:tcPr>
            <w:tcW w:w="134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5" w:lineRule="exact"/>
              <w:rPr>
                <w:rFonts w:ascii="Arial" w:cs="Arial" w:eastAsia="Arial" w:hAnsi="Arial"/>
                <w:sz w:val="17"/>
                <w:szCs w:val="17"/>
                <w:color w:val="0000FF"/>
              </w:rPr>
            </w:pPr>
            <w:hyperlink r:id="rId62">
              <w:r>
                <w:rPr>
                  <w:rFonts w:ascii="Arial" w:cs="Arial" w:eastAsia="Arial" w:hAnsi="Arial"/>
                  <w:sz w:val="17"/>
                  <w:szCs w:val="17"/>
                  <w:color w:val="0000FF"/>
                </w:rPr>
                <w:t>Company’s Current Report on Form 8-K filed November 29,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40" w:type="dxa"/>
            <w:vAlign w:val="bottom"/>
          </w:tcPr>
          <w:p>
            <w:pPr>
              <w:ind w:left="20"/>
              <w:spacing w:after="0"/>
              <w:rPr>
                <w:sz w:val="20"/>
                <w:szCs w:val="20"/>
                <w:color w:val="auto"/>
              </w:rPr>
            </w:pPr>
            <w:r>
              <w:rPr>
                <w:rFonts w:ascii="Arial" w:cs="Arial" w:eastAsia="Arial" w:hAnsi="Arial"/>
                <w:sz w:val="17"/>
                <w:szCs w:val="17"/>
                <w:color w:val="auto"/>
              </w:rPr>
              <w:t>4.1</w:t>
            </w:r>
          </w:p>
        </w:tc>
        <w:tc>
          <w:tcPr>
            <w:tcW w:w="9940" w:type="dxa"/>
            <w:vAlign w:val="bottom"/>
            <w:gridSpan w:val="40"/>
          </w:tcPr>
          <w:p>
            <w:pPr>
              <w:spacing w:after="0"/>
              <w:rPr>
                <w:rFonts w:ascii="Arial" w:cs="Arial" w:eastAsia="Arial" w:hAnsi="Arial"/>
                <w:sz w:val="17"/>
                <w:szCs w:val="17"/>
                <w:color w:val="0000FF"/>
              </w:rPr>
            </w:pPr>
            <w:hyperlink r:id="rId63">
              <w:r>
                <w:rPr>
                  <w:rFonts w:ascii="Arial" w:cs="Arial" w:eastAsia="Arial" w:hAnsi="Arial"/>
                  <w:sz w:val="17"/>
                  <w:szCs w:val="17"/>
                  <w:color w:val="0000FF"/>
                </w:rPr>
                <w:t>Senior Notes Indenture dated as of May 30, 2018, between the Company and The Bank of New York Mellon Trust Company, N.A.,</w:t>
              </w:r>
            </w:hyperlink>
          </w:p>
        </w:tc>
      </w:tr>
      <w:tr>
        <w:trPr>
          <w:trHeight w:val="156"/>
        </w:trPr>
        <w:tc>
          <w:tcPr>
            <w:tcW w:w="1340" w:type="dxa"/>
            <w:vAlign w:val="bottom"/>
          </w:tcPr>
          <w:p>
            <w:pPr>
              <w:spacing w:after="0"/>
              <w:rPr>
                <w:sz w:val="13"/>
                <w:szCs w:val="13"/>
                <w:color w:val="auto"/>
              </w:rPr>
            </w:pPr>
          </w:p>
        </w:tc>
        <w:tc>
          <w:tcPr>
            <w:tcW w:w="9900" w:type="dxa"/>
            <w:vAlign w:val="bottom"/>
            <w:tcBorders>
              <w:top w:val="single" w:sz="8" w:color="0000FF"/>
            </w:tcBorders>
            <w:gridSpan w:val="38"/>
          </w:tcPr>
          <w:p>
            <w:pPr>
              <w:spacing w:after="0" w:line="155" w:lineRule="exact"/>
              <w:rPr>
                <w:rFonts w:ascii="Arial" w:cs="Arial" w:eastAsia="Arial" w:hAnsi="Arial"/>
                <w:sz w:val="17"/>
                <w:szCs w:val="17"/>
                <w:color w:val="0000FF"/>
              </w:rPr>
            </w:pPr>
            <w:hyperlink r:id="rId63">
              <w:r>
                <w:rPr>
                  <w:rFonts w:ascii="Arial" w:cs="Arial" w:eastAsia="Arial" w:hAnsi="Arial"/>
                  <w:sz w:val="17"/>
                  <w:szCs w:val="17"/>
                  <w:color w:val="0000FF"/>
                </w:rPr>
                <w:t>as Trustee (incorporated by reference to Exhibit 4.1 to the Company’s Current Report on Form 8-K dated May 30,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40" w:type="dxa"/>
            <w:vAlign w:val="bottom"/>
          </w:tcPr>
          <w:p>
            <w:pPr>
              <w:ind w:left="20"/>
              <w:spacing w:after="0"/>
              <w:rPr>
                <w:sz w:val="20"/>
                <w:szCs w:val="20"/>
                <w:color w:val="auto"/>
              </w:rPr>
            </w:pPr>
            <w:r>
              <w:rPr>
                <w:rFonts w:ascii="Arial" w:cs="Arial" w:eastAsia="Arial" w:hAnsi="Arial"/>
                <w:sz w:val="17"/>
                <w:szCs w:val="17"/>
                <w:color w:val="auto"/>
              </w:rPr>
              <w:t>4.2</w:t>
            </w:r>
          </w:p>
        </w:tc>
        <w:tc>
          <w:tcPr>
            <w:tcW w:w="9940" w:type="dxa"/>
            <w:vAlign w:val="bottom"/>
            <w:gridSpan w:val="40"/>
          </w:tcPr>
          <w:p>
            <w:pPr>
              <w:spacing w:after="0"/>
              <w:rPr>
                <w:rFonts w:ascii="Arial" w:cs="Arial" w:eastAsia="Arial" w:hAnsi="Arial"/>
                <w:sz w:val="17"/>
                <w:szCs w:val="17"/>
                <w:color w:val="0000FF"/>
              </w:rPr>
            </w:pPr>
            <w:hyperlink r:id="rId64">
              <w:r>
                <w:rPr>
                  <w:rFonts w:ascii="Arial" w:cs="Arial" w:eastAsia="Arial" w:hAnsi="Arial"/>
                  <w:sz w:val="17"/>
                  <w:szCs w:val="17"/>
                  <w:color w:val="0000FF"/>
                </w:rPr>
                <w:t>First Supplemental Indenture, dated as of March 24, 2020, among Graham Healthcare Group, Inc., a Delaware corporation, a</w:t>
              </w:r>
            </w:hyperlink>
          </w:p>
        </w:tc>
      </w:tr>
      <w:tr>
        <w:trPr>
          <w:trHeight w:val="156"/>
        </w:trPr>
        <w:tc>
          <w:tcPr>
            <w:tcW w:w="134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5" w:lineRule="exact"/>
              <w:rPr>
                <w:rFonts w:ascii="Arial" w:cs="Arial" w:eastAsia="Arial" w:hAnsi="Arial"/>
                <w:sz w:val="17"/>
                <w:szCs w:val="17"/>
                <w:color w:val="0000FF"/>
              </w:rPr>
            </w:pPr>
            <w:hyperlink r:id="rId63">
              <w:r>
                <w:rPr>
                  <w:rFonts w:ascii="Arial" w:cs="Arial" w:eastAsia="Arial" w:hAnsi="Arial"/>
                  <w:sz w:val="17"/>
                  <w:szCs w:val="17"/>
                  <w:color w:val="0000FF"/>
                </w:rPr>
                <w:t>subsidiary of the Company, and The Bank of New York Mellon Trust Company, N.A., as trustee (incorporated by reference to</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5" w:lineRule="exact"/>
              <w:rPr>
                <w:rFonts w:ascii="Arial" w:cs="Arial" w:eastAsia="Arial" w:hAnsi="Arial"/>
                <w:sz w:val="17"/>
                <w:szCs w:val="17"/>
                <w:color w:val="0000FF"/>
              </w:rPr>
            </w:pPr>
            <w:hyperlink r:id="rId63">
              <w:r>
                <w:rPr>
                  <w:rFonts w:ascii="Arial" w:cs="Arial" w:eastAsia="Arial" w:hAnsi="Arial"/>
                  <w:sz w:val="17"/>
                  <w:szCs w:val="17"/>
                  <w:color w:val="0000FF"/>
                </w:rPr>
                <w:t>Exhibit 4.1 to the Company’s Quarterly Report on Form 10-Q for the quarter ended March 31, 2020)</w:t>
              </w:r>
            </w:hyperlink>
            <w:hyperlink r:id="rId64">
              <w:r>
                <w:rPr>
                  <w:rFonts w:ascii="Arial" w:cs="Arial" w:eastAsia="Arial" w:hAnsi="Arial"/>
                  <w:sz w:val="17"/>
                  <w:szCs w:val="17"/>
                  <w:color w:val="0000FF"/>
                </w:rPr>
                <w:t>.</w:t>
              </w:r>
            </w:hyperlink>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40" w:type="dxa"/>
            <w:vAlign w:val="bottom"/>
          </w:tcPr>
          <w:p>
            <w:pPr>
              <w:ind w:left="20"/>
              <w:spacing w:after="0"/>
              <w:rPr>
                <w:sz w:val="20"/>
                <w:szCs w:val="20"/>
                <w:color w:val="auto"/>
              </w:rPr>
            </w:pPr>
            <w:r>
              <w:rPr>
                <w:rFonts w:ascii="Arial" w:cs="Arial" w:eastAsia="Arial" w:hAnsi="Arial"/>
                <w:sz w:val="17"/>
                <w:szCs w:val="17"/>
                <w:color w:val="auto"/>
              </w:rPr>
              <w:t>4.3</w:t>
            </w:r>
          </w:p>
        </w:tc>
        <w:tc>
          <w:tcPr>
            <w:tcW w:w="9940" w:type="dxa"/>
            <w:vAlign w:val="bottom"/>
            <w:gridSpan w:val="40"/>
          </w:tcPr>
          <w:p>
            <w:pPr>
              <w:spacing w:after="0"/>
              <w:rPr>
                <w:rFonts w:ascii="Arial" w:cs="Arial" w:eastAsia="Arial" w:hAnsi="Arial"/>
                <w:sz w:val="17"/>
                <w:szCs w:val="17"/>
                <w:color w:val="0000FF"/>
              </w:rPr>
            </w:pPr>
            <w:hyperlink w:anchor="page121">
              <w:r>
                <w:rPr>
                  <w:rFonts w:ascii="Arial" w:cs="Arial" w:eastAsia="Arial" w:hAnsi="Arial"/>
                  <w:sz w:val="17"/>
                  <w:szCs w:val="17"/>
                  <w:color w:val="0000FF"/>
                </w:rPr>
                <w:t>Second Supplemental Indenture, dated as of January 6, 2022, among Graham Automotive LLC, a Delaware limited liability</w:t>
              </w:r>
            </w:hyperlink>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9940" w:type="dxa"/>
            <w:vAlign w:val="bottom"/>
            <w:gridSpan w:val="40"/>
          </w:tcPr>
          <w:p>
            <w:pPr>
              <w:spacing w:after="0" w:line="142" w:lineRule="exact"/>
              <w:rPr>
                <w:rFonts w:ascii="Arial" w:cs="Arial" w:eastAsia="Arial" w:hAnsi="Arial"/>
                <w:sz w:val="16"/>
                <w:szCs w:val="16"/>
                <w:color w:val="0000FF"/>
              </w:rPr>
            </w:pPr>
            <w:hyperlink w:anchor="page121">
              <w:r>
                <w:rPr>
                  <w:rFonts w:ascii="Arial" w:cs="Arial" w:eastAsia="Arial" w:hAnsi="Arial"/>
                  <w:sz w:val="16"/>
                  <w:szCs w:val="16"/>
                  <w:color w:val="0000FF"/>
                </w:rPr>
                <w:t>company, a subsidiary of Graham Holdings Company, a Delaware corporation, and The Bank of New York Mellon Trust Company,</w:t>
              </w:r>
            </w:hyperlink>
          </w:p>
        </w:tc>
      </w:tr>
      <w:tr>
        <w:trPr>
          <w:trHeight w:val="142"/>
        </w:trPr>
        <w:tc>
          <w:tcPr>
            <w:tcW w:w="1340" w:type="dxa"/>
            <w:vAlign w:val="bottom"/>
          </w:tcPr>
          <w:p>
            <w:pPr>
              <w:spacing w:after="0"/>
              <w:rPr>
                <w:sz w:val="12"/>
                <w:szCs w:val="12"/>
                <w:color w:val="auto"/>
              </w:rPr>
            </w:pPr>
          </w:p>
        </w:tc>
        <w:tc>
          <w:tcPr>
            <w:tcW w:w="12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121">
              <w:r>
                <w:rPr>
                  <w:rFonts w:ascii="Arial" w:cs="Arial" w:eastAsia="Arial" w:hAnsi="Arial"/>
                  <w:sz w:val="16"/>
                  <w:szCs w:val="16"/>
                  <w:color w:val="0000FF"/>
                </w:rPr>
                <w:t>N.A., as trustee.</w:t>
              </w:r>
            </w:hyperlink>
          </w:p>
        </w:tc>
        <w:tc>
          <w:tcPr>
            <w:tcW w:w="8620" w:type="dxa"/>
            <w:vAlign w:val="bottom"/>
            <w:tcBorders>
              <w:top w:val="single" w:sz="8" w:color="0000FF"/>
            </w:tcBorders>
            <w:gridSpan w:val="3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340" w:type="dxa"/>
            <w:vAlign w:val="bottom"/>
          </w:tcPr>
          <w:p>
            <w:pPr>
              <w:ind w:left="20"/>
              <w:spacing w:after="0"/>
              <w:rPr>
                <w:sz w:val="20"/>
                <w:szCs w:val="20"/>
                <w:color w:val="auto"/>
              </w:rPr>
            </w:pPr>
            <w:r>
              <w:rPr>
                <w:rFonts w:ascii="Arial" w:cs="Arial" w:eastAsia="Arial" w:hAnsi="Arial"/>
                <w:sz w:val="17"/>
                <w:szCs w:val="17"/>
                <w:color w:val="auto"/>
              </w:rPr>
              <w:t>4.4</w:t>
            </w:r>
          </w:p>
        </w:tc>
        <w:tc>
          <w:tcPr>
            <w:tcW w:w="9940" w:type="dxa"/>
            <w:vAlign w:val="bottom"/>
            <w:gridSpan w:val="40"/>
          </w:tcPr>
          <w:p>
            <w:pPr>
              <w:spacing w:after="0"/>
              <w:rPr>
                <w:rFonts w:ascii="Arial" w:cs="Arial" w:eastAsia="Arial" w:hAnsi="Arial"/>
                <w:sz w:val="17"/>
                <w:szCs w:val="17"/>
                <w:color w:val="0000FF"/>
              </w:rPr>
            </w:pPr>
            <w:hyperlink r:id="rId65">
              <w:r>
                <w:rPr>
                  <w:rFonts w:ascii="Arial" w:cs="Arial" w:eastAsia="Arial" w:hAnsi="Arial"/>
                  <w:sz w:val="17"/>
                  <w:szCs w:val="17"/>
                  <w:color w:val="0000FF"/>
                </w:rPr>
                <w:t>Description of the Company’s Securities (incorporated by reference to Exhibit 4.2 to the Company’s Annual Report on Form 10-K</w:t>
              </w:r>
            </w:hyperlink>
          </w:p>
        </w:tc>
      </w:tr>
      <w:tr>
        <w:trPr>
          <w:trHeight w:val="156"/>
        </w:trPr>
        <w:tc>
          <w:tcPr>
            <w:tcW w:w="134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55" w:lineRule="exact"/>
              <w:rPr>
                <w:rFonts w:ascii="Arial" w:cs="Arial" w:eastAsia="Arial" w:hAnsi="Arial"/>
                <w:sz w:val="17"/>
                <w:szCs w:val="17"/>
                <w:color w:val="0000FF"/>
              </w:rPr>
            </w:pPr>
            <w:hyperlink r:id="rId65">
              <w:r>
                <w:rPr>
                  <w:rFonts w:ascii="Arial" w:cs="Arial" w:eastAsia="Arial" w:hAnsi="Arial"/>
                  <w:sz w:val="17"/>
                  <w:szCs w:val="17"/>
                  <w:color w:val="0000FF"/>
                </w:rPr>
                <w:t>for the fiscal year ended December 31,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10.1</w:t>
            </w:r>
          </w:p>
        </w:tc>
        <w:tc>
          <w:tcPr>
            <w:tcW w:w="9940" w:type="dxa"/>
            <w:vAlign w:val="bottom"/>
            <w:gridSpan w:val="40"/>
          </w:tcPr>
          <w:p>
            <w:pPr>
              <w:spacing w:after="0"/>
              <w:rPr>
                <w:rFonts w:ascii="Arial" w:cs="Arial" w:eastAsia="Arial" w:hAnsi="Arial"/>
                <w:sz w:val="17"/>
                <w:szCs w:val="17"/>
                <w:color w:val="0000FF"/>
              </w:rPr>
            </w:pPr>
            <w:hyperlink r:id="rId66">
              <w:r>
                <w:rPr>
                  <w:rFonts w:ascii="Arial" w:cs="Arial" w:eastAsia="Arial" w:hAnsi="Arial"/>
                  <w:sz w:val="17"/>
                  <w:szCs w:val="17"/>
                  <w:color w:val="0000FF"/>
                </w:rPr>
                <w:t>Amended and Restated Five Year Credit Agreement, dated as of May 30, 2018, among the Company, and the foreign borrowers</w:t>
              </w:r>
            </w:hyperlink>
          </w:p>
        </w:tc>
      </w:tr>
      <w:tr>
        <w:trPr>
          <w:trHeight w:val="155"/>
        </w:trPr>
        <w:tc>
          <w:tcPr>
            <w:tcW w:w="13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8"/>
          </w:tcPr>
          <w:p>
            <w:pPr>
              <w:spacing w:after="0" w:line="155" w:lineRule="exact"/>
              <w:rPr>
                <w:rFonts w:ascii="Arial" w:cs="Arial" w:eastAsia="Arial" w:hAnsi="Arial"/>
                <w:sz w:val="17"/>
                <w:szCs w:val="17"/>
                <w:color w:val="0000FF"/>
              </w:rPr>
            </w:pPr>
            <w:hyperlink r:id="rId66">
              <w:r>
                <w:rPr>
                  <w:rFonts w:ascii="Arial" w:cs="Arial" w:eastAsia="Arial" w:hAnsi="Arial"/>
                  <w:sz w:val="17"/>
                  <w:szCs w:val="17"/>
                  <w:color w:val="0000FF"/>
                </w:rPr>
                <w:t>from time to time party thereto, and certain of its domestic subsidiaries as guarantors, the several lenders from time to time party</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720" w:type="dxa"/>
            <w:vAlign w:val="bottom"/>
            <w:tcBorders>
              <w:bottom w:val="single" w:sz="8" w:color="0000FF"/>
            </w:tcBorders>
            <w:gridSpan w:val="29"/>
          </w:tcPr>
          <w:p>
            <w:pPr>
              <w:spacing w:after="0" w:line="155" w:lineRule="exact"/>
              <w:rPr>
                <w:rFonts w:ascii="Arial" w:cs="Arial" w:eastAsia="Arial" w:hAnsi="Arial"/>
                <w:sz w:val="17"/>
                <w:szCs w:val="17"/>
                <w:color w:val="0000FF"/>
                <w:w w:val="99"/>
              </w:rPr>
            </w:pPr>
            <w:hyperlink r:id="rId66">
              <w:r>
                <w:rPr>
                  <w:rFonts w:ascii="Arial" w:cs="Arial" w:eastAsia="Arial" w:hAnsi="Arial"/>
                  <w:sz w:val="17"/>
                  <w:szCs w:val="17"/>
                  <w:color w:val="0000FF"/>
                  <w:w w:val="99"/>
                </w:rPr>
                <w:t>thereto, Wells Fargo Bank, National Association, as Administrative Agent and JPMorgan Chase Bank, N.A., as Syndication Agent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760" w:type="dxa"/>
            <w:vAlign w:val="bottom"/>
            <w:tcBorders>
              <w:bottom w:val="single" w:sz="8" w:color="0000FF"/>
            </w:tcBorders>
            <w:gridSpan w:val="31"/>
          </w:tcPr>
          <w:p>
            <w:pPr>
              <w:spacing w:after="0" w:line="155" w:lineRule="exact"/>
              <w:rPr>
                <w:rFonts w:ascii="Arial" w:cs="Arial" w:eastAsia="Arial" w:hAnsi="Arial"/>
                <w:sz w:val="17"/>
                <w:szCs w:val="17"/>
                <w:color w:val="0000FF"/>
              </w:rPr>
            </w:pPr>
            <w:hyperlink r:id="rId66">
              <w:r>
                <w:rPr>
                  <w:rFonts w:ascii="Arial" w:cs="Arial" w:eastAsia="Arial" w:hAnsi="Arial"/>
                  <w:sz w:val="17"/>
                  <w:szCs w:val="17"/>
                  <w:color w:val="0000FF"/>
                </w:rPr>
                <w:t>(incorporated by reference to Exhibit 4.2 to the Company’s Quarterly Report on Form 10-Q for the quarter ended June 30,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10.2</w:t>
            </w:r>
          </w:p>
        </w:tc>
        <w:tc>
          <w:tcPr>
            <w:tcW w:w="9940" w:type="dxa"/>
            <w:vAlign w:val="bottom"/>
            <w:gridSpan w:val="40"/>
          </w:tcPr>
          <w:p>
            <w:pPr>
              <w:spacing w:after="0"/>
              <w:rPr>
                <w:rFonts w:ascii="Arial" w:cs="Arial" w:eastAsia="Arial" w:hAnsi="Arial"/>
                <w:sz w:val="17"/>
                <w:szCs w:val="17"/>
                <w:color w:val="0000FF"/>
              </w:rPr>
            </w:pPr>
            <w:hyperlink w:anchor="page124">
              <w:r>
                <w:rPr>
                  <w:rFonts w:ascii="Arial" w:cs="Arial" w:eastAsia="Arial" w:hAnsi="Arial"/>
                  <w:sz w:val="17"/>
                  <w:szCs w:val="17"/>
                  <w:color w:val="0000FF"/>
                </w:rPr>
                <w:t>First Amendment, dated as of November 23, 2021, to Amended and Restated Five Year Credit Agreement, dated as of May 30,</w:t>
              </w:r>
            </w:hyperlink>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340" w:type="dxa"/>
            <w:vAlign w:val="bottom"/>
          </w:tcPr>
          <w:p>
            <w:pPr>
              <w:spacing w:after="0"/>
              <w:rPr>
                <w:sz w:val="13"/>
                <w:szCs w:val="13"/>
                <w:color w:val="auto"/>
              </w:rPr>
            </w:pPr>
          </w:p>
        </w:tc>
        <w:tc>
          <w:tcPr>
            <w:tcW w:w="9940" w:type="dxa"/>
            <w:vAlign w:val="bottom"/>
            <w:gridSpan w:val="40"/>
          </w:tcPr>
          <w:p>
            <w:pPr>
              <w:spacing w:after="0" w:line="155" w:lineRule="exact"/>
              <w:rPr>
                <w:rFonts w:ascii="Arial" w:cs="Arial" w:eastAsia="Arial" w:hAnsi="Arial"/>
                <w:sz w:val="17"/>
                <w:szCs w:val="17"/>
                <w:color w:val="0000FF"/>
              </w:rPr>
            </w:pPr>
            <w:hyperlink w:anchor="page124">
              <w:r>
                <w:rPr>
                  <w:rFonts w:ascii="Arial" w:cs="Arial" w:eastAsia="Arial" w:hAnsi="Arial"/>
                  <w:sz w:val="17"/>
                  <w:szCs w:val="17"/>
                  <w:color w:val="0000FF"/>
                </w:rPr>
                <w:t>2018, among the Company, and the foreign borrowers from time to time party thereto, and certain of its domestic subsidiaries as</w:t>
              </w:r>
            </w:hyperlink>
          </w:p>
        </w:tc>
      </w:tr>
      <w:tr>
        <w:trPr>
          <w:trHeight w:val="155"/>
        </w:trPr>
        <w:tc>
          <w:tcPr>
            <w:tcW w:w="134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5" w:lineRule="exact"/>
              <w:rPr>
                <w:rFonts w:ascii="Arial" w:cs="Arial" w:eastAsia="Arial" w:hAnsi="Arial"/>
                <w:sz w:val="17"/>
                <w:szCs w:val="17"/>
                <w:color w:val="0000FF"/>
              </w:rPr>
            </w:pPr>
            <w:hyperlink w:anchor="page124">
              <w:r>
                <w:rPr>
                  <w:rFonts w:ascii="Arial" w:cs="Arial" w:eastAsia="Arial" w:hAnsi="Arial"/>
                  <w:sz w:val="17"/>
                  <w:szCs w:val="17"/>
                  <w:color w:val="0000FF"/>
                </w:rPr>
                <w:t>guarantors, the several lenders from time to time party thereto, Wells Fargo Bank, National Association, as Administrative Agent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6"/>
          </w:tcPr>
          <w:p>
            <w:pPr>
              <w:spacing w:after="0" w:line="155" w:lineRule="exact"/>
              <w:rPr>
                <w:rFonts w:ascii="Arial" w:cs="Arial" w:eastAsia="Arial" w:hAnsi="Arial"/>
                <w:sz w:val="17"/>
                <w:szCs w:val="17"/>
                <w:color w:val="0000FF"/>
              </w:rPr>
            </w:pPr>
            <w:hyperlink w:anchor="page124">
              <w:r>
                <w:rPr>
                  <w:rFonts w:ascii="Arial" w:cs="Arial" w:eastAsia="Arial" w:hAnsi="Arial"/>
                  <w:sz w:val="17"/>
                  <w:szCs w:val="17"/>
                  <w:color w:val="0000FF"/>
                </w:rPr>
                <w:t>and JPMorgan Chase Bank, N.A., as Syndication Agent.</w:t>
              </w:r>
            </w:hyperlink>
          </w:p>
        </w:tc>
        <w:tc>
          <w:tcPr>
            <w:tcW w:w="538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10.3</w:t>
            </w:r>
          </w:p>
        </w:tc>
        <w:tc>
          <w:tcPr>
            <w:tcW w:w="9260" w:type="dxa"/>
            <w:vAlign w:val="bottom"/>
            <w:tcBorders>
              <w:bottom w:val="single" w:sz="8" w:color="0000FF"/>
            </w:tcBorders>
            <w:gridSpan w:val="17"/>
          </w:tcPr>
          <w:p>
            <w:pPr>
              <w:spacing w:after="0"/>
              <w:rPr>
                <w:rFonts w:ascii="Arial" w:cs="Arial" w:eastAsia="Arial" w:hAnsi="Arial"/>
                <w:sz w:val="17"/>
                <w:szCs w:val="17"/>
                <w:color w:val="0000FF"/>
              </w:rPr>
            </w:pPr>
            <w:hyperlink r:id="rId67">
              <w:r>
                <w:rPr>
                  <w:rFonts w:ascii="Arial" w:cs="Arial" w:eastAsia="Arial" w:hAnsi="Arial"/>
                  <w:sz w:val="17"/>
                  <w:szCs w:val="17"/>
                  <w:color w:val="0000FF"/>
                </w:rPr>
                <w:t>Transition and Operations Support Agreement, dated March 22, 2018, by and among Kaplan Higher Education, LLC, Iowa</w:t>
              </w:r>
            </w:hyperlink>
          </w:p>
        </w:tc>
        <w:tc>
          <w:tcPr>
            <w:tcW w:w="680" w:type="dxa"/>
            <w:vAlign w:val="bottom"/>
            <w:gridSpan w:val="23"/>
          </w:tcPr>
          <w:p>
            <w:pPr>
              <w:spacing w:after="0"/>
              <w:rPr>
                <w:sz w:val="24"/>
                <w:szCs w:val="24"/>
                <w:color w:val="auto"/>
              </w:rPr>
            </w:pPr>
          </w:p>
        </w:tc>
      </w:tr>
      <w:tr>
        <w:trPr>
          <w:trHeight w:val="155"/>
        </w:trPr>
        <w:tc>
          <w:tcPr>
            <w:tcW w:w="1340" w:type="dxa"/>
            <w:vAlign w:val="bottom"/>
          </w:tcPr>
          <w:p>
            <w:pPr>
              <w:spacing w:after="0"/>
              <w:rPr>
                <w:sz w:val="13"/>
                <w:szCs w:val="13"/>
                <w:color w:val="auto"/>
              </w:rPr>
            </w:pPr>
          </w:p>
        </w:tc>
        <w:tc>
          <w:tcPr>
            <w:tcW w:w="9940" w:type="dxa"/>
            <w:vAlign w:val="bottom"/>
            <w:gridSpan w:val="40"/>
          </w:tcPr>
          <w:p>
            <w:pPr>
              <w:spacing w:after="0" w:line="155" w:lineRule="exact"/>
              <w:rPr>
                <w:rFonts w:ascii="Arial" w:cs="Arial" w:eastAsia="Arial" w:hAnsi="Arial"/>
                <w:sz w:val="17"/>
                <w:szCs w:val="17"/>
                <w:color w:val="0000FF"/>
              </w:rPr>
            </w:pPr>
            <w:hyperlink r:id="rId67">
              <w:r>
                <w:rPr>
                  <w:rFonts w:ascii="Arial" w:cs="Arial" w:eastAsia="Arial" w:hAnsi="Arial"/>
                  <w:sz w:val="17"/>
                  <w:szCs w:val="17"/>
                  <w:color w:val="0000FF"/>
                </w:rPr>
                <w:t>College Acquisition, LLC and Purdue University Global, Inc., with Purdue University as a party to the Transition and Operations</w:t>
              </w:r>
            </w:hyperlink>
          </w:p>
        </w:tc>
      </w:tr>
      <w:tr>
        <w:trPr>
          <w:trHeight w:val="155"/>
        </w:trPr>
        <w:tc>
          <w:tcPr>
            <w:tcW w:w="1340" w:type="dxa"/>
            <w:vAlign w:val="bottom"/>
          </w:tcPr>
          <w:p>
            <w:pPr>
              <w:spacing w:after="0"/>
              <w:rPr>
                <w:sz w:val="13"/>
                <w:szCs w:val="13"/>
                <w:color w:val="auto"/>
              </w:rPr>
            </w:pPr>
          </w:p>
        </w:tc>
        <w:tc>
          <w:tcPr>
            <w:tcW w:w="9600" w:type="dxa"/>
            <w:vAlign w:val="bottom"/>
            <w:tcBorders>
              <w:top w:val="single" w:sz="8" w:color="0000FF"/>
            </w:tcBorders>
            <w:gridSpan w:val="23"/>
          </w:tcPr>
          <w:p>
            <w:pPr>
              <w:spacing w:after="0" w:line="155" w:lineRule="exact"/>
              <w:rPr>
                <w:rFonts w:ascii="Arial" w:cs="Arial" w:eastAsia="Arial" w:hAnsi="Arial"/>
                <w:sz w:val="17"/>
                <w:szCs w:val="17"/>
                <w:color w:val="0000FF"/>
              </w:rPr>
            </w:pPr>
            <w:hyperlink r:id="rId67">
              <w:r>
                <w:rPr>
                  <w:rFonts w:ascii="Arial" w:cs="Arial" w:eastAsia="Arial" w:hAnsi="Arial"/>
                  <w:sz w:val="17"/>
                  <w:szCs w:val="17"/>
                  <w:color w:val="0000FF"/>
                </w:rPr>
                <w:t>Support Agreement solely for the purposes of being bound by the Purdue Provisions (as defined therein) (incorporated by</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9"/>
          </w:tcPr>
          <w:p>
            <w:pPr>
              <w:spacing w:after="0" w:line="155" w:lineRule="exact"/>
              <w:rPr>
                <w:rFonts w:ascii="Arial" w:cs="Arial" w:eastAsia="Arial" w:hAnsi="Arial"/>
                <w:sz w:val="17"/>
                <w:szCs w:val="17"/>
                <w:color w:val="0000FF"/>
              </w:rPr>
            </w:pPr>
            <w:hyperlink r:id="rId67">
              <w:r>
                <w:rPr>
                  <w:rFonts w:ascii="Arial" w:cs="Arial" w:eastAsia="Arial" w:hAnsi="Arial"/>
                  <w:sz w:val="17"/>
                  <w:szCs w:val="17"/>
                  <w:color w:val="0000FF"/>
                </w:rPr>
                <w:t>reference to Exhibit 10.1 to the Company’s Current Report on Form 8-K dated March 22, 2018).**+</w:t>
              </w:r>
            </w:hyperlink>
          </w:p>
        </w:tc>
        <w:tc>
          <w:tcPr>
            <w:tcW w:w="1720" w:type="dxa"/>
            <w:vAlign w:val="bottom"/>
            <w:tcBorders>
              <w:top w:val="single" w:sz="8" w:color="0000FF"/>
            </w:tcBorders>
            <w:gridSpan w:val="7"/>
          </w:tcPr>
          <w:p>
            <w:pPr>
              <w:spacing w:after="0"/>
              <w:rPr>
                <w:sz w:val="13"/>
                <w:szCs w:val="13"/>
                <w:color w:val="auto"/>
              </w:rPr>
            </w:pPr>
          </w:p>
        </w:tc>
        <w:tc>
          <w:tcPr>
            <w:tcW w:w="1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10.4</w:t>
            </w:r>
          </w:p>
        </w:tc>
        <w:tc>
          <w:tcPr>
            <w:tcW w:w="9940" w:type="dxa"/>
            <w:vAlign w:val="bottom"/>
            <w:gridSpan w:val="40"/>
          </w:tcPr>
          <w:p>
            <w:pPr>
              <w:spacing w:after="0"/>
              <w:rPr>
                <w:rFonts w:ascii="Arial" w:cs="Arial" w:eastAsia="Arial" w:hAnsi="Arial"/>
                <w:sz w:val="17"/>
                <w:szCs w:val="17"/>
                <w:color w:val="0000FF"/>
              </w:rPr>
            </w:pPr>
            <w:hyperlink r:id="rId68">
              <w:r>
                <w:rPr>
                  <w:rFonts w:ascii="Arial" w:cs="Arial" w:eastAsia="Arial" w:hAnsi="Arial"/>
                  <w:sz w:val="17"/>
                  <w:szCs w:val="17"/>
                  <w:color w:val="0000FF"/>
                </w:rPr>
                <w:t>First Amendment, dated as of July 29, 2019, to the Transition and Operations Support Agreement, dated March 22, 2018, by and</w:t>
              </w:r>
            </w:hyperlink>
          </w:p>
        </w:tc>
      </w:tr>
      <w:tr>
        <w:trPr>
          <w:trHeight w:val="155"/>
        </w:trPr>
        <w:tc>
          <w:tcPr>
            <w:tcW w:w="134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31"/>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among Kaplan Higher Education, LLC, Iowa College Acquisition, LLC and Purdue University Global, Inc. (the “First Amendment”),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820" w:type="dxa"/>
            <w:vAlign w:val="bottom"/>
            <w:tcBorders>
              <w:bottom w:val="single" w:sz="8" w:color="0000FF"/>
            </w:tcBorders>
            <w:gridSpan w:val="34"/>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with The Trustees of Purdue University as a party to the First Amendment solely for the purposes of continuing to be bound by the</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840" w:type="dxa"/>
            <w:vAlign w:val="bottom"/>
            <w:gridSpan w:val="35"/>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Purdue Provisions (as defined therein) (incorporated by reference to Exhibit 10.1 to the Company’s Quarterly Report on Form 10-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32"/>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Q for the quarter ended September 30, 2019).+</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10.5</w:t>
            </w:r>
          </w:p>
        </w:tc>
        <w:tc>
          <w:tcPr>
            <w:tcW w:w="9940" w:type="dxa"/>
            <w:vAlign w:val="bottom"/>
            <w:gridSpan w:val="40"/>
          </w:tcPr>
          <w:p>
            <w:pPr>
              <w:spacing w:after="0"/>
              <w:rPr>
                <w:rFonts w:ascii="Arial" w:cs="Arial" w:eastAsia="Arial" w:hAnsi="Arial"/>
                <w:sz w:val="17"/>
                <w:szCs w:val="17"/>
                <w:color w:val="0000FF"/>
              </w:rPr>
            </w:pPr>
            <w:hyperlink r:id="rId69">
              <w:r>
                <w:rPr>
                  <w:rFonts w:ascii="Arial" w:cs="Arial" w:eastAsia="Arial" w:hAnsi="Arial"/>
                  <w:sz w:val="17"/>
                  <w:szCs w:val="17"/>
                  <w:color w:val="0000FF"/>
                </w:rPr>
                <w:t>Graham Holdings Company 2012 Incentive Compensation Plan, as amended and restated effective November 29, 2013, as</w:t>
              </w:r>
            </w:hyperlink>
          </w:p>
        </w:tc>
      </w:tr>
      <w:tr>
        <w:trPr>
          <w:trHeight w:val="155"/>
        </w:trPr>
        <w:tc>
          <w:tcPr>
            <w:tcW w:w="1340" w:type="dxa"/>
            <w:vAlign w:val="bottom"/>
          </w:tcPr>
          <w:p>
            <w:pPr>
              <w:spacing w:after="0"/>
              <w:rPr>
                <w:sz w:val="13"/>
                <w:szCs w:val="13"/>
                <w:color w:val="auto"/>
              </w:rPr>
            </w:pPr>
          </w:p>
        </w:tc>
        <w:tc>
          <w:tcPr>
            <w:tcW w:w="9360" w:type="dxa"/>
            <w:vAlign w:val="bottom"/>
            <w:tcBorders>
              <w:top w:val="single" w:sz="8" w:color="0000FF"/>
            </w:tcBorders>
            <w:gridSpan w:val="18"/>
          </w:tcPr>
          <w:p>
            <w:pPr>
              <w:spacing w:after="0" w:line="155" w:lineRule="exact"/>
              <w:rPr>
                <w:rFonts w:ascii="Arial" w:cs="Arial" w:eastAsia="Arial" w:hAnsi="Arial"/>
                <w:sz w:val="17"/>
                <w:szCs w:val="17"/>
                <w:color w:val="0000FF"/>
                <w:w w:val="99"/>
              </w:rPr>
            </w:pPr>
            <w:hyperlink r:id="rId69">
              <w:r>
                <w:rPr>
                  <w:rFonts w:ascii="Arial" w:cs="Arial" w:eastAsia="Arial" w:hAnsi="Arial"/>
                  <w:sz w:val="17"/>
                  <w:szCs w:val="17"/>
                  <w:color w:val="0000FF"/>
                  <w:w w:val="99"/>
                </w:rPr>
                <w:t>adjusted to reflect the spin-off of Cable ONE (incorporated by reference to Exhibit 10.1 to Company’s Annual Report on Form</w:t>
              </w:r>
            </w:hyperlink>
          </w:p>
        </w:tc>
        <w:tc>
          <w:tcPr>
            <w:tcW w:w="140" w:type="dxa"/>
            <w:vAlign w:val="bottom"/>
            <w:gridSpan w:val="3"/>
          </w:tcPr>
          <w:p>
            <w:pPr>
              <w:spacing w:after="0"/>
              <w:rPr>
                <w:sz w:val="13"/>
                <w:szCs w:val="13"/>
                <w:color w:val="auto"/>
              </w:rPr>
            </w:pPr>
          </w:p>
        </w:tc>
        <w:tc>
          <w:tcPr>
            <w:tcW w:w="440" w:type="dxa"/>
            <w:vAlign w:val="bottom"/>
            <w:gridSpan w:val="19"/>
          </w:tcPr>
          <w:p>
            <w:pPr>
              <w:spacing w:after="0" w:line="155" w:lineRule="exact"/>
              <w:rPr>
                <w:rFonts w:ascii="Arial" w:cs="Arial" w:eastAsia="Arial" w:hAnsi="Arial"/>
                <w:sz w:val="17"/>
                <w:szCs w:val="17"/>
                <w:color w:val="0000FF"/>
              </w:rPr>
            </w:pPr>
            <w:hyperlink r:id="rId69">
              <w:r>
                <w:rPr>
                  <w:rFonts w:ascii="Arial" w:cs="Arial" w:eastAsia="Arial" w:hAnsi="Arial"/>
                  <w:sz w:val="17"/>
                  <w:szCs w:val="17"/>
                  <w:color w:val="0000FF"/>
                </w:rPr>
                <w:t>10-K</w:t>
              </w:r>
            </w:hyperlink>
          </w:p>
        </w:tc>
      </w:tr>
      <w:tr>
        <w:trPr>
          <w:trHeight w:val="156"/>
        </w:trPr>
        <w:tc>
          <w:tcPr>
            <w:tcW w:w="1340" w:type="dxa"/>
            <w:vAlign w:val="bottom"/>
          </w:tcPr>
          <w:p>
            <w:pPr>
              <w:spacing w:after="0"/>
              <w:rPr>
                <w:sz w:val="13"/>
                <w:szCs w:val="13"/>
                <w:color w:val="auto"/>
              </w:rPr>
            </w:pPr>
          </w:p>
        </w:tc>
        <w:tc>
          <w:tcPr>
            <w:tcW w:w="9920" w:type="dxa"/>
            <w:vAlign w:val="bottom"/>
            <w:tcBorders>
              <w:top w:val="single" w:sz="8" w:color="0000FF"/>
            </w:tcBorders>
            <w:gridSpan w:val="39"/>
          </w:tcPr>
          <w:p>
            <w:pPr>
              <w:spacing w:after="0" w:line="155" w:lineRule="exact"/>
              <w:rPr>
                <w:rFonts w:ascii="Arial" w:cs="Arial" w:eastAsia="Arial" w:hAnsi="Arial"/>
                <w:sz w:val="17"/>
                <w:szCs w:val="17"/>
                <w:color w:val="0000FF"/>
              </w:rPr>
            </w:pPr>
            <w:hyperlink r:id="rId69">
              <w:r>
                <w:rPr>
                  <w:rFonts w:ascii="Arial" w:cs="Arial" w:eastAsia="Arial" w:hAnsi="Arial"/>
                  <w:sz w:val="17"/>
                  <w:szCs w:val="17"/>
                  <w:color w:val="0000FF"/>
                </w:rPr>
                <w:t>for the fiscal year ended December 31, 2015)</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10.6</w:t>
            </w:r>
          </w:p>
        </w:tc>
        <w:tc>
          <w:tcPr>
            <w:tcW w:w="9940" w:type="dxa"/>
            <w:vAlign w:val="bottom"/>
            <w:gridSpan w:val="40"/>
          </w:tcPr>
          <w:p>
            <w:pPr>
              <w:spacing w:after="0"/>
              <w:rPr>
                <w:rFonts w:ascii="Arial" w:cs="Arial" w:eastAsia="Arial" w:hAnsi="Arial"/>
                <w:sz w:val="17"/>
                <w:szCs w:val="17"/>
                <w:color w:val="0000FF"/>
              </w:rPr>
            </w:pPr>
            <w:hyperlink r:id="rId70">
              <w:r>
                <w:rPr>
                  <w:rFonts w:ascii="Arial" w:cs="Arial" w:eastAsia="Arial" w:hAnsi="Arial"/>
                  <w:sz w:val="17"/>
                  <w:szCs w:val="17"/>
                  <w:color w:val="0000FF"/>
                </w:rPr>
                <w:t>Graham Holdings Company Supplemental Executive Retirement Plan as amended and restated effective December 10, 2013</w:t>
              </w:r>
            </w:hyperlink>
          </w:p>
        </w:tc>
      </w:tr>
      <w:tr>
        <w:trPr>
          <w:trHeight w:val="155"/>
        </w:trPr>
        <w:tc>
          <w:tcPr>
            <w:tcW w:w="1340" w:type="dxa"/>
            <w:vAlign w:val="bottom"/>
          </w:tcPr>
          <w:p>
            <w:pPr>
              <w:spacing w:after="0"/>
              <w:rPr>
                <w:sz w:val="13"/>
                <w:szCs w:val="13"/>
                <w:color w:val="auto"/>
              </w:rPr>
            </w:pPr>
          </w:p>
        </w:tc>
        <w:tc>
          <w:tcPr>
            <w:tcW w:w="9500" w:type="dxa"/>
            <w:vAlign w:val="bottom"/>
            <w:tcBorders>
              <w:top w:val="single" w:sz="8" w:color="0000FF"/>
            </w:tcBorders>
            <w:gridSpan w:val="21"/>
          </w:tcPr>
          <w:p>
            <w:pPr>
              <w:spacing w:after="0" w:line="155" w:lineRule="exact"/>
              <w:rPr>
                <w:rFonts w:ascii="Arial" w:cs="Arial" w:eastAsia="Arial" w:hAnsi="Arial"/>
                <w:sz w:val="17"/>
                <w:szCs w:val="17"/>
                <w:color w:val="0000FF"/>
              </w:rPr>
            </w:pPr>
            <w:hyperlink r:id="rId70">
              <w:r>
                <w:rPr>
                  <w:rFonts w:ascii="Arial" w:cs="Arial" w:eastAsia="Arial" w:hAnsi="Arial"/>
                  <w:sz w:val="17"/>
                  <w:szCs w:val="17"/>
                  <w:color w:val="0000FF"/>
                </w:rPr>
                <w:t>(incorporated by reference to Exhibit 10.3 to the Company’s Annual Report on Form 10-K for the fiscal year ended December</w:t>
              </w:r>
            </w:hyperlink>
          </w:p>
        </w:tc>
        <w:tc>
          <w:tcPr>
            <w:tcW w:w="440" w:type="dxa"/>
            <w:vAlign w:val="bottom"/>
            <w:gridSpan w:val="19"/>
          </w:tcPr>
          <w:p>
            <w:pPr>
              <w:jc w:val="right"/>
              <w:ind w:right="200"/>
              <w:spacing w:after="0" w:line="155" w:lineRule="exact"/>
              <w:rPr>
                <w:rFonts w:ascii="Arial" w:cs="Arial" w:eastAsia="Arial" w:hAnsi="Arial"/>
                <w:sz w:val="17"/>
                <w:szCs w:val="17"/>
                <w:color w:val="0000FF"/>
                <w:w w:val="92"/>
              </w:rPr>
            </w:pPr>
            <w:hyperlink r:id="rId70">
              <w:r>
                <w:rPr>
                  <w:rFonts w:ascii="Arial" w:cs="Arial" w:eastAsia="Arial" w:hAnsi="Arial"/>
                  <w:sz w:val="17"/>
                  <w:szCs w:val="17"/>
                  <w:color w:val="0000FF"/>
                  <w:w w:val="92"/>
                </w:rPr>
                <w:t>31,</w:t>
              </w:r>
            </w:hyperlink>
          </w:p>
        </w:tc>
      </w:tr>
      <w:tr>
        <w:trPr>
          <w:trHeight w:val="155"/>
        </w:trPr>
        <w:tc>
          <w:tcPr>
            <w:tcW w:w="1340" w:type="dxa"/>
            <w:vAlign w:val="bottom"/>
          </w:tcPr>
          <w:p>
            <w:pPr>
              <w:spacing w:after="0"/>
              <w:rPr>
                <w:sz w:val="13"/>
                <w:szCs w:val="13"/>
                <w:color w:val="auto"/>
              </w:rPr>
            </w:pPr>
          </w:p>
        </w:tc>
        <w:tc>
          <w:tcPr>
            <w:tcW w:w="1240" w:type="dxa"/>
            <w:vAlign w:val="bottom"/>
            <w:tcBorders>
              <w:top w:val="single" w:sz="8" w:color="0000FF"/>
            </w:tcBorders>
            <w:gridSpan w:val="2"/>
          </w:tcPr>
          <w:p>
            <w:pPr>
              <w:spacing w:after="0" w:line="155" w:lineRule="exact"/>
              <w:rPr>
                <w:rFonts w:ascii="Arial" w:cs="Arial" w:eastAsia="Arial" w:hAnsi="Arial"/>
                <w:sz w:val="17"/>
                <w:szCs w:val="17"/>
                <w:color w:val="0000FF"/>
              </w:rPr>
            </w:pPr>
            <w:hyperlink r:id="rId70">
              <w:r>
                <w:rPr>
                  <w:rFonts w:ascii="Arial" w:cs="Arial" w:eastAsia="Arial" w:hAnsi="Arial"/>
                  <w:sz w:val="17"/>
                  <w:szCs w:val="17"/>
                  <w:color w:val="0000FF"/>
                </w:rPr>
                <w:t>2013).</w:t>
              </w:r>
              <w:r>
                <w:rPr>
                  <w:rFonts w:ascii="Arial" w:cs="Arial" w:eastAsia="Arial" w:hAnsi="Arial"/>
                  <w:sz w:val="17"/>
                  <w:szCs w:val="17"/>
                  <w:color w:val="000000"/>
                </w:rPr>
                <w:t>*</w:t>
              </w:r>
            </w:hyperlink>
          </w:p>
        </w:tc>
        <w:tc>
          <w:tcPr>
            <w:tcW w:w="19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10.7</w:t>
            </w:r>
          </w:p>
        </w:tc>
        <w:tc>
          <w:tcPr>
            <w:tcW w:w="9940" w:type="dxa"/>
            <w:vAlign w:val="bottom"/>
            <w:gridSpan w:val="40"/>
          </w:tcPr>
          <w:p>
            <w:pPr>
              <w:spacing w:after="0"/>
              <w:rPr>
                <w:rFonts w:ascii="Arial" w:cs="Arial" w:eastAsia="Arial" w:hAnsi="Arial"/>
                <w:sz w:val="17"/>
                <w:szCs w:val="17"/>
                <w:color w:val="0000FF"/>
              </w:rPr>
            </w:pPr>
            <w:hyperlink r:id="rId71">
              <w:r>
                <w:rPr>
                  <w:rFonts w:ascii="Arial" w:cs="Arial" w:eastAsia="Arial" w:hAnsi="Arial"/>
                  <w:sz w:val="17"/>
                  <w:szCs w:val="17"/>
                  <w:color w:val="0000FF"/>
                </w:rPr>
                <w:t>Amendment No. 1 to Graham Holdings Company Supplemental Executive Retirement Plan, effective March 31, 2014</w:t>
              </w:r>
            </w:hyperlink>
          </w:p>
        </w:tc>
      </w:tr>
      <w:tr>
        <w:trPr>
          <w:trHeight w:val="155"/>
        </w:trPr>
        <w:tc>
          <w:tcPr>
            <w:tcW w:w="1340" w:type="dxa"/>
            <w:vAlign w:val="bottom"/>
          </w:tcPr>
          <w:p>
            <w:pPr>
              <w:spacing w:after="0"/>
              <w:rPr>
                <w:sz w:val="13"/>
                <w:szCs w:val="13"/>
                <w:color w:val="auto"/>
              </w:rPr>
            </w:pPr>
          </w:p>
        </w:tc>
        <w:tc>
          <w:tcPr>
            <w:tcW w:w="8840" w:type="dxa"/>
            <w:vAlign w:val="bottom"/>
            <w:tcBorders>
              <w:top w:val="single" w:sz="8" w:color="0000FF"/>
            </w:tcBorders>
            <w:gridSpan w:val="13"/>
          </w:tcPr>
          <w:p>
            <w:pPr>
              <w:spacing w:after="0" w:line="155" w:lineRule="exact"/>
              <w:rPr>
                <w:rFonts w:ascii="Arial" w:cs="Arial" w:eastAsia="Arial" w:hAnsi="Arial"/>
                <w:sz w:val="17"/>
                <w:szCs w:val="17"/>
                <w:color w:val="0000FF"/>
              </w:rPr>
            </w:pPr>
            <w:hyperlink r:id="rId71">
              <w:r>
                <w:rPr>
                  <w:rFonts w:ascii="Arial" w:cs="Arial" w:eastAsia="Arial" w:hAnsi="Arial"/>
                  <w:sz w:val="17"/>
                  <w:szCs w:val="17"/>
                  <w:color w:val="0000FF"/>
                </w:rPr>
                <w:t>(incorporated by reference to Exhibit 10.4 to the Company’s Annual Report on Form 10-K for the fiscal year ended</w:t>
              </w:r>
            </w:hyperlink>
          </w:p>
        </w:tc>
        <w:tc>
          <w:tcPr>
            <w:tcW w:w="1100" w:type="dxa"/>
            <w:vAlign w:val="bottom"/>
            <w:gridSpan w:val="27"/>
          </w:tcPr>
          <w:p>
            <w:pPr>
              <w:jc w:val="right"/>
              <w:ind w:right="200"/>
              <w:spacing w:after="0" w:line="155" w:lineRule="exact"/>
              <w:rPr>
                <w:rFonts w:ascii="Arial" w:cs="Arial" w:eastAsia="Arial" w:hAnsi="Arial"/>
                <w:sz w:val="17"/>
                <w:szCs w:val="17"/>
                <w:color w:val="0000FF"/>
                <w:w w:val="82"/>
              </w:rPr>
            </w:pPr>
            <w:hyperlink r:id="rId71">
              <w:r>
                <w:rPr>
                  <w:rFonts w:ascii="Arial" w:cs="Arial" w:eastAsia="Arial" w:hAnsi="Arial"/>
                  <w:sz w:val="17"/>
                  <w:szCs w:val="17"/>
                  <w:color w:val="0000FF"/>
                  <w:w w:val="82"/>
                </w:rPr>
                <w:t>December 31,</w:t>
              </w:r>
            </w:hyperlink>
          </w:p>
        </w:tc>
      </w:tr>
      <w:tr>
        <w:trPr>
          <w:trHeight w:val="155"/>
        </w:trPr>
        <w:tc>
          <w:tcPr>
            <w:tcW w:w="1340" w:type="dxa"/>
            <w:vAlign w:val="bottom"/>
          </w:tcPr>
          <w:p>
            <w:pPr>
              <w:spacing w:after="0"/>
              <w:rPr>
                <w:sz w:val="13"/>
                <w:szCs w:val="13"/>
                <w:color w:val="auto"/>
              </w:rPr>
            </w:pPr>
          </w:p>
        </w:tc>
        <w:tc>
          <w:tcPr>
            <w:tcW w:w="1240" w:type="dxa"/>
            <w:vAlign w:val="bottom"/>
            <w:tcBorders>
              <w:top w:val="single" w:sz="8" w:color="0000FF"/>
            </w:tcBorders>
            <w:gridSpan w:val="2"/>
          </w:tcPr>
          <w:p>
            <w:pPr>
              <w:spacing w:after="0" w:line="155" w:lineRule="exact"/>
              <w:rPr>
                <w:rFonts w:ascii="Arial" w:cs="Arial" w:eastAsia="Arial" w:hAnsi="Arial"/>
                <w:sz w:val="17"/>
                <w:szCs w:val="17"/>
                <w:color w:val="0000FF"/>
              </w:rPr>
            </w:pPr>
            <w:hyperlink r:id="rId71">
              <w:r>
                <w:rPr>
                  <w:rFonts w:ascii="Arial" w:cs="Arial" w:eastAsia="Arial" w:hAnsi="Arial"/>
                  <w:sz w:val="17"/>
                  <w:szCs w:val="17"/>
                  <w:color w:val="0000FF"/>
                </w:rPr>
                <w:t>2014).</w:t>
              </w:r>
              <w:r>
                <w:rPr>
                  <w:rFonts w:ascii="Arial" w:cs="Arial" w:eastAsia="Arial" w:hAnsi="Arial"/>
                  <w:sz w:val="17"/>
                  <w:szCs w:val="17"/>
                  <w:color w:val="000000"/>
                </w:rPr>
                <w:t>*</w:t>
              </w:r>
            </w:hyperlink>
          </w:p>
        </w:tc>
        <w:tc>
          <w:tcPr>
            <w:tcW w:w="19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10.8</w:t>
            </w:r>
          </w:p>
        </w:tc>
        <w:tc>
          <w:tcPr>
            <w:tcW w:w="9940" w:type="dxa"/>
            <w:vAlign w:val="bottom"/>
            <w:gridSpan w:val="40"/>
          </w:tcPr>
          <w:p>
            <w:pPr>
              <w:spacing w:after="0"/>
              <w:rPr>
                <w:rFonts w:ascii="Arial" w:cs="Arial" w:eastAsia="Arial" w:hAnsi="Arial"/>
                <w:sz w:val="17"/>
                <w:szCs w:val="17"/>
                <w:color w:val="0000FF"/>
              </w:rPr>
            </w:pPr>
            <w:hyperlink r:id="rId72">
              <w:r>
                <w:rPr>
                  <w:rFonts w:ascii="Arial" w:cs="Arial" w:eastAsia="Arial" w:hAnsi="Arial"/>
                  <w:sz w:val="17"/>
                  <w:szCs w:val="17"/>
                  <w:color w:val="0000FF"/>
                </w:rPr>
                <w:t>Graham Holdings Company Deferred Compensation Plan as amended and restated effective January 1, 2014 (incorporated by</w:t>
              </w:r>
            </w:hyperlink>
          </w:p>
        </w:tc>
      </w:tr>
      <w:tr>
        <w:trPr>
          <w:trHeight w:val="155"/>
        </w:trPr>
        <w:tc>
          <w:tcPr>
            <w:tcW w:w="134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5" w:lineRule="exact"/>
              <w:rPr>
                <w:rFonts w:ascii="Arial" w:cs="Arial" w:eastAsia="Arial" w:hAnsi="Arial"/>
                <w:sz w:val="17"/>
                <w:szCs w:val="17"/>
                <w:color w:val="0000FF"/>
              </w:rPr>
            </w:pPr>
            <w:hyperlink r:id="rId72">
              <w:r>
                <w:rPr>
                  <w:rFonts w:ascii="Arial" w:cs="Arial" w:eastAsia="Arial" w:hAnsi="Arial"/>
                  <w:sz w:val="17"/>
                  <w:szCs w:val="17"/>
                  <w:color w:val="0000FF"/>
                </w:rPr>
                <w:t>reference to Exhibit 10.4 to Company’s Annual Report on Form 10-K for the fiscal year ended December 31, 2013).</w:t>
              </w:r>
              <w:r>
                <w:rPr>
                  <w:rFonts w:ascii="Arial" w:cs="Arial" w:eastAsia="Arial" w:hAnsi="Arial"/>
                  <w:sz w:val="17"/>
                  <w:szCs w:val="17"/>
                  <w:color w:val="000000"/>
                </w:rPr>
                <w:t>*</w:t>
              </w:r>
            </w:hyperlink>
          </w:p>
        </w:tc>
        <w:tc>
          <w:tcPr>
            <w:tcW w:w="320" w:type="dxa"/>
            <w:vAlign w:val="bottom"/>
            <w:gridSpan w:val="16"/>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48" w:name="page49"/>
    <w:bookmarkEnd w:id="48"/>
    <w:p>
      <w:pPr>
        <w:ind w:left="20"/>
        <w:spacing w:after="0"/>
        <w:tabs>
          <w:tab w:leader="none" w:pos="58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60"/>
          </w:cols>
          <w:pgMar w:left="320" w:top="1098" w:right="519" w:bottom="1440" w:gutter="0" w:footer="0" w:header="0"/>
        </w:sect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10.9</w:t>
            </w:r>
          </w:p>
        </w:tc>
        <w:tc>
          <w:tcPr>
            <w:tcW w:w="9720" w:type="dxa"/>
            <w:vAlign w:val="bottom"/>
            <w:gridSpan w:val="6"/>
          </w:tcPr>
          <w:p>
            <w:pPr>
              <w:spacing w:after="0"/>
              <w:rPr>
                <w:rFonts w:ascii="Arial" w:cs="Arial" w:eastAsia="Arial" w:hAnsi="Arial"/>
                <w:sz w:val="17"/>
                <w:szCs w:val="17"/>
                <w:color w:val="0000FF"/>
              </w:rPr>
            </w:pPr>
            <w:hyperlink r:id="rId75">
              <w:r>
                <w:rPr>
                  <w:rFonts w:ascii="Arial" w:cs="Arial" w:eastAsia="Arial" w:hAnsi="Arial"/>
                  <w:sz w:val="17"/>
                  <w:szCs w:val="17"/>
                  <w:color w:val="0000FF"/>
                </w:rPr>
                <w:t>Letter Agreement between the Company and Timothy J. O’Shaughnessy, dated October 20, 2014 (incorporated by reference to</w:t>
              </w:r>
            </w:hyperlink>
          </w:p>
        </w:tc>
      </w:tr>
      <w:tr>
        <w:trPr>
          <w:trHeight w:val="156"/>
        </w:trPr>
        <w:tc>
          <w:tcPr>
            <w:tcW w:w="1320" w:type="dxa"/>
            <w:vAlign w:val="bottom"/>
          </w:tcPr>
          <w:p>
            <w:pPr>
              <w:spacing w:after="0"/>
              <w:rPr>
                <w:sz w:val="13"/>
                <w:szCs w:val="13"/>
                <w:color w:val="auto"/>
              </w:rPr>
            </w:pPr>
          </w:p>
        </w:tc>
        <w:tc>
          <w:tcPr>
            <w:tcW w:w="9620" w:type="dxa"/>
            <w:vAlign w:val="bottom"/>
            <w:tcBorders>
              <w:top w:val="single" w:sz="8" w:color="0000FF"/>
            </w:tcBorders>
            <w:gridSpan w:val="4"/>
          </w:tcPr>
          <w:p>
            <w:pPr>
              <w:spacing w:after="0" w:line="155" w:lineRule="exact"/>
              <w:rPr>
                <w:rFonts w:ascii="Arial" w:cs="Arial" w:eastAsia="Arial" w:hAnsi="Arial"/>
                <w:sz w:val="17"/>
                <w:szCs w:val="17"/>
                <w:color w:val="0000FF"/>
              </w:rPr>
            </w:pPr>
            <w:hyperlink r:id="rId75">
              <w:r>
                <w:rPr>
                  <w:rFonts w:ascii="Arial" w:cs="Arial" w:eastAsia="Arial" w:hAnsi="Arial"/>
                  <w:sz w:val="17"/>
                  <w:szCs w:val="17"/>
                  <w:color w:val="0000FF"/>
                </w:rPr>
                <w:t>Exhibit 10.6 to the Company’s Annual Report on Form 10-K for the fiscal year ended December 31, 2014).</w:t>
              </w:r>
              <w:r>
                <w:rPr>
                  <w:rFonts w:ascii="Arial" w:cs="Arial" w:eastAsia="Arial" w:hAnsi="Arial"/>
                  <w:sz w:val="17"/>
                  <w:szCs w:val="17"/>
                  <w:color w:val="000000"/>
                </w:rPr>
                <w:t>*</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20" w:type="dxa"/>
            <w:vAlign w:val="bottom"/>
          </w:tcPr>
          <w:p>
            <w:pPr>
              <w:spacing w:after="0"/>
              <w:rPr>
                <w:sz w:val="20"/>
                <w:szCs w:val="20"/>
                <w:color w:val="auto"/>
              </w:rPr>
            </w:pPr>
            <w:r>
              <w:rPr>
                <w:rFonts w:ascii="Arial" w:cs="Arial" w:eastAsia="Arial" w:hAnsi="Arial"/>
                <w:sz w:val="17"/>
                <w:szCs w:val="17"/>
                <w:color w:val="auto"/>
              </w:rPr>
              <w:t>10.10</w:t>
            </w:r>
          </w:p>
        </w:tc>
        <w:tc>
          <w:tcPr>
            <w:tcW w:w="9720" w:type="dxa"/>
            <w:vAlign w:val="bottom"/>
            <w:gridSpan w:val="6"/>
          </w:tcPr>
          <w:p>
            <w:pPr>
              <w:spacing w:after="0"/>
              <w:rPr>
                <w:rFonts w:ascii="Arial" w:cs="Arial" w:eastAsia="Arial" w:hAnsi="Arial"/>
                <w:sz w:val="17"/>
                <w:szCs w:val="17"/>
                <w:color w:val="0000FF"/>
              </w:rPr>
            </w:pPr>
            <w:hyperlink r:id="rId76">
              <w:r>
                <w:rPr>
                  <w:rFonts w:ascii="Arial" w:cs="Arial" w:eastAsia="Arial" w:hAnsi="Arial"/>
                  <w:sz w:val="17"/>
                  <w:szCs w:val="17"/>
                  <w:color w:val="0000FF"/>
                </w:rPr>
                <w:t>Letter Agreement between the Company and Andrew S. Rosen, dated April 7, 2014 (incorporated by reference to Exhibit 10.1 to</w:t>
              </w:r>
            </w:hyperlink>
          </w:p>
        </w:tc>
      </w:tr>
      <w:tr>
        <w:trPr>
          <w:trHeight w:val="155"/>
        </w:trPr>
        <w:tc>
          <w:tcPr>
            <w:tcW w:w="1320" w:type="dxa"/>
            <w:vAlign w:val="bottom"/>
          </w:tcPr>
          <w:p>
            <w:pPr>
              <w:spacing w:after="0"/>
              <w:rPr>
                <w:sz w:val="13"/>
                <w:szCs w:val="13"/>
                <w:color w:val="auto"/>
              </w:rPr>
            </w:pPr>
          </w:p>
        </w:tc>
        <w:tc>
          <w:tcPr>
            <w:tcW w:w="662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rPr>
            </w:pPr>
            <w:hyperlink r:id="rId76">
              <w:r>
                <w:rPr>
                  <w:rFonts w:ascii="Arial" w:cs="Arial" w:eastAsia="Arial" w:hAnsi="Arial"/>
                  <w:sz w:val="17"/>
                  <w:szCs w:val="17"/>
                  <w:color w:val="0000FF"/>
                </w:rPr>
                <w:t>the Company’s Quarterly Report on Form 10-Q for the quarter ended March 31, 2015).*</w:t>
              </w:r>
            </w:hyperlink>
          </w:p>
        </w:tc>
        <w:tc>
          <w:tcPr>
            <w:tcW w:w="30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20" w:type="dxa"/>
            <w:vAlign w:val="bottom"/>
          </w:tcPr>
          <w:p>
            <w:pPr>
              <w:spacing w:after="0"/>
              <w:rPr>
                <w:sz w:val="20"/>
                <w:szCs w:val="20"/>
                <w:color w:val="auto"/>
              </w:rPr>
            </w:pPr>
            <w:r>
              <w:rPr>
                <w:rFonts w:ascii="Arial" w:cs="Arial" w:eastAsia="Arial" w:hAnsi="Arial"/>
                <w:sz w:val="17"/>
                <w:szCs w:val="17"/>
                <w:color w:val="auto"/>
              </w:rPr>
              <w:t>10.11</w:t>
            </w:r>
          </w:p>
        </w:tc>
        <w:tc>
          <w:tcPr>
            <w:tcW w:w="9720" w:type="dxa"/>
            <w:vAlign w:val="bottom"/>
            <w:tcBorders>
              <w:bottom w:val="single" w:sz="8" w:color="0000FF"/>
            </w:tcBorders>
            <w:gridSpan w:val="6"/>
          </w:tcPr>
          <w:p>
            <w:pPr>
              <w:spacing w:after="0"/>
              <w:rPr>
                <w:rFonts w:ascii="Arial" w:cs="Arial" w:eastAsia="Arial" w:hAnsi="Arial"/>
                <w:sz w:val="17"/>
                <w:szCs w:val="17"/>
                <w:color w:val="0000FF"/>
              </w:rPr>
            </w:pPr>
            <w:hyperlink r:id="rId77">
              <w:r>
                <w:rPr>
                  <w:rFonts w:ascii="Arial" w:cs="Arial" w:eastAsia="Arial" w:hAnsi="Arial"/>
                  <w:sz w:val="17"/>
                  <w:szCs w:val="17"/>
                  <w:color w:val="0000FF"/>
                </w:rPr>
                <w:t>Letter Agreement between the Company and Jacob M. Maas, dated August 24, 2015 (incorporated by reference to Exhibit 10.10</w:t>
              </w:r>
            </w:hyperlink>
          </w:p>
        </w:tc>
      </w:tr>
      <w:tr>
        <w:trPr>
          <w:trHeight w:val="156"/>
        </w:trPr>
        <w:tc>
          <w:tcPr>
            <w:tcW w:w="1320" w:type="dxa"/>
            <w:vAlign w:val="bottom"/>
          </w:tcPr>
          <w:p>
            <w:pPr>
              <w:spacing w:after="0"/>
              <w:rPr>
                <w:sz w:val="13"/>
                <w:szCs w:val="13"/>
                <w:color w:val="auto"/>
              </w:rPr>
            </w:pPr>
          </w:p>
        </w:tc>
        <w:tc>
          <w:tcPr>
            <w:tcW w:w="7160" w:type="dxa"/>
            <w:vAlign w:val="bottom"/>
            <w:tcBorders>
              <w:bottom w:val="single" w:sz="8" w:color="0000FF"/>
            </w:tcBorders>
            <w:gridSpan w:val="2"/>
          </w:tcPr>
          <w:p>
            <w:pPr>
              <w:spacing w:after="0" w:line="155" w:lineRule="exact"/>
              <w:rPr>
                <w:rFonts w:ascii="Arial" w:cs="Arial" w:eastAsia="Arial" w:hAnsi="Arial"/>
                <w:sz w:val="17"/>
                <w:szCs w:val="17"/>
                <w:color w:val="0000FF"/>
              </w:rPr>
            </w:pPr>
            <w:hyperlink r:id="rId77">
              <w:r>
                <w:rPr>
                  <w:rFonts w:ascii="Arial" w:cs="Arial" w:eastAsia="Arial" w:hAnsi="Arial"/>
                  <w:sz w:val="17"/>
                  <w:szCs w:val="17"/>
                  <w:color w:val="0000FF"/>
                </w:rPr>
                <w:t>to the Company’s Annual Report on Form 10-K for the fiscal year ended December 31, 2018).*</w:t>
              </w:r>
            </w:hyperlink>
          </w:p>
        </w:tc>
        <w:tc>
          <w:tcPr>
            <w:tcW w:w="2560" w:type="dxa"/>
            <w:vAlign w:val="bottom"/>
            <w:gridSpan w:val="4"/>
          </w:tcPr>
          <w:p>
            <w:pPr>
              <w:spacing w:after="0"/>
              <w:rPr>
                <w:sz w:val="13"/>
                <w:szCs w:val="13"/>
                <w:color w:val="auto"/>
              </w:rPr>
            </w:pPr>
          </w:p>
        </w:tc>
      </w:tr>
    </w:tbl>
    <w:p>
      <w:pPr>
        <w:spacing w:after="0" w:line="210" w:lineRule="exact"/>
        <w:rPr>
          <w:sz w:val="20"/>
          <w:szCs w:val="20"/>
          <w:color w:val="auto"/>
        </w:rPr>
      </w:pPr>
    </w:p>
    <w:p>
      <w:pPr>
        <w:ind w:left="1340" w:hanging="1314"/>
        <w:spacing w:after="0"/>
        <w:tabs>
          <w:tab w:leader="none" w:pos="1340" w:val="left"/>
        </w:tabs>
        <w:numPr>
          <w:ilvl w:val="0"/>
          <w:numId w:val="53"/>
        </w:numPr>
        <w:rPr>
          <w:rFonts w:ascii="Arial" w:cs="Arial" w:eastAsia="Arial" w:hAnsi="Arial"/>
          <w:sz w:val="17"/>
          <w:szCs w:val="17"/>
          <w:u w:val="single" w:color="auto"/>
          <w:color w:val="0000FF"/>
        </w:rPr>
      </w:pPr>
      <w:hyperlink w:anchor="page236">
        <w:r>
          <w:rPr>
            <w:rFonts w:ascii="Arial" w:cs="Arial" w:eastAsia="Arial" w:hAnsi="Arial"/>
            <w:sz w:val="17"/>
            <w:szCs w:val="17"/>
            <w:u w:val="single" w:color="auto"/>
            <w:color w:val="0000FF"/>
          </w:rPr>
          <w:t>List of subsidiaries of the Company.</w:t>
        </w:r>
      </w:hyperlink>
    </w:p>
    <w:p>
      <w:pPr>
        <w:spacing w:after="0" w:line="196" w:lineRule="exact"/>
        <w:rPr>
          <w:sz w:val="20"/>
          <w:szCs w:val="20"/>
          <w:color w:val="auto"/>
        </w:rPr>
      </w:pPr>
    </w:p>
    <w:p>
      <w:pPr>
        <w:ind w:left="1340" w:hanging="1314"/>
        <w:spacing w:after="0"/>
        <w:tabs>
          <w:tab w:leader="none" w:pos="1340" w:val="left"/>
        </w:tabs>
        <w:numPr>
          <w:ilvl w:val="0"/>
          <w:numId w:val="54"/>
        </w:numPr>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Consent of independent registered public accounting firm.</w:t>
        </w:r>
      </w:hyperlink>
    </w:p>
    <w:p>
      <w:pPr>
        <w:spacing w:after="0" w:line="196" w:lineRule="exact"/>
        <w:rPr>
          <w:rFonts w:ascii="Arial" w:cs="Arial" w:eastAsia="Arial" w:hAnsi="Arial"/>
          <w:sz w:val="17"/>
          <w:szCs w:val="17"/>
          <w:u w:val="single" w:color="auto"/>
          <w:color w:val="0000FF"/>
        </w:rPr>
      </w:pPr>
    </w:p>
    <w:p>
      <w:pPr>
        <w:ind w:left="1340" w:hanging="1314"/>
        <w:spacing w:after="0"/>
        <w:tabs>
          <w:tab w:leader="none" w:pos="1340" w:val="left"/>
        </w:tabs>
        <w:numPr>
          <w:ilvl w:val="0"/>
          <w:numId w:val="54"/>
        </w:numPr>
        <w:rPr>
          <w:rFonts w:ascii="Arial" w:cs="Arial" w:eastAsia="Arial" w:hAnsi="Arial"/>
          <w:sz w:val="17"/>
          <w:szCs w:val="17"/>
          <w:u w:val="single" w:color="auto"/>
          <w:color w:val="0000FF"/>
        </w:rPr>
      </w:pPr>
      <w:hyperlink w:anchor="page243">
        <w:r>
          <w:rPr>
            <w:rFonts w:ascii="Arial" w:cs="Arial" w:eastAsia="Arial" w:hAnsi="Arial"/>
            <w:sz w:val="17"/>
            <w:szCs w:val="17"/>
            <w:u w:val="single" w:color="auto"/>
            <w:color w:val="0000FF"/>
          </w:rPr>
          <w:t>Power of Attorney dated February 15, 2022.</w:t>
        </w:r>
      </w:hyperlink>
    </w:p>
    <w:p>
      <w:pPr>
        <w:spacing w:after="0" w:line="169" w:lineRule="exact"/>
        <w:rPr>
          <w:rFonts w:ascii="Arial" w:cs="Arial" w:eastAsia="Arial" w:hAnsi="Arial"/>
          <w:sz w:val="17"/>
          <w:szCs w:val="17"/>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31.1</w:t>
            </w:r>
          </w:p>
        </w:tc>
        <w:tc>
          <w:tcPr>
            <w:tcW w:w="1960" w:type="dxa"/>
            <w:vAlign w:val="bottom"/>
            <w:tcBorders>
              <w:bottom w:val="single" w:sz="8" w:color="0000FF"/>
            </w:tcBorders>
          </w:tcPr>
          <w:p>
            <w:pPr>
              <w:spacing w:after="0"/>
              <w:rPr>
                <w:rFonts w:ascii="Arial" w:cs="Arial" w:eastAsia="Arial" w:hAnsi="Arial"/>
                <w:sz w:val="17"/>
                <w:szCs w:val="17"/>
                <w:color w:val="0000FF"/>
              </w:rPr>
            </w:pPr>
            <w:hyperlink w:anchor="page244">
              <w:r>
                <w:rPr>
                  <w:rFonts w:ascii="Arial" w:cs="Arial" w:eastAsia="Arial" w:hAnsi="Arial"/>
                  <w:sz w:val="17"/>
                  <w:szCs w:val="17"/>
                  <w:color w:val="0000FF"/>
                </w:rPr>
                <w:t>Rule 13a-14(a)/15d-14(a)</w:t>
              </w:r>
            </w:hyperlink>
          </w:p>
        </w:tc>
        <w:tc>
          <w:tcPr>
            <w:tcW w:w="3220" w:type="dxa"/>
            <w:vAlign w:val="bottom"/>
            <w:tcBorders>
              <w:bottom w:val="single" w:sz="8" w:color="0000FF"/>
            </w:tcBorders>
            <w:gridSpan w:val="2"/>
          </w:tcPr>
          <w:p>
            <w:pPr>
              <w:ind w:left="20"/>
              <w:spacing w:after="0"/>
              <w:rPr>
                <w:rFonts w:ascii="Arial" w:cs="Arial" w:eastAsia="Arial" w:hAnsi="Arial"/>
                <w:sz w:val="17"/>
                <w:szCs w:val="17"/>
                <w:color w:val="0000FF"/>
                <w:w w:val="99"/>
              </w:rPr>
            </w:pPr>
            <w:hyperlink w:anchor="page244">
              <w:r>
                <w:rPr>
                  <w:rFonts w:ascii="Arial" w:cs="Arial" w:eastAsia="Arial" w:hAnsi="Arial"/>
                  <w:sz w:val="17"/>
                  <w:szCs w:val="17"/>
                  <w:color w:val="0000FF"/>
                  <w:w w:val="99"/>
                </w:rPr>
                <w:t>Certification of the Chief Executive Officer.</w:t>
              </w:r>
            </w:hyperlink>
          </w:p>
        </w:tc>
      </w:tr>
      <w:tr>
        <w:trPr>
          <w:trHeight w:val="372"/>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31.2</w:t>
            </w:r>
          </w:p>
        </w:tc>
        <w:tc>
          <w:tcPr>
            <w:tcW w:w="1960" w:type="dxa"/>
            <w:vAlign w:val="bottom"/>
          </w:tcPr>
          <w:p>
            <w:pPr>
              <w:spacing w:after="0"/>
              <w:rPr>
                <w:rFonts w:ascii="Arial" w:cs="Arial" w:eastAsia="Arial" w:hAnsi="Arial"/>
                <w:sz w:val="17"/>
                <w:szCs w:val="17"/>
                <w:color w:val="0000FF"/>
              </w:rPr>
            </w:pPr>
            <w:hyperlink w:anchor="page245">
              <w:r>
                <w:rPr>
                  <w:rFonts w:ascii="Arial" w:cs="Arial" w:eastAsia="Arial" w:hAnsi="Arial"/>
                  <w:sz w:val="17"/>
                  <w:szCs w:val="17"/>
                  <w:color w:val="0000FF"/>
                </w:rPr>
                <w:t>Rule 13a-14(a)/15d-14(a)</w:t>
              </w:r>
            </w:hyperlink>
          </w:p>
        </w:tc>
        <w:tc>
          <w:tcPr>
            <w:tcW w:w="3220" w:type="dxa"/>
            <w:vAlign w:val="bottom"/>
            <w:gridSpan w:val="2"/>
          </w:tcPr>
          <w:p>
            <w:pPr>
              <w:ind w:left="20"/>
              <w:spacing w:after="0"/>
              <w:rPr>
                <w:rFonts w:ascii="Arial" w:cs="Arial" w:eastAsia="Arial" w:hAnsi="Arial"/>
                <w:sz w:val="17"/>
                <w:szCs w:val="17"/>
                <w:color w:val="0000FF"/>
              </w:rPr>
            </w:pPr>
            <w:hyperlink w:anchor="page245">
              <w:r>
                <w:rPr>
                  <w:rFonts w:ascii="Arial" w:cs="Arial" w:eastAsia="Arial" w:hAnsi="Arial"/>
                  <w:sz w:val="17"/>
                  <w:szCs w:val="17"/>
                  <w:color w:val="0000FF"/>
                </w:rPr>
                <w:t>Certification of the Chief Financial Officer.</w:t>
              </w:r>
            </w:hyperlink>
          </w:p>
        </w:tc>
      </w:tr>
      <w:tr>
        <w:trPr>
          <w:trHeight w:val="20"/>
        </w:trPr>
        <w:tc>
          <w:tcPr>
            <w:tcW w:w="13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ind w:left="1340" w:hanging="1314"/>
        <w:spacing w:after="0"/>
        <w:tabs>
          <w:tab w:leader="none" w:pos="1340" w:val="left"/>
        </w:tabs>
        <w:numPr>
          <w:ilvl w:val="0"/>
          <w:numId w:val="55"/>
        </w:numPr>
        <w:rPr>
          <w:rFonts w:ascii="Arial" w:cs="Arial" w:eastAsia="Arial" w:hAnsi="Arial"/>
          <w:sz w:val="17"/>
          <w:szCs w:val="17"/>
          <w:u w:val="single" w:color="auto"/>
          <w:color w:val="0000FF"/>
        </w:rPr>
      </w:pPr>
      <w:hyperlink w:anchor="page246">
        <w:r>
          <w:rPr>
            <w:rFonts w:ascii="Arial" w:cs="Arial" w:eastAsia="Arial" w:hAnsi="Arial"/>
            <w:sz w:val="17"/>
            <w:szCs w:val="17"/>
            <w:u w:val="single" w:color="auto"/>
            <w:color w:val="0000FF"/>
          </w:rPr>
          <w:t>Section 1350 Certification of the Chief Executive Officer and the Chief Financial Officer.</w:t>
        </w:r>
      </w:hyperlink>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05"/>
        </w:trPr>
        <w:tc>
          <w:tcPr>
            <w:tcW w:w="1020" w:type="dxa"/>
            <w:vAlign w:val="bottom"/>
          </w:tcPr>
          <w:p>
            <w:pPr>
              <w:spacing w:after="0"/>
              <w:rPr>
                <w:sz w:val="17"/>
                <w:szCs w:val="17"/>
                <w:color w:val="auto"/>
              </w:rPr>
            </w:pPr>
          </w:p>
        </w:tc>
        <w:tc>
          <w:tcPr>
            <w:tcW w:w="9980" w:type="dxa"/>
            <w:vAlign w:val="bottom"/>
          </w:tcPr>
          <w:p>
            <w:pPr>
              <w:ind w:left="300"/>
              <w:spacing w:after="0"/>
              <w:rPr>
                <w:sz w:val="20"/>
                <w:szCs w:val="20"/>
                <w:color w:val="auto"/>
              </w:rPr>
            </w:pPr>
            <w:r>
              <w:rPr>
                <w:rFonts w:ascii="Arial" w:cs="Arial" w:eastAsia="Arial" w:hAnsi="Arial"/>
                <w:sz w:val="17"/>
                <w:szCs w:val="17"/>
                <w:color w:val="auto"/>
              </w:rPr>
              <w:t>embedded within the Inline XBRL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Schema Document</w:t>
            </w:r>
          </w:p>
        </w:tc>
      </w:tr>
      <w:tr>
        <w:trPr>
          <w:trHeight w:val="229"/>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9980" w:type="dxa"/>
            <w:vAlign w:val="bottom"/>
          </w:tcPr>
          <w:p>
            <w:pPr>
              <w:ind w:left="300"/>
              <w:spacing w:after="0"/>
              <w:rPr>
                <w:sz w:val="20"/>
                <w:szCs w:val="20"/>
                <w:color w:val="auto"/>
              </w:rPr>
            </w:pPr>
            <w:r>
              <w:rPr>
                <w:rFonts w:ascii="Arial" w:cs="Arial" w:eastAsia="Arial" w:hAnsi="Arial"/>
                <w:sz w:val="17"/>
                <w:szCs w:val="17"/>
                <w:color w:val="auto"/>
              </w:rPr>
              <w:t>Cover Page Interactive Data File, formatted in Inline XBRL and included as Exhibit 101</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*A management contract or compensatory plan or arrangement required to be included as an exhibit hereto pursuant to Item 15(b) of Form 10-K.</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**Graham Holdings Company hereby undertakes to furnish supplementally a copy of any omitted exhibit or schedule to such agreement to the SEC upon request.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 Select portions of this exhibit have been omitted pursuant to a request for confidential treatment and have been filed separately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8" w:right="519" w:bottom="1440" w:gutter="0" w:footer="0" w:header="0"/>
          <w:type w:val="continuous"/>
        </w:sectPr>
      </w:pPr>
    </w:p>
    <w:bookmarkStart w:id="49" w:name="page50"/>
    <w:bookmarkEnd w:id="49"/>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7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2022.</w:t>
      </w:r>
    </w:p>
    <w:p>
      <w:pPr>
        <w:spacing w:after="0" w:line="200" w:lineRule="exact"/>
        <w:rPr>
          <w:sz w:val="20"/>
          <w:szCs w:val="20"/>
          <w:color w:val="auto"/>
        </w:rPr>
      </w:pPr>
    </w:p>
    <w:p>
      <w:pPr>
        <w:spacing w:after="0" w:line="34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650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14605</wp:posOffset>
            </wp:positionV>
            <wp:extent cx="2743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Wallace R. Cooney</w:t>
      </w:r>
    </w:p>
    <w:p>
      <w:pPr>
        <w:spacing w:after="0" w:line="36"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25, 2022:</w:t>
      </w:r>
    </w:p>
    <w:p>
      <w:pPr>
        <w:spacing w:after="0" w:line="200" w:lineRule="exact"/>
        <w:rPr>
          <w:sz w:val="20"/>
          <w:szCs w:val="20"/>
          <w:color w:val="auto"/>
        </w:rPr>
      </w:pPr>
    </w:p>
    <w:p>
      <w:pPr>
        <w:spacing w:after="0" w:line="227"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Timothy J. O’Shaughnessy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President, Chief Executive Officer</w:t>
            </w:r>
          </w:p>
        </w:tc>
      </w:tr>
      <w:tr>
        <w:trPr>
          <w:trHeight w:val="189"/>
        </w:trPr>
        <w:tc>
          <w:tcPr>
            <w:tcW w:w="3140" w:type="dxa"/>
            <w:vAlign w:val="bottom"/>
          </w:tcPr>
          <w:p>
            <w:pPr>
              <w:spacing w:after="0"/>
              <w:rPr>
                <w:sz w:val="16"/>
                <w:szCs w:val="16"/>
                <w:color w:val="auto"/>
              </w:rPr>
            </w:pPr>
          </w:p>
        </w:tc>
        <w:tc>
          <w:tcPr>
            <w:tcW w:w="3660" w:type="dxa"/>
            <w:vAlign w:val="bottom"/>
          </w:tcPr>
          <w:p>
            <w:pPr>
              <w:ind w:left="1060"/>
              <w:spacing w:after="0" w:line="189" w:lineRule="exact"/>
              <w:rPr>
                <w:sz w:val="20"/>
                <w:szCs w:val="20"/>
                <w:color w:val="auto"/>
              </w:rPr>
            </w:pPr>
            <w:r>
              <w:rPr>
                <w:rFonts w:ascii="Arial" w:cs="Arial" w:eastAsia="Arial" w:hAnsi="Arial"/>
                <w:sz w:val="18"/>
                <w:szCs w:val="18"/>
                <w:color w:val="auto"/>
              </w:rPr>
              <w:t>(Principal Executive Officer) and</w:t>
            </w:r>
          </w:p>
        </w:tc>
      </w:tr>
      <w:tr>
        <w:trPr>
          <w:trHeight w:val="217"/>
        </w:trPr>
        <w:tc>
          <w:tcPr>
            <w:tcW w:w="3140" w:type="dxa"/>
            <w:vAlign w:val="bottom"/>
          </w:tcPr>
          <w:p>
            <w:pPr>
              <w:spacing w:after="0"/>
              <w:rPr>
                <w:sz w:val="18"/>
                <w:szCs w:val="18"/>
                <w:color w:val="auto"/>
              </w:rPr>
            </w:pP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37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Wallace R. Cooney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Chief Financial Officer</w:t>
            </w:r>
          </w:p>
        </w:tc>
      </w:tr>
      <w:tr>
        <w:trPr>
          <w:trHeight w:val="217"/>
        </w:trPr>
        <w:tc>
          <w:tcPr>
            <w:tcW w:w="3140" w:type="dxa"/>
            <w:vAlign w:val="bottom"/>
          </w:tcPr>
          <w:p>
            <w:pPr>
              <w:spacing w:after="0"/>
              <w:rPr>
                <w:sz w:val="18"/>
                <w:szCs w:val="18"/>
                <w:color w:val="auto"/>
              </w:rPr>
            </w:pP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Financial Officer)</w:t>
            </w:r>
          </w:p>
        </w:tc>
      </w:tr>
      <w:tr>
        <w:trPr>
          <w:trHeight w:val="405"/>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Marcel A. Snyman</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Accounting Officer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Donald E. Graham</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rPr>
              <w:t>Chairman of the Board</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Tony Allen</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Christopher C. Davis</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Thomas S. Gayner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Anne M. Mulcahy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G. Richard Wagoner, Jr.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Katharine Weymouth</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72" w:lineRule="exact"/>
        <w:rPr>
          <w:sz w:val="20"/>
          <w:szCs w:val="20"/>
          <w:color w:val="auto"/>
        </w:rPr>
      </w:pPr>
    </w:p>
    <w:tbl>
      <w:tblPr>
        <w:tblLayout w:type="fixed"/>
        <w:tblInd w:w="6480" w:type="dxa"/>
        <w:tblCellMar>
          <w:top w:w="0" w:type="dxa"/>
          <w:left w:w="0" w:type="dxa"/>
          <w:bottom w:w="0" w:type="dxa"/>
          <w:right w:w="0" w:type="dxa"/>
        </w:tblCellMar>
      </w:tblPr>
      <w:tr>
        <w:trPr>
          <w:trHeight w:val="264"/>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0"/>
        </w:trPr>
        <w:tc>
          <w:tcPr>
            <w:tcW w:w="4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43"/>
        </w:trPr>
        <w:tc>
          <w:tcPr>
            <w:tcW w:w="42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6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0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260" w:type="dxa"/>
            <w:vAlign w:val="bottom"/>
            <w:gridSpan w:val="2"/>
          </w:tcPr>
          <w:p>
            <w:pPr>
              <w:jc w:val="right"/>
              <w:spacing w:after="0"/>
              <w:rPr>
                <w:rFonts w:ascii="Arial" w:cs="Arial" w:eastAsia="Arial" w:hAnsi="Arial"/>
                <w:sz w:val="16"/>
                <w:szCs w:val="16"/>
                <w:color w:val="0000FF"/>
              </w:rPr>
            </w:pPr>
            <w:hyperlink w:anchor="page51">
              <w:r>
                <w:rPr>
                  <w:rFonts w:ascii="Arial" w:cs="Arial" w:eastAsia="Arial" w:hAnsi="Arial"/>
                  <w:sz w:val="16"/>
                  <w:szCs w:val="16"/>
                  <w:color w:val="0000FF"/>
                </w:rPr>
                <w:t>50</w:t>
              </w:r>
            </w:hyperlink>
          </w:p>
        </w:tc>
      </w:tr>
      <w:tr>
        <w:trPr>
          <w:trHeight w:val="406"/>
        </w:trPr>
        <w:tc>
          <w:tcPr>
            <w:tcW w:w="10880" w:type="dxa"/>
            <w:vAlign w:val="bottom"/>
          </w:tcPr>
          <w:p>
            <w:pPr>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289"/>
        </w:trPr>
        <w:tc>
          <w:tcPr>
            <w:tcW w:w="10880" w:type="dxa"/>
            <w:vAlign w:val="bottom"/>
          </w:tcPr>
          <w:p>
            <w:pPr>
              <w:ind w:left="100"/>
              <w:spacing w:after="0"/>
              <w:rPr>
                <w:sz w:val="20"/>
                <w:szCs w:val="20"/>
                <w:color w:val="auto"/>
              </w:rPr>
            </w:pPr>
            <w:r>
              <w:rPr>
                <w:rFonts w:ascii="Arial" w:cs="Arial" w:eastAsia="Arial" w:hAnsi="Arial"/>
                <w:sz w:val="16"/>
                <w:szCs w:val="16"/>
                <w:color w:val="auto"/>
              </w:rPr>
              <w:t>Report of Independent Registered Public Accounting Firm (PCAOB ID 238)</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68">
              <w:r>
                <w:rPr>
                  <w:rFonts w:ascii="Arial" w:cs="Arial" w:eastAsia="Arial" w:hAnsi="Arial"/>
                  <w:sz w:val="16"/>
                  <w:szCs w:val="16"/>
                  <w:color w:val="0000FF"/>
                  <w:w w:val="89"/>
                </w:rPr>
                <w:t>67</w:t>
              </w:r>
            </w:hyperlink>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2021</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0">
              <w:r>
                <w:rPr>
                  <w:rFonts w:ascii="Arial" w:cs="Arial" w:eastAsia="Arial" w:hAnsi="Arial"/>
                  <w:sz w:val="16"/>
                  <w:szCs w:val="16"/>
                  <w:color w:val="0000FF"/>
                  <w:w w:val="89"/>
                </w:rPr>
                <w:t>69</w:t>
              </w:r>
            </w:hyperlink>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Comprehensive Income for the Three Years Ended December 31, 2021</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1">
              <w:r>
                <w:rPr>
                  <w:rFonts w:ascii="Arial" w:cs="Arial" w:eastAsia="Arial" w:hAnsi="Arial"/>
                  <w:sz w:val="16"/>
                  <w:szCs w:val="16"/>
                  <w:color w:val="0000FF"/>
                  <w:w w:val="89"/>
                </w:rPr>
                <w:t>70</w:t>
              </w:r>
            </w:hyperlink>
          </w:p>
        </w:tc>
      </w:tr>
      <w:tr>
        <w:trPr>
          <w:trHeight w:val="371"/>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Balance Sheets at December 31, 2021 and 2020</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2">
              <w:r>
                <w:rPr>
                  <w:rFonts w:ascii="Arial" w:cs="Arial" w:eastAsia="Arial" w:hAnsi="Arial"/>
                  <w:sz w:val="16"/>
                  <w:szCs w:val="16"/>
                  <w:color w:val="0000FF"/>
                  <w:w w:val="89"/>
                </w:rPr>
                <w:t>71</w:t>
              </w:r>
            </w:hyperlink>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2021</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3">
              <w:r>
                <w:rPr>
                  <w:rFonts w:ascii="Arial" w:cs="Arial" w:eastAsia="Arial" w:hAnsi="Arial"/>
                  <w:sz w:val="16"/>
                  <w:szCs w:val="16"/>
                  <w:color w:val="0000FF"/>
                  <w:w w:val="89"/>
                </w:rPr>
                <w:t>72</w:t>
              </w:r>
            </w:hyperlink>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2021</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4">
              <w:r>
                <w:rPr>
                  <w:rFonts w:ascii="Arial" w:cs="Arial" w:eastAsia="Arial" w:hAnsi="Arial"/>
                  <w:sz w:val="16"/>
                  <w:szCs w:val="16"/>
                  <w:color w:val="0000FF"/>
                  <w:w w:val="89"/>
                </w:rPr>
                <w:t>73</w:t>
              </w:r>
            </w:hyperlink>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5">
              <w:r>
                <w:rPr>
                  <w:rFonts w:ascii="Arial" w:cs="Arial" w:eastAsia="Arial" w:hAnsi="Arial"/>
                  <w:sz w:val="16"/>
                  <w:szCs w:val="16"/>
                  <w:color w:val="0000FF"/>
                  <w:w w:val="89"/>
                </w:rPr>
                <w:t>74</w:t>
              </w:r>
            </w:hyperlink>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Organization and Nature of Operations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74</w:t>
              </w:r>
            </w:hyperlink>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Summary of Significant Accounting Policies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74</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Acquisitions and Dispositions of Businesses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82</w:t>
              </w:r>
            </w:hyperlink>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87">
              <w:r>
                <w:rPr>
                  <w:rFonts w:ascii="Arial" w:cs="Arial" w:eastAsia="Arial" w:hAnsi="Arial"/>
                  <w:sz w:val="16"/>
                  <w:szCs w:val="16"/>
                  <w:color w:val="0000FF"/>
                  <w:w w:val="89"/>
                </w:rPr>
                <w:t>85</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Accounts Receivable, Accounts Payable and Accrued Liabilities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89">
              <w:r>
                <w:rPr>
                  <w:rFonts w:ascii="Arial" w:cs="Arial" w:eastAsia="Arial" w:hAnsi="Arial"/>
                  <w:sz w:val="16"/>
                  <w:szCs w:val="16"/>
                  <w:color w:val="0000FF"/>
                  <w:w w:val="89"/>
                </w:rPr>
                <w:t>87</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Inventories, Contracts in Progress and Vehicle Floor Plan Payable</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89">
              <w:r>
                <w:rPr>
                  <w:rFonts w:ascii="Arial" w:cs="Arial" w:eastAsia="Arial" w:hAnsi="Arial"/>
                  <w:sz w:val="16"/>
                  <w:szCs w:val="16"/>
                  <w:color w:val="0000FF"/>
                  <w:w w:val="89"/>
                </w:rPr>
                <w:t>88</w:t>
              </w:r>
            </w:hyperlink>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Property, Plant and Equipment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88</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Leases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89</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Goodwill and Other Intangible Assets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1">
              <w:r>
                <w:rPr>
                  <w:rFonts w:ascii="Arial" w:cs="Arial" w:eastAsia="Arial" w:hAnsi="Arial"/>
                  <w:sz w:val="16"/>
                  <w:szCs w:val="16"/>
                  <w:color w:val="0000FF"/>
                  <w:w w:val="89"/>
                </w:rPr>
                <w:t>90</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4">
              <w:r>
                <w:rPr>
                  <w:rFonts w:ascii="Arial" w:cs="Arial" w:eastAsia="Arial" w:hAnsi="Arial"/>
                  <w:sz w:val="16"/>
                  <w:szCs w:val="16"/>
                  <w:color w:val="0000FF"/>
                  <w:w w:val="89"/>
                </w:rPr>
                <w:t>92</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Debt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8">
              <w:r>
                <w:rPr>
                  <w:rFonts w:ascii="Arial" w:cs="Arial" w:eastAsia="Arial" w:hAnsi="Arial"/>
                  <w:sz w:val="16"/>
                  <w:szCs w:val="16"/>
                  <w:color w:val="0000FF"/>
                  <w:w w:val="89"/>
                </w:rPr>
                <w:t>96</w:t>
              </w:r>
            </w:hyperlink>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Fair Value Measurements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9">
              <w:r>
                <w:rPr>
                  <w:rFonts w:ascii="Arial" w:cs="Arial" w:eastAsia="Arial" w:hAnsi="Arial"/>
                  <w:sz w:val="16"/>
                  <w:szCs w:val="16"/>
                  <w:color w:val="0000FF"/>
                  <w:w w:val="89"/>
                </w:rPr>
                <w:t>98</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Revenue From Contracts With Customers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01">
              <w:r>
                <w:rPr>
                  <w:rFonts w:ascii="Arial" w:cs="Arial" w:eastAsia="Arial" w:hAnsi="Arial"/>
                  <w:sz w:val="16"/>
                  <w:szCs w:val="16"/>
                  <w:color w:val="0000FF"/>
                  <w:w w:val="89"/>
                </w:rPr>
                <w:t>99</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Capital Stock, Stock Awards and Stock Options</w:t>
            </w:r>
          </w:p>
        </w:tc>
        <w:tc>
          <w:tcPr>
            <w:tcW w:w="26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102">
              <w:r>
                <w:rPr>
                  <w:rFonts w:ascii="Arial" w:cs="Arial" w:eastAsia="Arial" w:hAnsi="Arial"/>
                  <w:sz w:val="16"/>
                  <w:szCs w:val="16"/>
                  <w:color w:val="0000FF"/>
                  <w:w w:val="89"/>
                </w:rPr>
                <w:t>100</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Pensions and Other Postretirement Plans</w:t>
            </w:r>
          </w:p>
        </w:tc>
        <w:tc>
          <w:tcPr>
            <w:tcW w:w="26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105">
              <w:r>
                <w:rPr>
                  <w:rFonts w:ascii="Arial" w:cs="Arial" w:eastAsia="Arial" w:hAnsi="Arial"/>
                  <w:sz w:val="16"/>
                  <w:szCs w:val="16"/>
                  <w:color w:val="0000FF"/>
                  <w:w w:val="89"/>
                </w:rPr>
                <w:t>103</w:t>
              </w:r>
            </w:hyperlink>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Other Non-Operating Income</w:t>
            </w:r>
          </w:p>
        </w:tc>
        <w:tc>
          <w:tcPr>
            <w:tcW w:w="26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112">
              <w:r>
                <w:rPr>
                  <w:rFonts w:ascii="Arial" w:cs="Arial" w:eastAsia="Arial" w:hAnsi="Arial"/>
                  <w:sz w:val="16"/>
                  <w:szCs w:val="16"/>
                  <w:color w:val="0000FF"/>
                  <w:w w:val="89"/>
                </w:rPr>
                <w:t>110</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112">
              <w:r>
                <w:rPr>
                  <w:rFonts w:ascii="Arial" w:cs="Arial" w:eastAsia="Arial" w:hAnsi="Arial"/>
                  <w:sz w:val="16"/>
                  <w:szCs w:val="16"/>
                  <w:color w:val="0000FF"/>
                  <w:w w:val="89"/>
                </w:rPr>
                <w:t>111</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Contingencies and Other Commitments</w:t>
            </w:r>
          </w:p>
        </w:tc>
        <w:tc>
          <w:tcPr>
            <w:tcW w:w="26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114">
              <w:r>
                <w:rPr>
                  <w:rFonts w:ascii="Arial" w:cs="Arial" w:eastAsia="Arial" w:hAnsi="Arial"/>
                  <w:sz w:val="16"/>
                  <w:szCs w:val="16"/>
                  <w:color w:val="0000FF"/>
                  <w:w w:val="89"/>
                </w:rPr>
                <w:t>112</w:t>
              </w:r>
            </w:hyperlink>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Business Segments</w:t>
            </w:r>
          </w:p>
        </w:tc>
        <w:tc>
          <w:tcPr>
            <w:tcW w:w="26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115">
              <w:r>
                <w:rPr>
                  <w:rFonts w:ascii="Arial" w:cs="Arial" w:eastAsia="Arial" w:hAnsi="Arial"/>
                  <w:sz w:val="16"/>
                  <w:szCs w:val="16"/>
                  <w:color w:val="0000FF"/>
                  <w:w w:val="89"/>
                </w:rPr>
                <w:t>113</w:t>
              </w:r>
            </w:hyperlink>
          </w:p>
        </w:tc>
      </w:tr>
    </w:tbl>
    <w:p>
      <w:pPr>
        <w:spacing w:after="0" w:line="18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96"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1" w:name="page52"/>
    <w:bookmarkEnd w:id="51"/>
    <w:p>
      <w:pPr>
        <w:ind w:left="1000"/>
        <w:spacing w:after="0"/>
        <w:rPr>
          <w:sz w:val="20"/>
          <w:szCs w:val="20"/>
          <w:color w:val="auto"/>
        </w:rPr>
      </w:pPr>
      <w:r>
        <w:rPr>
          <w:rFonts w:ascii="Arial" w:cs="Arial" w:eastAsia="Arial" w:hAnsi="Arial"/>
          <w:sz w:val="18"/>
          <w:szCs w:val="18"/>
          <w:b w:val="1"/>
          <w:bCs w:val="1"/>
          <w:color w:val="auto"/>
        </w:rPr>
        <w:t>MANAGEMENT’S DISCUSSION AND ANALYSIS OF RESULTS OF OPERATIONS AND FINANCIAL CONDITION</w:t>
      </w:r>
    </w:p>
    <w:p>
      <w:pPr>
        <w:spacing w:after="0" w:line="16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This analysis should be read in conjunction with the Consolidated Financial Statements and the notes thereto. Refer to Item 7. Management’s Discussion and Analysis of Financial Condition and Results of Operations in the Graham Holdings Company's 2020 Annual Report on Form 10-K for management’s discussion and analysis of financial condition and results of operations for the year ended December 31, 2020 compared to the year ended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podcast, print and local TV news and other content; social-media advertising services; manufacturing; automotive dealerships; restaurants and entertainment venues; custom framing; home health and hospice care; and a consumer internet company. Education is the largest business, and through its subsidiary Kaplan, Inc., the Company provides extensive worldwide education services for individuals, schools and businesses. The Company’s second largest business is television broadcasting. In 2021, the Company completed an acquisition of a consumer internet company. The Company’s business units are diverse and subject to different trends and risks.</w:t>
      </w:r>
    </w:p>
    <w:p>
      <w:pPr>
        <w:spacing w:after="0" w:line="139"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The Company’s education division is the largest operating division of the Company, accounting for 43% of the Company’s consolidated revenues in 2021. The Company has devoted significant resources and attention to this division for many years, given its geographic and product diversity; the investment opportunities and growth prospects during this time; and challenges related to government regulation. Kaplan is organized into the following three operating segments: Kaplan International, Kaplan Higher Education (KHE) and Supplemental Education.</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Kaplan International reported revenue increases for 2021 due largely to growth at UK Professional and Pathways, partially offset by declines at Languages. Kaplan International operating results improved in 2021 due to a reduction in losses at Languages and improved results at Pathways and UK Professional.</w:t>
      </w:r>
    </w:p>
    <w:p>
      <w:pPr>
        <w:spacing w:after="0" w:line="13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KHE’s revenue grew in 2021, due to an increase in the Purdue University Global (Purdue Global) fee recorded and an increase in revenue from other higher education institutions. KHE recorded $34.8 million and $31.6 million in fees from Purdue Global in its Higher Education operating results in 2021 and 2020, respectively, based on an assessment of its collectability under the Transition and Operations Support Agreement (TOSA).</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Supplemental Education revenues decreased in 2021 due to a decline in retail comprehensive test preparation demand and classroom-based course offerings, offset in part by growth in securities, insurance and real estate programs. Supplemental Education operating income improved in 2021 due to savings from restructuring activities implemented in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Kaplan made two acquisitions in 2021; two acquisitions in 2020; and one acquisition in 2019.</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Company’s television broadcasting division reported lower revenues and operating income in 2021, due to significant decreases in political advertising, partially offset by increased local and national advertising revenues, which were adversely impacted in 2020 by reduced demand related to the COVID-19 pandemic, increased retransmission revenues, and increased revenue from summer Olympics-related advertising revenue at the Company’s NBC affiliates. In recent years, the television broadcasting division has consistently generated significantly higher operating income amounts and operating income margins than the education division and other businesses.</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Company’s manufacturing division has provided meaningful operating cash flow over the last few years, despite reduced demand due to the COVID-19 pandemic at certain businesses. The Company’s healthcare business has grown substantially over the last few years due to internal growth and acquisitions, with a meaningful increase in operating results in the past two years.</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With the recent acquisitions of Leaf, Framebridge, three automotive dealerships and Clyde’s Restaurant Group, and recent acquisitions at healthcare and manufacturing, the Company has invested in new lines of business in the last few years.</w:t>
      </w:r>
    </w:p>
    <w:p>
      <w:pPr>
        <w:spacing w:after="0" w:line="13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Net income attributable to common shares was $352.1 million ($70.45 per share) for the year ended December 31, 2021, compared to $300.4 million ($58.13 per share) for the year ended December 31, 2020.</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52" w:name="page53"/>
    <w:bookmarkEnd w:id="52"/>
    <w:p>
      <w:pPr>
        <w:ind w:right="100"/>
        <w:spacing w:after="0" w:line="225" w:lineRule="auto"/>
        <w:rPr>
          <w:sz w:val="20"/>
          <w:szCs w:val="20"/>
          <w:color w:val="auto"/>
        </w:rPr>
      </w:pPr>
      <w:r>
        <w:rPr>
          <w:rFonts w:ascii="Arial" w:cs="Arial" w:eastAsia="Arial" w:hAnsi="Arial"/>
          <w:sz w:val="18"/>
          <w:szCs w:val="18"/>
          <w:color w:val="auto"/>
        </w:rPr>
        <w:t>The COVID-19 pandemic and measures taken to prevent its spread significantly impacted the Company’s results for 2020 and 2021, largely from reduced demand for the Company’s products and services. This significant adverse impact is expected to continue into 2022, although at a reduced level. The Company’s management has taken a variety of measures to reduce costs and to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2021 are listed below:</w:t>
      </w:r>
    </w:p>
    <w:p>
      <w:pPr>
        <w:spacing w:after="0" w:line="90" w:lineRule="exact"/>
        <w:rPr>
          <w:sz w:val="20"/>
          <w:szCs w:val="20"/>
          <w:color w:val="auto"/>
        </w:rPr>
      </w:pPr>
    </w:p>
    <w:p>
      <w:pPr>
        <w:ind w:left="160" w:hanging="152"/>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$3.9 million net credit related to fair value changes in contingent consideration from prior acquisitions ($0.78 per share);</w:t>
      </w:r>
    </w:p>
    <w:p>
      <w:pPr>
        <w:spacing w:after="0" w:line="117" w:lineRule="exact"/>
        <w:rPr>
          <w:rFonts w:ascii="Arial" w:cs="Arial" w:eastAsia="Arial" w:hAnsi="Arial"/>
          <w:sz w:val="18"/>
          <w:szCs w:val="18"/>
          <w:color w:val="auto"/>
        </w:rPr>
      </w:pPr>
    </w:p>
    <w:p>
      <w:pPr>
        <w:ind w:left="180" w:right="660" w:hanging="172"/>
        <w:spacing w:after="0" w:line="235" w:lineRule="auto"/>
        <w:tabs>
          <w:tab w:leader="none" w:pos="1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$1.0 million reduction to operating expenses from property, plant and equipment gains in connection with the spectrum repacking mandate of the Federal Communications Commission (FCC) (after-tax impact of $0.8 million, or $0.16 per share);</w:t>
      </w:r>
    </w:p>
    <w:p>
      <w:pPr>
        <w:spacing w:after="0" w:line="121" w:lineRule="exact"/>
        <w:rPr>
          <w:rFonts w:ascii="Arial" w:cs="Arial" w:eastAsia="Arial" w:hAnsi="Arial"/>
          <w:sz w:val="18"/>
          <w:szCs w:val="18"/>
          <w:color w:val="auto"/>
        </w:rPr>
      </w:pPr>
    </w:p>
    <w:p>
      <w:pPr>
        <w:ind w:left="160" w:hanging="152"/>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$31.6 million in goodwill and other long-lived asset impairment charges (after-tax impact of $26.0 million, or $5.19 per share);</w:t>
      </w:r>
    </w:p>
    <w:p>
      <w:pPr>
        <w:spacing w:after="0" w:line="90" w:lineRule="exact"/>
        <w:rPr>
          <w:rFonts w:ascii="Arial" w:cs="Arial" w:eastAsia="Arial" w:hAnsi="Arial"/>
          <w:sz w:val="18"/>
          <w:szCs w:val="18"/>
          <w:color w:val="auto"/>
        </w:rPr>
      </w:pPr>
    </w:p>
    <w:p>
      <w:pPr>
        <w:ind w:left="180" w:right="100" w:hanging="172"/>
        <w:spacing w:after="0" w:line="235" w:lineRule="auto"/>
        <w:tabs>
          <w:tab w:leader="none" w:pos="1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$12.6 million in net earnings of affiliates whose operations are not managed by the Company (after-tax impact of $9.3 million, or $1.86 per share);</w:t>
      </w:r>
    </w:p>
    <w:p>
      <w:pPr>
        <w:spacing w:after="0" w:line="80" w:lineRule="exact"/>
        <w:rPr>
          <w:rFonts w:ascii="Arial" w:cs="Arial" w:eastAsia="Arial" w:hAnsi="Arial"/>
          <w:sz w:val="18"/>
          <w:szCs w:val="18"/>
          <w:color w:val="auto"/>
        </w:rPr>
      </w:pPr>
    </w:p>
    <w:p>
      <w:pPr>
        <w:ind w:left="180" w:right="540" w:hanging="172"/>
        <w:spacing w:after="0" w:line="235" w:lineRule="auto"/>
        <w:tabs>
          <w:tab w:leader="none" w:pos="1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$4.1 million in interest expense to adjust the fair value of the mandatorily redeemable noncontrolling interest (after-tax impact of $4.0 million, or $0.80 per share);</w:t>
      </w:r>
    </w:p>
    <w:p>
      <w:pPr>
        <w:spacing w:after="0" w:line="80" w:lineRule="exact"/>
        <w:rPr>
          <w:rFonts w:ascii="Arial" w:cs="Arial" w:eastAsia="Arial" w:hAnsi="Arial"/>
          <w:sz w:val="18"/>
          <w:szCs w:val="18"/>
          <w:color w:val="auto"/>
        </w:rPr>
      </w:pPr>
    </w:p>
    <w:p>
      <w:pPr>
        <w:ind w:left="180" w:right="180" w:hanging="172"/>
        <w:spacing w:after="0" w:line="235" w:lineRule="auto"/>
        <w:tabs>
          <w:tab w:leader="none" w:pos="1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(SIP) at manufacturing (after-tax impact of $0.8 million, or $0.16 per share);</w:t>
      </w:r>
    </w:p>
    <w:p>
      <w:pPr>
        <w:spacing w:after="0" w:line="80" w:lineRule="exact"/>
        <w:rPr>
          <w:rFonts w:ascii="Arial" w:cs="Arial" w:eastAsia="Arial" w:hAnsi="Arial"/>
          <w:sz w:val="18"/>
          <w:szCs w:val="18"/>
          <w:color w:val="auto"/>
        </w:rPr>
      </w:pPr>
    </w:p>
    <w:p>
      <w:pPr>
        <w:ind w:left="160" w:hanging="152"/>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$243.1 million in net gains on marketable equity securities (after-tax impact of $179.7 million, or $35.96 per share);</w:t>
      </w:r>
    </w:p>
    <w:p>
      <w:pPr>
        <w:spacing w:after="0" w:line="90" w:lineRule="exact"/>
        <w:rPr>
          <w:rFonts w:ascii="Arial" w:cs="Arial" w:eastAsia="Arial" w:hAnsi="Arial"/>
          <w:sz w:val="18"/>
          <w:szCs w:val="18"/>
          <w:color w:val="auto"/>
        </w:rPr>
      </w:pPr>
    </w:p>
    <w:p>
      <w:pPr>
        <w:ind w:left="180" w:right="20" w:hanging="172"/>
        <w:spacing w:after="0" w:line="235" w:lineRule="auto"/>
        <w:tabs>
          <w:tab w:leader="none" w:pos="1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Non-operating gains, net, of $13.6 million from write-ups, sales and impairments of cost and equity method investments (after-tax impact of $10.1 million, or $2.02 per share);</w:t>
      </w:r>
    </w:p>
    <w:p>
      <w:pPr>
        <w:spacing w:after="0" w:line="80" w:lineRule="exact"/>
        <w:rPr>
          <w:rFonts w:ascii="Arial" w:cs="Arial" w:eastAsia="Arial" w:hAnsi="Arial"/>
          <w:sz w:val="18"/>
          <w:szCs w:val="18"/>
          <w:color w:val="auto"/>
        </w:rPr>
      </w:pPr>
    </w:p>
    <w:p>
      <w:pPr>
        <w:ind w:left="160" w:hanging="152"/>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$0.2 million in non-operating foreign currency losses (after-tax impact of $0.1 million, or $0.03 per share); and</w:t>
      </w:r>
    </w:p>
    <w:p>
      <w:pPr>
        <w:spacing w:after="0" w:line="90" w:lineRule="exact"/>
        <w:rPr>
          <w:rFonts w:ascii="Arial" w:cs="Arial" w:eastAsia="Arial" w:hAnsi="Arial"/>
          <w:sz w:val="18"/>
          <w:szCs w:val="18"/>
          <w:color w:val="auto"/>
        </w:rPr>
      </w:pPr>
    </w:p>
    <w:p>
      <w:pPr>
        <w:ind w:left="180" w:right="20" w:hanging="172"/>
        <w:spacing w:after="0" w:line="235" w:lineRule="auto"/>
        <w:tabs>
          <w:tab w:leader="none" w:pos="1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$17.2 million deferred tax benefit arising from a change in the estimated deferred state income tax rate related to the Company’s pension and other postretirement plans ($3.45 per share).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2020 are listed below:</w:t>
      </w:r>
    </w:p>
    <w:p>
      <w:pPr>
        <w:spacing w:after="0" w:line="90" w:lineRule="exact"/>
        <w:rPr>
          <w:sz w:val="20"/>
          <w:szCs w:val="20"/>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$27.9 million in goodwill and other long-lived asset impairment charges (after-tax impact of $20.2 million, or $3.92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$16.1 million in restructuring charges at the education division (after-tax impact of $11.9 million, or $2.31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$5.7 million in accelerated depreciation at other businesses (after-tax impact of $4.1 million, or $0.80 per share);</w:t>
      </w:r>
    </w:p>
    <w:p>
      <w:pPr>
        <w:spacing w:after="0" w:line="90" w:lineRule="exact"/>
        <w:rPr>
          <w:rFonts w:ascii="Arial" w:cs="Arial" w:eastAsia="Arial" w:hAnsi="Arial"/>
          <w:sz w:val="18"/>
          <w:szCs w:val="18"/>
          <w:color w:val="auto"/>
        </w:rPr>
      </w:pPr>
    </w:p>
    <w:p>
      <w:pPr>
        <w:ind w:left="180" w:right="660" w:hanging="172"/>
        <w:spacing w:after="0" w:line="235" w:lineRule="auto"/>
        <w:tabs>
          <w:tab w:leader="none" w:pos="1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$2.9 million reduction to operating expenses from property, plant and equipment gains in connection with the spectrum repacking mandate of the FCC (after-tax impact of $2.3 million, or $0.44 per share);</w:t>
      </w:r>
    </w:p>
    <w:p>
      <w:pPr>
        <w:spacing w:after="0" w:line="80" w:lineRule="exact"/>
        <w:rPr>
          <w:rFonts w:ascii="Arial" w:cs="Arial" w:eastAsia="Arial" w:hAnsi="Arial"/>
          <w:sz w:val="18"/>
          <w:szCs w:val="18"/>
          <w:color w:val="auto"/>
        </w:rPr>
      </w:pPr>
    </w:p>
    <w:p>
      <w:pPr>
        <w:ind w:left="180" w:right="380" w:hanging="172"/>
        <w:spacing w:after="0" w:line="235" w:lineRule="auto"/>
        <w:tabs>
          <w:tab w:leader="none" w:pos="1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$2.1 million in net losses of affiliates whose operations are not managed by the Company (after-tax impact of $1.6 million, or $0.31 per share);</w:t>
      </w:r>
    </w:p>
    <w:p>
      <w:pPr>
        <w:spacing w:after="0" w:line="80" w:lineRule="exact"/>
        <w:rPr>
          <w:rFonts w:ascii="Arial" w:cs="Arial" w:eastAsia="Arial" w:hAnsi="Arial"/>
          <w:sz w:val="18"/>
          <w:szCs w:val="18"/>
          <w:color w:val="auto"/>
        </w:rPr>
      </w:pPr>
    </w:p>
    <w:p>
      <w:pPr>
        <w:ind w:left="180" w:hanging="172"/>
        <w:spacing w:after="0" w:line="235" w:lineRule="auto"/>
        <w:tabs>
          <w:tab w:leader="none" w:pos="1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$8.5 million in interest expense in the fourth quarter to adjust the fair value of the mandatorily redeemable noncontrolling interest ($1.64 per share);</w:t>
      </w:r>
    </w:p>
    <w:p>
      <w:pPr>
        <w:spacing w:after="0" w:line="80" w:lineRule="exact"/>
        <w:rPr>
          <w:rFonts w:ascii="Arial" w:cs="Arial" w:eastAsia="Arial" w:hAnsi="Arial"/>
          <w:sz w:val="18"/>
          <w:szCs w:val="18"/>
          <w:color w:val="auto"/>
        </w:rPr>
      </w:pPr>
    </w:p>
    <w:p>
      <w:pPr>
        <w:ind w:left="180" w:right="440" w:hanging="172"/>
        <w:spacing w:after="0" w:line="235" w:lineRule="auto"/>
        <w:tabs>
          <w:tab w:leader="none" w:pos="1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$11.5 million in expenses related to non-operating SIP activity at the education division and other businesses (after-tax impact of $8.5 million, or $1.64 per share);</w:t>
      </w:r>
    </w:p>
    <w:p>
      <w:pPr>
        <w:spacing w:after="0" w:line="80"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$60.8 million in net gains on marketable equity securities (after-tax impact of $44.7 million, or $8.64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fourth quarter gain of $209.8 million on the sale of Megaphone (after-tax impact of $154.2 million, or $29.84 per share);</w:t>
      </w:r>
    </w:p>
    <w:p>
      <w:pPr>
        <w:spacing w:after="0" w:line="90" w:lineRule="exact"/>
        <w:rPr>
          <w:rFonts w:ascii="Arial" w:cs="Arial" w:eastAsia="Arial" w:hAnsi="Arial"/>
          <w:sz w:val="18"/>
          <w:szCs w:val="18"/>
          <w:color w:val="auto"/>
        </w:rPr>
      </w:pPr>
    </w:p>
    <w:p>
      <w:pPr>
        <w:ind w:left="180" w:right="40" w:hanging="172"/>
        <w:spacing w:after="0" w:line="235" w:lineRule="auto"/>
        <w:tabs>
          <w:tab w:leader="none" w:pos="1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Non-operating losses, net, of $1.5 million from impairments, sales and write-ups of cost and equity method investments (after-tax impact of $1.1 million, or $0.21 per share);</w:t>
      </w:r>
    </w:p>
    <w:p>
      <w:pPr>
        <w:spacing w:after="0" w:line="80"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$2.2 million in non-operating foreign currency losses (after-tax impact of $1.6 million, or $0.31 per share); and</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$2.9 million in income tax expense related to stock compensation ($0.56 per share).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53" w:name="page54"/>
    <w:bookmarkEnd w:id="53"/>
    <w:p>
      <w:pPr>
        <w:spacing w:after="0" w:line="225" w:lineRule="auto"/>
        <w:rPr>
          <w:sz w:val="20"/>
          <w:szCs w:val="20"/>
          <w:color w:val="auto"/>
        </w:rPr>
      </w:pPr>
      <w:r>
        <w:rPr>
          <w:rFonts w:ascii="Arial" w:cs="Arial" w:eastAsia="Arial" w:hAnsi="Arial"/>
          <w:sz w:val="18"/>
          <w:szCs w:val="18"/>
          <w:color w:val="auto"/>
        </w:rPr>
        <w:t>Revenue for 2021 was $3,186.0 million, up 10% from $2,889.1 million in 2020. Revenues increased at education, manufacturing, healthcare, automotive and other businesses, partially offset by a decrease at television broadcasting. Operating costs and expenses for the year increased to $3,108.6 million in 2021, from $2,788.7 million in 2020. Expenses in 2021 increased across all divisions. The Company reported operating income for 2021 of $77.4 million, compared to $100.4 million in 2020. Operating results declined at television broadcasting and manufacturing, partially offset by improvements at education and automotive.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Education division revenue in 2021 totaled $1,361.2 million, up 4% from $1,305.7 million in 2020. Kaplan reported operating income of $50.6 million for 2021, an increase from $11.6 million in 2020. The COVID-19 pandemic adversely impacted Kaplan’s operating results beginning in February 2020 and continued through 2021.</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Kaplan serves a large number of students who travel to other countries to study a second language, prepare for licensure, or pursue a higher education degree. Government-imposed travel restrictions and school closures arising from COVID-19 had a significant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if COVID-19 restrictions persist, then Kaplan’s revenues and operating results in 2022 could be adversely impacted, particularly at Kaplan International Languages.</w:t>
      </w:r>
    </w:p>
    <w:p>
      <w:pPr>
        <w:spacing w:after="0" w:line="139"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To help mitigate the adverse impact of COVID-19, Kaplan implemented a number of cost reduction and restructuring activities across its businesses. Related to these restructuring activities, for 2021, Kaplan recorded $3.3 million in lease impairment charges (including $1.9 million in property, plant and equipment write-downs). In 2020, Kaplan recorded $13.5 million in lease restructuring costs (including $3.6 million of accelerated depreciation expense) and $6.2 million in severance restructuring costs. Kaplan also recorded $12.3 million in lease impairment charges in connection with these plans in 2020 (including $2.2 million in property, plant and equipment write-downs). Further, Kaplan recorded $12.8 million in non-operating pension expense in 2020 related to workforce reductions completed in the second and third quarters.</w:t>
      </w:r>
    </w:p>
    <w:p>
      <w:pPr>
        <w:spacing w:after="0" w:line="13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2020, 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was designed to enhance Kaplan’s competitiveness by better leveraging its diversified academic and professional portfolio, as well as its relationships with students, universities and businesses. For financial reporting purposes, KNA is reported in two segments: Higher Education and Supplemental Education (combining Kaplan Test Prep and Kaplan Professional (U.S.) into one reporting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726,875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653,892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317,854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316,095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309,069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327,087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14,759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12,643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(7,312)</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c>
          <w:tcPr>
            <w:tcW w:w="120" w:type="dxa"/>
            <w:vAlign w:val="bottom"/>
            <w:tcBorders>
              <w:bottom w:val="single" w:sz="8" w:color="auto"/>
            </w:tcBorders>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1,361,245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1,305,713</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33,457</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15,248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24,134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24,364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36,919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19,705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(24,715)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(18,266)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(16,001)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(17,174)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(3,318)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(12,278)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97</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50,573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54" w:name="page55"/>
    <w:bookmarkEnd w:id="54"/>
    <w:p>
      <w:pPr>
        <w:spacing w:after="0" w:line="222"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11% in 2021 (5% on a constant currency basis). The increase is due largely to growth at UK Professional and Pathways, partially offset by declines at Languages. Kaplan International reported operating income of $33.5 million in 2021, compared to $ 15.2 million in 2020. The increase in operating results is due to a reduction in losses at Languages and improved results at Pathways and UK Professional. Overall, Kaplan International’s operating results were negatively impacted by $43 million and $55 million in losses, respectively, incurred at Languages from continued significant COVID-19 disruptions in 2021 and 2020. In addition, Kaplan International’s 2020 results include $4.5 million of lease restructuring costs (including $1.6 million in accelerated depreciation expense) and $4.4 million of severance restructuring costs. If a continuation of travel restrictions imposed as a result of COVID-19 persists, Kaplan expects the disruption of its Languages business operating environment to continue into 2022.</w:t>
      </w:r>
    </w:p>
    <w:p>
      <w:pPr>
        <w:spacing w:after="0" w:line="140"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Higher Education primarily includes the results of Kaplan as a service provider to higher education institutions. In 2021, Higher Education revenue increased 1% due to an increase in the Purdue Global fee recorded and an increase in revenue from other higher education institutions. In 2021 and 2020, Kaplan recorded a portion of the fee with Purdue Global based on an assessment of its collectability under the TOSA. The Company will continue to assess the collectability of the fee with Purdue Global on a quarterly basis to make a determination as to whether to record all or part of the fee in the future and whether to make adjustments to fee amounts recognized in earlier periods. During 2021 and 2020, Kaplan recorded $34.8 million and $31.6 million, respectively, in fees from Purdue Global in its Higher Education operating results. Kaplan Higher Education recorded $3.6 million in lease restructuring costs in 2020, of which $0.2 million was accelerated depreciation expense.</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In November 2021, Supplemental Education acquired two small businesses. Supplemental Education revenue decreased 6% in 2021 due to a decline in retail comprehensive test preparation demand and classroom-based course offerings, offset in part by growth in securities, insurance and real estate programs. Operating results increased 87% in 2021 due to savings from restructuring activities implemented in 2020, and $5.4 million of lease restructuring costs ($1.8 million of which was accelerated depreciation) and $1.8 million in severance restructuring costs incurred in 2020.</w:t>
      </w:r>
    </w:p>
    <w:p>
      <w:pPr>
        <w:spacing w:after="0" w:line="137"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2021 due to normalization of compensation costs compared to 2020, which included salary abatements and reduced incentive compensation accruals.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494,177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525,212</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149,422</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194,498</w:t>
            </w: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62"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Revenue at the television broadcasting division decreased 6% to $494.2 million in 2021, from $525.2 million in 2020. The revenue decrease is due to an $89.0 million decline in political advertising revenue, partially offset by increased local and national advertising revenues, which were adversely impacted in 2020 by reduced demand related to the COVID-19 pandemic, a $12.3 million increase in retransmission revenues, and increased revenue from summer Olympics-related advertising revenue at the Company’s NBC affiliates. The increase in local and national television advertising was from growth in the home products, health and fitness, and sports betting categories. In 2021 and 2020, the television broadcasting division recorded $1.0 million and $2.9 million, respectively, in reductions to operating expenses related to property, plant and equipment gains due to new equipment received at no cost in connection with the spectrum repacking mandate of the FCC. Operating income for 2021 was down 23% to $149.4 million, from $194.5 million in 2020, due to reduced revenues and higher network fees. While per subscriber rates from cable and satellite providers have grown, overall cable and satellite subscribers are down due to cord cutting, resulting in low growth in retransmission revenue net of network fees in 2021, which is expected to continue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30% in 2021 and 37% in 2020.</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Graham Media Group’s broadcast stations remained well-positioned and competitive in their markets, despite overall viewing declines from a heightened 2020. On average for the year, KSAT in San Antonio and WJXT in Jacksonville once again ranked number one in the key 6 a.m., 6 p.m. and late newscasts among the all-important 25 to 54 demographic. WDIV in Detroit ended the year as a dominant number one at 6 p.m. and in late news, while number two in the mornings. KPRC wrapped up 2021 as a solid number two in evening and late newscasts, third at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5" w:name="page56"/>
    <w:bookmarkEnd w:id="55"/>
    <w:p>
      <w:pPr>
        <w:ind w:right="320"/>
        <w:spacing w:after="0" w:line="229" w:lineRule="auto"/>
        <w:rPr>
          <w:sz w:val="20"/>
          <w:szCs w:val="20"/>
          <w:color w:val="auto"/>
        </w:rPr>
      </w:pPr>
      <w:r>
        <w:rPr>
          <w:rFonts w:ascii="Arial" w:cs="Arial" w:eastAsia="Arial" w:hAnsi="Arial"/>
          <w:sz w:val="18"/>
          <w:szCs w:val="18"/>
          <w:color w:val="auto"/>
        </w:rPr>
        <w:t>6 a.m. with minimal separation from competitors. WKMG grew market position in morning and late news, finishing number two while remaining third at 6 p.m. WSLS remained third in key newscasts for the year, while syndication remained a strength for WCWJ in daytime and early fringe. Our local station’s websites finished another year as the number one media sites in their respective markets.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4"/>
              <w:spacing w:after="0"/>
              <w:rPr>
                <w:sz w:val="20"/>
                <w:szCs w:val="20"/>
                <w:color w:val="auto"/>
              </w:rPr>
            </w:pPr>
            <w:r>
              <w:rPr>
                <w:rFonts w:ascii="Arial" w:cs="Arial" w:eastAsia="Arial" w:hAnsi="Arial"/>
                <w:sz w:val="16"/>
                <w:szCs w:val="16"/>
                <w:b w:val="1"/>
                <w:bCs w:val="1"/>
                <w:color w:val="auto"/>
              </w:rPr>
              <w:t>458,125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416,137</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20" w:type="dxa"/>
            <w:vAlign w:val="bottom"/>
          </w:tcPr>
          <w:p>
            <w:pPr>
              <w:spacing w:after="0"/>
              <w:rPr>
                <w:sz w:val="19"/>
                <w:szCs w:val="19"/>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b w:val="1"/>
                <w:bCs w:val="1"/>
                <w:color w:val="auto"/>
              </w:rPr>
              <w:t>(16,048)</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12,328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Manufacturing revenues increased 10% in 2021 due to significantly increased revenues at Hoover from substantially higher wood prices in 2021 and increased revenues at Joyce/Dayton, partially offset by lower revenues at Forney and declines at Dekko from lower product demand, particularly in the commercial office electrical products and hospitality sectors. Wood prices have been highly volatile in 2021 and 2020; overall, Hoover results include gains on inventory sales in 2021 and 2020 from generally increasing wood prices during these years. Manufacturing operating results declined in 2021 due to $28.0 million in goodwill and other long-lived asset impairment charges; $26.7 million of this charge was recorded at Dekko in the third quarter of 2021, due to continued weakness in demand for certain Dekko products related to the COVID-19 pandemic, increases in labor and commodity costs and related supply chain challenges. Excluding these impairment charges, manufacturing results were down modestly in 2021 due to declines at Dekko and Forney, partially offset by overall improved results at Hoover. The Company’s manufacturing businesses are operating in a highly competitive market for production labor, resulting in substantial wage increases and higher labor costs in 2021.</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 manufacturing facilities, which was substantially completed by the end of 2021. In connection with this activity, Dekko implemented a SIP for the affected employees, resulting in $1.1 million in non-operating SIP expense recorded in the second quarter of 2021, to be funded by the assets of the Company's pension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223,030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198,196</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13</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26,806</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26,107</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w:t>
            </w:r>
          </w:p>
        </w:tc>
      </w:tr>
    </w:tbl>
    <w:p>
      <w:pPr>
        <w:spacing w:after="0" w:line="248"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The Graham Healthcare Group (GHG) provides home health and hospice services in four states. In December 2021, GHG acquired two small businesses, one of which expanded GHG’s home health operations into Florida. GHG provides other healthcare services, including nursing care and prescription services for patients receiving in-home infusion treatments through its 75% interest in CSI Pharmacy Holding Company, LLC (CSI). Healthcare revenues increased 13% in 2021, largely due to growth at CSI and home health services. The increase in GHG operating results in 2021 is due to improved results from CSI and home health services, partially offset by a decline in results from hospice services. GHG is operating in a highly competitive market for nurses and clinical staffing, resulting in substantial compensation increases in 2021. In certain cases, this challenging competitive market has adversely impacted GHG’s ability to meet existing customer demand.</w:t>
      </w:r>
    </w:p>
    <w:p>
      <w:pPr>
        <w:spacing w:after="0" w:line="13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In the second quarter of 2020, GHG received $7.4 million from the Federal Coronavirus Aid, Relief, and Economic Security Act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$5.7 million in revenue in the second and third quarters of 2020, to partially offset the impact of revenue reductions due to the COVID-19 pandemic from the curtailment of elective procedures by health systems and other factors. The remaining amount of $1.7 million was recorded as a credit to operating costs in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p>
      <w:pPr>
        <w:spacing w:after="0" w:line="235" w:lineRule="auto"/>
        <w:rPr>
          <w:sz w:val="20"/>
          <w:szCs w:val="20"/>
          <w:color w:val="auto"/>
        </w:rPr>
      </w:pPr>
      <w:r>
        <w:rPr>
          <w:rFonts w:ascii="Arial" w:cs="Arial" w:eastAsia="Arial" w:hAnsi="Arial"/>
          <w:sz w:val="18"/>
          <w:szCs w:val="18"/>
          <w:color w:val="auto"/>
        </w:rPr>
        <w:t>second quarter of 2020 to partially offset the impact of costs incurred to procure personal protective equipment for GHG employees and other COVID-19 related costs.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Consolidated Statements of Operations. In 2021 and 2020, the Company recorded equity in earnings of $10.2 million and $9.7 million, respectively, from these joint ventures.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327,069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258,144</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27</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11,771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(6,196)</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Automotive includes four automotive dealerships in the Washington, D.C. metropolitan area: Ourisman Lexus of Rockville, Ourisman Honda of Tysons Corner, Ourisman Jeep Bethesda and Ourisman Ford of Manassas. On December 28, 2021, the Company acquired Ford of Manassas located in Manassas, VA from the Battlefield Automotive Group. Christopher J. Ourisman, a member of the Ourisman Automotive Group family of dealerships, and his team of industry professionals operates and manages the dealerships; the Company holds a 90% stake.</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Revenues for 2021 increased 27% due to sales growth at each of the three legacy dealerships, due partly to significantly reduced demand for sales and service in the first half of 2020 at the onset of the COVID-19 pandemic in March 2020, and higher average new and used car selling prices as a result of strong consumer demand and inventory shortages related to supply chain disruptions and production delays at vehicle manufacturers. In the first quarter of 2020, the Company’s automotive dealerships recorded a $6.7 million intangible asset impairment charge as a result of the pandemic and the related recessionary conditions. Operating results for 2021 improved significantly from the prior year due to increased sales and margins, in addition to the impairment charge recorded in the first quarter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6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June 14, 2021, the Company closed on the acquisition of all outstanding shares of common stock of Leaf Group Ltd. (Leaf) at $8.50 per share in an all cash transaction valued at approximately $322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w:t>
      </w:r>
    </w:p>
    <w:p>
      <w:pPr>
        <w:spacing w:after="0" w:line="135" w:lineRule="exact"/>
        <w:rPr>
          <w:sz w:val="20"/>
          <w:szCs w:val="20"/>
          <w:color w:val="auto"/>
        </w:rPr>
      </w:pPr>
    </w:p>
    <w:p>
      <w:pPr>
        <w:jc w:val="both"/>
        <w:ind w:right="620"/>
        <w:spacing w:after="0" w:line="229" w:lineRule="auto"/>
        <w:rPr>
          <w:sz w:val="20"/>
          <w:szCs w:val="20"/>
          <w:color w:val="auto"/>
        </w:rPr>
      </w:pPr>
      <w:r>
        <w:rPr>
          <w:rFonts w:ascii="Arial" w:cs="Arial" w:eastAsia="Arial" w:hAnsi="Arial"/>
          <w:sz w:val="18"/>
          <w:szCs w:val="18"/>
          <w:color w:val="auto"/>
        </w:rPr>
        <w:t>The Leaf operating results for the period June 14, 2021 to December 31, 2021 are included in other businesses. Leaf has three major operating divisions: Society6 Group and Saatchi Art Group (Marketplace businesses) and the Media Group. Overall, Leaf reported an operating loss for the second half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62"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all of its restaurants and venues in March 2020 through mid-June 2020, pursuant to government orders, maintaining limited operations for delivery and pickup. CRG recorded a $9.7 million goodwill and intangible assets impairment charge in the first quarter of 2020. In June 2020, CRG made the decision to close its restaurant and entertainment venue in Columbia, MD effective July 19, 2020, resulting in accelerated depreciation of property, plant and equipment totaling $5.7 million recorded in the second and third quarters of 2020. In December 2020, CRG temporarily closed its restaurant dining rooms in Maryland and the District of Columbia for the second time, reopening again for limited indoor dining service in mid-February 2021. Dining restrictions from government orders were substantially lifted for all of CRG’s operations by the end of the second quarter of 2021.</w:t>
      </w:r>
    </w:p>
    <w:p>
      <w:pPr>
        <w:spacing w:after="0" w:line="140"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Overall, CRG incurred significant operating losses in 2021 and 2020 due to limited revenues and costs incurred to maintain its facilities and support its employees; however, the losses incurred in 2021 were significantly lower than the losses in 2020. While CRG operations have been adversely impacted as a result of the pandemic, both revenues and operating results improved substantially in 2021 as the year progressed.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Framebridge</w:t>
      </w:r>
    </w:p>
    <w:p>
      <w:pPr>
        <w:spacing w:after="0" w:line="16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At the end of 2021, Framebridge had fifteen retail locations in the Washington, D.C., New York City, Atlanta, GA, Philadelphia, PA, Boston, MA and Chicago, IL areas and three manufacturing facilities in Kentucky and New Jersey. Framebridge expects to open four additional stores in the first half of 2022. Framebridge revenues in 2021 increased from the prior year; however, revenues were down modestly in the fourth quarter of 2021 due to limited production capacity related to the challenging labor market and COVID-19 related workforce absences. In the fourth quarter of 2021, Framebridge prioritized the production of holiday guaranteed orders successfully and continue to manage a significant backlog of orders into the first quarter of 2022. Framebridge is an investment stage business and reported significant operating losses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6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Code3 revenues were relatively flat in 2021 compared to 2020, with strong growth in creative and commerce revenues, offset by a decline in marketing spending by some advertising clients. Code3 reported overall operating losses in 2021 and 2020. In the second quarter of 2021, Code3 recorded a $1.6 million lease impairment charge (including $0.4 million in property, plant and equipment write-downs). Excluding this impairment charge, Code3 reported operating income for 2021. In the second quarter of 2020, Code3 recorded a $ 1.5 million lease impairment charge (including $0.1 million in property, plant and equipment write-downs) in connection with a restructuring plan that included other cost reduction initiatives. These initiatives included the approval of a SIP that reduced the number of employees at Code3, resulting in $1.0 million in non-operating pension expense in the second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Megaphone was sold by the Company to Spotify in December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2"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Other businesses also include Slate and Foreign Policy, which publish online and print magazines and websites; and four investment stage businesses, CyberVista, Decile and Pinna, as well as City Cast, a local daily podcast business that began operations in 2021. All of these businesses reported revenue increases in 2021. Losses from each of these six businesses in 2021 adversely affected operating results.</w:t>
      </w:r>
    </w:p>
    <w:p>
      <w:pPr>
        <w:spacing w:after="0" w:line="130"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Overall, for 2021, operating revenues for other businesses increased due largely to increases from the Leaf and Framebridge acquisitions and increases at CRG, partially offset by declines due to the sale of Megaphone in December 2020. Operating results declined in 2021 due to increased losses at Framebridge and losses at Leaf, partially offset by improvements at CRG, in addition to the goodwill and other long-lived asset impairment charges recorded in the first quarter of 2020 at CRG.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office expenses increased in 2021 due primarily to higher compensation costs, offset by a credit related to the fair value change in contingent consideration related to the Framebridge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At December 31, 2021, the Company held an approximate 12% interest in Intersection Holdings, LLC (Intersection), a company that provides digital marketing and advertising services and products for cities, transit systems, airports, and other public and private spaces. The Company also holds interests in several other affiliates, including a number of home health and hospice joint ventures managed by GHG and two joint ventures managed by Kaplan. The Company recorded equity in earnings of affiliates of $17.9 million and $6.7 million for 2021 and 2020, respectively. These amounts include $12.6 million in net earnings for 2021 and $2.1 million in net losses for 2020 from affiliates whose operations are not managed by the Company; this includes losses from the Company’s investment in Intersection for 2021. The Company also recorded $6.4 million in write-downs in equity in earnings of affiliates related to one of its investments in the third quarter of 2021 and $3.6 million in write-downs in equity in earnings of affiliates related to two of its investments in the first quarter of 2020.</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recessionary environment resulting from the COVID-19 pandemic adversely impacted the underlying businesses of Intersection due to lower marketing spending by advertising clients. The decline in revenues adversely impacted the operating results and liquidity of the business since the onset of the COVID-19 pandemic.</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ind w:right="180"/>
        <w:spacing w:after="0" w:line="225" w:lineRule="auto"/>
        <w:rPr>
          <w:sz w:val="20"/>
          <w:szCs w:val="20"/>
          <w:color w:val="auto"/>
        </w:rPr>
      </w:pPr>
      <w:r>
        <w:rPr>
          <w:rFonts w:ascii="Arial" w:cs="Arial" w:eastAsia="Arial" w:hAnsi="Arial"/>
          <w:sz w:val="18"/>
          <w:szCs w:val="18"/>
          <w:color w:val="auto"/>
        </w:rPr>
        <w:t>The Company concluded that these events are not indicative of an other than temporary decline in the value of its investment to an amount less than its carrying value. Given the uncertain economic impact of the COVID-19 pandemic, it is possible that an other than temporary impairment charge could occur in the future should Intersection fail to execute on its operating strategy to address the decline in revenues and operating results. Further, the Company recorded a $30.5 million loss in equity earnings related to Intersection in 2021 and expects to record additional losses in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In October 2021, the automotive subsidiary of the Company borrowed $24.75 million and entered into an interest rate swap to fix the interest rate on the debt at 4.118% per annum; the proceeds from this borrowing were used to repay the outstanding balance of the automotive subsidiary debt that was due on January 31, 2029. The automotive subsidiary is required to repay the loan over a 10-year period by making monthly installment payments and one final payment on October 1, 2031. Additionally, in connection with the Ford automotive dealership acquisition, in December 2021, the automotive subsidiary borrowed $22.5 million, which bears interest at SOFR plus 2.05% per annum. The automotive subsidiary is required to repay the loan over a 10-year period by making monthly installment payments.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incurred net interest expense of $ 30.5 million in 2021, compared to $34.4 million in 2020. The Company recorded net interest expense of $4.1 million in 2021 to adjust the fair value of the mandatorily redeemable noncontrolling interest at GHG. The Company recorded interest expense of $8.5 million to adjust the fair value of the mandatorily redeemable noncontrolling interest at GHG in the fourth quarter of 2020.</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At December 31, 2021, the Company had $667.5 million in borrowings outstanding at an average interest rate of 4.3%, and cash, marketable securities and other investments of $ 983.3 million. At December 31, 2021, the Company had $209.6 million outstanding on its $300 million revolving credit facility. At December 31, 2020, the Company had $512.6 million in borrowings outstanding at an average interest rate of 5.1%, and cash, marketable securities and other investments of $1,010.6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$109.2 million in 2021, compared to $59.3 million in 2020.</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 In the third quarter of 2020, the Company recorded $7.8 million in expenses related to a non-operating SIP at the education division. In the second quarter of 2020, the Company recorded $6.0 million in expenses related to a non-operating SIP at the education division and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$243.1 million and $60.8 million in net gains on marketable equity securities in 2021 and 2020,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The Company recorded total other non-operating income, net, of $32.6 million in 2021, compared to $214.5 million in 2020. The 2021 amounts included $11.8 million in fair value increases on cost method investments; $9.4 million in gains on sales of cost method investments; $ 3.8 million in gains related to sales of businesses and contingent consideration and other items. The 2020 amounts included $213.3 million in net gains related to sales of businesses and contingent consideration; $4.2 million in fair value increases on cost method investments; $3.7 million gain on acquiring a controlling interest in an equity affiliate; $1.4 million net gain on sales of equity affiliates and other items; partially offset by $7.3 million in impairments on cost method investments; and $2.2 million in foreign currency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The Company’s effective tax rate for 2021 was 21.4%. The Company’s effective tax rate for 2021 was favorably impacted by a $17.2 million deferred tax adjustment arising from a change in the estimated deferred state income tax rate attributable to the apportionment formula used in the calculation of deferred taxes related to the Company’s pension and other postretirement plans. Excluding this $17.2 million benefit, the overall income tax rate for 2021 was 25.2%.</w:t>
      </w:r>
    </w:p>
    <w:p>
      <w:pPr>
        <w:spacing w:after="0" w:line="135"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The Company’s effective tax rate for 2020 was 26.3%. In 2020, the Company recorded income tax expense related to stock compensation of $2.9 million. Excluding this $2.9 million expense, the overall income tax rate for 2020 was 25.6%.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145,886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413,991</w:t>
            </w: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12,957</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9,063</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824,445</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587,582</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667,501</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512,555</w:t>
            </w:r>
          </w:p>
        </w:tc>
      </w:tr>
    </w:tbl>
    <w:p>
      <w:pPr>
        <w:spacing w:after="0" w:line="26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five-year revolving credit facility, amounting to $90.4 million at December 31, 2021.</w:t>
      </w:r>
    </w:p>
    <w:p>
      <w:pPr>
        <w:spacing w:after="0" w:line="130"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In March 2020, the U.S. government enacted legislation, including the CARES Act to provide stimulus in the form of financial aid to businesses affected by the COVID-19 pandemic. Under the CARES Act, employers could defer the payment of the employer share of FICA taxes due for the period beginning on March 27, 2020, and ending December 31, 2020. The Company deferred $21.5 million of FICA payments under this program, with $10.7 million of the deferred payments still payable at December 31, 2021. The remaining deferred balance is due by December 31, 2022.</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the second quarter of 2020, GHG received $7.4 million under the CARES Act as a general distribution from the Provider Relief Fund to provide relief for lost revenues and expenses incurred in connection with COVID-19. In addition to the above distribution, in April 2020, GHG applied for and received $31.5 million under the expanded Medicare Accelerated and Advanced Payment Program, modified by the CARES Act. The Department of Health and Human Services (HHS) started to recoup this advance in April 2021 by withholding a portion of the amount reimbursed for claims submitted for services provided after the beginning of the recoupment period. During 2021, an amount of $18.9 million was withheld by HHS and the Company expects the remaining balance of $12.6 million to be withheld from claims submitted in the first half of 2022.</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Governments in other jurisdictions where the Company operates also provided relief to businesses affected by the COVID-19 pandemic in the form of job retention schemes, payroll assistance, deferral of income and other tax payments, and loans. For the years ended December 31, 2021, and 2020, Kaplan has recorded benefits totaling $4.7 million and $12.2 million, respectively, related to job retention and payroll schemes, mostly at Kaplan International.</w:t>
      </w:r>
    </w:p>
    <w:p>
      <w:pPr>
        <w:spacing w:after="0" w:line="135" w:lineRule="exact"/>
        <w:rPr>
          <w:sz w:val="20"/>
          <w:szCs w:val="20"/>
          <w:color w:val="auto"/>
        </w:rPr>
      </w:pPr>
    </w:p>
    <w:p>
      <w:pPr>
        <w:ind w:right="660"/>
        <w:spacing w:after="0" w:line="238" w:lineRule="auto"/>
        <w:rPr>
          <w:sz w:val="20"/>
          <w:szCs w:val="20"/>
          <w:color w:val="auto"/>
        </w:rPr>
      </w:pPr>
      <w:r>
        <w:rPr>
          <w:rFonts w:ascii="Arial" w:cs="Arial" w:eastAsia="Arial" w:hAnsi="Arial"/>
          <w:sz w:val="17"/>
          <w:szCs w:val="17"/>
          <w:color w:val="auto"/>
        </w:rPr>
        <w:t>During 2021, the Company’s cash and cash equivalents decreased by $268.1 million, due to the acquisition of Leaf and several other businesses, the purchase of marketable equity securities, deferred payments on previous acquisitions, capital expenditures, dividend payments and share repurchases, which was partially offset by cash generated from operations, the net proceeds from the sale of marketable equity securities and net issuance of borrowings. In 2021, the Company’s borrowings increased by $154.9 million, due to additional borrowings under the revolving credit facility and at the automotive subsidiary, which were partially offset by repayments.</w:t>
      </w:r>
    </w:p>
    <w:p>
      <w:pPr>
        <w:spacing w:after="0" w:line="13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had no money market investments as of December 31, 2021, compared to $268.8 million at December 31, 2020, which are included in cash and cash equivalents. At December 31, 2021, the Company held approximately $119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At December 31, 2021, the fair value of the Company’s investments in marketable equity securities was $810.0 million, which includes investments in the common stock of seven publicly traded companies. The Company purchased $48.0 million of marketable equity securities during 2021. During 2021, the Company sold marketable equity securities that generated proceeds of $65.5 million. At December 31, 2021, the net unrealized gain related to the Company’s investments totaled $536.8 million.</w:t>
      </w:r>
    </w:p>
    <w:p>
      <w:pPr>
        <w:spacing w:after="0" w:line="135"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The Company had working capital of $680.8 million and $824.5 million at December 31, 2021 and 2020,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At December 31, 2021 and 2020, the Company had borrowings outstanding of $667.5 million and $512.6 million, respectively. The Company’s borrowings at December 31, 2021 were mostly from $400.0 million of 5.75%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0" w:name="page61"/>
    <w:bookmarkEnd w:id="60"/>
    <w:p>
      <w:pPr>
        <w:ind w:right="240"/>
        <w:spacing w:after="0" w:line="225" w:lineRule="auto"/>
        <w:rPr>
          <w:sz w:val="20"/>
          <w:szCs w:val="20"/>
          <w:color w:val="auto"/>
        </w:rPr>
      </w:pPr>
      <w:r>
        <w:rPr>
          <w:rFonts w:ascii="Arial" w:cs="Arial" w:eastAsia="Arial" w:hAnsi="Arial"/>
          <w:sz w:val="18"/>
          <w:szCs w:val="18"/>
          <w:color w:val="auto"/>
        </w:rPr>
        <w:t>unsecured notes due June 1, 2026, $209.6 million in outstanding borrowings under the Company’s revolving credit facility and commercial notes of $47.0 million at the Automotive subsidiary. The Company’s borrowings at December 31, 2020 were mostly from $400.0 million of 5.75% unsecured notes due June 1, 2026, £55 million in outstanding borrowings under the Company’s revolving credit facility and a commercial note of $25.3 million at the Automotive subsidiary. The interest on $400.0 million of 5.75% unsecured notes is payable semiannually on June 1 and December 1.</w:t>
      </w:r>
    </w:p>
    <w:p>
      <w:pPr>
        <w:spacing w:after="0" w:line="137"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During 2021 and 2020, the Company had average borrowings outstanding of approximately $545.2 million and $512.4 million, respectively, at average annual interest rates of approximately 4.8% and 5.1%, respectively. The Company incurred net interest expense of $30.5 million and $34.4 million, respectively, during 2021 and 2020. Included in the 2021 and 2020 interest expense is an amount of $4.1 million and $8.5 million, respectively, to adjust the fair value of the mandatorily redeemable noncontrolling interest (see Note 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June 3, 2021, Moody’s affirmed the Company’s credit rating and revised the outlook from Negative to Stable. On April 27, 2021, Standard</w:t>
      </w:r>
    </w:p>
    <w:p>
      <w:pPr>
        <w:ind w:right="3700" w:firstLine="8"/>
        <w:spacing w:after="0" w:line="418" w:lineRule="auto"/>
        <w:tabs>
          <w:tab w:leader="none" w:pos="1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Poor’s affirmed the Company’s credit rating and revised the outlook from Negative to Stable. The Company’s current credit ratings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30"/>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62"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 needed, from borrowings under its revolving credit facility. As of December, 31, 2021, the Company had $209.6 million outstanding under the $300 million revolving credit facility, which borrowing was used to purchase land and buildings at Kaplan International’s sixth-form college in London, U.K. and at the automotive division in the third quarter of 2021, to repay the £60 million Kaplan UK credit facility that matured at the end of June 2020 and, to a lesser extent, to repurchase stock and fund various acquisitions during the fourth quarter of 2021.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202,426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210,663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165,164</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(494,635)</w:t>
            </w:r>
          </w:p>
        </w:tc>
        <w:tc>
          <w:tcPr>
            <w:tcW w:w="3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199,371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(236,735)</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31,027</w:t>
            </w:r>
          </w:p>
        </w:tc>
        <w:tc>
          <w:tcPr>
            <w:tcW w:w="32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6"/>
                <w:szCs w:val="16"/>
                <w:color w:val="auto"/>
              </w:rPr>
              <w:t>(204,002)</w:t>
            </w:r>
          </w:p>
        </w:tc>
        <w:tc>
          <w:tcPr>
            <w:tcW w:w="3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18,734</w:t>
            </w: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(3,029)</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2,978</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2,766</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(264,211)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209,010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(50,071)</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353,327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299,968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327,879</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162,225</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161,207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121,648</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73,752</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89,956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84,185</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Net pension benefit, settlement, and special separation benefit expense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(91,898)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(41,573)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(137,909)</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(183,742)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(229,134)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(34,714)</w:t>
            </w:r>
          </w:p>
        </w:tc>
      </w:tr>
      <w:tr>
        <w:trPr>
          <w:trHeight w:val="243"/>
        </w:trPr>
        <w:tc>
          <w:tcPr>
            <w:tcW w:w="764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(111,238)</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(69,761)</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(195,925)</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202,426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210,663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165,164</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35"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For 2021 compared to 2020, the decrease in net cash provided by operating activities is primarily due to changes in operating assets and liabilities, partially offset by higher net income, net of non-cash adjustments. Changes in operating assets and liabilities were driven by a decrease in the collection of accounts receivable and partial</w:t>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61" w:name="page62"/>
    <w:bookmarkEnd w:id="61"/>
    <w:p>
      <w:pPr>
        <w:ind w:right="80"/>
        <w:spacing w:after="0" w:line="235" w:lineRule="auto"/>
        <w:rPr>
          <w:sz w:val="20"/>
          <w:szCs w:val="20"/>
          <w:color w:val="auto"/>
        </w:rPr>
      </w:pPr>
      <w:r>
        <w:rPr>
          <w:rFonts w:ascii="Arial" w:cs="Arial" w:eastAsia="Arial" w:hAnsi="Arial"/>
          <w:sz w:val="18"/>
          <w:szCs w:val="18"/>
          <w:color w:val="auto"/>
        </w:rPr>
        <w:t>repayment of advances related to the CARES Act, partially offset by other increases in accounts payable and accrued liabilities and deferred revenue.</w:t>
      </w:r>
    </w:p>
    <w:p>
      <w:pPr>
        <w:spacing w:after="0" w:line="135"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For 2020 compared to 2019, the increase in net cash provided by operating activities is primarily due to changes in operating assets and liabilities. Changes in operating assets and liabilities were driven by the collection of accounts receivable, the advance received by GHG under the expanded Medicare Accelerated and Advanced Payment Program as modified by the CARES Act, and the deferral of FICA payments under the CARES Act.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provided by investing activities were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2020</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41" w:lineRule="exact"/>
        <w:rPr>
          <w:sz w:val="20"/>
          <w:szCs w:val="20"/>
          <w:color w:val="auto"/>
        </w:rPr>
      </w:pPr>
    </w:p>
    <w:p>
      <w:pPr>
        <w:ind w:left="20" w:right="2920"/>
        <w:spacing w:after="0" w:line="299" w:lineRule="auto"/>
        <w:rPr>
          <w:sz w:val="20"/>
          <w:szCs w:val="20"/>
          <w:color w:val="auto"/>
        </w:rPr>
      </w:pPr>
      <w:r>
        <w:rPr>
          <w:rFonts w:ascii="Arial" w:cs="Arial" w:eastAsia="Arial" w:hAnsi="Arial"/>
          <w:sz w:val="16"/>
          <w:szCs w:val="16"/>
          <w:color w:val="auto"/>
        </w:rPr>
        <w:t>Investments in certain businesses, net of cash acquired Purchases of property, plant and equipment</w:t>
      </w:r>
    </w:p>
    <w:p>
      <w:pPr>
        <w:spacing w:after="0" w:line="1" w:lineRule="exact"/>
        <w:rPr>
          <w:sz w:val="20"/>
          <w:szCs w:val="20"/>
          <w:color w:val="auto"/>
        </w:rPr>
      </w:pPr>
    </w:p>
    <w:p>
      <w:pPr>
        <w:ind w:left="20" w:right="2120"/>
        <w:spacing w:after="0" w:line="299" w:lineRule="auto"/>
        <w:rPr>
          <w:sz w:val="20"/>
          <w:szCs w:val="20"/>
          <w:color w:val="auto"/>
        </w:rPr>
      </w:pPr>
      <w:r>
        <w:rPr>
          <w:rFonts w:ascii="Arial" w:cs="Arial" w:eastAsia="Arial" w:hAnsi="Arial"/>
          <w:sz w:val="16"/>
          <w:szCs w:val="16"/>
          <w:color w:val="auto"/>
        </w:rPr>
        <w:t>Net proceeds from sales of marketable equity securities Investments in equity affiliates, cost method and other investments</w:t>
      </w:r>
    </w:p>
    <w:p>
      <w:pPr>
        <w:spacing w:after="0" w:line="1" w:lineRule="exact"/>
        <w:rPr>
          <w:sz w:val="20"/>
          <w:szCs w:val="20"/>
          <w:color w:val="auto"/>
        </w:rPr>
      </w:pPr>
    </w:p>
    <w:p>
      <w:pPr>
        <w:ind w:left="20" w:right="620"/>
        <w:spacing w:after="0" w:line="312" w:lineRule="auto"/>
        <w:rPr>
          <w:sz w:val="20"/>
          <w:szCs w:val="20"/>
          <w:color w:val="auto"/>
        </w:rPr>
      </w:pPr>
      <w:r>
        <w:rPr>
          <w:rFonts w:ascii="Arial" w:cs="Arial" w:eastAsia="Arial" w:hAnsi="Arial"/>
          <w:sz w:val="16"/>
          <w:szCs w:val="16"/>
          <w:color w:val="auto"/>
        </w:rPr>
        <w:t>Net proceeds from sales of businesses, property, plant and equipment and other assets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(351,882)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(20,080)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(179,421)</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(162,537)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(69,591)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(93,504)</w:t>
            </w:r>
          </w:p>
        </w:tc>
      </w:tr>
      <w:tr>
        <w:trPr>
          <w:trHeight w:val="229"/>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17,463</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73,771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11,804</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(8,531)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(12,367)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(27,529)</w:t>
            </w:r>
          </w:p>
        </w:tc>
      </w:tr>
      <w:tr>
        <w:trPr>
          <w:trHeight w:val="229"/>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10,295</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225,570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54,495</w:t>
            </w:r>
          </w:p>
        </w:tc>
      </w:tr>
      <w:tr>
        <w:trPr>
          <w:trHeight w:val="242"/>
        </w:trPr>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557</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2,068</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(494,635)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199,371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(236,735)</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ectPr>
          <w:pgSz w:w="11900" w:h="16838" w:orient="portrait"/>
          <w:cols w:equalWidth="0" w:num="2">
            <w:col w:w="6920" w:space="720"/>
            <w:col w:w="3600"/>
          </w:cols>
          <w:pgMar w:left="320" w:top="1057" w:right="339" w:bottom="1440" w:gutter="0" w:footer="0" w:header="0"/>
          <w:type w:val="continuous"/>
        </w:sectPr>
      </w:pPr>
    </w:p>
    <w:p>
      <w:pPr>
        <w:ind w:right="20"/>
        <w:spacing w:after="0" w:line="22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2021, the Company acquired six businesses: two small businesses in its education division, two small businesses in</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one new auto dealership in automotive, and all the outstanding shares of Leaf for cash and the assumption of $9.2 million in liabilities related to their pre-acquisition stock compensation plan, which will be paid in the future. Leaf is included in other businesses. During 2020, the Company acquired three businesses: two small businesses in its education division and an additional interest in Framebridge, Inc., which is included in other businesses. The Framebridge purchase price included $54.3 million in deferred payments and contingent consideration based on the acquiree achieving certain revenue milestones in the future. During 2019, the Company acquired eight businesses: one in education, three in healthcare, one in manufacturing, two in automotive, and one in other businesses for $211.8 million in cash and contingent consideration and the assumption of $25.8 million in floor plan payables.</w:t>
      </w:r>
    </w:p>
    <w:p>
      <w:pPr>
        <w:spacing w:after="0" w:line="122" w:lineRule="exact"/>
        <w:rPr>
          <w:sz w:val="20"/>
          <w:szCs w:val="20"/>
          <w:color w:val="auto"/>
        </w:rPr>
      </w:pPr>
    </w:p>
    <w:p>
      <w:pPr>
        <w:spacing w:after="0" w:line="22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2021 capital expenditures are higher than 2020 and 2019 primarily due to land and building purchases at Kaplan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International’s sixth-form college in London, U.K. and at the automotive division. The 2020 and 2019 capital expenditures include spending in connection with spectrum repacking at the Company’s television stations in Detroit, MI, Jacksonville, FL, and Roanoke, VA, as mandated by the FCC; these spectrum repacking expenditures were largely reimbursed to the Company by the FCC. The 2020 capital expenditures are lower than 2019 due to the completion of the construction of an academic and student residential facility in connection with Kaplan’s Pathways program in Liverpool, U.K. The amounts reflected in the Company’s Statements of Cash Flows are based on cash payments made during the relevant periods, whereas the Company’s capital expenditures for 2021, 2020 and 2019 disclosed in Note 19 to the Consolidated Financial Statements include assets acquired during the year. The Company estimates that its capital expenditures will be in the range of $80 million to $90 million in 2022.</w:t>
      </w:r>
    </w:p>
    <w:p>
      <w:pPr>
        <w:spacing w:after="0" w:line="117"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 xml:space="preserve">Net Proceeds from Sales of Investments and Businesses. </w:t>
      </w:r>
      <w:r>
        <w:rPr>
          <w:rFonts w:ascii="Arial" w:cs="Arial" w:eastAsia="Arial" w:hAnsi="Arial"/>
          <w:sz w:val="18"/>
          <w:szCs w:val="18"/>
          <w:color w:val="auto"/>
        </w:rPr>
        <w:t>During 2021, 2020 and 2019, the Company sold marketable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proceeds of $65.5 million, $93.8 million and $ 19.3 million, respectively. The Company purchased $ 48.0 million, $20.0 million and $7.5 million of marketable equity securities during 2021, 2020 and 2019, respectively. In December 2020, the Company completed the sale of Megaphone; the total net proceeds from the sale were $223.0 million. In November 2019, Kaplan UK completed the sale of a small business which was included in Kaplan International. The Company sold its interest in Gimlet Media during February 2019; the total proceeds from the sale were $33.5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provided by (used in) financing activities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Issuance (repayments) of borrowings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20,539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(81,276)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32,548</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Net borrowing under revolving credit facilities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134,696</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76,241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(repayments of) proceeds from vehicle floor plan payable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(10,563)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(14,160)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14,384</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(55,683)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(161,829)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(2,103)</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(30,136)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(29,970)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(29,553)</w:t>
            </w: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(27,826)</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6,992</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31,027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(204,002)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18,734</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62" w:name="page63"/>
    <w:bookmarkEnd w:id="62"/>
    <w:p>
      <w:pPr>
        <w:ind w:right="220"/>
        <w:spacing w:after="0" w:line="225"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2021, the Company borrowed against the $300 million revolving credit facility, which</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was used to purchase land and buildings at Kaplan International’s sixth-form college in London, U.K. and at the automotive division and, to a lesser extent, to repurchase stock and fund various acquisitions during the fourth quarter of 2021. In addition, the automotive subsidiary borrowed $47.3 million, which was used to repay the outstanding balance of the term loan due on January 31, 2029 and fund the acquisition of an automotive dealership in the fourth quarter. In 2020, the Company borrowed £ 60 million against the $300 million revolving credit facility and used the proceeds to repay the £60 million outstanding balance under the Kaplan Credit Agreement that matured at the end of June 2020. The Company repaid £5 million of these borrowings in the fourth quarter of 2020. In 2019, the Company had cash inflows from borrowings to fund the acquisition of two businesses at automotive and healthcare and used floor vehicle plan financing to fund the purchase of new vehicles at its automotive subsidiary.</w:t>
      </w:r>
    </w:p>
    <w:p>
      <w:pPr>
        <w:spacing w:after="0" w:line="11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2021, 2020, and 2019, the Company purchased a total of 93,969, 406,112, and 3,392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of its Class B common stock at a cost of approximately $55.7 million, $161.8 million, and $2.1 million, respectively. On September 10, 2020, the Board of Directors authorized the Company to acquire up to 500,000 shares of its Class B common stock. The Company did not announce a ceiling price or time limit for the purchases. At December 31, 2021, the Company had remaining authorization from the Board of Directors to purchase up to 270,182 shares of Class B common stock.</w:t>
      </w:r>
    </w:p>
    <w:p>
      <w:pPr>
        <w:spacing w:after="0" w:line="120"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annual dividend rate per share was $6.04, $5.80 and $5.56 in 2021, 2020 and 2019, respectively. The Company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 dividend of $6.32 per share in 2022.</w:t>
      </w:r>
    </w:p>
    <w:p>
      <w:pPr>
        <w:spacing w:after="0" w:line="107" w:lineRule="exact"/>
        <w:rPr>
          <w:sz w:val="20"/>
          <w:szCs w:val="20"/>
          <w:color w:val="auto"/>
        </w:rPr>
      </w:pPr>
    </w:p>
    <w:p>
      <w:pPr>
        <w:jc w:val="both"/>
        <w:ind w:right="60"/>
        <w:spacing w:after="0" w:line="23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2021, the Company paid $30.9 million related to contingent consideration and deferred payments from prior acquisitions, mostly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acquisition of Framebridge. In March 2021, Hoover’s minority shareholders put their remaining outstanding shares to the Company, which had a redemption value of $3.5 million. In 2020, the Company received $25.1 million in proceeds from the exercise of stock options. In March 2019, a Hoover minority shareholder put some shares to the Company, which had a redemption value of $0.6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reflects a summary of the Company’s contractual obligations as of December 31,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Debt and interest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33,092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241,678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35,212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28,626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415,938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36,537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791,083</w:t>
            </w: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107,541</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79,854</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64,030</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50,392</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45,897</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296,514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644,228</w:t>
            </w:r>
          </w:p>
        </w:tc>
      </w:tr>
      <w:tr>
        <w:trPr>
          <w:trHeight w:val="262"/>
        </w:trPr>
        <w:tc>
          <w:tcPr>
            <w:tcW w:w="3500" w:type="dxa"/>
            <w:vAlign w:val="bottom"/>
          </w:tcPr>
          <w:p>
            <w:pPr>
              <w:ind w:left="2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8,821</w:t>
            </w:r>
          </w:p>
        </w:tc>
        <w:tc>
          <w:tcPr>
            <w:tcW w:w="30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4,952</w:t>
            </w:r>
          </w:p>
        </w:tc>
        <w:tc>
          <w:tcPr>
            <w:tcW w:w="28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213</w:t>
            </w:r>
          </w:p>
        </w:tc>
        <w:tc>
          <w:tcPr>
            <w:tcW w:w="30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30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14,163</w:t>
            </w:r>
          </w:p>
        </w:tc>
      </w:tr>
      <w:tr>
        <w:trPr>
          <w:trHeight w:val="230"/>
        </w:trPr>
        <w:tc>
          <w:tcPr>
            <w:tcW w:w="35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97,789</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44,696</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24,615</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12,016</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6,820</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25,366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211,302</w:t>
            </w:r>
          </w:p>
        </w:tc>
      </w:tr>
      <w:tr>
        <w:trPr>
          <w:trHeight w:val="217"/>
        </w:trPr>
        <w:tc>
          <w:tcPr>
            <w:tcW w:w="350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2,820</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2,596</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2,494</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2,433</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10,786</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23,858</w:t>
            </w:r>
          </w:p>
        </w:tc>
      </w:tr>
      <w:tr>
        <w:trPr>
          <w:trHeight w:val="223"/>
        </w:trPr>
        <w:tc>
          <w:tcPr>
            <w:tcW w:w="3500" w:type="dxa"/>
            <w:vAlign w:val="bottom"/>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250,063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373,909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126,666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93,705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471,088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369,203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1,684,634</w:t>
            </w: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33" w:lineRule="exact"/>
        <w:rPr>
          <w:sz w:val="20"/>
          <w:szCs w:val="20"/>
          <w:color w:val="auto"/>
        </w:rPr>
      </w:pPr>
    </w:p>
    <w:p>
      <w:pPr>
        <w:ind w:left="340" w:hanging="332"/>
        <w:spacing w:after="0" w:line="219" w:lineRule="auto"/>
        <w:tabs>
          <w:tab w:leader="none" w:pos="31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24" w:lineRule="exact"/>
        <w:rPr>
          <w:rFonts w:ascii="Arial" w:cs="Arial" w:eastAsia="Arial" w:hAnsi="Arial"/>
          <w:sz w:val="13"/>
          <w:szCs w:val="13"/>
          <w:color w:val="auto"/>
        </w:rPr>
      </w:pPr>
    </w:p>
    <w:p>
      <w:pPr>
        <w:ind w:left="340" w:right="380" w:hanging="332"/>
        <w:spacing w:after="0" w:line="211" w:lineRule="auto"/>
        <w:tabs>
          <w:tab w:leader="none" w:pos="31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24" w:lineRule="exact"/>
        <w:rPr>
          <w:rFonts w:ascii="Arial" w:cs="Arial" w:eastAsia="Arial" w:hAnsi="Arial"/>
          <w:sz w:val="13"/>
          <w:szCs w:val="13"/>
          <w:color w:val="auto"/>
        </w:rPr>
      </w:pPr>
    </w:p>
    <w:p>
      <w:pPr>
        <w:ind w:left="340" w:right="140" w:hanging="332"/>
        <w:spacing w:after="0" w:line="219" w:lineRule="auto"/>
        <w:tabs>
          <w:tab w:leader="none" w:pos="31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and long-term deferred revenue.</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115" w:lineRule="exact"/>
        <w:rPr>
          <w:sz w:val="20"/>
          <w:szCs w:val="20"/>
          <w:color w:val="auto"/>
        </w:rPr>
      </w:pPr>
    </w:p>
    <w:p>
      <w:pPr>
        <w:ind w:right="660"/>
        <w:spacing w:after="0" w:line="419"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r>
        <w:rPr>
          <w:rFonts w:ascii="Arial" w:cs="Arial" w:eastAsia="Arial" w:hAnsi="Arial"/>
          <w:sz w:val="18"/>
          <w:szCs w:val="18"/>
          <w:b w:val="1"/>
          <w:bCs w:val="1"/>
          <w:color w:val="auto"/>
        </w:rPr>
        <w:t xml:space="preserve"> CRITICAL ACCOUNTING POLICIES AND ESTIMATES</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37" w:lineRule="exact"/>
        <w:rPr>
          <w:sz w:val="20"/>
          <w:szCs w:val="20"/>
          <w:color w:val="auto"/>
        </w:rPr>
      </w:pPr>
    </w:p>
    <w:p>
      <w:pPr>
        <w:ind w:right="800"/>
        <w:spacing w:after="0" w:line="229"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ind w:right="180"/>
        <w:spacing w:after="0" w:line="233"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Credit Losses. </w:t>
      </w:r>
      <w:r>
        <w:rPr>
          <w:rFonts w:ascii="Arial" w:cs="Arial" w:eastAsia="Arial" w:hAnsi="Arial"/>
          <w:sz w:val="18"/>
          <w:szCs w:val="18"/>
          <w:color w:val="auto"/>
        </w:rPr>
        <w:t>Education revenue is primarily derived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services, professional education and test preparation services. Revenue, net of any refunds, corporate discounts, scholarships and employee tuition discounts is recognized ratably over the instruction period or access period for higher education and supplemental education services.</w:t>
      </w:r>
    </w:p>
    <w:p>
      <w:pPr>
        <w:spacing w:after="0" w:line="136"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At Kaplan International and Kaplan Supplemental Education,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KHE provides non-academic operations support services to Purdue Global pursuant to a TOSA, which includes technology support, help-desk functions, human resources support for faculty and employees, admissions support, financial aid administration, marketing and advertising, back-office business functions, and certain student recruitment services. KHE is not entitled to receive any reimbursement of costs incurred in providing support services, or any fee, unless and until Purdue Global has first covered all of its operating costs (subject to a cap), received payment for cost efficiencies, if any, and during the first five years of the TOSA receive a priority payment of $10 million per year in addition to the operating cost reimbursements and cost efficiency payments. KHE will receive reimbursement for its operating costs of providing the support services after payment of Purdue Global’s operating costs, cost efficiency payments, and priority payment. If there are sufficient revenues, KHE may be entitled to a cost efficiency payment, if any, and additional fee equal to 12.5% of Purdue Global’s revenue. Subject to certain limitations, a portion of the fee that is earned by KHE in one year may be carried over to subsequent years for payment to Kaplan.</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support fee and reimbursement for KHE support costs are entirely dependent on the availability of cash at the end of Purdue Global’s fiscal year (June 30), and therefore, all consideration in the contract is variable. The Company uses significant judgment to forecast the operating results of Purdue Global, the availability of cash at the end of each fiscal year, and the consideration it expects to receive from Purdue Global annually. Key assumptions used in the forecast model include student census and degree enrollment data, Purdue Global and KHE expenses, changes to working capital, contractually stipulated minimum payments, and lead conversion rates. The forecast is updated as uncertainties are resolved. The Company reviews and updates the assumptions regularly, as a significant change in one or more of these estimates could affect revenue recognized. Changes to the estimated variable consideration were not material for the year ended December 31, 2021.</w:t>
      </w:r>
    </w:p>
    <w:p>
      <w:pPr>
        <w:spacing w:after="0" w:line="13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A Kaplan International business has a contract with an examination body through August 2032 comprised of two performance obligations, one to build and create a professional exam and another to manage the delivery of that exam to qualified candidates. The first obligation was completed in 2021. The second obligation began after the first obligation was completed and is expected to continue through the end of the contract term. Revenues are recognized for both of these obligations using forecasted financial results and the use of a market-based profit margin applied to costs incurred during the financial reporting period. This profit margin is different for each obligation as a result of the different value created by each distinct obligation. The forecast, including key assumptions such as expected candidate volumes and related exam-management expenses, is updated as future uncertainties are resolved, which may result in changes to the profit margin associated with each performance obligation. The Company reviews and updates the assumptions regularly, as a significant change in one or more of these estimates could affect revenue recognized. Changes to the estimated variable consideration were not material for the year ended December 31, 2021.</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is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 economic conditions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4" w:name="page65"/>
    <w:bookmarkEnd w:id="64"/>
    <w:p>
      <w:pPr>
        <w:ind w:right="26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2020</w:t>
            </w:r>
          </w:p>
        </w:tc>
      </w:tr>
      <w:tr>
        <w:trPr>
          <w:trHeight w:val="214"/>
        </w:trPr>
        <w:tc>
          <w:tcPr>
            <w:tcW w:w="8620" w:type="dxa"/>
            <w:vAlign w:val="bottom"/>
          </w:tcPr>
          <w:p>
            <w:pPr>
              <w:ind w:left="20"/>
              <w:spacing w:after="0"/>
              <w:rPr>
                <w:sz w:val="20"/>
                <w:szCs w:val="20"/>
                <w:color w:val="auto"/>
              </w:rPr>
            </w:pPr>
            <w:r>
              <w:rPr>
                <w:rFonts w:ascii="Arial" w:cs="Arial" w:eastAsia="Arial" w:hAnsi="Arial"/>
                <w:sz w:val="16"/>
                <w:szCs w:val="16"/>
                <w:color w:val="auto"/>
              </w:rPr>
              <w:t>Goodwill and indefinite-lived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1,791.8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1,605.2</w:t>
            </w:r>
          </w:p>
        </w:tc>
      </w:tr>
      <w:tr>
        <w:trPr>
          <w:trHeight w:val="225"/>
        </w:trPr>
        <w:tc>
          <w:tcPr>
            <w:tcW w:w="86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9"/>
                <w:szCs w:val="19"/>
                <w:color w:val="auto"/>
              </w:rPr>
            </w:pP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7,425.5</w:t>
            </w:r>
          </w:p>
        </w:tc>
        <w:tc>
          <w:tcPr>
            <w:tcW w:w="34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6,444.1</w:t>
            </w:r>
          </w:p>
        </w:tc>
      </w:tr>
      <w:tr>
        <w:trPr>
          <w:trHeight w:val="230"/>
        </w:trPr>
        <w:tc>
          <w:tcPr>
            <w:tcW w:w="8620" w:type="dxa"/>
            <w:vAlign w:val="bottom"/>
          </w:tcPr>
          <w:p>
            <w:pPr>
              <w:ind w:left="2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28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24 %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25 %</w:t>
            </w:r>
          </w:p>
        </w:tc>
      </w:tr>
    </w:tbl>
    <w:p>
      <w:pPr>
        <w:spacing w:after="0" w:line="262"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the third quarter of 2021, as a result of the emergence of the COVID-19 Delta variant and continued weak product demand in the commercial office electrical products and hospitality sectors caused by the COVID-19 pandemic, the Company performed an interim review of the goodwill and indefinite-lived intangibles of the Dekko reporting unit. As a result of the impairment review, the Company recorded a $26.7 million goodwill impairment charge. The Company estimated the fair value of the reporting unit by utilizing a discounted cash flow model. The carrying value of the reporting unit exceeded the estimated fair value, resulting in a goodwill impairment charge for the amount by which the carrying value exceeded the estimated fair value after taking into account the effect of deferred income taxes. Dekko is included in manufacturing.</w:t>
      </w:r>
    </w:p>
    <w:p>
      <w:pPr>
        <w:spacing w:after="0" w:line="13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Company had 20 reporting units as of December 31, 2021. The reporting units with significant goodwill balances as of December 31, 2021, were as follows, representing 89% of the total goodwill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10"/>
        </w:trPr>
        <w:tc>
          <w:tcPr>
            <w:tcW w:w="9960" w:type="dxa"/>
            <w:vAlign w:val="bottom"/>
          </w:tcPr>
          <w:p>
            <w:pPr>
              <w:ind w:left="20"/>
              <w:spacing w:after="0"/>
              <w:rPr>
                <w:sz w:val="20"/>
                <w:szCs w:val="20"/>
                <w:color w:val="auto"/>
              </w:rPr>
            </w:pPr>
            <w:r>
              <w:rPr>
                <w:rFonts w:ascii="Arial" w:cs="Arial" w:eastAsia="Arial" w:hAnsi="Arial"/>
                <w:sz w:val="16"/>
                <w:szCs w:val="16"/>
                <w:color w:val="auto"/>
              </w:rPr>
              <w:t>Education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99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621.3</w:t>
            </w:r>
          </w:p>
        </w:tc>
      </w:tr>
      <w:tr>
        <w:trPr>
          <w:trHeight w:val="230"/>
        </w:trPr>
        <w:tc>
          <w:tcPr>
            <w:tcW w:w="99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170.6</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Leaf</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162.0</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118.3</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Hoover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243"/>
        </w:trPr>
        <w:tc>
          <w:tcPr>
            <w:tcW w:w="9960" w:type="dxa"/>
            <w:vAlign w:val="bottom"/>
          </w:tcPr>
          <w:p>
            <w:pPr>
              <w:ind w:left="20"/>
              <w:spacing w:after="0"/>
              <w:rPr>
                <w:sz w:val="20"/>
                <w:szCs w:val="20"/>
                <w:color w:val="auto"/>
              </w:rPr>
            </w:pPr>
            <w:r>
              <w:rPr>
                <w:rFonts w:ascii="Arial" w:cs="Arial" w:eastAsia="Arial" w:hAnsi="Arial"/>
                <w:sz w:val="16"/>
                <w:szCs w:val="16"/>
                <w:color w:val="auto"/>
              </w:rPr>
              <w:t>Dekko</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1,465.3</w:t>
            </w:r>
          </w:p>
        </w:tc>
      </w:tr>
      <w:tr>
        <w:trPr>
          <w:trHeight w:val="21"/>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As of November 30, 2021, in connection with the Company’s annual impairment testing, the Company decided to perform the quantitative goodwill impairment process at all of the reporting units with the exception of Framebridge, for which it performed a qualitative assessment.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2021, was consistent with the one used during the 2020 annual goodwill impairment test.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5" w:name="page66"/>
    <w:bookmarkEnd w:id="65"/>
    <w:p>
      <w:pPr>
        <w:jc w:val="both"/>
        <w:ind w:right="40"/>
        <w:spacing w:after="0" w:line="229" w:lineRule="auto"/>
        <w:rPr>
          <w:sz w:val="20"/>
          <w:szCs w:val="20"/>
          <w:color w:val="auto"/>
        </w:rPr>
      </w:pPr>
      <w:r>
        <w:rPr>
          <w:rFonts w:ascii="Arial" w:cs="Arial" w:eastAsia="Arial" w:hAnsi="Arial"/>
          <w:sz w:val="18"/>
          <w:szCs w:val="18"/>
          <w:color w:val="auto"/>
        </w:rPr>
        <w:t>The Company made changes to certain of its assumptions utilized in the discounted cash flow models for 2021 compared with the prior year to take into account changes in the economic environment, regulations and their impact on the Company’s businesses. The key assumptions used by the Company were as follows:</w:t>
      </w:r>
    </w:p>
    <w:p>
      <w:pPr>
        <w:spacing w:after="0" w:line="137" w:lineRule="exact"/>
        <w:rPr>
          <w:sz w:val="20"/>
          <w:szCs w:val="20"/>
          <w:color w:val="auto"/>
        </w:rPr>
      </w:pPr>
    </w:p>
    <w:p>
      <w:pPr>
        <w:ind w:left="180" w:right="140" w:hanging="172"/>
        <w:spacing w:after="0" w:line="227" w:lineRule="auto"/>
        <w:tabs>
          <w:tab w:leader="none" w:pos="281"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2022 through 2026 were used. The Company used expected cash flows for the periods 2022 through 2031 for the Hoover reporting unit. The expected cash flows took into account historical growth rates, the effect of the changed economic outlook at the Company’s businesses, industry challenges and an estimate for the possible impact of any applicable regulations.</w:t>
      </w:r>
    </w:p>
    <w:p>
      <w:pPr>
        <w:spacing w:after="0" w:line="134" w:lineRule="exact"/>
        <w:rPr>
          <w:rFonts w:ascii="Arial" w:cs="Arial" w:eastAsia="Arial" w:hAnsi="Arial"/>
          <w:sz w:val="18"/>
          <w:szCs w:val="18"/>
          <w:color w:val="auto"/>
        </w:rPr>
      </w:pPr>
    </w:p>
    <w:p>
      <w:pPr>
        <w:ind w:left="180" w:right="400" w:hanging="172"/>
        <w:spacing w:after="0" w:line="235" w:lineRule="auto"/>
        <w:tabs>
          <w:tab w:leader="none" w:pos="281"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flows beyond 2026 were projected to grow at a long-term growth rate, which the Company estimated between 1.5% and 3% for each reporting unit.</w:t>
      </w:r>
    </w:p>
    <w:p>
      <w:pPr>
        <w:spacing w:after="0" w:line="134"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used a discount rate of 10% to 17%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2021.</w:t>
      </w:r>
    </w:p>
    <w:p>
      <w:pPr>
        <w:spacing w:after="0" w:line="144"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estimated fair value of the Dekko reporting unit at the manufacturing businesses exceeded its carrying value by a margin less than 25% following a goodwill impairment recorded in the third quarter of 2021. The total goodwill at this reporting unit was $47.8 million as of December 31, 2021, or 3% of the total goodwill of the Company. There exists a reasonable possibility that a decrease in the assumed projected cash flows or long-term growth rate, or an increase in the discount rate assumption used in the discounted cash flow model of this reporting unit, could result in an additional impairment charge.</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estimated fair value of the Company’s other reporting units with significant goodwill balances exceeded their respective carrying values by a margin in excess of 25%. It is possible that impairment charges could occur in the future, given changes in market conditions and the inherent variability in projecting future operating performance.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140"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Company’s intangible assets with an indefinite life are principally from trade names, franchise rights and FCC licenses. The fair value of the indefinite-lived intangible assets exceeded their respective carrying values as of November 30, 2021. There is always a possibility that impairment charges could occur in the future, given the inherent variability in projecting future operating performance.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15"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gains,</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gains and special termination benefits, the Company’s net pension credit was $ 93.0 million, $55.4 million and $52.7 million for 2021, 2020 and 2019, respectively. The Company’s pension benefit obligation and related credits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assumed a 6.25% expected return on plan assets for 2021, 2020 and 2019. The Company’s actual return on plan assets was 24.4% in 2021, 25.4% in 2020 and 23.9% in 2019. The 10-year and 20-year actual returns on plan assets on an annual basis were 13.7% and 10.0%,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6" w:name="page67"/>
    <w:bookmarkEnd w:id="66"/>
    <w:p>
      <w:pPr>
        <w:ind w:right="40"/>
        <w:spacing w:after="0" w:line="225"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2021, 2020 and 2019, was 2.9%, 2.5% and 3.3%, respectively, reflecting market interest rates.</w:t>
      </w:r>
    </w:p>
    <w:p>
      <w:pPr>
        <w:spacing w:after="0" w:line="13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2021 pension credit, excluding curtailment gains, settlement gains and special termination benefits:</w:t>
      </w:r>
    </w:p>
    <w:p>
      <w:pPr>
        <w:spacing w:after="0" w:line="135" w:lineRule="exact"/>
        <w:rPr>
          <w:sz w:val="20"/>
          <w:szCs w:val="20"/>
          <w:color w:val="auto"/>
        </w:rPr>
      </w:pPr>
    </w:p>
    <w:p>
      <w:pPr>
        <w:ind w:left="180" w:right="800" w:hanging="172"/>
        <w:spacing w:after="0" w:line="235" w:lineRule="auto"/>
        <w:tabs>
          <w:tab w:leader="none" w:pos="2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$22.1 million.</w:t>
      </w:r>
    </w:p>
    <w:p>
      <w:pPr>
        <w:spacing w:after="0" w:line="134" w:lineRule="exact"/>
        <w:rPr>
          <w:rFonts w:ascii="Arial" w:cs="Arial" w:eastAsia="Arial" w:hAnsi="Arial"/>
          <w:sz w:val="18"/>
          <w:szCs w:val="18"/>
          <w:color w:val="auto"/>
        </w:rPr>
      </w:pPr>
    </w:p>
    <w:p>
      <w:pPr>
        <w:ind w:left="180" w:right="40" w:hanging="172"/>
        <w:spacing w:after="0" w:line="258" w:lineRule="auto"/>
        <w:tabs>
          <w:tab w:leader="none" w:pos="281"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decreased the pension credit by approximately $0.6 million. A 1% increase to the Company’s assumed discount rate would have increased the pension credit by approximately $18.0 million.</w:t>
      </w:r>
    </w:p>
    <w:p>
      <w:pPr>
        <w:spacing w:after="0" w:line="120"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13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135"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144" w:lineRule="exact"/>
        <w:rPr>
          <w:rFonts w:ascii="Arial" w:cs="Arial" w:eastAsia="Arial" w:hAnsi="Arial"/>
          <w:sz w:val="18"/>
          <w:szCs w:val="18"/>
          <w:color w:val="auto"/>
        </w:rPr>
      </w:pPr>
    </w:p>
    <w:p>
      <w:pPr>
        <w:ind w:left="180" w:right="140" w:hanging="172"/>
        <w:spacing w:after="0" w:line="258" w:lineRule="auto"/>
        <w:tabs>
          <w:tab w:leader="none" w:pos="271"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2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2018, the Company had no net unamortized actuarial gains in accumulated other comprehensive income subject to amortization outside the 10% corridor, and therefore, no amortized gain was included in the pension credit for 2019.</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2019, there were significant pension asset gains offset by a decrease in the discount rate and the purchase of a group annuity contract that resulted in no net unamortized actuarial gains in accumulated other comprehensive income subject to amortization outside the 10% corridor, and therefore, no amortized gain amount was included in the pension credit for 2020.</w:t>
      </w:r>
    </w:p>
    <w:p>
      <w:pPr>
        <w:spacing w:after="0" w:line="13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During 2020, there were significant pension asset gains offset by a further decrease in the discount rate that resulted in net unamortized actuarial gains in accumulated other comprehensive income subject to amortization outside the 10% corridor, and therefore, an amortized gain of $7.9 million was included in the pension credit for 2021.</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2021, there were significant pension asset gains and an increase in the discount rate. The Company currently estimates that there will be net unamortized actuarial gains in accumulated other comprehensive income subject to amortization outside the 10% corridor, and therefore, an amortized gain amount of $68.9 million is included in the estimated pension credit for 2022.</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$179 million in 2022.</w:t>
      </w:r>
    </w:p>
    <w:p>
      <w:pPr>
        <w:spacing w:after="0" w:line="144" w:lineRule="exact"/>
        <w:rPr>
          <w:sz w:val="20"/>
          <w:szCs w:val="20"/>
          <w:color w:val="auto"/>
        </w:rPr>
      </w:pPr>
    </w:p>
    <w:p>
      <w:pPr>
        <w:ind w:right="1040"/>
        <w:spacing w:after="0" w:line="235" w:lineRule="auto"/>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6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3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As of December 31, 2021, the Company had state income tax net operating loss carryforwards of $1,026.1 million, which will expire at various future dates. Also at December 31, 2021, the Company had $87.1 million of non-U.S. income tax loss carryforwards, of which $44.2 million may be carried forward indefinitely; $12.2 million of losses that, if unutilized, will expire in varying amounts through 2026; and $30.7 million of losses that, if unutilized, will start to expire after 2026. At December 31, 2021, the Company has established approximately $57.6 million in total valuation allowances, primarily against deferred state tax assets, net of U.S. Federal income taxes, and non-U.S. deferred tax assets, as the Company believes that it is more likely than not that the benefit from certain state and non-U.S. net operating loss carryforwards and other deferred tax assets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w:t>
      </w:r>
    </w:p>
    <w:p>
      <w:pPr>
        <w:spacing w:after="0" w:line="113"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68" w:name="page69"/>
    <w:bookmarkEnd w:id="68"/>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Graham Holdings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 xml:space="preserve">We have audited the accompanying consolidated balance sheets of Graham Holdings Company and its subsidiaries (the “Company”) as of December 31, 2021 and 2020, and the related consolidated statements of operations, of comprehensive income, of changes in common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Assessments – Hoover and Dekko Reporting Units</w:t>
      </w:r>
    </w:p>
    <w:p>
      <w:pPr>
        <w:spacing w:after="0" w:line="16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As described in Notes 2 and 9 to the consolidated financial statements, the Company’s consolidated goodwill balance was $ 1,649.6 million as of December 31, 2021. As disclosed by management, the goodwill associated with the Hoover and Dekko reporting units was $91.3 million and $47.8 million, respectively as of December 31, 2021. Management reviews goodwill for possible impairment at least annually, as of November 30, or between annual tests if an event occurs or circumstances change that would more likely than not reduce the fair value of the reporting unit below its carrying value. An impairment charge is recognized for the amount by which the carrying value exceeds the reporting unit’s fair value. Management reviews the carrying value of goodwill utilizing a discounted cash flow model. To determine the estimated fair value of the reporting unit, management makes assumptions regarding estimated future cash flows, discount rates, long-term growth rates, and market values.</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assessments of the Hoover and Dekko reporting units is a critical audit matter are (i) the significant judgment by management when determining the fair value of the reporting units; (ii) a high degree of auditor judgment, subjectivity, and effort in performing procedures and evaluating management’s estimated future cash flows and significant assumptions related to revenues, profit margins, and the discount rate; and (iii) the audit effort involved the use of professionals with specialized skill and knowledge.</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reporting units. These procedures also included, among others, (i) testing management’s process for determining the fair value of the Hoover and Dekko reporting units; (ii) evaluating the appropriateness of the discounted cash flow model; (iii) testing the completeness and accuracy of underlying data used in the model; and (iv) evaluating the reasonableness of significant assumptions related to revenues, profit margins, and the discount rate. Evaluating management’s assumptions related to revenues and profit margins involved evaluating whether the assumptions used were reasonable considering (i) the current and past performance of the reporting unit; (ii) relevant industry forecasts and macroeconomic conditions; (iii) consistency with external market and industry data; (iv) management’s historical forecasting accuracy; (v) consistency with evidence obtained in other areas of the audit; and (vi) the Company’s objectives and strategies. Professionals with specialized skill and knowledge were used to assist in evaluating the appropriateness of the model and the reasonableness of the discount rate assumption.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rPr>
          <w:sz w:val="20"/>
          <w:szCs w:val="20"/>
          <w:color w:val="auto"/>
        </w:rPr>
      </w:pPr>
      <w:r>
        <w:rPr>
          <w:rFonts w:ascii="Arial" w:cs="Arial" w:eastAsia="Arial" w:hAnsi="Arial"/>
          <w:sz w:val="18"/>
          <w:szCs w:val="18"/>
          <w:color w:val="auto"/>
        </w:rPr>
        <w:t>February 25,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4"/>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140"/>
              <w:spacing w:after="0"/>
              <w:rPr>
                <w:sz w:val="20"/>
                <w:szCs w:val="20"/>
                <w:color w:val="auto"/>
              </w:rPr>
            </w:pPr>
            <w:r>
              <w:rPr>
                <w:rFonts w:ascii="Arial" w:cs="Arial" w:eastAsia="Arial" w:hAnsi="Arial"/>
                <w:sz w:val="16"/>
                <w:szCs w:val="16"/>
                <w:color w:val="auto"/>
              </w:rPr>
              <w:t>Sales of services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2,089,800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2,056,228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2,111,035</w:t>
            </w:r>
          </w:p>
        </w:tc>
        <w:tc>
          <w:tcPr>
            <w:tcW w:w="0" w:type="dxa"/>
            <w:vAlign w:val="bottom"/>
          </w:tcPr>
          <w:p>
            <w:pPr>
              <w:spacing w:after="0"/>
              <w:rPr>
                <w:sz w:val="1"/>
                <w:szCs w:val="1"/>
                <w:color w:val="auto"/>
              </w:rPr>
            </w:pPr>
          </w:p>
        </w:tc>
      </w:tr>
      <w:tr>
        <w:trPr>
          <w:trHeight w:val="243"/>
        </w:trPr>
        <w:tc>
          <w:tcPr>
            <w:tcW w:w="7520" w:type="dxa"/>
            <w:vAlign w:val="bottom"/>
          </w:tcPr>
          <w:p>
            <w:pPr>
              <w:ind w:left="140"/>
              <w:spacing w:after="0"/>
              <w:rPr>
                <w:sz w:val="20"/>
                <w:szCs w:val="20"/>
                <w:color w:val="auto"/>
              </w:rPr>
            </w:pPr>
            <w:r>
              <w:rPr>
                <w:rFonts w:ascii="Arial" w:cs="Arial" w:eastAsia="Arial" w:hAnsi="Arial"/>
                <w:sz w:val="16"/>
                <w:szCs w:val="16"/>
                <w:color w:val="auto"/>
              </w:rPr>
              <w:t>Sales of goods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1,096,174</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832,893</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821,064</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3,185,974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2,889,121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2,932,099</w:t>
            </w:r>
          </w:p>
        </w:tc>
        <w:tc>
          <w:tcPr>
            <w:tcW w:w="0" w:type="dxa"/>
            <w:vAlign w:val="bottom"/>
          </w:tcPr>
          <w:p>
            <w:pPr>
              <w:spacing w:after="0"/>
              <w:rPr>
                <w:sz w:val="1"/>
                <w:szCs w:val="1"/>
                <w:color w:val="auto"/>
              </w:rPr>
            </w:pPr>
          </w:p>
        </w:tc>
      </w:tr>
      <w:tr>
        <w:trPr>
          <w:trHeight w:val="19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17"/>
                <w:szCs w:val="17"/>
                <w:color w:val="auto"/>
              </w:rPr>
            </w:pP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1,243,384</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Cost of services sold (exclusive of items shown below)</w:t>
            </w: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1,239,241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1,315,928</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Cost of goods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871,137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672,865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632,318</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831,853</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715,401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717,659</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71,415</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74,257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59,253</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57,870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56,780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53,243</w:t>
            </w:r>
          </w:p>
        </w:tc>
        <w:tc>
          <w:tcPr>
            <w:tcW w:w="0" w:type="dxa"/>
            <w:vAlign w:val="bottom"/>
          </w:tcPr>
          <w:p>
            <w:pPr>
              <w:spacing w:after="0"/>
              <w:rPr>
                <w:sz w:val="1"/>
                <w:szCs w:val="1"/>
                <w:color w:val="auto"/>
              </w:rPr>
            </w:pPr>
          </w:p>
        </w:tc>
      </w:tr>
      <w:tr>
        <w:trPr>
          <w:trHeight w:val="242"/>
        </w:trPr>
        <w:tc>
          <w:tcPr>
            <w:tcW w:w="7520" w:type="dxa"/>
            <w:vAlign w:val="bottom"/>
          </w:tcPr>
          <w:p>
            <w:pPr>
              <w:ind w:left="1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32,940</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30,170</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9,152</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3,108,599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2,788,714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2,787,553</w:t>
            </w:r>
          </w:p>
        </w:tc>
        <w:tc>
          <w:tcPr>
            <w:tcW w:w="0" w:type="dxa"/>
            <w:vAlign w:val="bottom"/>
          </w:tcPr>
          <w:p>
            <w:pPr>
              <w:spacing w:after="0"/>
              <w:rPr>
                <w:sz w:val="1"/>
                <w:szCs w:val="1"/>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77,375</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100,407</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144,546</w:t>
            </w:r>
          </w:p>
        </w:tc>
        <w:tc>
          <w:tcPr>
            <w:tcW w:w="0" w:type="dxa"/>
            <w:vAlign w:val="bottom"/>
          </w:tcPr>
          <w:p>
            <w:pPr>
              <w:spacing w:after="0"/>
              <w:rPr>
                <w:sz w:val="1"/>
                <w:szCs w:val="1"/>
                <w:color w:val="auto"/>
              </w:rPr>
            </w:pPr>
          </w:p>
        </w:tc>
      </w:tr>
      <w:tr>
        <w:trPr>
          <w:trHeight w:val="225"/>
        </w:trPr>
        <w:tc>
          <w:tcPr>
            <w:tcW w:w="7520" w:type="dxa"/>
            <w:vAlign w:val="bottom"/>
          </w:tcPr>
          <w:p>
            <w:pPr>
              <w:ind w:left="14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17,914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6,664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11,664</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3,409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3,871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6,151</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(33,943)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(38,310)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(29,779)</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109,230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59,315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162,798</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243,088</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60,787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98,668</w:t>
            </w:r>
          </w:p>
        </w:tc>
        <w:tc>
          <w:tcPr>
            <w:tcW w:w="0" w:type="dxa"/>
            <w:vAlign w:val="bottom"/>
          </w:tcPr>
          <w:p>
            <w:pPr>
              <w:spacing w:after="0"/>
              <w:rPr>
                <w:sz w:val="1"/>
                <w:szCs w:val="1"/>
                <w:color w:val="auto"/>
              </w:rPr>
            </w:pPr>
          </w:p>
        </w:tc>
      </w:tr>
      <w:tr>
        <w:trPr>
          <w:trHeight w:val="243"/>
        </w:trPr>
        <w:tc>
          <w:tcPr>
            <w:tcW w:w="752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32,554</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214,534</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32,431</w:t>
            </w:r>
          </w:p>
        </w:tc>
        <w:tc>
          <w:tcPr>
            <w:tcW w:w="0" w:type="dxa"/>
            <w:vAlign w:val="bottom"/>
          </w:tcPr>
          <w:p>
            <w:pPr>
              <w:spacing w:after="0"/>
              <w:rPr>
                <w:sz w:val="1"/>
                <w:szCs w:val="1"/>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449,627</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407,268</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426,479</w:t>
            </w:r>
          </w:p>
        </w:tc>
        <w:tc>
          <w:tcPr>
            <w:tcW w:w="0" w:type="dxa"/>
            <w:vAlign w:val="bottom"/>
          </w:tcPr>
          <w:p>
            <w:pPr>
              <w:spacing w:after="0"/>
              <w:rPr>
                <w:sz w:val="1"/>
                <w:szCs w:val="1"/>
                <w:color w:val="auto"/>
              </w:rPr>
            </w:pPr>
          </w:p>
        </w:tc>
      </w:tr>
      <w:tr>
        <w:trPr>
          <w:trHeight w:val="23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96,300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107,300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98,600</w:t>
            </w:r>
          </w:p>
        </w:tc>
        <w:tc>
          <w:tcPr>
            <w:tcW w:w="0" w:type="dxa"/>
            <w:vAlign w:val="bottom"/>
          </w:tcPr>
          <w:p>
            <w:pPr>
              <w:spacing w:after="0"/>
              <w:rPr>
                <w:sz w:val="1"/>
                <w:szCs w:val="1"/>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353,327</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299,968</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327,879</w:t>
            </w:r>
          </w:p>
        </w:tc>
        <w:tc>
          <w:tcPr>
            <w:tcW w:w="0" w:type="dxa"/>
            <w:vAlign w:val="bottom"/>
          </w:tcPr>
          <w:p>
            <w:pPr>
              <w:spacing w:after="0"/>
              <w:rPr>
                <w:sz w:val="1"/>
                <w:szCs w:val="1"/>
                <w:color w:val="auto"/>
              </w:rPr>
            </w:pPr>
          </w:p>
        </w:tc>
      </w:tr>
      <w:tr>
        <w:trPr>
          <w:trHeight w:val="23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(1,252)</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397</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352,075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300,365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327,855</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70.65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58.30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61.70</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4,951</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5,124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5,285</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70.45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58.13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4,965</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5,139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90"/>
        </w:trPr>
        <w:tc>
          <w:tcPr>
            <w:tcW w:w="760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Before Tax</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Translation adjustments arising during the year</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Actuarial gain</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Prior service cost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of net prior service cost (credit) included in net income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Settlements included in net income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flow hedges gain (loss)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Before Tax</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expense related to items of other comprehensive income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Net of Tax</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353,327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299,968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327,879</w:t>
            </w:r>
          </w:p>
        </w:tc>
      </w:tr>
      <w:tr>
        <w:trPr>
          <w:trHeight w:val="688"/>
        </w:trPr>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(16,052)</w:t>
            </w:r>
          </w:p>
        </w:tc>
        <w:tc>
          <w:tcPr>
            <w:tcW w:w="3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31,642</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5,371</w:t>
            </w:r>
          </w:p>
        </w:tc>
      </w:tr>
      <w:tr>
        <w:trPr>
          <w:trHeight w:val="243"/>
        </w:trPr>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215"/>
        </w:trPr>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(16,052)</w:t>
            </w:r>
          </w:p>
        </w:tc>
        <w:tc>
          <w:tcPr>
            <w:tcW w:w="3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31,642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7,382</w:t>
            </w:r>
          </w:p>
        </w:tc>
      </w:tr>
      <w:tr>
        <w:trPr>
          <w:trHeight w:val="454"/>
        </w:trPr>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519,595</w:t>
            </w:r>
          </w:p>
        </w:tc>
        <w:tc>
          <w:tcPr>
            <w:tcW w:w="3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365,164</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231,104</w:t>
            </w:r>
          </w:p>
        </w:tc>
      </w:tr>
      <w:tr>
        <w:trPr>
          <w:trHeight w:val="229"/>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(5,725)</w:t>
            </w:r>
          </w:p>
        </w:tc>
      </w:tr>
      <w:tr>
        <w:trPr>
          <w:trHeight w:val="230"/>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(5,486)</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1,219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(2,046)</w:t>
            </w:r>
          </w:p>
        </w:tc>
      </w:tr>
      <w:tr>
        <w:trPr>
          <w:trHeight w:val="229"/>
        </w:trPr>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3,170</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2,680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(4,142)</w:t>
            </w:r>
          </w:p>
        </w:tc>
      </w:tr>
      <w:tr>
        <w:trPr>
          <w:trHeight w:val="243"/>
        </w:trPr>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(91,676)</w:t>
            </w:r>
          </w:p>
        </w:tc>
      </w:tr>
      <w:tr>
        <w:trPr>
          <w:trHeight w:val="215"/>
        </w:trPr>
        <w:tc>
          <w:tcPr>
            <w:tcW w:w="2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517,157</w:t>
            </w:r>
          </w:p>
        </w:tc>
        <w:tc>
          <w:tcPr>
            <w:tcW w:w="3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368,994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127,515</w:t>
            </w:r>
          </w:p>
        </w:tc>
      </w:tr>
      <w:tr>
        <w:trPr>
          <w:trHeight w:val="238"/>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r>
      <w:tr>
        <w:trPr>
          <w:trHeight w:val="215"/>
        </w:trPr>
        <w:tc>
          <w:tcPr>
            <w:tcW w:w="2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501,454</w:t>
            </w:r>
          </w:p>
        </w:tc>
        <w:tc>
          <w:tcPr>
            <w:tcW w:w="3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399,354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133,553</w:t>
            </w:r>
          </w:p>
        </w:tc>
      </w:tr>
      <w:tr>
        <w:trPr>
          <w:trHeight w:val="238"/>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(133,380)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(34,087)</w:t>
            </w:r>
          </w:p>
        </w:tc>
      </w:tr>
      <w:tr>
        <w:trPr>
          <w:trHeight w:val="223"/>
        </w:trPr>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368,074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300,019</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99,466</w:t>
            </w:r>
          </w:p>
        </w:tc>
      </w:tr>
      <w:tr>
        <w:trPr>
          <w:trHeight w:val="215"/>
        </w:trPr>
        <w:tc>
          <w:tcPr>
            <w:tcW w:w="2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721,401</w:t>
            </w:r>
          </w:p>
        </w:tc>
        <w:tc>
          <w:tcPr>
            <w:tcW w:w="3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599,987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427,345</w:t>
            </w:r>
          </w:p>
        </w:tc>
      </w:tr>
      <w:tr>
        <w:trPr>
          <w:trHeight w:val="238"/>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345"/>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720,149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600,384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427,321</w:t>
            </w:r>
          </w:p>
        </w:tc>
      </w:tr>
      <w:tr>
        <w:trPr>
          <w:trHeight w:val="27"/>
        </w:trPr>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595" w:lineRule="exact"/>
        <w:rPr>
          <w:sz w:val="20"/>
          <w:szCs w:val="20"/>
          <w:color w:val="auto"/>
        </w:rPr>
      </w:pPr>
    </w:p>
    <w:p>
      <w:pPr>
        <w:sectPr>
          <w:pgSz w:w="11900" w:h="16838" w:orient="portrait"/>
          <w:cols w:equalWidth="0" w:num="2">
            <w:col w:w="6920" w:space="720"/>
            <w:col w:w="3580"/>
          </w:cols>
          <w:pgMar w:left="320" w:top="1035" w:right="35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share amounts)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7"/>
        </w:trPr>
        <w:tc>
          <w:tcPr>
            <w:tcW w:w="88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145,886</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413,991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12,175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9,063</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824,445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587,582</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607,471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537,156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Inventories and contracts in progress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141,471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120,622</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Prepaid expenses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81,741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75,523</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32,744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29,313</w:t>
            </w:r>
          </w:p>
        </w:tc>
        <w:tc>
          <w:tcPr>
            <w:tcW w:w="0" w:type="dxa"/>
            <w:vAlign w:val="bottom"/>
          </w:tcPr>
          <w:p>
            <w:pPr>
              <w:spacing w:after="0"/>
              <w:rPr>
                <w:sz w:val="1"/>
                <w:szCs w:val="1"/>
                <w:color w:val="auto"/>
              </w:rPr>
            </w:pPr>
          </w:p>
        </w:tc>
      </w:tr>
      <w:tr>
        <w:trPr>
          <w:trHeight w:val="220"/>
        </w:trPr>
        <w:tc>
          <w:tcPr>
            <w:tcW w:w="8820" w:type="dxa"/>
            <w:vAlign w:val="bottom"/>
          </w:tcPr>
          <w:p>
            <w:pPr>
              <w:ind w:left="20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1,241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942</w:t>
            </w:r>
          </w:p>
        </w:tc>
        <w:tc>
          <w:tcPr>
            <w:tcW w:w="0" w:type="dxa"/>
            <w:vAlign w:val="bottom"/>
          </w:tcPr>
          <w:p>
            <w:pPr>
              <w:spacing w:after="0"/>
              <w:rPr>
                <w:sz w:val="1"/>
                <w:szCs w:val="1"/>
                <w:color w:val="auto"/>
              </w:rPr>
            </w:pPr>
          </w:p>
        </w:tc>
      </w:tr>
      <w:tr>
        <w:trPr>
          <w:trHeight w:val="205"/>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1,847,174</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1,774,192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468,126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378,286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Right-of-Use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437,969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462,560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155,444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155,777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1,649,582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1,484,750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142,180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120,437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247,120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204,646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2,306,514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1,708,305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7,900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8,396</w:t>
            </w:r>
          </w:p>
        </w:tc>
        <w:tc>
          <w:tcPr>
            <w:tcW w:w="0" w:type="dxa"/>
            <w:vAlign w:val="bottom"/>
          </w:tcPr>
          <w:p>
            <w:pPr>
              <w:spacing w:after="0"/>
              <w:rPr>
                <w:sz w:val="1"/>
                <w:szCs w:val="1"/>
                <w:color w:val="auto"/>
              </w:rPr>
            </w:pPr>
          </w:p>
        </w:tc>
      </w:tr>
      <w:tr>
        <w:trPr>
          <w:trHeight w:val="220"/>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 (includes $782 and $0 of restricted cash)</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163,516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146,770</w:t>
            </w:r>
          </w:p>
        </w:tc>
        <w:tc>
          <w:tcPr>
            <w:tcW w:w="0" w:type="dxa"/>
            <w:vAlign w:val="bottom"/>
          </w:tcPr>
          <w:p>
            <w:pPr>
              <w:spacing w:after="0"/>
              <w:rPr>
                <w:sz w:val="1"/>
                <w:szCs w:val="1"/>
                <w:color w:val="auto"/>
              </w:rPr>
            </w:pPr>
          </w:p>
        </w:tc>
      </w:tr>
      <w:tr>
        <w:trPr>
          <w:trHeight w:val="213"/>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7,425,525</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6,444,119</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88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payable and accrued liabilities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583,629</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520,236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358,720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331,021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4,585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5,140</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77,655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86,797</w:t>
            </w:r>
          </w:p>
        </w:tc>
        <w:tc>
          <w:tcPr>
            <w:tcW w:w="0" w:type="dxa"/>
            <w:vAlign w:val="bottom"/>
          </w:tcPr>
          <w:p>
            <w:pPr>
              <w:spacing w:after="0"/>
              <w:rPr>
                <w:sz w:val="1"/>
                <w:szCs w:val="1"/>
                <w:color w:val="auto"/>
              </w:rPr>
            </w:pPr>
          </w:p>
        </w:tc>
      </w:tr>
      <w:tr>
        <w:trPr>
          <w:trHeight w:val="220"/>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141,749</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6,452</w:t>
            </w:r>
          </w:p>
        </w:tc>
        <w:tc>
          <w:tcPr>
            <w:tcW w:w="0" w:type="dxa"/>
            <w:vAlign w:val="bottom"/>
          </w:tcPr>
          <w:p>
            <w:pPr>
              <w:spacing w:after="0"/>
              <w:rPr>
                <w:sz w:val="1"/>
                <w:szCs w:val="1"/>
                <w:color w:val="auto"/>
              </w:rPr>
            </w:pPr>
          </w:p>
        </w:tc>
      </w:tr>
      <w:tr>
        <w:trPr>
          <w:trHeight w:val="205"/>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1,166,338</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949,646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175,391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201,918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36,497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48,768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676,706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521,274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13,661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9,240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405,200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428,849</w:t>
            </w:r>
          </w:p>
        </w:tc>
        <w:tc>
          <w:tcPr>
            <w:tcW w:w="0" w:type="dxa"/>
            <w:vAlign w:val="bottom"/>
          </w:tcPr>
          <w:p>
            <w:pPr>
              <w:spacing w:after="0"/>
              <w:rPr>
                <w:sz w:val="1"/>
                <w:szCs w:val="1"/>
                <w:color w:val="auto"/>
              </w:rPr>
            </w:pPr>
          </w:p>
        </w:tc>
      </w:tr>
      <w:tr>
        <w:trPr>
          <w:trHeight w:val="220"/>
        </w:trPr>
        <w:tc>
          <w:tcPr>
            <w:tcW w:w="882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525,752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506,103</w:t>
            </w:r>
          </w:p>
        </w:tc>
        <w:tc>
          <w:tcPr>
            <w:tcW w:w="0" w:type="dxa"/>
            <w:vAlign w:val="bottom"/>
          </w:tcPr>
          <w:p>
            <w:pPr>
              <w:spacing w:after="0"/>
              <w:rPr>
                <w:sz w:val="1"/>
                <w:szCs w:val="1"/>
                <w:color w:val="auto"/>
              </w:rPr>
            </w:pPr>
          </w:p>
        </w:tc>
      </w:tr>
      <w:tr>
        <w:trPr>
          <w:trHeight w:val="207"/>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2,999,545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2,665,798</w:t>
            </w:r>
          </w:p>
        </w:tc>
        <w:tc>
          <w:tcPr>
            <w:tcW w:w="0" w:type="dxa"/>
            <w:vAlign w:val="bottom"/>
          </w:tcPr>
          <w:p>
            <w:pPr>
              <w:spacing w:after="0"/>
              <w:rPr>
                <w:sz w:val="1"/>
                <w:szCs w:val="1"/>
                <w:color w:val="auto"/>
              </w:rPr>
            </w:pPr>
          </w:p>
        </w:tc>
      </w:tr>
      <w:tr>
        <w:trPr>
          <w:trHeight w:val="195"/>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 18)</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820" w:type="dxa"/>
            <w:vAlign w:val="bottom"/>
          </w:tcPr>
          <w:p>
            <w:pPr>
              <w:spacing w:after="0"/>
              <w:rPr>
                <w:sz w:val="20"/>
                <w:szCs w:val="20"/>
                <w:color w:val="auto"/>
              </w:rPr>
            </w:pPr>
            <w:r>
              <w:rPr>
                <w:rFonts w:ascii="Arial" w:cs="Arial" w:eastAsia="Arial" w:hAnsi="Arial"/>
                <w:sz w:val="15"/>
                <w:szCs w:val="15"/>
                <w:b w:val="1"/>
                <w:bCs w:val="1"/>
                <w:color w:val="auto"/>
              </w:rPr>
              <w:t>Redeemable Noncontrolling Interests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14,311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11,928</w:t>
            </w:r>
          </w:p>
        </w:tc>
        <w:tc>
          <w:tcPr>
            <w:tcW w:w="0" w:type="dxa"/>
            <w:vAlign w:val="bottom"/>
          </w:tcPr>
          <w:p>
            <w:pPr>
              <w:spacing w:after="0"/>
              <w:rPr>
                <w:sz w:val="1"/>
                <w:szCs w:val="1"/>
                <w:color w:val="auto"/>
              </w:rPr>
            </w:pPr>
          </w:p>
        </w:tc>
      </w:tr>
      <w:tr>
        <w:trPr>
          <w:trHeight w:val="207"/>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8820" w:type="dxa"/>
            <w:vAlign w:val="bottom"/>
          </w:tcPr>
          <w:p>
            <w:pPr>
              <w:spacing w:after="0"/>
              <w:rPr>
                <w:sz w:val="20"/>
                <w:szCs w:val="20"/>
                <w:color w:val="auto"/>
              </w:rPr>
            </w:pPr>
            <w:r>
              <w:rPr>
                <w:rFonts w:ascii="Arial" w:cs="Arial" w:eastAsia="Arial" w:hAnsi="Arial"/>
                <w:sz w:val="15"/>
                <w:szCs w:val="15"/>
                <w:b w:val="1"/>
                <w:bCs w:val="1"/>
                <w:color w:val="auto"/>
              </w:rPr>
              <w:t>Common 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Common stock</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Class A Common stock, $1 par value; 7,000,000 shares authorized; 964,001 shares issued and outstanding</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964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94"/>
        </w:trPr>
        <w:tc>
          <w:tcPr>
            <w:tcW w:w="8820" w:type="dxa"/>
            <w:vAlign w:val="bottom"/>
          </w:tcPr>
          <w:p>
            <w:pPr>
              <w:ind w:left="460"/>
              <w:spacing w:after="0"/>
              <w:rPr>
                <w:sz w:val="20"/>
                <w:szCs w:val="20"/>
                <w:color w:val="auto"/>
              </w:rPr>
            </w:pPr>
            <w:r>
              <w:rPr>
                <w:rFonts w:ascii="Arial" w:cs="Arial" w:eastAsia="Arial" w:hAnsi="Arial"/>
                <w:sz w:val="15"/>
                <w:szCs w:val="15"/>
                <w:color w:val="auto"/>
              </w:rPr>
              <w:t>Class B Common stock, $1 par value; 40,000,000 shares authorized; 19,035,999 shares issued; 3,942,065 and 4,018,832</w:t>
            </w:r>
          </w:p>
        </w:tc>
        <w:tc>
          <w:tcPr>
            <w:tcW w:w="200" w:type="dxa"/>
            <w:vAlign w:val="bottom"/>
          </w:tcPr>
          <w:p>
            <w:pPr>
              <w:spacing w:after="0"/>
              <w:rPr>
                <w:sz w:val="16"/>
                <w:szCs w:val="16"/>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19,036</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20" w:type="dxa"/>
            <w:vAlign w:val="bottom"/>
          </w:tcPr>
          <w:p>
            <w:pPr>
              <w:ind w:left="620"/>
              <w:spacing w:after="0"/>
              <w:rPr>
                <w:sz w:val="20"/>
                <w:szCs w:val="20"/>
                <w:color w:val="auto"/>
              </w:rPr>
            </w:pPr>
            <w:r>
              <w:rPr>
                <w:rFonts w:ascii="Arial" w:cs="Arial" w:eastAsia="Arial" w:hAnsi="Arial"/>
                <w:sz w:val="15"/>
                <w:szCs w:val="15"/>
                <w:color w:val="auto"/>
              </w:rPr>
              <w:t>shares outstanding</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389,456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388,159</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7,126,761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6,804,822</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Accumulated other comprehensive income, net of taxes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Cumulative foreign currency translation adjustment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(6,298)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9,754</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979,157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595,287</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Cash flow hedges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(1,471)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(1,727)</w:t>
            </w:r>
          </w:p>
        </w:tc>
        <w:tc>
          <w:tcPr>
            <w:tcW w:w="0" w:type="dxa"/>
            <w:vAlign w:val="bottom"/>
          </w:tcPr>
          <w:p>
            <w:pPr>
              <w:spacing w:after="0"/>
              <w:rPr>
                <w:sz w:val="1"/>
                <w:szCs w:val="1"/>
                <w:color w:val="auto"/>
              </w:rPr>
            </w:pPr>
          </w:p>
        </w:tc>
      </w:tr>
      <w:tr>
        <w:trPr>
          <w:trHeight w:val="220"/>
        </w:trPr>
        <w:tc>
          <w:tcPr>
            <w:tcW w:w="8820" w:type="dxa"/>
            <w:vAlign w:val="bottom"/>
          </w:tcPr>
          <w:p>
            <w:pPr>
              <w:ind w:left="200"/>
              <w:spacing w:after="0"/>
              <w:rPr>
                <w:sz w:val="20"/>
                <w:szCs w:val="20"/>
                <w:color w:val="auto"/>
              </w:rPr>
            </w:pPr>
            <w:r>
              <w:rPr>
                <w:rFonts w:ascii="Arial" w:cs="Arial" w:eastAsia="Arial" w:hAnsi="Arial"/>
                <w:sz w:val="15"/>
                <w:szCs w:val="15"/>
                <w:color w:val="auto"/>
              </w:rPr>
              <w:t>Cost of 15,093,934 and 15,017,167 shares of Class B common stock held in treasury</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(4,108,022)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(4,056,993)</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Common Stockholders’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4,399,583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3,759,302</w:t>
            </w: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5"/>
                <w:szCs w:val="15"/>
                <w:b w:val="1"/>
                <w:bCs w:val="1"/>
                <w:color w:val="auto"/>
              </w:rPr>
              <w:t>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12,086</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7,091</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4,411,669</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3,766,393</w:t>
            </w:r>
          </w:p>
        </w:tc>
        <w:tc>
          <w:tcPr>
            <w:tcW w:w="0" w:type="dxa"/>
            <w:vAlign w:val="bottom"/>
          </w:tcPr>
          <w:p>
            <w:pPr>
              <w:spacing w:after="0"/>
              <w:rPr>
                <w:sz w:val="1"/>
                <w:szCs w:val="1"/>
                <w:color w:val="auto"/>
              </w:rPr>
            </w:pPr>
          </w:p>
        </w:tc>
      </w:tr>
      <w:tr>
        <w:trPr>
          <w:trHeight w:val="214"/>
        </w:trPr>
        <w:tc>
          <w:tcPr>
            <w:tcW w:w="8820" w:type="dxa"/>
            <w:vAlign w:val="bottom"/>
          </w:tcPr>
          <w:p>
            <w:pPr>
              <w:ind w:left="660"/>
              <w:spacing w:after="0"/>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7,425,525</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6,444,119</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5" w:right="359" w:bottom="1157"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157"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7"/>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353,327</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299,968</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327,879</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162,225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161,207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121,648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Amortization of lease right-of-use asset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73,752</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89,956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84,185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pension benefit, settlement, and special separation benefit expense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(91,898)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(41,573)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(137,909)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Gain on marketable equity securities and cost method investments,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(254,844)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(57,669)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(103,748)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Credit loss expense and provision for other receivables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6,824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10,667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22,726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Stock-based compensation expense, net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5,659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6,348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6,278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Contingent consideration fair value measurements and accretion</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(4,207)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2,895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Foreign exchange loss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179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2,153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1,070</w:t>
            </w:r>
          </w:p>
        </w:tc>
        <w:tc>
          <w:tcPr>
            <w:tcW w:w="0" w:type="dxa"/>
            <w:vAlign w:val="bottom"/>
          </w:tcPr>
          <w:p>
            <w:pPr>
              <w:spacing w:after="0"/>
              <w:rPr>
                <w:sz w:val="1"/>
                <w:szCs w:val="1"/>
                <w:color w:val="auto"/>
              </w:rPr>
            </w:pPr>
          </w:p>
        </w:tc>
      </w:tr>
      <w:tr>
        <w:trPr>
          <w:trHeight w:val="194"/>
        </w:trPr>
        <w:tc>
          <w:tcPr>
            <w:tcW w:w="7660" w:type="dxa"/>
            <w:vAlign w:val="bottom"/>
          </w:tcPr>
          <w:p>
            <w:pPr>
              <w:ind w:left="220"/>
              <w:spacing w:after="0"/>
              <w:rPr>
                <w:sz w:val="20"/>
                <w:szCs w:val="20"/>
                <w:color w:val="auto"/>
              </w:rPr>
            </w:pPr>
            <w:r>
              <w:rPr>
                <w:rFonts w:ascii="Arial" w:cs="Arial" w:eastAsia="Arial" w:hAnsi="Arial"/>
                <w:sz w:val="15"/>
                <w:szCs w:val="15"/>
                <w:color w:val="auto"/>
              </w:rPr>
              <w:t>Gain on disposition and write-downs of businesses, property, plant and equipment, investments and other</w:t>
            </w:r>
          </w:p>
        </w:tc>
        <w:tc>
          <w:tcPr>
            <w:tcW w:w="260" w:type="dxa"/>
            <w:vAlign w:val="bottom"/>
          </w:tcPr>
          <w:p>
            <w:pPr>
              <w:spacing w:after="0"/>
              <w:rPr>
                <w:sz w:val="16"/>
                <w:szCs w:val="16"/>
                <w:color w:val="auto"/>
              </w:rPr>
            </w:pP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(8,554)</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660" w:type="dxa"/>
            <w:vAlign w:val="bottom"/>
          </w:tcPr>
          <w:p>
            <w:pPr>
              <w:ind w:left="300"/>
              <w:spacing w:after="0"/>
              <w:rPr>
                <w:sz w:val="20"/>
                <w:szCs w:val="20"/>
                <w:color w:val="auto"/>
              </w:rPr>
            </w:pPr>
            <w:r>
              <w:rPr>
                <w:rFonts w:ascii="Arial" w:cs="Arial" w:eastAsia="Arial" w:hAnsi="Arial"/>
                <w:sz w:val="15"/>
                <w:szCs w:val="15"/>
                <w:color w:val="auto"/>
              </w:rPr>
              <w:t>assets, net</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(214,926)</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(28,346)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Equity in earnings of affiliates, net of distributions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4,917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6,592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(2,678)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Provision for deferred income taxes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65,046</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14,377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69,751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(59,292)</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61,328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(53,602)</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4,551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3,786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(5,317)</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32,397</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(32,714)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(47,069)</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19,086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(25,728)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30,487</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(8,689)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3,310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1,828</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Lease liabilities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(85,147)</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(91,478)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(88,597)</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(14,144)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11,735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(33,655)</w:t>
            </w:r>
          </w:p>
        </w:tc>
        <w:tc>
          <w:tcPr>
            <w:tcW w:w="0" w:type="dxa"/>
            <w:vAlign w:val="bottom"/>
          </w:tcPr>
          <w:p>
            <w:pPr>
              <w:spacing w:after="0"/>
              <w:rPr>
                <w:sz w:val="1"/>
                <w:szCs w:val="1"/>
                <w:color w:val="auto"/>
              </w:rPr>
            </w:pPr>
          </w:p>
        </w:tc>
      </w:tr>
      <w:tr>
        <w:trPr>
          <w:trHeight w:val="220"/>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1,238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429</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207"/>
        </w:trPr>
        <w:tc>
          <w:tcPr>
            <w:tcW w:w="7660" w:type="dxa"/>
            <w:vAlign w:val="bottom"/>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202,426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210,663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165,164</w:t>
            </w:r>
          </w:p>
        </w:tc>
        <w:tc>
          <w:tcPr>
            <w:tcW w:w="0" w:type="dxa"/>
            <w:vAlign w:val="bottom"/>
          </w:tcPr>
          <w:p>
            <w:pPr>
              <w:spacing w:after="0"/>
              <w:rPr>
                <w:sz w:val="1"/>
                <w:szCs w:val="1"/>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(351,882)</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(20,080)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(179,421)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(162,537)</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(69,591)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(93,504)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sales of marketable equity securities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65,499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93,775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19,303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(48,036)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(20,004)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(7,499)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proceeds from sales of businesses, property, plant and equipment and other assets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10,295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225,570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54,495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(8,531)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(12,367)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(27,529)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Loans to related party</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(3,500)</w:t>
            </w:r>
          </w:p>
        </w:tc>
        <w:tc>
          <w:tcPr>
            <w:tcW w:w="0" w:type="dxa"/>
            <w:vAlign w:val="bottom"/>
          </w:tcPr>
          <w:p>
            <w:pPr>
              <w:spacing w:after="0"/>
              <w:rPr>
                <w:sz w:val="1"/>
                <w:szCs w:val="1"/>
                <w:color w:val="auto"/>
              </w:rPr>
            </w:pPr>
          </w:p>
        </w:tc>
      </w:tr>
      <w:tr>
        <w:trPr>
          <w:trHeight w:val="220"/>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557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2,068</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920</w:t>
            </w:r>
          </w:p>
        </w:tc>
        <w:tc>
          <w:tcPr>
            <w:tcW w:w="0" w:type="dxa"/>
            <w:vAlign w:val="bottom"/>
          </w:tcPr>
          <w:p>
            <w:pPr>
              <w:spacing w:after="0"/>
              <w:rPr>
                <w:sz w:val="1"/>
                <w:szCs w:val="1"/>
                <w:color w:val="auto"/>
              </w:rPr>
            </w:pPr>
          </w:p>
        </w:tc>
      </w:tr>
      <w:tr>
        <w:trPr>
          <w:trHeight w:val="207"/>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Provided by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(494,635)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199,371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(236,735)</w:t>
            </w:r>
          </w:p>
        </w:tc>
        <w:tc>
          <w:tcPr>
            <w:tcW w:w="0" w:type="dxa"/>
            <w:vAlign w:val="bottom"/>
          </w:tcPr>
          <w:p>
            <w:pPr>
              <w:spacing w:after="0"/>
              <w:rPr>
                <w:sz w:val="1"/>
                <w:szCs w:val="1"/>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borrowings under revolving credit facilities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134,696</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76,241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70,184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2,084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41,250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(55,683)</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(161,829)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(2,103)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(49,645)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(83,360)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(8,702)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Deferred payments of acquisitions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(30,866)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(19,348)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(2,255)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(30,136)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(29,970)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(29,553)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(repayments of) proceeds from vehicle floor plan payable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(10,563)</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(14,160)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14,384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3,777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6,000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 of noncontrolling interest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(3,508)</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(repayments of) bank overdrafts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3,410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1,636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exercise of stock options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25,129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220"/>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(639)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(425)</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7"/>
        </w:trPr>
        <w:tc>
          <w:tcPr>
            <w:tcW w:w="7660" w:type="dxa"/>
            <w:vAlign w:val="bottom"/>
          </w:tcPr>
          <w:p>
            <w:pPr>
              <w:ind w:left="460"/>
              <w:spacing w:after="0"/>
              <w:rPr>
                <w:sz w:val="20"/>
                <w:szCs w:val="20"/>
                <w:color w:val="auto"/>
              </w:rPr>
            </w:pPr>
            <w:r>
              <w:rPr>
                <w:rFonts w:ascii="Arial" w:cs="Arial" w:eastAsia="Arial" w:hAnsi="Arial"/>
                <w:sz w:val="15"/>
                <w:szCs w:val="15"/>
                <w:color w:val="auto"/>
              </w:rPr>
              <w:t>Net Cash Provided by (Used in) Financing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31,027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(204,002)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18,734</w:t>
            </w: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(3,029)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2,978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2,766</w:t>
            </w:r>
          </w:p>
        </w:tc>
        <w:tc>
          <w:tcPr>
            <w:tcW w:w="0" w:type="dxa"/>
            <w:vAlign w:val="bottom"/>
          </w:tcPr>
          <w:p>
            <w:pPr>
              <w:spacing w:after="0"/>
              <w:rPr>
                <w:sz w:val="1"/>
                <w:szCs w:val="1"/>
                <w:color w:val="auto"/>
              </w:rPr>
            </w:pPr>
          </w:p>
        </w:tc>
      </w:tr>
      <w:tr>
        <w:trPr>
          <w:trHeight w:val="206"/>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(Decrease) Increase in Cash and Cash Equivalents and Restricted Cash</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(264,211)</w:t>
            </w:r>
          </w:p>
        </w:tc>
        <w:tc>
          <w:tcPr>
            <w:tcW w:w="32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209,010</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(50,071)</w:t>
            </w: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423,054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214,044</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264,115</w:t>
            </w: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158,843</w:t>
            </w: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423,054</w:t>
            </w:r>
          </w:p>
        </w:tc>
        <w:tc>
          <w:tcPr>
            <w:tcW w:w="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214,044</w:t>
            </w:r>
          </w:p>
        </w:tc>
        <w:tc>
          <w:tcPr>
            <w:tcW w:w="0" w:type="dxa"/>
            <w:vAlign w:val="bottom"/>
          </w:tcPr>
          <w:p>
            <w:pPr>
              <w:spacing w:after="0"/>
              <w:rPr>
                <w:sz w:val="1"/>
                <w:szCs w:val="1"/>
                <w:color w:val="auto"/>
              </w:rPr>
            </w:pPr>
          </w:p>
        </w:tc>
      </w:tr>
      <w:tr>
        <w:trPr>
          <w:trHeight w:val="21"/>
        </w:trPr>
        <w:tc>
          <w:tcPr>
            <w:tcW w:w="7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39,000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91,000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28,000</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30,000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31,000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30,000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5" w:right="359" w:bottom="1022"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022" w:gutter="0" w:footer="0" w:header="0"/>
          <w:type w:val="continuous"/>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center"/>
              <w:ind w:right="57"/>
              <w:spacing w:after="0"/>
              <w:rPr>
                <w:sz w:val="20"/>
                <w:szCs w:val="20"/>
                <w:color w:val="auto"/>
              </w:rPr>
            </w:pPr>
            <w:r>
              <w:rPr>
                <w:rFonts w:ascii="Arial" w:cs="Arial" w:eastAsia="Arial" w:hAnsi="Arial"/>
                <w:sz w:val="11"/>
                <w:szCs w:val="11"/>
                <w:b w:val="1"/>
                <w:bCs w:val="1"/>
                <w:color w:val="auto"/>
                <w:w w:val="94"/>
              </w:rPr>
              <w:t>Class A</w:t>
            </w:r>
          </w:p>
        </w:tc>
        <w:tc>
          <w:tcPr>
            <w:tcW w:w="12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Class B</w:t>
            </w:r>
          </w:p>
        </w:tc>
        <w:tc>
          <w:tcPr>
            <w:tcW w:w="140" w:type="dxa"/>
            <w:vAlign w:val="bottom"/>
          </w:tcPr>
          <w:p>
            <w:pPr>
              <w:spacing w:after="0"/>
              <w:rPr>
                <w:sz w:val="10"/>
                <w:szCs w:val="10"/>
                <w:color w:val="auto"/>
              </w:rPr>
            </w:pPr>
          </w:p>
        </w:tc>
        <w:tc>
          <w:tcPr>
            <w:tcW w:w="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Capital in</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9"/>
                <w:szCs w:val="9"/>
                <w:color w:val="auto"/>
              </w:rPr>
            </w:pPr>
          </w:p>
        </w:tc>
        <w:tc>
          <w:tcPr>
            <w:tcW w:w="900" w:type="dxa"/>
            <w:vAlign w:val="bottom"/>
          </w:tcPr>
          <w:p>
            <w:pPr>
              <w:jc w:val="center"/>
              <w:ind w:right="17"/>
              <w:spacing w:after="0" w:line="108" w:lineRule="exact"/>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9"/>
                <w:szCs w:val="9"/>
                <w:color w:val="auto"/>
              </w:rPr>
            </w:pPr>
          </w:p>
        </w:tc>
        <w:tc>
          <w:tcPr>
            <w:tcW w:w="780" w:type="dxa"/>
            <w:vAlign w:val="bottom"/>
            <w:vMerge w:val="restart"/>
          </w:tcPr>
          <w:p>
            <w:pPr>
              <w:jc w:val="right"/>
              <w:ind w:right="195"/>
              <w:spacing w:after="0"/>
              <w:rPr>
                <w:sz w:val="20"/>
                <w:szCs w:val="20"/>
                <w:color w:val="auto"/>
              </w:rPr>
            </w:pPr>
            <w:r>
              <w:rPr>
                <w:rFonts w:ascii="Arial" w:cs="Arial" w:eastAsia="Arial" w:hAnsi="Arial"/>
                <w:sz w:val="11"/>
                <w:szCs w:val="11"/>
                <w:b w:val="1"/>
                <w:bCs w:val="1"/>
                <w:color w:val="auto"/>
              </w:rPr>
              <w:t>Treasury</w:t>
            </w:r>
          </w:p>
        </w:tc>
        <w:tc>
          <w:tcPr>
            <w:tcW w:w="960" w:type="dxa"/>
            <w:vAlign w:val="bottom"/>
            <w:gridSpan w:val="2"/>
            <w:vMerge w:val="restart"/>
          </w:tcPr>
          <w:p>
            <w:pPr>
              <w:jc w:val="right"/>
              <w:ind w:right="33"/>
              <w:spacing w:after="0"/>
              <w:rPr>
                <w:sz w:val="20"/>
                <w:szCs w:val="20"/>
                <w:color w:val="auto"/>
              </w:rPr>
            </w:pPr>
            <w:r>
              <w:rPr>
                <w:rFonts w:ascii="Arial" w:cs="Arial" w:eastAsia="Arial" w:hAnsi="Arial"/>
                <w:sz w:val="11"/>
                <w:szCs w:val="11"/>
                <w:b w:val="1"/>
                <w:bCs w:val="1"/>
                <w:color w:val="auto"/>
              </w:rPr>
              <w:t>Noncontrolling</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6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120" w:type="dxa"/>
            <w:vAlign w:val="bottom"/>
          </w:tcPr>
          <w:p>
            <w:pPr>
              <w:spacing w:after="0"/>
              <w:rPr>
                <w:sz w:val="9"/>
                <w:szCs w:val="9"/>
                <w:color w:val="auto"/>
              </w:rPr>
            </w:pPr>
          </w:p>
        </w:tc>
        <w:tc>
          <w:tcPr>
            <w:tcW w:w="580" w:type="dxa"/>
            <w:vAlign w:val="bottom"/>
          </w:tcPr>
          <w:p>
            <w:pPr>
              <w:jc w:val="center"/>
              <w:ind w:right="38"/>
              <w:spacing w:after="0" w:line="108"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9"/>
                <w:szCs w:val="9"/>
                <w:color w:val="auto"/>
              </w:rPr>
            </w:pPr>
          </w:p>
        </w:tc>
        <w:tc>
          <w:tcPr>
            <w:tcW w:w="68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Excess of</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17"/>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w w:val="98"/>
              </w:rPr>
              <w:t>Total Equity</w:t>
            </w:r>
          </w:p>
        </w:tc>
        <w:tc>
          <w:tcPr>
            <w:tcW w:w="160" w:type="dxa"/>
            <w:vAlign w:val="bottom"/>
          </w:tcPr>
          <w:p>
            <w:pPr>
              <w:spacing w:after="0"/>
              <w:rPr>
                <w:sz w:val="9"/>
                <w:szCs w:val="9"/>
                <w:color w:val="auto"/>
              </w:rPr>
            </w:pPr>
          </w:p>
        </w:tc>
        <w:tc>
          <w:tcPr>
            <w:tcW w:w="860" w:type="dxa"/>
            <w:vAlign w:val="bottom"/>
          </w:tcPr>
          <w:p>
            <w:pPr>
              <w:jc w:val="center"/>
              <w:ind w:right="35"/>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2"/>
                <w:szCs w:val="12"/>
                <w:color w:val="auto"/>
              </w:rPr>
            </w:pPr>
          </w:p>
        </w:tc>
        <w:tc>
          <w:tcPr>
            <w:tcW w:w="540" w:type="dxa"/>
            <w:vAlign w:val="bottom"/>
          </w:tcPr>
          <w:p>
            <w:pPr>
              <w:jc w:val="center"/>
              <w:ind w:right="17"/>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Pr>
          <w:p>
            <w:pPr>
              <w:spacing w:after="0"/>
              <w:rPr>
                <w:sz w:val="12"/>
                <w:szCs w:val="12"/>
                <w:color w:val="auto"/>
              </w:rPr>
            </w:pPr>
          </w:p>
        </w:tc>
        <w:tc>
          <w:tcPr>
            <w:tcW w:w="580" w:type="dxa"/>
            <w:vAlign w:val="bottom"/>
          </w:tcPr>
          <w:p>
            <w:pPr>
              <w:jc w:val="center"/>
              <w:ind w:right="18"/>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2"/>
                <w:szCs w:val="12"/>
                <w:color w:val="auto"/>
              </w:rPr>
            </w:pPr>
          </w:p>
        </w:tc>
        <w:tc>
          <w:tcPr>
            <w:tcW w:w="760" w:type="dxa"/>
            <w:vAlign w:val="bottom"/>
          </w:tcPr>
          <w:p>
            <w:pPr>
              <w:jc w:val="right"/>
              <w:ind w:right="154"/>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900" w:type="dxa"/>
            <w:vAlign w:val="bottom"/>
          </w:tcPr>
          <w:p>
            <w:pPr>
              <w:jc w:val="center"/>
              <w:ind w:right="17"/>
              <w:spacing w:after="0"/>
              <w:rPr>
                <w:sz w:val="20"/>
                <w:szCs w:val="20"/>
                <w:color w:val="auto"/>
              </w:rPr>
            </w:pPr>
            <w:r>
              <w:rPr>
                <w:rFonts w:ascii="Arial" w:cs="Arial" w:eastAsia="Arial" w:hAnsi="Arial"/>
                <w:sz w:val="11"/>
                <w:szCs w:val="11"/>
                <w:b w:val="1"/>
                <w:bCs w:val="1"/>
                <w:color w:val="auto"/>
                <w:w w:val="98"/>
              </w:rPr>
              <w:t>Income</w:t>
            </w:r>
          </w:p>
        </w:tc>
        <w:tc>
          <w:tcPr>
            <w:tcW w:w="200" w:type="dxa"/>
            <w:vAlign w:val="bottom"/>
          </w:tcPr>
          <w:p>
            <w:pPr>
              <w:spacing w:after="0"/>
              <w:rPr>
                <w:sz w:val="12"/>
                <w:szCs w:val="12"/>
                <w:color w:val="auto"/>
              </w:rPr>
            </w:pPr>
          </w:p>
        </w:tc>
        <w:tc>
          <w:tcPr>
            <w:tcW w:w="780" w:type="dxa"/>
            <w:vAlign w:val="bottom"/>
          </w:tcPr>
          <w:p>
            <w:pPr>
              <w:jc w:val="right"/>
              <w:ind w:right="255"/>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tcPr>
          <w:p>
            <w:pPr>
              <w:jc w:val="right"/>
              <w:ind w:right="213"/>
              <w:spacing w:after="0"/>
              <w:rPr>
                <w:sz w:val="20"/>
                <w:szCs w:val="20"/>
                <w:color w:val="auto"/>
              </w:rPr>
            </w:pPr>
            <w:r>
              <w:rPr>
                <w:rFonts w:ascii="Arial" w:cs="Arial" w:eastAsia="Arial" w:hAnsi="Arial"/>
                <w:sz w:val="11"/>
                <w:szCs w:val="11"/>
                <w:b w:val="1"/>
                <w:bCs w:val="1"/>
                <w:color w:val="auto"/>
              </w:rPr>
              <w:t>Interest</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35"/>
              <w:spacing w:after="0"/>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2018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378,837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6,236,125</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203,829</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(3,922,009)</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2,916,782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4,346</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327,879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327,879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Issuance of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6,556</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6,556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1,715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Net loss attributable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(152)</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Acquisition of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1,153</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1,153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color w:val="auto"/>
              </w:rPr>
              <w:t>Net income attributable to redeemable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(176)</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(29,553)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(29,553)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(2,103)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(2,103)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color w:val="auto"/>
              </w:rPr>
              <w:t>Issuance of Class B common stock, net of</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60"/>
              <w:spacing w:after="0"/>
              <w:rPr>
                <w:sz w:val="20"/>
                <w:szCs w:val="20"/>
                <w:color w:val="auto"/>
              </w:rPr>
            </w:pPr>
            <w:r>
              <w:rPr>
                <w:rFonts w:ascii="Arial" w:cs="Arial" w:eastAsia="Arial" w:hAnsi="Arial"/>
                <w:sz w:val="13"/>
                <w:szCs w:val="13"/>
                <w:color w:val="auto"/>
              </w:rPr>
              <w:t>restricted stock award forfeitures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(3,721)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3,960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239</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6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6,521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6,521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99,466</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99,466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2019</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381,669</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6,534,427</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303,295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(3,920,152)</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7,557</w:t>
            </w: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3,326,796</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5,655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299,968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299,968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Net loss attributable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(386)</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6,005</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w:t>
            </w: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273</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(29,970)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(29,970)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(161,829)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(161,829)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color w:val="auto"/>
              </w:rPr>
              <w:t>Issuance of Class B common stock, net of</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60"/>
              <w:spacing w:after="0"/>
              <w:rPr>
                <w:sz w:val="20"/>
                <w:szCs w:val="20"/>
                <w:color w:val="auto"/>
              </w:rPr>
            </w:pPr>
            <w:r>
              <w:rPr>
                <w:rFonts w:ascii="Arial" w:cs="Arial" w:eastAsia="Arial" w:hAnsi="Arial"/>
                <w:sz w:val="13"/>
                <w:szCs w:val="13"/>
                <w:color w:val="auto"/>
              </w:rPr>
              <w:t>restricted stock award forfeitures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24,988</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24,577</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6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6,901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6,901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300,019</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300,019</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2020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388,159</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6,804,822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603,314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(4,056,993)</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7,091</w:t>
            </w: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3,766,393</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11,928</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Net income for the year</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353,327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353,327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3,350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3,350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(1,943)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1,943</w:t>
            </w: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Arial" w:cs="Arial" w:eastAsia="Arial" w:hAnsi="Arial"/>
                <w:sz w:val="13"/>
                <w:szCs w:val="13"/>
                <w:b w:val="1"/>
                <w:bCs w:val="1"/>
                <w:color w:val="auto"/>
              </w:rPr>
              <w:t>Acquisition of redeemable noncontrolling</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6,617</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Arial" w:cs="Arial" w:eastAsia="Arial" w:hAnsi="Arial"/>
                <w:sz w:val="13"/>
                <w:szCs w:val="13"/>
                <w:b w:val="1"/>
                <w:bCs w:val="1"/>
                <w:color w:val="auto"/>
              </w:rPr>
              <w:t>Net loss attributable to redeemable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691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691</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(691)</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292</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257</w:t>
            </w: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549</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Distribution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(555)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(555)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(30,136)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(30,136)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(55,683)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(55,683)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Arial" w:cs="Arial" w:eastAsia="Arial" w:hAnsi="Arial"/>
                <w:sz w:val="13"/>
                <w:szCs w:val="13"/>
                <w:b w:val="1"/>
                <w:bCs w:val="1"/>
                <w:color w:val="auto"/>
              </w:rPr>
              <w:t>Issuance of Class B common stock, net of</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restricted stock award forfeitures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(5,593)</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4,654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(939)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and stock option expense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6,598</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6,598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Arial" w:cs="Arial" w:eastAsia="Arial" w:hAnsi="Arial"/>
                <w:sz w:val="13"/>
                <w:szCs w:val="13"/>
                <w:b w:val="1"/>
                <w:bCs w:val="1"/>
                <w:color w:val="auto"/>
              </w:rPr>
              <w:t>Other comprehensive income, net of income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taxes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368,074</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368,074</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Arial" w:cs="Arial" w:eastAsia="Arial" w:hAnsi="Arial"/>
                <w:sz w:val="13"/>
                <w:szCs w:val="13"/>
                <w:b w:val="1"/>
                <w:bCs w:val="1"/>
                <w:color w:val="auto"/>
              </w:rPr>
              <w:t>Purchase of redeemable noncontrolling</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(3,508)</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19,036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389,456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7,126,761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971,388</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(4,108,022)</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4,411,669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14,311</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180"/>
          </w:cols>
          <w:pgMar w:left="320" w:top="1035" w:right="39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(U.S.). The Company’s media operations comprise the ownership and operation of seven television broadcasting stations.</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three categories: Kaplan International, Higher Education (KHE) and Supplemental Education.</w:t>
      </w:r>
    </w:p>
    <w:p>
      <w:pPr>
        <w:spacing w:after="0" w:line="9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podcast</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and a marketing solutions provider.</w:t>
      </w:r>
    </w:p>
    <w:p>
      <w:pPr>
        <w:spacing w:after="0" w:line="102" w:lineRule="exact"/>
        <w:rPr>
          <w:sz w:val="20"/>
          <w:szCs w:val="20"/>
          <w:color w:val="auto"/>
        </w:rPr>
      </w:pPr>
    </w:p>
    <w:p>
      <w:pPr>
        <w:jc w:val="both"/>
        <w:ind w:right="520"/>
        <w:spacing w:after="0" w:line="236" w:lineRule="auto"/>
        <w:rPr>
          <w:sz w:val="20"/>
          <w:szCs w:val="20"/>
          <w:color w:val="auto"/>
        </w:rPr>
      </w:pPr>
      <w:r>
        <w:rPr>
          <w:rFonts w:ascii="Arial" w:cs="Arial" w:eastAsia="Arial" w:hAnsi="Arial"/>
          <w:sz w:val="18"/>
          <w:szCs w:val="18"/>
          <w:i w:val="1"/>
          <w:iCs w:val="1"/>
          <w:color w:val="auto"/>
        </w:rPr>
        <w:t xml:space="preserve">Television broadcasting. </w:t>
      </w:r>
      <w:r>
        <w:rPr>
          <w:rFonts w:ascii="Arial" w:cs="Arial" w:eastAsia="Arial" w:hAnsi="Arial"/>
          <w:sz w:val="18"/>
          <w:szCs w:val="18"/>
          <w:color w:val="auto"/>
        </w:rPr>
        <w:t>As of December 31, 2021, the Company owned seven television stations located in Houston, TX; Detroit, MI;</w:t>
      </w:r>
      <w:r>
        <w:rPr>
          <w:rFonts w:ascii="Arial" w:cs="Arial" w:eastAsia="Arial" w:hAnsi="Arial"/>
          <w:sz w:val="18"/>
          <w:szCs w:val="18"/>
          <w:i w:val="1"/>
          <w:iCs w:val="1"/>
          <w:color w:val="auto"/>
        </w:rPr>
        <w:t xml:space="preserve"> </w:t>
      </w:r>
      <w:r>
        <w:rPr>
          <w:rFonts w:ascii="Arial" w:cs="Arial" w:eastAsia="Arial" w:hAnsi="Arial"/>
          <w:sz w:val="18"/>
          <w:szCs w:val="18"/>
          <w:color w:val="auto"/>
        </w:rPr>
        <w:t>Orlando, FL; San Antonio, TX; Roanoke, VA; and two stations in Jacksonville, FL. All stations are network-affiliated except for WJXT in Jacksonville, FL.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r>
        <w:rPr>
          <w:rFonts w:ascii="Arial" w:cs="Arial" w:eastAsia="Arial" w:hAnsi="Arial"/>
          <w:sz w:val="18"/>
          <w:szCs w:val="18"/>
          <w:color w:val="auto"/>
        </w:rPr>
        <w:t>—The Company’s manufacturing businesses include Hoover, Dekko, Joyce/Dayton and Forney.</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automotive dealerships, restaurants and entertainment venues, consumer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brands, custom framing services and home health and hospice services.</w:t>
      </w:r>
    </w:p>
    <w:p>
      <w:pPr>
        <w:spacing w:after="0" w:line="98"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U.S. and include the assets, liabilities, results of operations and cash flows of the Company and its majority-owned and controlled subsidiaries. All significant intercompany accounts and transactions have been eliminated in consolidation.</w:t>
      </w:r>
    </w:p>
    <w:p>
      <w:pPr>
        <w:spacing w:after="0" w:line="114"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 December 31, 2021 and through the date of this filing. The accounting matters assessed included, but were not limited to, the Company’s carrying value of goodwill and other long-lived assets, allowance for doubtful accounts, inventory valuation and related reserves, fair value of financial assets, valuation allowances for tax assets and revenue recognition. Other than the goodwill and other long-lived asset impairment charges (see Notes 9, 12 and 19), there were no other impacts to the Company’s consolidated financial statements as of and for the year ended December 31, 2021 resulting from our assessments. The Company’s future assessment of the magnitude and duration of COVID-19, as well as other factors, could result in material impacts to the Company’s consolidated financial statements in future reporting periods.</w:t>
      </w:r>
    </w:p>
    <w:p>
      <w:pPr>
        <w:spacing w:after="0" w:line="113"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9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required to be held by non-U.S. higher education institutions for prepaid tuition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foreign government regulations. These regulations stipulate that the Company has a fiduciary responsibility to segregate certain funds to ensure these funds are only used for the benefit of eligible students.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6" w:name="page77"/>
    <w:bookmarkEnd w:id="76"/>
    <w:p>
      <w:pPr>
        <w:ind w:right="20"/>
        <w:spacing w:after="0" w:line="230"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receivables from contracts with customers.</w:t>
      </w:r>
    </w:p>
    <w:p>
      <w:pPr>
        <w:spacing w:after="0" w:line="115"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Accounts receivable have been reduced by an allowance that reflects the current expected credit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receivables. The current expected credit losses are estimated based on historical write-offs, current macroeconomic conditions and reasonable and supportable forecasts of future economic conditions. Reserves are also established against specific receivables based on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115" w:lineRule="exact"/>
        <w:rPr>
          <w:sz w:val="20"/>
          <w:szCs w:val="20"/>
          <w:color w:val="auto"/>
        </w:rPr>
      </w:pPr>
    </w:p>
    <w:p>
      <w:pPr>
        <w:spacing w:after="0" w:line="245" w:lineRule="auto"/>
        <w:rPr>
          <w:sz w:val="20"/>
          <w:szCs w:val="20"/>
          <w:color w:val="auto"/>
        </w:rPr>
      </w:pPr>
      <w:r>
        <w:rPr>
          <w:rFonts w:ascii="Arial" w:cs="Arial" w:eastAsia="Arial" w:hAnsi="Arial"/>
          <w:sz w:val="17"/>
          <w:szCs w:val="17"/>
          <w:b w:val="1"/>
          <w:bCs w:val="1"/>
          <w:color w:val="auto"/>
        </w:rPr>
        <w:t xml:space="preserve">Investments in Equity Securities. </w:t>
      </w:r>
      <w:r>
        <w:rPr>
          <w:rFonts w:ascii="Arial" w:cs="Arial" w:eastAsia="Arial" w:hAnsi="Arial"/>
          <w:sz w:val="17"/>
          <w:szCs w:val="17"/>
          <w:color w:val="auto"/>
        </w:rPr>
        <w:t>The Company measures its investments in equity securities at fair value with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in earnings. The Company elected the measurement alternative to measure cost method investments that do not have readily determinable fair value at cost less impairment, adjusted by observable price changes with any fair value changes recognized in earnings. If 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109"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lease right-of-use assets;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13"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interest rate hedges are determined based on a number of observable inputs, including time to maturity and market interest rates.</w:t>
      </w:r>
    </w:p>
    <w:p>
      <w:pPr>
        <w:spacing w:after="0" w:line="116"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Vehicle inventory is based on the specific identification method. The cost of new and used vehicle inventories includes the cost of any equipment added, reconditioning and transportation. In certain instances, vehicle manufacturers provide incentives which are reflected as a reduction in the carrying value of each vehicle purchased.</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7" w:name="page78"/>
    <w:bookmarkEnd w:id="77"/>
    <w:p>
      <w:pPr>
        <w:ind w:right="120"/>
        <w:spacing w:after="0" w:line="229" w:lineRule="auto"/>
        <w:rPr>
          <w:sz w:val="20"/>
          <w:szCs w:val="20"/>
          <w:color w:val="auto"/>
        </w:rPr>
      </w:pPr>
      <w:r>
        <w:rPr>
          <w:rFonts w:ascii="Arial" w:cs="Arial" w:eastAsia="Arial" w:hAnsi="Arial"/>
          <w:sz w:val="18"/>
          <w:szCs w:val="18"/>
          <w:color w:val="auto"/>
        </w:rPr>
        <w:t>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11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15"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franchise agreements and Federal Communications Commission (FCC) licenses. Amortized intangible assets are primarily student and customer relationships and trade names and trademarks, with amortization periods up to 15 years. Costs associated with renewing or extending intangible assets are insignificant and expensed as incurred.</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12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control, but over which it exerts significant influence. Significant influence is generally deemed to exist if the Company has an ownership interest in the voting stock of an investee between 20% and 50%. The Company also uses the equity method of accounting for its investments in a partnership or limited liability company with specific ownership accounts, if the Company has an ownership interest of 3% or more.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15"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identifies a contract for revenue recognition when there is approval and commitment from both</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114"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i w:val="1"/>
          <w:iCs w:val="1"/>
          <w:color w:val="auto"/>
        </w:rPr>
        <w:t>Education 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Education revenue is primarily derived from postsecondary education and supplementary education services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domestically and abroad. Generally, tuition and other fees are paid upfront and 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120" w:lineRule="exact"/>
        <w:rPr>
          <w:sz w:val="20"/>
          <w:szCs w:val="20"/>
          <w:color w:val="auto"/>
        </w:rPr>
      </w:pPr>
    </w:p>
    <w:p>
      <w:pPr>
        <w:jc w:val="both"/>
        <w:ind w:right="140"/>
        <w:spacing w:after="0" w:line="232" w:lineRule="auto"/>
        <w:rPr>
          <w:sz w:val="20"/>
          <w:szCs w:val="20"/>
          <w:color w:val="auto"/>
        </w:rPr>
      </w:pPr>
      <w:r>
        <w:rPr>
          <w:rFonts w:ascii="Arial" w:cs="Arial" w:eastAsia="Arial" w:hAnsi="Arial"/>
          <w:sz w:val="18"/>
          <w:szCs w:val="18"/>
          <w:i w:val="1"/>
          <w:iCs w:val="1"/>
          <w:color w:val="auto"/>
        </w:rPr>
        <w:t>Kaplan International</w:t>
      </w:r>
      <w:r>
        <w:rPr>
          <w:rFonts w:ascii="Arial" w:cs="Arial" w:eastAsia="Arial" w:hAnsi="Arial"/>
          <w:sz w:val="18"/>
          <w:szCs w:val="18"/>
          <w:color w:val="auto"/>
        </w:rPr>
        <w:t>. Kaplan International provides higher education, professional education, and test preparation services and materials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primarily in the United Kingdom (U.K.), Singapore, and Australia. Some Kaplan International contracts consist of one performance obligation that is a combination of indistinct promises to the student, while other Kaplan International contracts include multiple performance obligations as the promises in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8" w:name="page79"/>
    <w:bookmarkEnd w:id="78"/>
    <w:p>
      <w:pPr>
        <w:ind w:right="100"/>
        <w:spacing w:after="0" w:line="235" w:lineRule="auto"/>
        <w:rPr>
          <w:sz w:val="20"/>
          <w:szCs w:val="20"/>
          <w:color w:val="auto"/>
        </w:rPr>
      </w:pPr>
      <w:r>
        <w:rPr>
          <w:rFonts w:ascii="Arial" w:cs="Arial" w:eastAsia="Arial" w:hAnsi="Arial"/>
          <w:sz w:val="18"/>
          <w:szCs w:val="18"/>
          <w:color w:val="auto"/>
        </w:rPr>
        <w:t>contract are capable of being both distinct and distinct within the context of the contract. One Kaplan International business offers an option whereby students receive future services at a discount that is accounted for as a material right.</w:t>
      </w:r>
    </w:p>
    <w:p>
      <w:pPr>
        <w:spacing w:after="0" w:line="135"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Kaplan International generally determines standalone selling prices based on prices charged to students.</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 services. Kaplan International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13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One Kaplan International business has a contract with a customer consisting of two performance obligations which consisted entirely of variable consideration at contract inception. The Company allocates revenue to each performance obligation based on the expected cost plus a margin. The margin was determined by a market assessment. Revenue is recognized over time, using an input method, as the customer simultaneously benefits from the services as delivery occurs. The Company records a contract asset associated with this Kaplan International contract as the right to revenue is dependent on something other than the passage of time.</w:t>
      </w:r>
    </w:p>
    <w:p>
      <w:pPr>
        <w:spacing w:after="0" w:line="119"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i w:val="1"/>
          <w:iCs w:val="1"/>
          <w:color w:val="auto"/>
        </w:rPr>
        <w:t>Higher Education (KHE)</w:t>
      </w:r>
      <w:r>
        <w:rPr>
          <w:rFonts w:ascii="Arial" w:cs="Arial" w:eastAsia="Arial" w:hAnsi="Arial"/>
          <w:sz w:val="18"/>
          <w:szCs w:val="18"/>
          <w:color w:val="auto"/>
        </w:rPr>
        <w:t>. KHE primarily provides non-academic operations support services to Purdue University Global (Purdue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Transition and Operations Support Agreement (TOSA). This contract has a 30-year term and consists of one performance obligation, which represents a series of daily promises to provide support services to Purdue Global. The transaction price is entirely made up of variable consideration related to the reimbursement of KHE support costs and the KHE fee. The TOSA outlines a payment structure, which dictates how cash will be distributed at the end of Purdue Global’s fiscal year, which is the 30th of June. The collectability of the KHE support costs and KHE fee is entirely dependent on the availability of cash at the end of the fiscal year. This variable consideration is constrained based on fiscal year forecasts prepared for Purdue Global. The forecasts are updated throughout the fiscal year until the uncertainty is ultimately resolved, which is at the end of each Purdue Global fiscal year. As KHE’s performance obligation is made up of a series, the variable consideration is allocated to the distinct service period to which it relates, which is the Purdue Global fiscal year.</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 KHE fee revenue is also recognized over time based on the amount of Purdue Global revenue recognized to date and the percentage of fee expected to be collected for the fiscal year. The Company used these input measures as Purdue Global simultaneously receives and consumes the benefits of the services provided by KHE.</w:t>
      </w:r>
    </w:p>
    <w:p>
      <w:pPr>
        <w:spacing w:after="0" w:line="117"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Kaplan Supplemental Education</w:t>
      </w:r>
      <w:r>
        <w:rPr>
          <w:rFonts w:ascii="Arial" w:cs="Arial" w:eastAsia="Arial" w:hAnsi="Arial"/>
          <w:sz w:val="18"/>
          <w:szCs w:val="18"/>
          <w:color w:val="auto"/>
        </w:rPr>
        <w:t>. Supplemental Education offers test preparation services and materials to students, as well as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training and exam preparation for professional certifications and licensures to students. Generally, Supplemental Education contracts consist of multiple performance obligations as promises for these services are distinct within the context of the contract. The transaction price is stated in the contract and known at the time of contract inception, therefore no variable consideration exists. Revenue is allocated to each performance obligation based on its standalone selling price. Supplemental Education generally determines standalone selling prices based 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139"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Supplemental Education services revenue is recognized ratably over the period of access to the education materials. An estimate of the average access period is developed for each course, and this estimate is evaluated on an ongoing basis and adjusted as necessary. The time elapsed method, an input measure, is used as it best depicts the simultaneous consumption and availability of access to the services. Revenue associated with distinct course materials is recognized at the point in time when control transfers to the student, generally when products are delivered to the student.</w:t>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Television Broadcasting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broadcasting revenue at Graham Media Group (GMG) is primarily comprised of television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internet advertising revenue, and retransmission revenue.</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7" w:right="419" w:bottom="1440" w:gutter="0" w:footer="0" w:header="0"/>
        </w:sectPr>
      </w:pPr>
    </w:p>
    <w:bookmarkStart w:id="79" w:name="page80"/>
    <w:bookmarkEnd w:id="79"/>
    <w:p>
      <w:pPr>
        <w:ind w:right="40"/>
        <w:spacing w:after="0" w:line="228" w:lineRule="auto"/>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and recognizes advertising revenue over time. The Company 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GMG has the right to invoice the customer. Payment is typically received in arrears within 60 days of revenue recognition.</w:t>
      </w:r>
    </w:p>
    <w:p>
      <w:pPr>
        <w:spacing w:after="0" w:line="116"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distributors (MVPDs) to retransmit GMG’s stations’ broadcasts in their designated market areas.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 user rate identified in the retransmission contract. Payment is typically received in arrears within 60 days of revenue recognition.</w:t>
      </w:r>
    </w:p>
    <w:p>
      <w:pPr>
        <w:spacing w:after="0" w:line="117"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Manufacturing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revenue consists primarily of product sales generated by four businesses: Hoover, Dekko, Joyce,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Forney. The Company has determined that each item ordered by the 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138"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 recognizes revenue when or as control transfers to the customer. Some manufacturing revenue is recognized ratably over the manufacturing period, if the product created for the customer does not have an alternative use to the Company and the Company has an enforceable right to payment for performance completed to date. The determination of the method by which the Company measures its progress toward the satisfaction of its performance obligations requires judgment. The Company measures its progress for these products using the units delivered method, an output measure. These arrangements represented 21%, 23% and 28% of the manufacturing revenue recognized for the years ended December 31, 2021, 2020 and 2019, respectively.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Other manufacturing revenue is recognized at the point in time when control transfers to the customer, generally when the products are shipped. Some customers have a bill and hold arrangement with the Company. Revenue for bill and 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90 days of delivery.</w:t>
      </w:r>
    </w:p>
    <w:p>
      <w:pPr>
        <w:spacing w:after="0" w:line="144"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113" w:lineRule="exact"/>
        <w:rPr>
          <w:sz w:val="20"/>
          <w:szCs w:val="20"/>
          <w:color w:val="auto"/>
        </w:rPr>
      </w:pPr>
    </w:p>
    <w:p>
      <w:pPr>
        <w:jc w:val="both"/>
        <w:ind w:right="100"/>
        <w:spacing w:after="0" w:line="233" w:lineRule="auto"/>
        <w:rPr>
          <w:sz w:val="20"/>
          <w:szCs w:val="20"/>
          <w:color w:val="auto"/>
        </w:rPr>
      </w:pPr>
      <w:r>
        <w:rPr>
          <w:rFonts w:ascii="Arial" w:cs="Arial" w:eastAsia="Arial" w:hAnsi="Arial"/>
          <w:sz w:val="18"/>
          <w:szCs w:val="18"/>
          <w:b w:val="1"/>
          <w:bCs w:val="1"/>
          <w:i w:val="1"/>
          <w:iCs w:val="1"/>
          <w:color w:val="auto"/>
        </w:rPr>
        <w:t>Healthcare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contracts with patients to provide home health or hospice services. Payment is typically received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payors such as Medicare, Medicaid, and private insurers. The payor is a third party to the contract that stipulates the transaction price of the contract. The Company identifies the patient as the party who benefits from its healthcare services and as such, the patient is its customer.</w:t>
      </w:r>
    </w:p>
    <w:p>
      <w:pPr>
        <w:spacing w:after="0" w:line="136"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Centers for Medicare and Medicaid Services released a revised reimbursement structure under the Patient Driven Groupings Model (PDGM) for Medicare claims for home healthcare services effective for new and modified revenue contracts beginning on or after January 1, 2020. Home health services contracts generally have one performance obligation to provide home health services to patients. Under the PDGM model, the Company recognizes revenue using the right to invoice practical expedient, an output method, as the contractual right to revenue corresponds directly with the transfer of services to the patient. Given the election of the practical expedient, the Company does not determine the transaction price or allocate any variable consideration at contract inception. Rather, the Company recognizes revenue commensurate with the amount to which it has the right to invoice the customer, which is a function of the average length of stay within each of the two 30 day payment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0" w:name="page81"/>
    <w:bookmarkEnd w:id="80"/>
    <w:p>
      <w:pPr>
        <w:ind w:right="140"/>
        <w:spacing w:after="0" w:line="235" w:lineRule="auto"/>
        <w:rPr>
          <w:sz w:val="20"/>
          <w:szCs w:val="20"/>
          <w:color w:val="auto"/>
        </w:rPr>
      </w:pPr>
      <w:r>
        <w:rPr>
          <w:rFonts w:ascii="Arial" w:cs="Arial" w:eastAsia="Arial" w:hAnsi="Arial"/>
          <w:sz w:val="18"/>
          <w:szCs w:val="18"/>
          <w:color w:val="auto"/>
        </w:rPr>
        <w:t>periods. Payment is typically received from Medicare within 30 days after a claim is filed. Medicare is the most common third-party payor for home health services.</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Hospice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Hospice service revenue is recognized ratably over the period of care. The Company generally uses the time-elapsed method, an input measure as it best depicts the simultaneous delivery and consumption of healthcare services. Payment is received from third-party payors for hospice services within 60 days after a claim is filed, or in some cases in two installments, one during the contract and one after the services have been provided. Medicare is the most common third-party payor.</w:t>
      </w:r>
    </w:p>
    <w:p>
      <w:pPr>
        <w:spacing w:after="0" w:line="12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The Company recognizes revenue associated with management services it provides to its affiliates. The Company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117"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b w:val="1"/>
          <w:bCs w:val="1"/>
          <w:i w:val="1"/>
          <w:iCs w:val="1"/>
          <w:color w:val="auto"/>
        </w:rPr>
        <w:t xml:space="preserve">Automotive Revenue. </w:t>
      </w:r>
      <w:r>
        <w:rPr>
          <w:rFonts w:ascii="Arial" w:cs="Arial" w:eastAsia="Arial" w:hAnsi="Arial"/>
          <w:sz w:val="17"/>
          <w:szCs w:val="17"/>
          <w:color w:val="auto"/>
        </w:rPr>
        <w:t>The automotive subsidiary generates revenue primarily through the sale of new and used vehicles, the arrangement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 financing, insurance and other service contracts (F&amp;I revenue) and the performance of vehicle repair and maintenance services.</w:t>
      </w:r>
    </w:p>
    <w:p>
      <w:pPr>
        <w:spacing w:after="0" w:line="98" w:lineRule="exact"/>
        <w:rPr>
          <w:sz w:val="20"/>
          <w:szCs w:val="20"/>
          <w:color w:val="auto"/>
        </w:rPr>
      </w:pPr>
    </w:p>
    <w:p>
      <w:pPr>
        <w:jc w:val="both"/>
        <w:ind w:right="20"/>
        <w:spacing w:after="0" w:line="225" w:lineRule="auto"/>
        <w:rPr>
          <w:sz w:val="20"/>
          <w:szCs w:val="20"/>
          <w:color w:val="auto"/>
        </w:rPr>
      </w:pPr>
      <w:r>
        <w:rPr>
          <w:rFonts w:ascii="Arial" w:cs="Arial" w:eastAsia="Arial" w:hAnsi="Arial"/>
          <w:sz w:val="18"/>
          <w:szCs w:val="18"/>
          <w:color w:val="auto"/>
        </w:rPr>
        <w:t>New and used vehicle revenue contracts generally contain one performance obligation to deliver the vehicle to the customer in exchange for the stated contract consideration. Revenue is recognized at the point in time when control of the vehicle passes to the customer. F&amp;I revenue is recognized at the point in time when the agreement between the customer and financing, insurance or service provider is executed. As the automotive subsidiary acts as an agent in these F&amp;I revenue transactions, revenue is recognized net of any financing, insurance and service provider costs. Repair and maintenance services revenue is recognized over time, as the service is performed.</w:t>
      </w:r>
    </w:p>
    <w:p>
      <w:pPr>
        <w:spacing w:after="0" w:line="11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Restaurant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revenues consists of sales generated by Clyde’s Restaurant Group (CRG). Food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beverage revenue, net of discounts and taxes, is recognized at the point in time when it is delivered to the customer. Proceeds from the sale of gift cards are recorded as deferred revenue and recognized as revenue upon redemption by the customer.</w:t>
      </w:r>
    </w:p>
    <w:p>
      <w:pPr>
        <w:spacing w:after="0" w:line="117" w:lineRule="exact"/>
        <w:rPr>
          <w:sz w:val="20"/>
          <w:szCs w:val="20"/>
          <w:color w:val="auto"/>
        </w:rPr>
      </w:pPr>
    </w:p>
    <w:p>
      <w:pPr>
        <w:jc w:val="both"/>
        <w:ind w:right="360"/>
        <w:spacing w:after="0" w:line="236" w:lineRule="auto"/>
        <w:rPr>
          <w:sz w:val="20"/>
          <w:szCs w:val="20"/>
          <w:color w:val="auto"/>
        </w:rPr>
      </w:pPr>
      <w:r>
        <w:rPr>
          <w:rFonts w:ascii="Arial" w:cs="Arial" w:eastAsia="Arial" w:hAnsi="Arial"/>
          <w:sz w:val="18"/>
          <w:szCs w:val="18"/>
          <w:i w:val="1"/>
          <w:iCs w:val="1"/>
          <w:color w:val="auto"/>
        </w:rPr>
        <w:t xml:space="preserve">Custom Framing Services Revenue. </w:t>
      </w:r>
      <w:r>
        <w:rPr>
          <w:rFonts w:ascii="Arial" w:cs="Arial" w:eastAsia="Arial" w:hAnsi="Arial"/>
          <w:sz w:val="18"/>
          <w:szCs w:val="18"/>
          <w:color w:val="auto"/>
        </w:rPr>
        <w:t>Framebridge sells custom framing solutions to customers. Custom framing services revenue,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taxes, is recognized when the products are delivered to the customer. Proceeds from the sale of gift cards are recorded as deferred revenue and recognized as revenue upon redemption by the customer.</w:t>
      </w:r>
    </w:p>
    <w:p>
      <w:pPr>
        <w:spacing w:after="0" w:line="118"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Code3 Revenue</w:t>
      </w:r>
      <w:r>
        <w:rPr>
          <w:rFonts w:ascii="Arial" w:cs="Arial" w:eastAsia="Arial" w:hAnsi="Arial"/>
          <w:sz w:val="18"/>
          <w:szCs w:val="18"/>
          <w:color w:val="auto"/>
        </w:rPr>
        <w:t>. Code3 generates media management revenue in exchange for providing social media marketing solutions to its clients.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Code3 contracts generally have one performance obligation made up of a series of promises to manage the client’s media spend on advertising platforms for the duration of the contract period.</w:t>
      </w:r>
    </w:p>
    <w:p>
      <w:pPr>
        <w:spacing w:after="0" w:line="13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Code3 recognizes revenue, net of media acquisition costs, over time as media management services are delivered to the customer. Generally, Code3 recognizes revenue using the right to invoice practical expedient, an output method, as Code3’s right to revenue corresponds directly with the value delivered to its customer. As a result of the election to use the right to invoice practical expedient, Code3 does not determine the transaction price or allocate any variable consideration at contract inception. Rather, Code3 recognizes revenue 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Code3 evaluates whether it is the principal (i.e. presents revenue on a gross basis) or agent (i.e. presents revenue on a net basis) in its contracts. Code3 presents revenue for media management services, net of media acquisition costs, as an agent, as Code3 does not control the media before placement on social media platforms.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1" w:name="page82"/>
    <w:bookmarkEnd w:id="81"/>
    <w:p>
      <w:pPr>
        <w:ind w:right="140"/>
        <w:spacing w:after="0" w:line="232" w:lineRule="auto"/>
        <w:rPr>
          <w:sz w:val="20"/>
          <w:szCs w:val="20"/>
          <w:color w:val="auto"/>
        </w:rPr>
      </w:pPr>
      <w:r>
        <w:rPr>
          <w:rFonts w:ascii="Arial" w:cs="Arial" w:eastAsia="Arial" w:hAnsi="Arial"/>
          <w:sz w:val="18"/>
          <w:szCs w:val="18"/>
          <w:i w:val="1"/>
          <w:iCs w:val="1"/>
          <w:color w:val="auto"/>
        </w:rPr>
        <w:t xml:space="preserve">Leaf Group Revenue. </w:t>
      </w:r>
      <w:r>
        <w:rPr>
          <w:rFonts w:ascii="Arial" w:cs="Arial" w:eastAsia="Arial" w:hAnsi="Arial"/>
          <w:sz w:val="18"/>
          <w:szCs w:val="18"/>
          <w:color w:val="auto"/>
        </w:rPr>
        <w:t>Leaf Group (Leaf) generates revenue through its media and marketplace businesses. Media revenue is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derived from advertisements displayed on Leaf’s online media properties. Revenue is recognized over time as the performance obligation is delivered. Revenue is generally recognized based on an output measure including impressions delivered, cost per click or time-based advertisements.</w:t>
      </w:r>
    </w:p>
    <w:p>
      <w:pPr>
        <w:spacing w:after="0" w:line="13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Marketplace revenue is primarily derived from the sale of products from Society6 and Saatchi Art Group. Each product ordered generally is accounted for as an individual performance obligation. Product revenue, net of discounts and taxes, is recognized when control of the promised good is transferred to the customer.</w:t>
      </w:r>
    </w:p>
    <w:p>
      <w:pPr>
        <w:spacing w:after="0" w:line="119"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includes advertising, circulation and subscription revenue from Slate, Megaphone, Decile, Pinna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Policy. The Company accounts for other advertising revenues consistently with the advertising revenue streams addressed above. Circulation revenue consists of fees that provide customers access to online and print publications. The Company recognizes circulation and subscription revenue ratably over the subscription period beginning on the date that the publication or product is made available to the customer. Circulation revenue contracts are generally annual or monthly subscription contracts that are paid in advance of delivery of performance obligations.</w:t>
      </w:r>
    </w:p>
    <w:p>
      <w:pPr>
        <w:spacing w:after="0" w:line="112"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b w:val="1"/>
          <w:bCs w:val="1"/>
          <w:i w:val="1"/>
          <w:iCs w:val="1"/>
          <w:color w:val="auto"/>
        </w:rPr>
        <w:t>Revenue Policy Elections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elected to account for shipping and handling activities that occur after the customer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13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3" w:lineRule="exact"/>
        <w:rPr>
          <w:sz w:val="20"/>
          <w:szCs w:val="20"/>
          <w:color w:val="auto"/>
        </w:rPr>
      </w:pPr>
    </w:p>
    <w:p>
      <w:pPr>
        <w:jc w:val="both"/>
        <w:ind w:right="140"/>
        <w:spacing w:after="0" w:line="230" w:lineRule="auto"/>
        <w:rPr>
          <w:sz w:val="20"/>
          <w:szCs w:val="20"/>
          <w:color w:val="auto"/>
        </w:rPr>
      </w:pPr>
      <w:r>
        <w:rPr>
          <w:rFonts w:ascii="Arial" w:cs="Arial" w:eastAsia="Arial" w:hAnsi="Arial"/>
          <w:sz w:val="18"/>
          <w:szCs w:val="18"/>
          <w:b w:val="1"/>
          <w:bCs w:val="1"/>
          <w:i w:val="1"/>
          <w:iCs w:val="1"/>
          <w:color w:val="auto"/>
        </w:rPr>
        <w:t>Revenue Practical Expedients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disclose the value of unsatisfied performance obligations for (i) contracts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1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i w:val="1"/>
          <w:iCs w:val="1"/>
          <w:color w:val="auto"/>
        </w:rPr>
        <w:t>Costs to Obtain a Contract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incurs costs to obtain a contract that are both incremental and expected to be recovered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straight-line basis over the amortization period. These expenses are included as cost of services or products in the Company’s Consolidated Statements of Operations.</w:t>
      </w:r>
    </w:p>
    <w:p>
      <w:pPr>
        <w:spacing w:after="0" w:line="115"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has operating leases for substantially all of its educational facilities, corporate offices and other facilities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conducting its business, as well as certain equipment. The Company determines if an arrangement is a lease at inception. Operating leases are included in lease right-of-use (ROU) assets, current portion of lease liabilities, and lease liabilities on the Company’s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14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Company’s lease terms may include options to extend or terminate the lease by one to 10 years or more when it is reasonably certain that the option will be exercised. Leases with a term of twelve months or less are not recorded on the balance sheet; however, lease expense for these leases is recognized on a straight-line basis. The Company 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The Company’s lease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ind w:right="80"/>
        <w:spacing w:after="0" w:line="235" w:lineRule="auto"/>
        <w:rPr>
          <w:sz w:val="20"/>
          <w:szCs w:val="20"/>
          <w:color w:val="auto"/>
        </w:rPr>
      </w:pPr>
      <w:r>
        <w:rPr>
          <w:rFonts w:ascii="Arial" w:cs="Arial" w:eastAsia="Arial" w:hAnsi="Arial"/>
          <w:sz w:val="18"/>
          <w:szCs w:val="18"/>
          <w:color w:val="auto"/>
        </w:rPr>
        <w:t>agreements do not contain any significant residual value guarantees or restrictive covenants. In some instances, the Company subleases its leased real estate facilities to third parties.</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As of December 31, 2021 and 2020, the Company had $4.0 million and $5.9 million, respectively, in net, property, plant and equipment and current finance lease liabilities related to service loaner vehicles at the automotive subsidiary. Service loaner vehicles are generally purchased from the lessor within six months of contract commencement and upon purchase the vehicles are placed into used vehicle inventory at cost. The Company does not have any other significant financing leases.</w:t>
      </w:r>
    </w:p>
    <w:p>
      <w:pPr>
        <w:spacing w:after="0" w:line="113"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employees are covered by these plans. The Company also provides healthcare and life insurance benefits to certain retired employees. These employees become eligible for benefits after meeting age and service requirements.</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the rate of compensation increase. The Company uses a measurement date of December 31 for its pension and other postretirement benefit plans.</w:t>
      </w:r>
    </w:p>
    <w:p>
      <w:pPr>
        <w:spacing w:after="0" w:line="115"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13"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16"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award. The Company measures compensation expense for awards settled in cash, or that may be settled in cash, based on the fair value at each reporting date. The Company recognizes the expense over the requisite service period, which is generally the vesting period of the award. Stock award forfeitures are accounted for as they occur.</w:t>
      </w:r>
    </w:p>
    <w:p>
      <w:pPr>
        <w:spacing w:after="0" w:line="11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two-class method, the Company allocates to the participating securities their portion of dividends declared and undistributed earnings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83" w:name="page84"/>
    <w:bookmarkEnd w:id="83"/>
    <w:p>
      <w:pPr>
        <w:ind w:right="60"/>
        <w:spacing w:after="0" w:line="224" w:lineRule="auto"/>
        <w:rPr>
          <w:sz w:val="20"/>
          <w:szCs w:val="20"/>
          <w:color w:val="auto"/>
        </w:rPr>
      </w:pPr>
      <w:r>
        <w:rPr>
          <w:rFonts w:ascii="Arial" w:cs="Arial" w:eastAsia="Arial" w:hAnsi="Arial"/>
          <w:sz w:val="18"/>
          <w:szCs w:val="18"/>
          <w:color w:val="auto"/>
        </w:rPr>
        <w:t>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1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Company’s mandatorily redeemable noncontrolling interest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in GHC One LLC (GHC One), a subsidiary of Graham Healthcare Group (GHG). The minority shareholders must liquidate their 5% interest in GHC One upon its required liquidation in 2026. This interest is reported as a noncurrent liability at December 31, 2021 and 2020 in the Consolidated Balance Sheets. The Company presents this liability at fair value, which is computed quarterly at the current redemption value. Changes in the redemption value is recorded as interest expense or income in the Company’s Consolidated Statement of Operations.</w:t>
      </w:r>
    </w:p>
    <w:p>
      <w:pPr>
        <w:spacing w:after="0" w:line="116"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CSI</w:t>
      </w:r>
      <w:r>
        <w:rPr>
          <w:rFonts w:ascii="Arial" w:cs="Arial" w:eastAsia="Arial" w:hAnsi="Arial"/>
          <w:sz w:val="18"/>
          <w:szCs w:val="18"/>
          <w:b w:val="1"/>
          <w:bCs w:val="1"/>
          <w:color w:val="auto"/>
        </w:rPr>
        <w:t xml:space="preserve"> </w:t>
      </w:r>
      <w:r>
        <w:rPr>
          <w:rFonts w:ascii="Arial" w:cs="Arial" w:eastAsia="Arial" w:hAnsi="Arial"/>
          <w:sz w:val="18"/>
          <w:szCs w:val="18"/>
          <w:color w:val="auto"/>
        </w:rPr>
        <w:t>Pharmacy Holding Company, LLC (CSI), which is 75% owned, Framebridge, which is 93.4% owned, and Weiss, which is 50.1% owned. CSI’s minority shareholders may put up to 50% of their shares to the Company. The first put period begins in 2022. A second put period for another tranche of shares begins in 2024. The minority shareholder of Framebridge has an option to put 20% of the shares to the Company annually starting in 2024. The minority shareholder of Weiss has an option to put 10% of the shares to the Company annually starting in 2026 and may put all of the shares starting in 2033. In March 2021, Hoover’s minority shareholders put the remaining outstanding shares to the Company. Following the redemption, the Company owns 100% of Hoover. Prior to the redemption, the Company owned 98.01% of Hoover. The Company presents the redeemable noncontrolling interests at the greater of its carrying amount or redemption value at the end of each reporting period in the Consolidated Balance Sheets. Changes in the redemption value are recorded to capital in excess of par value in the Company’s Consolidated Balance Sheets.</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net changes in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hedges, and pension and other postretirement plan adjustments.</w:t>
      </w:r>
    </w:p>
    <w:p>
      <w:pPr>
        <w:spacing w:after="0" w:line="98"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March 2020, the FASB issued guidance providing optional practical</w:t>
      </w:r>
      <w:r>
        <w:rPr>
          <w:rFonts w:ascii="Arial" w:cs="Arial" w:eastAsia="Arial" w:hAnsi="Arial"/>
          <w:sz w:val="18"/>
          <w:szCs w:val="18"/>
          <w:b w:val="1"/>
          <w:bCs w:val="1"/>
          <w:color w:val="auto"/>
        </w:rPr>
        <w:t xml:space="preserve"> </w:t>
      </w:r>
      <w:r>
        <w:rPr>
          <w:rFonts w:ascii="Arial" w:cs="Arial" w:eastAsia="Arial" w:hAnsi="Arial"/>
          <w:sz w:val="18"/>
          <w:szCs w:val="18"/>
          <w:color w:val="auto"/>
        </w:rPr>
        <w:t>expedients and exceptions to ease the potential accounting impacts associated with the discontinuation of the London Interbank Offered Rate (LIBOR) or by other reference rates expected to be discontinued. The Company adopted the contract modification practical expedient in the fourth quarter of 2021 as it is in the process of modifying any contracts that reference a discontinuing reference rate. This guidance is not expected to have a significant impact on the Company’s Consolidated Financial Statements.</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Other new accounting pronouncements issued but not effective until after December 31, 2021, are not expected to have a material impact on the Company’s Consolidated Financial Statements.</w:t>
      </w:r>
    </w:p>
    <w:p>
      <w:pPr>
        <w:spacing w:after="0" w:line="113"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2021, the Company acquired six businesses: two in education, two in healthcare, one in automotive, and one 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for $392.4 million in cash and contingent consideration and the assumption of floor plan payables. The assets and liabilities of the companies acquired were recorded at their estimated fair values at the date of the acquisition.</w:t>
      </w:r>
    </w:p>
    <w:p>
      <w:pPr>
        <w:spacing w:after="0" w:line="13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On June 14, 2021, the Company acquired all of the outstanding common shares of Leaf Group Ltd. for $308.6 million in cash and the assumption of $9.2 million in liabilities related to their previous stock compensation plan, which will be paid in the future. Leaf is a consumer internet company that builds creator-driven brands in lifestyle and home and art design categories. The acquisition is expected to provide benefits in the future by diversifying the Company’s business operations and providing operating synergies with other business units. The Company includes Leaf in other businesses.</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Kaplan acquired certain assets of Projects in Knowledge, a continuing medical education provider for healthcare professionals, and another small business in November 2021. These acquisitions are expected to build upon Kaplan’s existing customer base in the medical and test preparation fields. Both business are included in Kaplan’s supplemental education division.</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December 2021, GHG acquired two businesses, a home health business in Florida and a 50.1% interest in Weiss, a physician practice specializing in allergies, asthma and immunology. The minority shareholder of Weiss has an option to put 10% of the shares to the Company annually starting in 2026 and may put all of the shares starting in 2033. The fair value of the redeemable noncontrolling interest in Weiss was $6.6 million at the acquisition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4" w:name="page85"/>
    <w:bookmarkEnd w:id="84"/>
    <w:p>
      <w:pPr>
        <w:ind w:right="220"/>
        <w:spacing w:after="0" w:line="235" w:lineRule="auto"/>
        <w:rPr>
          <w:sz w:val="20"/>
          <w:szCs w:val="20"/>
          <w:color w:val="auto"/>
        </w:rPr>
      </w:pPr>
      <w:r>
        <w:rPr>
          <w:rFonts w:ascii="Arial" w:cs="Arial" w:eastAsia="Arial" w:hAnsi="Arial"/>
          <w:sz w:val="18"/>
          <w:szCs w:val="18"/>
          <w:color w:val="auto"/>
        </w:rPr>
        <w:t>date, determined using an income approach. These acquisitions are expected to expand the market the healthcare division serves and are included in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December 28, 2021, the Company’s automotive subsidiary acquired a Ford automotive dealership for cash and the assumption of</w:t>
      </w:r>
    </w:p>
    <w:p>
      <w:pPr>
        <w:spacing w:after="0" w:line="219" w:lineRule="auto"/>
        <w:rPr>
          <w:sz w:val="20"/>
          <w:szCs w:val="20"/>
          <w:color w:val="auto"/>
        </w:rPr>
      </w:pPr>
      <w:r>
        <w:rPr>
          <w:rFonts w:ascii="Arial" w:cs="Arial" w:eastAsia="Arial" w:hAnsi="Arial"/>
          <w:sz w:val="18"/>
          <w:szCs w:val="18"/>
          <w:color w:val="auto"/>
        </w:rPr>
        <w:t>$16.2 million in floor plan payables (see Note 6). In connection with the acquisition, the automotive subsidiary of the Company borrowed</w:t>
      </w:r>
    </w:p>
    <w:p>
      <w:pPr>
        <w:jc w:val="both"/>
        <w:ind w:right="40"/>
        <w:spacing w:after="0" w:line="229" w:lineRule="auto"/>
        <w:rPr>
          <w:sz w:val="20"/>
          <w:szCs w:val="20"/>
          <w:color w:val="auto"/>
        </w:rPr>
      </w:pPr>
      <w:r>
        <w:rPr>
          <w:rFonts w:ascii="Arial" w:cs="Arial" w:eastAsia="Arial" w:hAnsi="Arial"/>
          <w:sz w:val="18"/>
          <w:szCs w:val="18"/>
          <w:color w:val="auto"/>
        </w:rPr>
        <w:t>$22.5 million to finance the acquisition (see Note 11). The dealership will be operated and managed by an entity affiliated with Christopher J. Ourisman, a member of the Ourisman Automotive Group family of dealerships. The acquisition expands the Company’s automotive business operations and is included in automotive.</w:t>
      </w:r>
    </w:p>
    <w:p>
      <w:pPr>
        <w:spacing w:after="0" w:line="137"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During 2020, the Company acquired three businesses: two in education and one in other businesses for $96.8 million in cash and contingent consideration. The assets and liabilities of the companies acquired were recorded at their estimated fair values at the date of acquisition.</w:t>
      </w:r>
    </w:p>
    <w:p>
      <w:pPr>
        <w:spacing w:after="0" w:line="135" w:lineRule="exact"/>
        <w:rPr>
          <w:sz w:val="20"/>
          <w:szCs w:val="20"/>
          <w:color w:val="auto"/>
        </w:rPr>
      </w:pPr>
    </w:p>
    <w:p>
      <w:pPr>
        <w:ind w:right="1000"/>
        <w:spacing w:after="0" w:line="235" w:lineRule="auto"/>
        <w:rPr>
          <w:sz w:val="20"/>
          <w:szCs w:val="20"/>
          <w:color w:val="auto"/>
        </w:rPr>
      </w:pPr>
      <w:r>
        <w:rPr>
          <w:rFonts w:ascii="Arial" w:cs="Arial" w:eastAsia="Arial" w:hAnsi="Arial"/>
          <w:sz w:val="18"/>
          <w:szCs w:val="18"/>
          <w:color w:val="auto"/>
        </w:rPr>
        <w:t>In the first three months of 2020, Kaplan acquired two small businesses; one in its supplemental education division and one in its international division.</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 accounted for Framebridge under the equity method, and included it in Investments in Affiliates on the Consolidated Balance Sheet (see Note 4). The contingent consideration is primarily based on Framebridge achieving revenue milestones within a specific time period. The fair value of the contingent consideration at the acquisition date was $50.6 million, determined using a Monte Carlo simulation. The fair value of the redeemable noncontrolling interest in Framebridge was $6.0 million as of the acquisition date, determined using a market approach. The minority shareholder has an option to put 20% of the minority shares annually starting in 2024. The acquisition is expected to provide benefits in the future by diversifying the Company’s business operations and is included in other businesses.</w:t>
      </w:r>
    </w:p>
    <w:p>
      <w:pPr>
        <w:spacing w:after="0" w:line="135"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During 2019, the Company acquired eight businesses: one in education, three in healthcare, one in manufacturing, two in automotive and one in other businesses for $211.8 million in cash and contingent consideration and the assumption of $25.8 million in floor plan payables. The assets and liabilities of the companies acquired were recorded at their estimated fair values at the date of acquisition.</w:t>
      </w:r>
    </w:p>
    <w:p>
      <w:pPr>
        <w:spacing w:after="0" w:line="137"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(see Note 6). In connection with the acquisition, the automotive subsidiary of the Company borrowed $30 million to finance the acquisition and entered into an interest rate swap to fix the interest rate on the debt at 4.7% per annum. The Company has a 90% interest in the automotive subsidiary. The Company also entered into a management services agreement with an entity affiliated with Christopher J. Ourisman, a member of the Ourisman Automotive Group family of dealerships. Mr. Ourisman and his team operate and manage the dealerships. The Company paid a fee of $2.3 million for the year ended December 31, 2019 in connection with the management services provided under this agreement. In addition, the Company advanced $3.5 million to the minority shareholder, an entity controlled by Mr. Ourisman, at an interest rate of 6% per annum. The minority shareholder has the option to acquire up to an additional 10% interest in the automotive subsidiary. The acquisition is expected to provide benefits in the future by diversifying the Company’s business operations and is included in automotive.</w:t>
      </w:r>
    </w:p>
    <w:p>
      <w:pPr>
        <w:spacing w:after="0" w:line="137"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In July 2019, GHG acquired a 100% interest in a small business which is expected to provide certain strategic benefits in the future and is included in healthcare. On July 11, 2019, Kaplan acquired a 100% interest in Heverald, the owner of ESL Education, Europe’s largest language-travel agency and Alpadia, a chain of German and French language schools and junior summer camps. The acquisition is expected to provide synergies within Kaplan’s International English business and is included in Kaplan’s international division.</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July 31, 2019, the Company closed its acquisition of Clyde’s Restaurant Group. At the date of acquisition, CRG owned and operated 13 restaurants and entertainment venues in the Washington, D.C. metropolitan area, including Old Ebbitt Grill and The Hamilton. In connection with the acquisition, the Company entered into several leases with an entity affiliated with some of CRG’s senior managers. The acquisition is expected to provide benefits in the future by diversifying the Company’s business operations and is included in other businesses.</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September 2019, Joyce/Dayton Corp. acquired the assets of a small business. The acquisition is expected to complement current product offerings and is included in manufacturing.</w:t>
      </w:r>
    </w:p>
    <w:p>
      <w:pPr>
        <w:spacing w:after="0" w:line="135"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On December 1, 2019, GHG acquired 75% of the preferred shares of CSI Pharmacy Holding Company, LLC. In connection with the acquisition, CSI entered into an $11.25 million Term Loan to finance the acquisition. CSI is a specialty and home infusion pharmacy, which provides intravenous immunoglobulin therapies to patients. The minority shareholders may put up to 50% of their preferred shares to GHG and the first put period begins in 2022. A second put period for another tranche of preferred shares begins in 2024. The fair value of the redeemable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5" w:name="page86"/>
    <w:bookmarkEnd w:id="85"/>
    <w:p>
      <w:pPr>
        <w:ind w:right="160"/>
        <w:spacing w:after="0" w:line="235" w:lineRule="auto"/>
        <w:rPr>
          <w:sz w:val="20"/>
          <w:szCs w:val="20"/>
          <w:color w:val="auto"/>
        </w:rPr>
      </w:pPr>
      <w:r>
        <w:rPr>
          <w:rFonts w:ascii="Arial" w:cs="Arial" w:eastAsia="Arial" w:hAnsi="Arial"/>
          <w:sz w:val="18"/>
          <w:szCs w:val="18"/>
          <w:color w:val="auto"/>
        </w:rPr>
        <w:t>noncontrolling interest in CSI was $ 1.7 million at the acquisition date, determined using an income approach. The acquisition is expected to expand the product offerings of the healthcare division.</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Acquisition-related costs for acquisitions that closed during 2021, 2020 and 2019 were $3.0 million, $1.1 million and $3.0 million, respectively, and were expensed as incurred. The aggregate purchase price of these acquisitions was allocated as follows, based on acquisition date fair values to the following assets and liabilities: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Purchase Price Allocation</w:t>
            </w:r>
          </w:p>
        </w:tc>
        <w:tc>
          <w:tcPr>
            <w:tcW w:w="980" w:type="dxa"/>
            <w:vAlign w:val="bottom"/>
            <w:tcBorders>
              <w:bottom w:val="single" w:sz="8" w:color="auto"/>
            </w:tcBorders>
          </w:tcPr>
          <w:p>
            <w:pPr>
              <w:spacing w:after="0"/>
              <w:rPr>
                <w:sz w:val="17"/>
                <w:szCs w:val="17"/>
                <w:color w:val="auto"/>
              </w:rPr>
            </w:pPr>
          </w:p>
        </w:tc>
      </w:tr>
      <w:tr>
        <w:trPr>
          <w:trHeight w:val="196"/>
        </w:trPr>
        <w:tc>
          <w:tcPr>
            <w:tcW w:w="7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2019</w:t>
            </w:r>
          </w:p>
        </w:tc>
      </w:tr>
      <w:tr>
        <w:trPr>
          <w:trHeight w:val="214"/>
        </w:trPr>
        <w:tc>
          <w:tcPr>
            <w:tcW w:w="70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18,835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745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6,762</w:t>
            </w:r>
          </w:p>
        </w:tc>
      </w:tr>
      <w:tr>
        <w:trPr>
          <w:trHeight w:val="225"/>
        </w:trPr>
        <w:tc>
          <w:tcPr>
            <w:tcW w:w="70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25,420</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3,496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34,134</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12,661</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3,346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56,391</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26,333</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6,580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98,505</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205,003</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73,951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84,669</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22,200</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46,900</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100,800</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14,589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21,291</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4,899</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975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8,308</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42,850</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15,958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(16,198)</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(25,755)</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(52,421)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(14,917)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(42,555)</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(26,286)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(6,593)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(99,131)</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(6,617)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(1,715)</w:t>
            </w:r>
          </w:p>
        </w:tc>
      </w:tr>
      <w:tr>
        <w:trPr>
          <w:trHeight w:val="243"/>
        </w:trPr>
        <w:tc>
          <w:tcPr>
            <w:tcW w:w="70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Aggregate purchase price, net of cash acquired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357,479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92,125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183,947</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2021 fair values recorded were based upon valuations and the estimates and assumptions used in such valuations are subject to change within the measurement period (up to one year from the acquisition date). The recording of deferred tax assets or liabilities, working capital and the final amount of residual goodwill and other intangibles are not yet finalized. The 2019 values above reflect a measurement period adjustment related to the lease right-of-use assets, current and noncurrent lease liabilities and the finalization of working capital.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$79.4 million, $3.2 million and $70.7 million of goodwill for income tax purposes for the acquisitions completed in 2021, 2020 and 2019, respectively.</w:t>
      </w:r>
    </w:p>
    <w:p>
      <w:pPr>
        <w:spacing w:after="0" w:line="140"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 and operating loss of $132.4 million and $ 14.2 million, respectively, for the year ended December 31, 2021. The following unaudited pro forma financial information presents the Company’s results as if the current year acquisitions had occurred at the beginning of 2020. The unaudited pro forma information also includes the 2020 acquisitions as if they occurred at the beginning of 2019 and the 2019 acquisitions as if they had occurred at the beginning of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r>
      <w:tr>
        <w:trPr>
          <w:trHeight w:val="214"/>
        </w:trPr>
        <w:tc>
          <w:tcPr>
            <w:tcW w:w="75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   3,513,689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3,323,427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3,089,712</w:t>
            </w:r>
          </w:p>
        </w:tc>
      </w:tr>
      <w:tr>
        <w:trPr>
          <w:trHeight w:val="225"/>
        </w:trPr>
        <w:tc>
          <w:tcPr>
            <w:tcW w:w="7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358,890</w:t>
            </w:r>
          </w:p>
        </w:tc>
        <w:tc>
          <w:tcPr>
            <w:tcW w:w="3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279,810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304,734</w:t>
            </w:r>
          </w:p>
        </w:tc>
      </w:tr>
    </w:tbl>
    <w:p>
      <w:pPr>
        <w:spacing w:after="0" w:line="248"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December 2020, the Company completed the sale of Megaphone which was included in other businesses.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2019, Kaplan UK completed the sale of a small business which was included in Kaplan International. As a result of these sales, the Company reported gains (losses) in other non-operating income (see Note 16).</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86" w:name="page87"/>
    <w:bookmarkEnd w:id="86"/>
    <w:p>
      <w:pPr>
        <w:ind w:right="60"/>
        <w:spacing w:after="0" w:line="233"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2019, a Hoover minority shareholder put some shares to the Company, which had a redemption value of $0.6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Following the redemption, the Company owned 98.01% of Hoover. In March 2021, Hoover’s minority shareholders put the remaining outstanding shares to the Company, which had a redemption value of $3.5 million. Following the redemption, the Company owns 100% of Hoover.</w:t>
      </w:r>
    </w:p>
    <w:p>
      <w:pPr>
        <w:spacing w:after="0" w:line="13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During 2019, the Company established GHC One as a vehicle to invest in a portfolio of healthcare businesses together with a group of senior managers of GHG. As a holder of preferred units, the Company is obligated to contribute 95% of the capital required for the acquisition of portfolio investments with the remaining 5% of the capital coming from the group of senior managers. The operating agreement of GHC One requires the dissolution of the entity on March 31, 2026, at which time the net assets will be distributed to its members. As a preferred unit holder, the Company will receive an amount up to its contributed capital plus a preferred annual return of 8% (guaranteed return) after the group of senior managers has received a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w:t>
      </w:r>
    </w:p>
    <w:p>
      <w:pPr>
        <w:spacing w:after="0" w:line="14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of December 31, 2021, the Company holds a controlling financial interest in GHC One and therefore includes the assets, liabilities, results of operations and cash flows in its consolidated financial statements. GHC One acquired CSI and another small business during 2019, and Weiss during 2021. The Company accounts for the minority ownership of the group of senior managers as a mandatorily redeemable noncontrolling interest (see Note 2).</w:t>
      </w:r>
    </w:p>
    <w:p>
      <w:pPr>
        <w:spacing w:after="0" w:line="113"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December 31, 2021, the Company had no money market investments, compared to $268.8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that are classified as cash and cash equivalents in the Company’s Consolidated Balance Sheets.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273,201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232,847</w:t>
            </w: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6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537,915</w:t>
            </w:r>
          </w:p>
        </w:tc>
        <w:tc>
          <w:tcPr>
            <w:tcW w:w="30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340,255</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(1,119)</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809,997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573,102</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At December 31, 2021 and 2020, the Company owned 44,430 and 28,000 shares, respectively, in Markel Corporation (Markel) valued at $54.8 million and $28.9 million, respectively. The Co-Chief Executive Officer of Markel, Mr. Thomas S. Gayner, is a member of the Company’s Board of Directors. As of December 31, 2021, there was no marketable equity security holding that exceeded 5% of the Company’s total assets.</w:t>
      </w:r>
    </w:p>
    <w:p>
      <w:pPr>
        <w:spacing w:after="0" w:line="135" w:lineRule="exact"/>
        <w:rPr>
          <w:sz w:val="20"/>
          <w:szCs w:val="20"/>
          <w:color w:val="auto"/>
        </w:rPr>
      </w:pPr>
    </w:p>
    <w:p>
      <w:pPr>
        <w:ind w:right="900"/>
        <w:spacing w:after="0" w:line="235" w:lineRule="auto"/>
        <w:rPr>
          <w:sz w:val="20"/>
          <w:szCs w:val="20"/>
          <w:color w:val="auto"/>
        </w:rPr>
      </w:pPr>
      <w:r>
        <w:rPr>
          <w:rFonts w:ascii="Arial" w:cs="Arial" w:eastAsia="Arial" w:hAnsi="Arial"/>
          <w:sz w:val="18"/>
          <w:szCs w:val="18"/>
          <w:color w:val="auto"/>
        </w:rPr>
        <w:t>The Company purchased $48.0 million, $20.0 million and $7.5 million of marketable equity securities during 2021, 2020 and 2019, respectively.</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During 2021, 2020 and 2019, the gross cumulative realized net gains from the sales of marketable equity securities were $46.0 million, $23.0 million and $9.5 million, respectively. The total proceeds from such sales were $65.5 million, $93.8 million and $19.3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243,088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60,787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98,668</w:t>
            </w:r>
          </w:p>
        </w:tc>
      </w:tr>
      <w:tr>
        <w:trPr>
          <w:trHeight w:val="243"/>
        </w:trPr>
        <w:tc>
          <w:tcPr>
            <w:tcW w:w="7680" w:type="dxa"/>
            <w:vAlign w:val="bottom"/>
          </w:tcPr>
          <w:p>
            <w:pPr>
              <w:ind w:left="20"/>
              <w:spacing w:after="0"/>
              <w:rPr>
                <w:sz w:val="20"/>
                <w:szCs w:val="20"/>
                <w:color w:val="auto"/>
              </w:rPr>
            </w:pPr>
            <w:r>
              <w:rPr>
                <w:rFonts w:ascii="Arial" w:cs="Arial" w:eastAsia="Arial" w:hAnsi="Arial"/>
                <w:sz w:val="16"/>
                <w:szCs w:val="16"/>
                <w:color w:val="auto"/>
              </w:rPr>
              <w:t>Less: Net (gains) losses in earnings from marketable equity securities sold and donated</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(17,830)</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13,382</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r>
      <w:tr>
        <w:trPr>
          <w:trHeight w:val="24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unrealized gains in earnings from marketable equity securities still held at the end of the year</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225,258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74,169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95,858</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December 31, 2021, the Company held an approximate 12% interest in Intersection Holdings, LLC</w:t>
      </w:r>
      <w:r>
        <w:rPr>
          <w:rFonts w:ascii="Arial" w:cs="Arial" w:eastAsia="Arial" w:hAnsi="Arial"/>
          <w:sz w:val="18"/>
          <w:szCs w:val="18"/>
          <w:b w:val="1"/>
          <w:bCs w:val="1"/>
          <w:color w:val="auto"/>
        </w:rPr>
        <w:t xml:space="preserve"> </w:t>
      </w:r>
      <w:r>
        <w:rPr>
          <w:rFonts w:ascii="Arial" w:cs="Arial" w:eastAsia="Arial" w:hAnsi="Arial"/>
          <w:sz w:val="18"/>
          <w:szCs w:val="18"/>
          <w:color w:val="auto"/>
        </w:rPr>
        <w:t>(Intersection), and accounts for its investment under the equity method. The Company holds two of the ten seats of Intersection’s governing board, which allows the Company to exercise significant influence over Intersection. As of December 31, 2021, the Company also held investments in several other affiliates; GHG held a 40% interest in Residential Home Health Illinois, a 42.5% interest in Residential Hospice Illinois, a 40% interest in the joint venture formed between GHG and a Michigan hospital, and a 40% interest in the joint venture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7" w:name="page88"/>
    <w:bookmarkEnd w:id="87"/>
    <w:p>
      <w:pPr>
        <w:ind w:right="660"/>
        <w:spacing w:after="0" w:line="235" w:lineRule="auto"/>
        <w:rPr>
          <w:sz w:val="20"/>
          <w:szCs w:val="20"/>
          <w:color w:val="auto"/>
        </w:rPr>
      </w:pPr>
      <w:r>
        <w:rPr>
          <w:rFonts w:ascii="Arial" w:cs="Arial" w:eastAsia="Arial" w:hAnsi="Arial"/>
          <w:sz w:val="18"/>
          <w:szCs w:val="18"/>
          <w:color w:val="auto"/>
        </w:rPr>
        <w:t>formed between GHG and Allegheny Health Network (AHN). For the years ended December 31, 2021, 2020 and 2019, the Company recorded $10.9 million, $9.6 million and $9.3 million, respectively, in revenue for services provided to the affiliates of GHG.</w:t>
      </w:r>
    </w:p>
    <w:p>
      <w:pPr>
        <w:spacing w:after="0" w:line="135" w:lineRule="exact"/>
        <w:rPr>
          <w:sz w:val="20"/>
          <w:szCs w:val="20"/>
          <w:color w:val="auto"/>
        </w:rPr>
      </w:pPr>
    </w:p>
    <w:p>
      <w:pPr>
        <w:ind w:right="980"/>
        <w:spacing w:after="0" w:line="235" w:lineRule="auto"/>
        <w:rPr>
          <w:sz w:val="20"/>
          <w:szCs w:val="20"/>
          <w:color w:val="auto"/>
        </w:rPr>
      </w:pPr>
      <w:r>
        <w:rPr>
          <w:rFonts w:ascii="Arial" w:cs="Arial" w:eastAsia="Arial" w:hAnsi="Arial"/>
          <w:sz w:val="18"/>
          <w:szCs w:val="18"/>
          <w:color w:val="auto"/>
        </w:rPr>
        <w:t>The Company had $52.5 million and $26.1 million in its investment account that represents cumulative undistributed income in its investments in affiliates as of December 31, 2021 and 2020, respectively.</w:t>
      </w:r>
    </w:p>
    <w:p>
      <w:pPr>
        <w:spacing w:after="0" w:line="135"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In the third quarter of 2021, the Company recorded an impairment charge of $6.6 million on one of its investments in affiliates as a result of the challenging economic environment for this business following an announcement by the Chinese government to reform the education sector for private education companies. In the first quarter of 2020, the Company recorded impairment charges of $3.6 million on two of its investments in affiliates as a result of the challenging economic environment for these businesses, of which $2.7 million related to the Company’s investment in Framebridge. It is reasonably possible that further COVID-19 disruptions could result in additional impairment charges related to the Company’s investments in affiliates should the impact of COVID-19 not dissipate or have a worsening adverse impact on our affiliates in future periods. The Company records its share of the earnings or losses of its affiliates from their most recent available financial statements. In some instances, the reporting period of the affiliates’ financial statements lags the Company’s financial reporting period, but such lag is never more than three months. It is possible that the Company’s results of operations for the year ended December 31, 2021 does not capture the impact of the COVID-19 pandemic on the earnings or losses of the affiliates whose financial results are recorded on a lag basis.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May 2020, the Company made an additional investment in Framebridge (see Note 3) that resulted in the Company obtaining control of the investee. The results of operations, cash flows, assets and liabilities of Framebridge are included in the consolidated financial statements of the Company from the date of the acquisition. Timothy J. O’Shaughnessy, President and Chief Executive Officer of Graham Holdings Company, was a personal investor in Framebridge and served as Chairman of the Board prior to the acquisition of the additional interest. The Company acquired Mr. O’Shaughnessy’s interest under the same terms as the other Framebridge investors.</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135"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 the joint venture £22 million, which loan is repayable over 25 years at an interest rate of 7% and guaranteed by the University of York. The loan is repayable by December 2041.</w:t>
      </w:r>
    </w:p>
    <w:p>
      <w:pPr>
        <w:spacing w:after="0" w:line="119" w:lineRule="exact"/>
        <w:rPr>
          <w:sz w:val="20"/>
          <w:szCs w:val="20"/>
          <w:color w:val="auto"/>
        </w:rPr>
      </w:pPr>
    </w:p>
    <w:p>
      <w:pPr>
        <w:ind w:right="220"/>
        <w:spacing w:after="0" w:line="232" w:lineRule="auto"/>
        <w:rPr>
          <w:sz w:val="20"/>
          <w:szCs w:val="20"/>
          <w:color w:val="auto"/>
        </w:rPr>
      </w:pPr>
      <w:r>
        <w:rPr>
          <w:rFonts w:ascii="Arial" w:cs="Arial" w:eastAsia="Arial" w:hAnsi="Arial"/>
          <w:sz w:val="18"/>
          <w:szCs w:val="18"/>
          <w:i w:val="1"/>
          <w:iCs w:val="1"/>
          <w:color w:val="auto"/>
        </w:rPr>
        <w:t xml:space="preserve">Summarized Financial Data of Nonconsolidated Affiliates. </w:t>
      </w:r>
      <w:r>
        <w:rPr>
          <w:rFonts w:ascii="Arial" w:cs="Arial" w:eastAsia="Arial" w:hAnsi="Arial"/>
          <w:sz w:val="18"/>
          <w:szCs w:val="18"/>
          <w:color w:val="auto"/>
        </w:rPr>
        <w:t>The Company's investments in affiliates consists of investments in private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other operating entities that it does not control, but over which it exerts significant influence. The following tables present summarized financial data for the Company's nonconsolidated affiliates. The amounts included in the tables below present 100% of the balance sheets and the results of operations of such nonconsolidated affiliates accounted for under the equity method.</w:t>
      </w:r>
    </w:p>
    <w:p>
      <w:pPr>
        <w:spacing w:after="0" w:line="13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Company’s ownership in private equity fund partnerships varies between approximately 4% and 10%; the Company’s related investment balance included in Investments in Affiliates was $72.8 million and $41.1 million as of December 31, 2021 and 2020,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balance sheet data of the private equity fund investments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2020</w:t>
            </w:r>
          </w:p>
        </w:tc>
      </w:tr>
      <w:tr>
        <w:trPr>
          <w:trHeight w:val="214"/>
        </w:trPr>
        <w:tc>
          <w:tcPr>
            <w:tcW w:w="8840" w:type="dxa"/>
            <w:vAlign w:val="bottom"/>
          </w:tcPr>
          <w:p>
            <w:pPr>
              <w:ind w:left="20"/>
              <w:spacing w:after="0"/>
              <w:rPr>
                <w:sz w:val="20"/>
                <w:szCs w:val="20"/>
                <w:color w:val="auto"/>
              </w:rPr>
            </w:pPr>
            <w:r>
              <w:rPr>
                <w:rFonts w:ascii="Arial" w:cs="Arial" w:eastAsia="Arial" w:hAnsi="Arial"/>
                <w:sz w:val="16"/>
                <w:szCs w:val="16"/>
                <w:color w:val="auto"/>
              </w:rPr>
              <w:t>Investments in securities, at estimated fair value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2,039,368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1,500,192</w:t>
            </w:r>
          </w:p>
        </w:tc>
      </w:tr>
      <w:tr>
        <w:trPr>
          <w:trHeight w:val="238"/>
        </w:trPr>
        <w:tc>
          <w:tcPr>
            <w:tcW w:w="8840" w:type="dxa"/>
            <w:vAlign w:val="bottom"/>
          </w:tcPr>
          <w:p>
            <w:pPr>
              <w:ind w:left="20"/>
              <w:spacing w:after="0"/>
              <w:rPr>
                <w:sz w:val="20"/>
                <w:szCs w:val="20"/>
                <w:color w:val="auto"/>
              </w:rPr>
            </w:pPr>
            <w:r>
              <w:rPr>
                <w:rFonts w:ascii="Arial" w:cs="Arial" w:eastAsia="Arial" w:hAnsi="Arial"/>
                <w:sz w:val="16"/>
                <w:szCs w:val="16"/>
                <w:color w:val="auto"/>
              </w:rPr>
              <w:t>Other currents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28,590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24,111</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2,067,958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1,524,303</w:t>
            </w: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8"/>
        </w:trPr>
        <w:tc>
          <w:tcPr>
            <w:tcW w:w="88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4,790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7,488</w:t>
            </w:r>
          </w:p>
        </w:tc>
      </w:tr>
      <w:tr>
        <w:trPr>
          <w:trHeight w:val="238"/>
        </w:trPr>
        <w:tc>
          <w:tcPr>
            <w:tcW w:w="8840" w:type="dxa"/>
            <w:vAlign w:val="bottom"/>
          </w:tcPr>
          <w:p>
            <w:pPr>
              <w:ind w:left="20"/>
              <w:spacing w:after="0"/>
              <w:rPr>
                <w:sz w:val="20"/>
                <w:szCs w:val="20"/>
                <w:color w:val="auto"/>
              </w:rPr>
            </w:pPr>
            <w:r>
              <w:rPr>
                <w:rFonts w:ascii="Arial" w:cs="Arial" w:eastAsia="Arial" w:hAnsi="Arial"/>
                <w:sz w:val="16"/>
                <w:szCs w:val="16"/>
                <w:color w:val="auto"/>
              </w:rPr>
              <w:t>Total partners’ capital</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2,063,168</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1,516,815</w:t>
            </w: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partners’ capital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2,067,958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1,524,303</w:t>
            </w:r>
          </w:p>
        </w:tc>
      </w:tr>
      <w:tr>
        <w:trPr>
          <w:trHeight w:val="21"/>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operating data of the private equity fund investments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2019</w:t>
            </w:r>
          </w:p>
        </w:tc>
      </w:tr>
      <w:tr>
        <w:trPr>
          <w:trHeight w:val="214"/>
        </w:trPr>
        <w:tc>
          <w:tcPr>
            <w:tcW w:w="7580" w:type="dxa"/>
            <w:vAlign w:val="bottom"/>
          </w:tcPr>
          <w:p>
            <w:pPr>
              <w:ind w:left="20"/>
              <w:spacing w:after="0"/>
              <w:rPr>
                <w:sz w:val="20"/>
                <w:szCs w:val="20"/>
                <w:color w:val="auto"/>
              </w:rPr>
            </w:pPr>
            <w:r>
              <w:rPr>
                <w:rFonts w:ascii="Arial" w:cs="Arial" w:eastAsia="Arial" w:hAnsi="Arial"/>
                <w:sz w:val="16"/>
                <w:szCs w:val="16"/>
                <w:color w:val="auto"/>
              </w:rPr>
              <w:t>Net investment loss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(13,324)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(15,301)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(13,691)</w:t>
            </w:r>
          </w:p>
        </w:tc>
      </w:tr>
      <w:tr>
        <w:trPr>
          <w:trHeight w:val="225"/>
        </w:trPr>
        <w:tc>
          <w:tcPr>
            <w:tcW w:w="7580" w:type="dxa"/>
            <w:vAlign w:val="bottom"/>
          </w:tcPr>
          <w:p>
            <w:pPr>
              <w:ind w:left="20"/>
              <w:spacing w:after="0"/>
              <w:rPr>
                <w:sz w:val="20"/>
                <w:szCs w:val="20"/>
                <w:color w:val="auto"/>
              </w:rPr>
            </w:pPr>
            <w:r>
              <w:rPr>
                <w:rFonts w:ascii="Arial" w:cs="Arial" w:eastAsia="Arial" w:hAnsi="Arial"/>
                <w:sz w:val="16"/>
                <w:szCs w:val="16"/>
                <w:color w:val="auto"/>
              </w:rPr>
              <w:t>Net realized gain on investments</w:t>
            </w:r>
          </w:p>
        </w:tc>
        <w:tc>
          <w:tcPr>
            <w:tcW w:w="240" w:type="dxa"/>
            <w:vAlign w:val="bottom"/>
          </w:tcPr>
          <w:p>
            <w:pPr>
              <w:spacing w:after="0"/>
              <w:rPr>
                <w:sz w:val="19"/>
                <w:szCs w:val="19"/>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190,368</w:t>
            </w:r>
          </w:p>
        </w:tc>
        <w:tc>
          <w:tcPr>
            <w:tcW w:w="32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440</w:t>
            </w:r>
          </w:p>
        </w:tc>
        <w:tc>
          <w:tcPr>
            <w:tcW w:w="3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79,443</w:t>
            </w:r>
          </w:p>
        </w:tc>
      </w:tr>
      <w:tr>
        <w:trPr>
          <w:trHeight w:val="243"/>
        </w:trPr>
        <w:tc>
          <w:tcPr>
            <w:tcW w:w="7580" w:type="dxa"/>
            <w:vAlign w:val="bottom"/>
          </w:tcPr>
          <w:p>
            <w:pPr>
              <w:ind w:left="20"/>
              <w:spacing w:after="0"/>
              <w:rPr>
                <w:sz w:val="20"/>
                <w:szCs w:val="20"/>
                <w:color w:val="auto"/>
              </w:rPr>
            </w:pPr>
            <w:r>
              <w:rPr>
                <w:rFonts w:ascii="Arial" w:cs="Arial" w:eastAsia="Arial" w:hAnsi="Arial"/>
                <w:sz w:val="16"/>
                <w:szCs w:val="16"/>
                <w:color w:val="auto"/>
              </w:rPr>
              <w:t>Net change in unrealized appreciation on investments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1,043,627</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525,588</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150,641</w:t>
            </w:r>
          </w:p>
        </w:tc>
      </w:tr>
      <w:tr>
        <w:trPr>
          <w:trHeight w:val="230"/>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Increase in net assets from operations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1,220,671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510,727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216,393</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The summarized balance sheet data of the operating entity investments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2020</w:t>
            </w: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203,274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164,526</w:t>
            </w:r>
          </w:p>
        </w:tc>
      </w:tr>
      <w:tr>
        <w:trPr>
          <w:trHeight w:val="238"/>
        </w:trPr>
        <w:tc>
          <w:tcPr>
            <w:tcW w:w="886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569,505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566,053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772,779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730,579</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8"/>
        </w:trPr>
        <w:tc>
          <w:tcPr>
            <w:tcW w:w="8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219,220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428,735</w:t>
            </w:r>
          </w:p>
        </w:tc>
      </w:tr>
      <w:tr>
        <w:trPr>
          <w:trHeight w:val="238"/>
        </w:trPr>
        <w:tc>
          <w:tcPr>
            <w:tcW w:w="88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329,965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264,807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549,185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693,542</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(80,604)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(103,829)</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operating data of the operating entity investments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14"/>
        </w:trPr>
        <w:tc>
          <w:tcPr>
            <w:tcW w:w="766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358,928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312,194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438,168</w:t>
            </w:r>
          </w:p>
        </w:tc>
      </w:tr>
      <w:tr>
        <w:trPr>
          <w:trHeight w:val="225"/>
        </w:trPr>
        <w:tc>
          <w:tcPr>
            <w:tcW w:w="76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146,312</w:t>
            </w:r>
          </w:p>
        </w:tc>
        <w:tc>
          <w:tcPr>
            <w:tcW w:w="3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11,217</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103,510</w:t>
            </w:r>
          </w:p>
        </w:tc>
      </w:tr>
      <w:tr>
        <w:trPr>
          <w:trHeight w:val="230"/>
        </w:trPr>
        <w:tc>
          <w:tcPr>
            <w:tcW w:w="7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135,241</w:t>
            </w:r>
          </w:p>
        </w:tc>
        <w:tc>
          <w:tcPr>
            <w:tcW w:w="32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Arial" w:cs="Arial" w:eastAsia="Arial" w:hAnsi="Arial"/>
                <w:sz w:val="16"/>
                <w:szCs w:val="16"/>
                <w:color w:val="auto"/>
              </w:rPr>
              <w:t>(206,504)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(125,146)</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Net income (loss) attributable to the entity</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102,829</w:t>
            </w:r>
          </w:p>
        </w:tc>
        <w:tc>
          <w:tcPr>
            <w:tcW w:w="32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Arial" w:cs="Arial" w:eastAsia="Arial" w:hAnsi="Arial"/>
                <w:sz w:val="16"/>
                <w:szCs w:val="16"/>
                <w:color w:val="auto"/>
              </w:rPr>
              <w:t>(148,394)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(81,268)</w:t>
            </w:r>
          </w:p>
        </w:tc>
      </w:tr>
    </w:tbl>
    <w:p>
      <w:pPr>
        <w:spacing w:after="0" w:line="226"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$48.9 million and $35.7 million as of December 31, 2021 and 2020, respectively. During the years ended December 31, 2021, 2020 and 2019, the Company recorded gains of $11.8 million, $4.2 million and $5.1 million, respectively, to those equity securities based on observable transactions. For the year ended December 31, 2020, the Company recorded impairment losses of $7.3 million to those securities.</w:t>
      </w:r>
    </w:p>
    <w:p>
      <w:pPr>
        <w:spacing w:after="0" w:line="116"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$21,836 and $21,494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589,582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519,577</w:t>
            </w:r>
          </w:p>
        </w:tc>
      </w:tr>
      <w:tr>
        <w:trPr>
          <w:trHeight w:val="238"/>
        </w:trPr>
        <w:tc>
          <w:tcPr>
            <w:tcW w:w="886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17,889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17,579</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607,471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537,156</w:t>
            </w:r>
          </w:p>
        </w:tc>
      </w:tr>
      <w:tr>
        <w:trPr>
          <w:trHeight w:val="27"/>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estimated credit losses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auto"/>
              </w:rPr>
              <w:t>Additions –</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Beginning of</w:t>
            </w:r>
          </w:p>
        </w:tc>
        <w:tc>
          <w:tcPr>
            <w:tcW w:w="220" w:type="dxa"/>
            <w:vAlign w:val="bottom"/>
          </w:tcPr>
          <w:p>
            <w:pPr>
              <w:spacing w:after="0"/>
              <w:rPr>
                <w:sz w:val="12"/>
                <w:szCs w:val="12"/>
                <w:color w:val="auto"/>
              </w:rPr>
            </w:pPr>
          </w:p>
        </w:tc>
        <w:tc>
          <w:tcPr>
            <w:tcW w:w="11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Costs and</w:t>
            </w:r>
          </w:p>
        </w:tc>
        <w:tc>
          <w:tcPr>
            <w:tcW w:w="240" w:type="dxa"/>
            <w:vAlign w:val="bottom"/>
          </w:tcPr>
          <w:p>
            <w:pPr>
              <w:spacing w:after="0"/>
              <w:rPr>
                <w:sz w:val="12"/>
                <w:szCs w:val="12"/>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2"/>
                <w:szCs w:val="12"/>
                <w:color w:val="auto"/>
              </w:rPr>
            </w:pPr>
          </w:p>
        </w:tc>
        <w:tc>
          <w:tcPr>
            <w:tcW w:w="10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4"/>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21,494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b w:val="1"/>
                <w:bCs w:val="1"/>
                <w:color w:val="auto"/>
              </w:rPr>
              <w:t>6,824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(6,482)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
              <w:spacing w:after="0"/>
              <w:rPr>
                <w:sz w:val="20"/>
                <w:szCs w:val="20"/>
                <w:color w:val="auto"/>
              </w:rPr>
            </w:pPr>
            <w:r>
              <w:rPr>
                <w:rFonts w:ascii="Arial" w:cs="Arial" w:eastAsia="Arial" w:hAnsi="Arial"/>
                <w:sz w:val="16"/>
                <w:szCs w:val="16"/>
                <w:b w:val="1"/>
                <w:bCs w:val="1"/>
                <w:color w:val="auto"/>
              </w:rPr>
              <w:t>21,836</w:t>
            </w: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Arial" w:cs="Arial" w:eastAsia="Arial" w:hAnsi="Arial"/>
                <w:sz w:val="16"/>
                <w:szCs w:val="16"/>
                <w:color w:val="auto"/>
              </w:rPr>
              <w:t>2020</w:t>
            </w:r>
          </w:p>
        </w:tc>
        <w:tc>
          <w:tcPr>
            <w:tcW w:w="264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14,276</w:t>
            </w:r>
          </w:p>
        </w:tc>
        <w:tc>
          <w:tcPr>
            <w:tcW w:w="220" w:type="dxa"/>
            <w:vAlign w:val="bottom"/>
          </w:tcPr>
          <w:p>
            <w:pPr>
              <w:spacing w:after="0"/>
              <w:rPr>
                <w:sz w:val="19"/>
                <w:szCs w:val="19"/>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10,667</w:t>
            </w:r>
          </w:p>
        </w:tc>
        <w:tc>
          <w:tcPr>
            <w:tcW w:w="2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(3,449)</w:t>
            </w:r>
          </w:p>
        </w:tc>
        <w:tc>
          <w:tcPr>
            <w:tcW w:w="22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21,494</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6"/>
                <w:szCs w:val="16"/>
                <w:color w:val="auto"/>
              </w:rPr>
              <w:t>2019</w:t>
            </w:r>
          </w:p>
        </w:tc>
        <w:tc>
          <w:tcPr>
            <w:tcW w:w="264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14,775</w:t>
            </w:r>
          </w:p>
        </w:tc>
        <w:tc>
          <w:tcPr>
            <w:tcW w:w="220" w:type="dxa"/>
            <w:vAlign w:val="bottom"/>
          </w:tcPr>
          <w:p>
            <w:pPr>
              <w:spacing w:after="0"/>
              <w:rPr>
                <w:sz w:val="19"/>
                <w:szCs w:val="19"/>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1,706</w:t>
            </w:r>
          </w:p>
        </w:tc>
        <w:tc>
          <w:tcPr>
            <w:tcW w:w="2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(2,205)</w:t>
            </w:r>
          </w:p>
        </w:tc>
        <w:tc>
          <w:tcPr>
            <w:tcW w:w="22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14,276</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126,985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106,215</w:t>
            </w: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179,307</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135,493</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277,337</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278,528</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583,629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520,236</w:t>
            </w:r>
          </w:p>
        </w:tc>
      </w:tr>
      <w:tr>
        <w:trPr>
          <w:trHeight w:val="27"/>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Cash overdrafts of $5.5 million and $2.1 million are included in accounts payable and accrued liabilities at December 31, 2021 and 2020, respectively.</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89" w:name="page90"/>
    <w:bookmarkEnd w:id="89"/>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CONTRACTS IN PROGRESS AND VEHICLE FLOOR PLAN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54,944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45,382</w:t>
            </w: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11,506</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10,402</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72,796</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64,061</w:t>
            </w:r>
          </w:p>
        </w:tc>
      </w:tr>
      <w:tr>
        <w:trPr>
          <w:trHeight w:val="242"/>
        </w:trPr>
        <w:tc>
          <w:tcPr>
            <w:tcW w:w="886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2,225</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777</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141,471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120,622</w:t>
            </w:r>
          </w:p>
        </w:tc>
      </w:tr>
      <w:tr>
        <w:trPr>
          <w:trHeight w:val="27"/>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Company finances new and used vehicle inventory through standardized floor plan facilities with Truist Bank (Truist floor plan facility) and Ford Motor Credit Company (Ford floor plan facility). The Truist floor plan facility bore interest at variable rates that were based on LIBOR plus 1.15% per annum. On December 28, 2021, the Company entered into an amended agreement with Truist modifying the interest rate to Secured Overnight Financing Rate (SOFR) plus 1.19% per annum. The Ford floor plan facility bears interest at variable rates that are based on the prime rate, with a floor of 3.5%, plus 1.5% per annum. The weighted average interest rate for the floor plan facilities was 1.1%, 1.7% and 3.3% for the years ended December 31, 2021, 2020 and 2019, respectively. As of December 31, 2021, the aggregate capacity under the floor plan facilities was $70.9 million, of which $31.6 million had been utilized, and is included in accounts payable and accrued liabilities in the Consolidated Balance Sheet. Changes in the vehicle floor plan payable are reported as cash flows from financing activities in the Consolidated Statements of Cash Flows.</w:t>
      </w:r>
    </w:p>
    <w:p>
      <w:pPr>
        <w:spacing w:after="0" w:line="140"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December 31, 2021.</w:t>
      </w:r>
    </w:p>
    <w:p>
      <w:pPr>
        <w:spacing w:after="0" w:line="13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Consolidated Statements of Operations when the associated inventory is sold. For the years ended December 31, 2021, 2020 and 2019, the Company recognized a reduction in cost of goods sold of $2.7 million, $2.1 million and $1.8 million, respectively, related to manufacturer floor plan assistance.</w:t>
      </w:r>
    </w:p>
    <w:p>
      <w:pPr>
        <w:spacing w:after="0" w:line="1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PROPERTY, PLANT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2020</w:t>
            </w:r>
          </w:p>
        </w:tc>
      </w:tr>
      <w:tr>
        <w:trPr>
          <w:trHeight w:val="214"/>
        </w:trPr>
        <w:tc>
          <w:tcPr>
            <w:tcW w:w="8800" w:type="dxa"/>
            <w:vAlign w:val="bottom"/>
          </w:tcPr>
          <w:p>
            <w:pPr>
              <w:ind w:left="2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73,651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19,394</w:t>
            </w:r>
          </w:p>
        </w:tc>
      </w:tr>
      <w:tr>
        <w:trPr>
          <w:trHeight w:val="225"/>
        </w:trPr>
        <w:tc>
          <w:tcPr>
            <w:tcW w:w="88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211,758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176,653</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Machinery, equipment and fixtures</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419,778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398,334</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215,640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229,512</w:t>
            </w:r>
          </w:p>
        </w:tc>
      </w:tr>
      <w:tr>
        <w:trPr>
          <w:trHeight w:val="243"/>
        </w:trPr>
        <w:tc>
          <w:tcPr>
            <w:tcW w:w="88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19,517</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25,301</w:t>
            </w:r>
          </w:p>
        </w:tc>
      </w:tr>
      <w:tr>
        <w:trPr>
          <w:trHeight w:val="215"/>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940,344</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849,194</w:t>
            </w:r>
          </w:p>
        </w:tc>
      </w:tr>
      <w:tr>
        <w:trPr>
          <w:trHeight w:val="238"/>
        </w:trPr>
        <w:tc>
          <w:tcPr>
            <w:tcW w:w="88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(472,218)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(470,908)</w:t>
            </w:r>
          </w:p>
        </w:tc>
      </w:tr>
      <w:tr>
        <w:trPr>
          <w:trHeight w:val="223"/>
        </w:trPr>
        <w:tc>
          <w:tcPr>
            <w:tcW w:w="88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468,126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378,286</w:t>
            </w:r>
          </w:p>
        </w:tc>
      </w:tr>
      <w:tr>
        <w:trPr>
          <w:trHeight w:val="27"/>
        </w:trPr>
        <w:tc>
          <w:tcPr>
            <w:tcW w:w="8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$71.4 million, $74.3 million, and $59.3 million in 2021, 2020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capitalized $2.1 million of interest related to the construction of buildings in 2019.</w:t>
      </w:r>
    </w:p>
    <w:p>
      <w:pPr>
        <w:spacing w:after="0" w:line="144"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The Company recorded property, plant and equipment impairment charges of $ 2.4 million, $2.3 million and $ 0.3 million in 2021, 2020 and 2019, respectively. The Company estimated the fair value of the property, plant and equipment using income and market approaches.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90" w:name="page91"/>
    <w:bookmarkEnd w:id="90"/>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2019</w:t>
            </w: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96,078</w:t>
            </w:r>
          </w:p>
        </w:tc>
        <w:tc>
          <w:tcPr>
            <w:tcW w:w="4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113,669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104,007</w:t>
            </w:r>
          </w:p>
        </w:tc>
      </w:tr>
      <w:tr>
        <w:trPr>
          <w:trHeight w:val="225"/>
        </w:trPr>
        <w:tc>
          <w:tcPr>
            <w:tcW w:w="6160" w:type="dxa"/>
            <w:vAlign w:val="bottom"/>
          </w:tcPr>
          <w:p>
            <w:pPr>
              <w:ind w:left="20"/>
              <w:spacing w:after="0"/>
              <w:rPr>
                <w:sz w:val="20"/>
                <w:szCs w:val="20"/>
                <w:color w:val="auto"/>
              </w:rPr>
            </w:pPr>
            <w:r>
              <w:rPr>
                <w:rFonts w:ascii="Arial" w:cs="Arial" w:eastAsia="Arial" w:hAnsi="Arial"/>
                <w:sz w:val="16"/>
                <w:szCs w:val="16"/>
                <w:color w:val="auto"/>
              </w:rPr>
              <w:t>Short-term and month-to-month lease cost</w:t>
            </w:r>
          </w:p>
        </w:tc>
        <w:tc>
          <w:tcPr>
            <w:tcW w:w="3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17,724</w:t>
            </w:r>
          </w:p>
        </w:tc>
        <w:tc>
          <w:tcPr>
            <w:tcW w:w="4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21,862</w:t>
            </w:r>
          </w:p>
        </w:tc>
        <w:tc>
          <w:tcPr>
            <w:tcW w:w="3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19,267</w:t>
            </w:r>
          </w:p>
        </w:tc>
      </w:tr>
      <w:tr>
        <w:trPr>
          <w:trHeight w:val="230"/>
        </w:trPr>
        <w:tc>
          <w:tcPr>
            <w:tcW w:w="61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3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20,889</w:t>
            </w:r>
          </w:p>
        </w:tc>
        <w:tc>
          <w:tcPr>
            <w:tcW w:w="4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18,718</w:t>
            </w:r>
          </w:p>
        </w:tc>
        <w:tc>
          <w:tcPr>
            <w:tcW w:w="3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20,582</w:t>
            </w:r>
          </w:p>
        </w:tc>
      </w:tr>
      <w:tr>
        <w:trPr>
          <w:trHeight w:val="242"/>
        </w:trPr>
        <w:tc>
          <w:tcPr>
            <w:tcW w:w="6160" w:type="dxa"/>
            <w:vAlign w:val="bottom"/>
          </w:tcPr>
          <w:p>
            <w:pPr>
              <w:ind w:left="20"/>
              <w:spacing w:after="0"/>
              <w:rPr>
                <w:sz w:val="20"/>
                <w:szCs w:val="20"/>
                <w:color w:val="auto"/>
              </w:rPr>
            </w:pPr>
            <w:r>
              <w:rPr>
                <w:rFonts w:ascii="Arial" w:cs="Arial" w:eastAsia="Arial" w:hAnsi="Arial"/>
                <w:sz w:val="16"/>
                <w:szCs w:val="16"/>
                <w:color w:val="auto"/>
              </w:rPr>
              <w:t>Sublease income</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(16,918)</w:t>
            </w:r>
          </w:p>
        </w:tc>
        <w:tc>
          <w:tcPr>
            <w:tcW w:w="4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(18,508)</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(20,108)</w:t>
            </w:r>
          </w:p>
        </w:tc>
      </w:tr>
      <w:tr>
        <w:trPr>
          <w:trHeight w:val="230"/>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117,773</w:t>
            </w:r>
          </w:p>
        </w:tc>
        <w:tc>
          <w:tcPr>
            <w:tcW w:w="4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135,741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123,748</w:t>
            </w:r>
          </w:p>
        </w:tc>
      </w:tr>
      <w:tr>
        <w:trPr>
          <w:trHeight w:val="20"/>
        </w:trPr>
        <w:tc>
          <w:tcPr>
            <w:tcW w:w="6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The Company recorded impairment charges of $3.9 million, $11.4 million and $1.1 million in 2021, 2020 and 2019, respectively. The Company estimated the fair value of the right-of-use assets using an income approach.</w:t>
      </w:r>
    </w:p>
    <w:p>
      <w:pPr>
        <w:spacing w:after="0" w:line="135"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In connection with the sale of the KHE Campuses (KHEC) business, the Company is the guarantor of several leases for which it has established ROU assets and lease liabilities. Any net lease cost or sublease income related to these leases is recorded in other non-operating income. The total net lease cost related to these leases was $0.1 million, $0.8 million and $0.8 million for 2021, 2020 and 2019,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4"/>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Cash Flow Information: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 (payments)</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105,164</w:t>
            </w:r>
          </w:p>
        </w:tc>
        <w:tc>
          <w:tcPr>
            <w:tcW w:w="12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21"/>
              <w:spacing w:after="0"/>
              <w:rPr>
                <w:sz w:val="20"/>
                <w:szCs w:val="20"/>
                <w:color w:val="auto"/>
              </w:rPr>
            </w:pPr>
            <w:r>
              <w:rPr>
                <w:rFonts w:ascii="Arial" w:cs="Arial" w:eastAsia="Arial" w:hAnsi="Arial"/>
                <w:sz w:val="16"/>
                <w:szCs w:val="16"/>
                <w:color w:val="auto"/>
              </w:rPr>
              <w:t>113,664</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112,671</w:t>
            </w:r>
          </w:p>
        </w:tc>
        <w:tc>
          <w:tcPr>
            <w:tcW w:w="0" w:type="dxa"/>
            <w:vAlign w:val="bottom"/>
          </w:tcPr>
          <w:p>
            <w:pPr>
              <w:spacing w:after="0"/>
              <w:rPr>
                <w:sz w:val="1"/>
                <w:szCs w:val="1"/>
                <w:color w:val="auto"/>
              </w:rPr>
            </w:pPr>
          </w:p>
        </w:tc>
      </w:tr>
      <w:tr>
        <w:trPr>
          <w:trHeight w:val="210"/>
        </w:trPr>
        <w:tc>
          <w:tcPr>
            <w:tcW w:w="5940" w:type="dxa"/>
            <w:vAlign w:val="bottom"/>
          </w:tcPr>
          <w:p>
            <w:pPr>
              <w:ind w:left="2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59,409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40" w:type="dxa"/>
            <w:vAlign w:val="bottom"/>
          </w:tcPr>
          <w:p>
            <w:pPr>
              <w:ind w:left="220"/>
              <w:spacing w:after="0"/>
              <w:rPr>
                <w:sz w:val="20"/>
                <w:szCs w:val="20"/>
                <w:color w:val="auto"/>
              </w:rPr>
            </w:pPr>
            <w:r>
              <w:rPr>
                <w:rFonts w:ascii="Arial" w:cs="Arial" w:eastAsia="Arial" w:hAnsi="Arial"/>
                <w:sz w:val="16"/>
                <w:szCs w:val="16"/>
                <w:color w:val="auto"/>
              </w:rPr>
              <w:t>(noncash)</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121"/>
              <w:spacing w:after="0"/>
              <w:rPr>
                <w:sz w:val="20"/>
                <w:szCs w:val="20"/>
                <w:color w:val="auto"/>
              </w:rPr>
            </w:pPr>
            <w:r>
              <w:rPr>
                <w:rFonts w:ascii="Arial" w:cs="Arial" w:eastAsia="Arial" w:hAnsi="Arial"/>
                <w:sz w:val="16"/>
                <w:szCs w:val="16"/>
                <w:color w:val="auto"/>
              </w:rPr>
              <w:t>27,031</w:t>
            </w:r>
          </w:p>
        </w:tc>
        <w:tc>
          <w:tcPr>
            <w:tcW w:w="680" w:type="dxa"/>
            <w:vAlign w:val="bottom"/>
          </w:tcPr>
          <w:p>
            <w:pPr>
              <w:spacing w:after="0"/>
              <w:rPr>
                <w:sz w:val="16"/>
                <w:szCs w:val="16"/>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236,714</w:t>
            </w:r>
          </w:p>
        </w:tc>
        <w:tc>
          <w:tcPr>
            <w:tcW w:w="0" w:type="dxa"/>
            <w:vAlign w:val="bottom"/>
          </w:tcPr>
          <w:p>
            <w:pPr>
              <w:spacing w:after="0"/>
              <w:rPr>
                <w:sz w:val="1"/>
                <w:szCs w:val="1"/>
                <w:color w:val="auto"/>
              </w:rPr>
            </w:pPr>
          </w:p>
        </w:tc>
      </w:tr>
      <w:tr>
        <w:trPr>
          <w:trHeight w:val="418"/>
        </w:trPr>
        <w:tc>
          <w:tcPr>
            <w:tcW w:w="5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6"/>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Balance Sheet Information:</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13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437,969</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6"/>
                <w:szCs w:val="16"/>
                <w:color w:val="auto"/>
              </w:rPr>
              <w:t>Lease right-of-use 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462,560</w:t>
            </w:r>
          </w:p>
        </w:tc>
        <w:tc>
          <w:tcPr>
            <w:tcW w:w="0" w:type="dxa"/>
            <w:vAlign w:val="bottom"/>
          </w:tcPr>
          <w:p>
            <w:pPr>
              <w:spacing w:after="0"/>
              <w:rPr>
                <w:sz w:val="1"/>
                <w:szCs w:val="1"/>
                <w:color w:val="auto"/>
              </w:rPr>
            </w:pPr>
          </w:p>
        </w:tc>
      </w:tr>
      <w:tr>
        <w:trPr>
          <w:trHeight w:val="432"/>
        </w:trPr>
        <w:tc>
          <w:tcPr>
            <w:tcW w:w="5940" w:type="dxa"/>
            <w:vAlign w:val="bottom"/>
          </w:tcPr>
          <w:p>
            <w:pPr>
              <w:ind w:left="220"/>
              <w:spacing w:after="0"/>
              <w:rPr>
                <w:sz w:val="20"/>
                <w:szCs w:val="20"/>
                <w:color w:val="auto"/>
              </w:rPr>
            </w:pPr>
            <w:r>
              <w:rPr>
                <w:rFonts w:ascii="Arial" w:cs="Arial" w:eastAsia="Arial" w:hAnsi="Arial"/>
                <w:sz w:val="16"/>
                <w:szCs w:val="16"/>
                <w:color w:val="auto"/>
              </w:rPr>
              <w:t>Current lease liabilities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ind w:right="121"/>
              <w:spacing w:after="0"/>
              <w:rPr>
                <w:sz w:val="20"/>
                <w:szCs w:val="20"/>
                <w:color w:val="auto"/>
              </w:rPr>
            </w:pPr>
            <w:r>
              <w:rPr>
                <w:rFonts w:ascii="Arial" w:cs="Arial" w:eastAsia="Arial" w:hAnsi="Arial"/>
                <w:sz w:val="16"/>
                <w:szCs w:val="16"/>
                <w:b w:val="1"/>
                <w:bCs w:val="1"/>
                <w:color w:val="auto"/>
              </w:rPr>
              <w:t>77,655</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86,797</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Noncurrent lease liabilities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405,200</w:t>
            </w:r>
          </w:p>
        </w:tc>
        <w:tc>
          <w:tcPr>
            <w:tcW w:w="6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428,849</w:t>
            </w:r>
          </w:p>
        </w:tc>
        <w:tc>
          <w:tcPr>
            <w:tcW w:w="0" w:type="dxa"/>
            <w:vAlign w:val="bottom"/>
          </w:tcPr>
          <w:p>
            <w:pPr>
              <w:spacing w:after="0"/>
              <w:rPr>
                <w:sz w:val="1"/>
                <w:szCs w:val="1"/>
                <w:color w:val="auto"/>
              </w:rPr>
            </w:pPr>
          </w:p>
        </w:tc>
      </w:tr>
      <w:tr>
        <w:trPr>
          <w:trHeight w:val="229"/>
        </w:trPr>
        <w:tc>
          <w:tcPr>
            <w:tcW w:w="5940" w:type="dxa"/>
            <w:vAlign w:val="bottom"/>
          </w:tcPr>
          <w:p>
            <w:pPr>
              <w:ind w:left="480"/>
              <w:spacing w:after="0"/>
              <w:rPr>
                <w:sz w:val="20"/>
                <w:szCs w:val="20"/>
                <w:color w:val="auto"/>
              </w:rPr>
            </w:pPr>
            <w:r>
              <w:rPr>
                <w:rFonts w:ascii="Arial" w:cs="Arial" w:eastAsia="Arial" w:hAnsi="Arial"/>
                <w:sz w:val="16"/>
                <w:szCs w:val="16"/>
                <w:b w:val="1"/>
                <w:bCs w:val="1"/>
                <w:color w:val="auto"/>
              </w:rPr>
              <w:t>Total lease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482,855</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515,646</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594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10.6</w:t>
            </w:r>
          </w:p>
        </w:tc>
        <w:tc>
          <w:tcPr>
            <w:tcW w:w="680" w:type="dxa"/>
            <w:vAlign w:val="bottom"/>
          </w:tcPr>
          <w:p>
            <w:pPr>
              <w:spacing w:after="0"/>
              <w:rPr>
                <w:sz w:val="24"/>
                <w:szCs w:val="24"/>
                <w:color w:val="auto"/>
              </w:rPr>
            </w:pPr>
          </w:p>
        </w:tc>
        <w:tc>
          <w:tcPr>
            <w:tcW w:w="1100" w:type="dxa"/>
            <w:vAlign w:val="bottom"/>
          </w:tcPr>
          <w:p>
            <w:pPr>
              <w:jc w:val="right"/>
              <w:ind w:right="48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4.6 %</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maturities of lease liabilities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938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97,501</w:t>
            </w:r>
          </w:p>
        </w:tc>
      </w:tr>
      <w:tr>
        <w:trPr>
          <w:trHeight w:val="230"/>
        </w:trPr>
        <w:tc>
          <w:tcPr>
            <w:tcW w:w="938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79,854</w:t>
            </w:r>
          </w:p>
        </w:tc>
      </w:tr>
      <w:tr>
        <w:trPr>
          <w:trHeight w:val="230"/>
        </w:trPr>
        <w:tc>
          <w:tcPr>
            <w:tcW w:w="93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64,030</w:t>
            </w:r>
          </w:p>
        </w:tc>
      </w:tr>
      <w:tr>
        <w:trPr>
          <w:trHeight w:val="229"/>
        </w:trPr>
        <w:tc>
          <w:tcPr>
            <w:tcW w:w="9380" w:type="dxa"/>
            <w:vAlign w:val="bottom"/>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50,392</w:t>
            </w:r>
          </w:p>
        </w:tc>
      </w:tr>
      <w:tr>
        <w:trPr>
          <w:trHeight w:val="230"/>
        </w:trPr>
        <w:tc>
          <w:tcPr>
            <w:tcW w:w="938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45,897</w:t>
            </w:r>
          </w:p>
        </w:tc>
      </w:tr>
      <w:tr>
        <w:trPr>
          <w:trHeight w:val="243"/>
        </w:trPr>
        <w:tc>
          <w:tcPr>
            <w:tcW w:w="93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296,514</w:t>
            </w:r>
          </w:p>
        </w:tc>
      </w:tr>
      <w:tr>
        <w:trPr>
          <w:trHeight w:val="215"/>
        </w:trPr>
        <w:tc>
          <w:tcPr>
            <w:tcW w:w="938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634,188</w:t>
            </w:r>
          </w:p>
        </w:tc>
      </w:tr>
      <w:tr>
        <w:trPr>
          <w:trHeight w:val="238"/>
        </w:trPr>
        <w:tc>
          <w:tcPr>
            <w:tcW w:w="93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(151,333)</w:t>
            </w:r>
          </w:p>
        </w:tc>
      </w:tr>
      <w:tr>
        <w:trPr>
          <w:trHeight w:val="230"/>
        </w:trPr>
        <w:tc>
          <w:tcPr>
            <w:tcW w:w="93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482,855</w:t>
            </w:r>
          </w:p>
        </w:tc>
      </w:tr>
      <w:tr>
        <w:trPr>
          <w:trHeight w:val="20"/>
        </w:trPr>
        <w:tc>
          <w:tcPr>
            <w:tcW w:w="9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As of December 31, 2021, the Company has entered into operating leases, including educational and other facilities, that have not yet commenced that have minimum lease payments of $6.6 million. These operating leases will commence in fiscal year 2022 with lease terms of two to 11 years.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91" w:name="page92"/>
    <w:bookmarkEnd w:id="91"/>
    <w:p>
      <w:pPr>
        <w:ind w:left="360" w:hanging="35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changed the presentation of its segments in the third quarter of 2021 into the following seven reportable segments: Kaplan International, Higher Education, Supplemental Education, Television Broadcasting, Manufacturing, Healthcare and Automotive (see Note 19).</w:t>
      </w:r>
    </w:p>
    <w:p>
      <w:pPr>
        <w:spacing w:after="0" w:line="120"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the third quarter of 2021, as a result of the emergence of the COVID-19 Delta variant and continued weak product demand in the commercial office electrical products and hospitality sectors caused by the COVID-19 pandemic, the Company performed an interim review of the goodwill and indefinite-lived intangibles of the Dekko reporting unit. As a result of the impairment review, the Company recorded a $26.7 million goodwill impairment charge. The Company estimated the fair value of the reporting unit by utilizing a discounted cash flow model. The carrying value of the reporting unit exceeded the estimated fair value, resulting in a goodwill impairment charge for the amount by which the carrying value exceeded the estimated fair value after taking into account the effect of deferred income taxes. Dekko is included in manufacturing.</w:t>
      </w:r>
    </w:p>
    <w:p>
      <w:pPr>
        <w:spacing w:after="0" w:line="139"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goodwill, indefinite-lived intangibles and other long-lived assets of the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is included in other businesses and the automotive dealerships are included in automotive.</w:t>
      </w:r>
    </w:p>
    <w:p>
      <w:pPr>
        <w:spacing w:after="0" w:line="135"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the fourth quarter of 2019, Television Broadcasting recorded an intangible asset impairment charge of $ 7.8 million related to FCC licenses at two of its stations, due to a decline in local market conditions. The fair value of the intangible asset was estimated using an income approach.</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Amortization of intangible assets for the years ended December 31, 2021, 2020 and 2019, was $57.9 million, $ 56.8 million and $53.2 million, respectively. Amortization of intangible assets is estimated to be approximately $59 million in 2022, $51 million in 2023, $39 million in 2024, $31 million in 2025, $26 million in 2026 and $41 million thereafter.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20" w:type="dxa"/>
            <w:vAlign w:val="bottom"/>
          </w:tcPr>
          <w:p>
            <w:pPr>
              <w:jc w:val="right"/>
              <w:ind w:right="240"/>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9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1,140,958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39,121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30,423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1,734,731</w:t>
            </w:r>
          </w:p>
        </w:tc>
        <w:tc>
          <w:tcPr>
            <w:tcW w:w="0" w:type="dxa"/>
            <w:vAlign w:val="bottom"/>
          </w:tcPr>
          <w:p>
            <w:pPr>
              <w:spacing w:after="0"/>
              <w:rPr>
                <w:sz w:val="1"/>
                <w:szCs w:val="1"/>
                <w:color w:val="auto"/>
              </w:rPr>
            </w:pPr>
          </w:p>
        </w:tc>
      </w:tr>
      <w:tr>
        <w:trPr>
          <w:trHeight w:val="21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809,807</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227,377</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22,738</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1,388,279</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Measurement period adjustment</w:t>
            </w:r>
          </w:p>
        </w:tc>
        <w:tc>
          <w:tcPr>
            <w:tcW w:w="1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13,022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60,928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73,950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(6,878)</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180"/>
              <w:spacing w:after="0"/>
              <w:rPr>
                <w:sz w:val="20"/>
                <w:szCs w:val="20"/>
                <w:color w:val="auto"/>
              </w:rPr>
            </w:pPr>
            <w:r>
              <w:rPr>
                <w:rFonts w:ascii="Arial" w:cs="Arial" w:eastAsia="Arial" w:hAnsi="Arial"/>
                <w:sz w:val="16"/>
                <w:szCs w:val="16"/>
                <w:color w:val="auto"/>
              </w:rPr>
              <w:t>changes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29,245</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29,245</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1,183,379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39,121</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91,351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1,838,080</w:t>
            </w:r>
          </w:p>
        </w:tc>
        <w:tc>
          <w:tcPr>
            <w:tcW w:w="0" w:type="dxa"/>
            <w:vAlign w:val="bottom"/>
          </w:tcPr>
          <w:p>
            <w:pPr>
              <w:spacing w:after="0"/>
              <w:rPr>
                <w:sz w:val="1"/>
                <w:szCs w:val="1"/>
                <w:color w:val="auto"/>
              </w:rPr>
            </w:pPr>
          </w:p>
        </w:tc>
      </w:tr>
      <w:tr>
        <w:trPr>
          <w:trHeight w:val="21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(353,330)</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852,228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227,377</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76,788</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1,484,750</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16,342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19,908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6,705</w:t>
            </w: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162,048</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205,003</w:t>
            </w:r>
          </w:p>
        </w:tc>
        <w:tc>
          <w:tcPr>
            <w:tcW w:w="0" w:type="dxa"/>
            <w:vAlign w:val="bottom"/>
          </w:tcPr>
          <w:p>
            <w:pPr>
              <w:spacing w:after="0"/>
              <w:rPr>
                <w:sz w:val="1"/>
                <w:szCs w:val="1"/>
                <w:color w:val="auto"/>
              </w:rPr>
            </w:pPr>
          </w:p>
        </w:tc>
      </w:tr>
      <w:tr>
        <w:trPr>
          <w:trHeight w:val="225"/>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(26,686)</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(26,686)</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(13,485)</w:t>
            </w: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1,186,236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118,329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45,826</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253,399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2,029,598</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(34,302)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(14,563)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(380,016)</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855,085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200,691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118,329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238,836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1,649,582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460"/>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240" w:type="dxa"/>
            <w:vAlign w:val="bottom"/>
          </w:tcPr>
          <w:p>
            <w:pPr>
              <w:jc w:val="right"/>
              <w:ind w:right="480"/>
              <w:spacing w:after="0"/>
              <w:rPr>
                <w:sz w:val="20"/>
                <w:szCs w:val="20"/>
                <w:color w:val="auto"/>
              </w:rPr>
            </w:pPr>
            <w:r>
              <w:rPr>
                <w:rFonts w:ascii="Arial" w:cs="Arial" w:eastAsia="Arial" w:hAnsi="Arial"/>
                <w:sz w:val="14"/>
                <w:szCs w:val="14"/>
                <w:b w:val="1"/>
                <w:bCs w:val="1"/>
                <w:color w:val="auto"/>
              </w:rPr>
              <w:t>Higher</w:t>
            </w:r>
          </w:p>
        </w:tc>
        <w:tc>
          <w:tcPr>
            <w:tcW w:w="240" w:type="dxa"/>
            <w:vAlign w:val="bottom"/>
          </w:tcPr>
          <w:p>
            <w:pPr>
              <w:spacing w:after="0"/>
              <w:rPr>
                <w:sz w:val="14"/>
                <w:szCs w:val="14"/>
                <w:color w:val="auto"/>
              </w:rPr>
            </w:pPr>
          </w:p>
        </w:tc>
        <w:tc>
          <w:tcPr>
            <w:tcW w:w="1320" w:type="dxa"/>
            <w:vAlign w:val="bottom"/>
          </w:tcPr>
          <w:p>
            <w:pPr>
              <w:jc w:val="right"/>
              <w:ind w:right="220"/>
              <w:spacing w:after="0"/>
              <w:rPr>
                <w:sz w:val="20"/>
                <w:szCs w:val="20"/>
                <w:color w:val="auto"/>
              </w:rPr>
            </w:pPr>
            <w:r>
              <w:rPr>
                <w:rFonts w:ascii="Arial" w:cs="Arial" w:eastAsia="Arial" w:hAnsi="Arial"/>
                <w:sz w:val="14"/>
                <w:szCs w:val="14"/>
                <w:b w:val="1"/>
                <w:bCs w:val="1"/>
                <w:color w:val="auto"/>
              </w:rPr>
              <w:t>Supplemental</w:t>
            </w:r>
          </w:p>
        </w:tc>
        <w:tc>
          <w:tcPr>
            <w:tcW w:w="380" w:type="dxa"/>
            <w:vAlign w:val="bottom"/>
          </w:tcPr>
          <w:p>
            <w:pPr>
              <w:spacing w:after="0"/>
              <w:rPr>
                <w:sz w:val="14"/>
                <w:szCs w:val="14"/>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595,604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370,790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1,140,958</w:t>
            </w: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595,604</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63,240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150,963</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809,807</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Measurement period adjustment</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154</w:t>
            </w:r>
          </w:p>
        </w:tc>
        <w:tc>
          <w:tcPr>
            <w:tcW w:w="3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9,788</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3,234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13,022</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29,203</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29,245</w:t>
            </w:r>
          </w:p>
        </w:tc>
        <w:tc>
          <w:tcPr>
            <w:tcW w:w="0" w:type="dxa"/>
            <w:vAlign w:val="bottom"/>
          </w:tcPr>
          <w:p>
            <w:pPr>
              <w:spacing w:after="0"/>
              <w:rPr>
                <w:sz w:val="1"/>
                <w:szCs w:val="1"/>
                <w:color w:val="auto"/>
              </w:rPr>
            </w:pPr>
          </w:p>
        </w:tc>
      </w:tr>
      <w:tr>
        <w:trPr>
          <w:trHeight w:val="197"/>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634,749</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374,066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1,183,379</w:t>
            </w: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634,749</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63,240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154,239</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852,228</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16,342</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16,342</w:t>
            </w: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(13,481)</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(13,485)</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621,268</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174,564</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390,404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1,186,236</w:t>
            </w: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(111,324)</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(219,827)</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621,268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170,577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855,085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2020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Useful</w:t>
            </w:r>
          </w:p>
        </w:tc>
        <w:tc>
          <w:tcPr>
            <w:tcW w:w="140" w:type="dxa"/>
            <w:vAlign w:val="bottom"/>
          </w:tcPr>
          <w:p>
            <w:pPr>
              <w:spacing w:after="0"/>
              <w:rPr>
                <w:sz w:val="12"/>
                <w:szCs w:val="12"/>
                <w:color w:val="auto"/>
              </w:rPr>
            </w:pPr>
          </w:p>
        </w:tc>
        <w:tc>
          <w:tcPr>
            <w:tcW w:w="8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1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4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840" w:type="dxa"/>
            <w:vAlign w:val="bottom"/>
          </w:tcPr>
          <w:p>
            <w:pPr>
              <w:jc w:val="center"/>
              <w:ind w:right="141"/>
              <w:spacing w:after="0" w:line="149"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ind w:right="122"/>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8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840" w:type="dxa"/>
            <w:vAlign w:val="bottom"/>
          </w:tcPr>
          <w:p>
            <w:pPr>
              <w:jc w:val="center"/>
              <w:ind w:right="141"/>
              <w:spacing w:after="0" w:line="149" w:lineRule="exact"/>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2"/>
                <w:szCs w:val="12"/>
                <w:color w:val="auto"/>
              </w:rPr>
            </w:pPr>
          </w:p>
        </w:tc>
        <w:tc>
          <w:tcPr>
            <w:tcW w:w="1080" w:type="dxa"/>
            <w:vAlign w:val="bottom"/>
          </w:tcPr>
          <w:p>
            <w:pPr>
              <w:jc w:val="right"/>
              <w:ind w:right="14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40" w:type="dxa"/>
            <w:vAlign w:val="bottom"/>
          </w:tcPr>
          <w:p>
            <w:pPr>
              <w:jc w:val="center"/>
              <w:ind w:right="12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4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14"/>
        </w:trPr>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Student and customer relationships</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300,027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206,714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93,313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294,077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178,075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116,002</w:t>
            </w:r>
          </w:p>
        </w:tc>
        <w:tc>
          <w:tcPr>
            <w:tcW w:w="0" w:type="dxa"/>
            <w:vAlign w:val="bottom"/>
          </w:tcPr>
          <w:p>
            <w:pPr>
              <w:spacing w:after="0"/>
              <w:rPr>
                <w:sz w:val="1"/>
                <w:szCs w:val="1"/>
                <w:color w:val="auto"/>
              </w:rPr>
            </w:pP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Trade names and trademarks</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2–15 years (1)</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158,365</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68,113</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90,252</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109,809</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54,766</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55,043</w:t>
            </w: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Network affiliation agreements</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8,628</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8,772</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17,400</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6,888</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10,512</w:t>
            </w:r>
          </w:p>
        </w:tc>
        <w:tc>
          <w:tcPr>
            <w:tcW w:w="0" w:type="dxa"/>
            <w:vAlign w:val="bottom"/>
          </w:tcPr>
          <w:p>
            <w:pPr>
              <w:spacing w:after="0"/>
              <w:rPr>
                <w:sz w:val="1"/>
                <w:szCs w:val="1"/>
                <w:color w:val="auto"/>
              </w:rPr>
            </w:pP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Databases and technology</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36,585</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26,464</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10,121</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34,864</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19,924</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Noncompete agreements</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991</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937</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68,500</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23,847</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44,653</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24,800</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16,714</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8,086</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581,877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334,757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247,120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481,950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277,304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204,646</w:t>
            </w:r>
          </w:p>
        </w:tc>
        <w:tc>
          <w:tcPr>
            <w:tcW w:w="0" w:type="dxa"/>
            <w:vAlign w:val="bottom"/>
          </w:tcPr>
          <w:p>
            <w:pPr>
              <w:spacing w:after="0"/>
              <w:rPr>
                <w:sz w:val="1"/>
                <w:szCs w:val="1"/>
                <w:color w:val="auto"/>
              </w:rPr>
            </w:pPr>
          </w:p>
        </w:tc>
      </w:tr>
      <w:tr>
        <w:trPr>
          <w:trHeight w:val="27"/>
        </w:trPr>
        <w:tc>
          <w:tcPr>
            <w:tcW w:w="2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4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86,972</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Trade names and trademarks</w:t>
            </w:r>
          </w:p>
        </w:tc>
        <w:tc>
          <w:tcPr>
            <w:tcW w:w="14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87,429</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Franchise agreements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44,058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21,858</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FCC licenses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11,000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840" w:type="dxa"/>
            <w:vAlign w:val="bottom"/>
            <w:gridSpan w:val="2"/>
          </w:tcPr>
          <w:p>
            <w:pPr>
              <w:ind w:left="140"/>
              <w:spacing w:after="0"/>
              <w:rPr>
                <w:sz w:val="20"/>
                <w:szCs w:val="20"/>
                <w:color w:val="auto"/>
              </w:rPr>
            </w:pPr>
            <w:r>
              <w:rPr>
                <w:rFonts w:ascii="Arial" w:cs="Arial" w:eastAsia="Arial" w:hAnsi="Arial"/>
                <w:sz w:val="16"/>
                <w:szCs w:val="16"/>
                <w:color w:val="auto"/>
              </w:rPr>
              <w:t>Licensure and accreditation</w:t>
            </w:r>
          </w:p>
        </w:tc>
        <w:tc>
          <w:tcPr>
            <w:tcW w:w="1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142,180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120,437</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____________</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840" w:type="dxa"/>
            <w:vAlign w:val="bottom"/>
            <w:gridSpan w:val="2"/>
            <w:vMerge w:val="continue"/>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0" w:type="dxa"/>
            <w:vAlign w:val="bottom"/>
          </w:tcPr>
          <w:p>
            <w:pPr>
              <w:ind w:left="20"/>
              <w:spacing w:after="0"/>
              <w:rPr>
                <w:sz w:val="20"/>
                <w:szCs w:val="20"/>
                <w:color w:val="auto"/>
              </w:rPr>
            </w:pPr>
            <w:r>
              <w:rPr>
                <w:rFonts w:ascii="Arial" w:cs="Arial" w:eastAsia="Arial" w:hAnsi="Arial"/>
                <w:sz w:val="14"/>
                <w:szCs w:val="14"/>
                <w:color w:val="auto"/>
              </w:rPr>
              <w:t>(1)</w:t>
            </w:r>
          </w:p>
        </w:tc>
        <w:tc>
          <w:tcPr>
            <w:tcW w:w="6420" w:type="dxa"/>
            <w:vAlign w:val="bottom"/>
            <w:gridSpan w:val="6"/>
            <w:vMerge w:val="restart"/>
          </w:tcPr>
          <w:p>
            <w:pPr>
              <w:jc w:val="right"/>
              <w:ind w:right="201"/>
              <w:spacing w:after="0"/>
              <w:rPr>
                <w:sz w:val="20"/>
                <w:szCs w:val="20"/>
                <w:color w:val="auto"/>
              </w:rPr>
            </w:pPr>
            <w:r>
              <w:rPr>
                <w:rFonts w:ascii="Arial" w:cs="Arial" w:eastAsia="Arial" w:hAnsi="Arial"/>
                <w:sz w:val="14"/>
                <w:szCs w:val="14"/>
                <w:color w:val="auto"/>
              </w:rPr>
              <w:t>As of December 31, 2020, the trade names and trademarks’ maximum useful life was 10 years.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642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421,420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403,295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390,144</w:t>
            </w:r>
          </w:p>
        </w:tc>
      </w:tr>
      <w:tr>
        <w:trPr>
          <w:trHeight w:val="238"/>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28,207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3,973</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36,335</w:t>
            </w:r>
          </w:p>
        </w:tc>
      </w:tr>
      <w:tr>
        <w:trPr>
          <w:trHeight w:val="223"/>
        </w:trPr>
        <w:tc>
          <w:tcPr>
            <w:tcW w:w="76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449,627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407,268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426,479</w:t>
            </w:r>
          </w:p>
        </w:tc>
      </w:tr>
      <w:tr>
        <w:trPr>
          <w:trHeight w:val="27"/>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20,806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64,356</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85,162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4,354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3,919</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Non-U.S.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6,094</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1,125</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7,219</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31,254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65,046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96,300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2020</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77,882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6,669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84,551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8,083</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4,954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13,037</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6,958</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2,754</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92,923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14,377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2019</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63,838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80,338</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2,949</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6,630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9,579</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9,400</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8,683</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69,751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98,600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94" w:name="page95"/>
    <w:bookmarkEnd w:id="94"/>
    <w:p>
      <w:pPr>
        <w:ind w:right="280"/>
        <w:spacing w:after="0" w:line="235"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Federal statutory rate of 21% to the income before taxes as a result of the following:</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2020</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Federal taxes at statutory rate (see above)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State and local taxes, net of U.S. Federal tax</w:t>
      </w:r>
    </w:p>
    <w:p>
      <w:pPr>
        <w:spacing w:after="0" w:line="46" w:lineRule="exact"/>
        <w:rPr>
          <w:sz w:val="20"/>
          <w:szCs w:val="20"/>
          <w:color w:val="auto"/>
        </w:rPr>
      </w:pPr>
    </w:p>
    <w:p>
      <w:pPr>
        <w:ind w:left="20" w:right="1840"/>
        <w:spacing w:after="0" w:line="299" w:lineRule="auto"/>
        <w:rPr>
          <w:sz w:val="20"/>
          <w:szCs w:val="20"/>
          <w:color w:val="auto"/>
        </w:rPr>
      </w:pPr>
      <w:r>
        <w:rPr>
          <w:rFonts w:ascii="Arial" w:cs="Arial" w:eastAsia="Arial" w:hAnsi="Arial"/>
          <w:sz w:val="16"/>
          <w:szCs w:val="16"/>
          <w:color w:val="auto"/>
        </w:rPr>
        <w:t>Valuation allowances against state tax benefits, net of U.S. Federal tax Stock-based compensation</w:t>
      </w:r>
    </w:p>
    <w:p>
      <w:pPr>
        <w:spacing w:after="0" w:line="1" w:lineRule="exact"/>
        <w:rPr>
          <w:sz w:val="20"/>
          <w:szCs w:val="20"/>
          <w:color w:val="auto"/>
        </w:rPr>
      </w:pPr>
    </w:p>
    <w:p>
      <w:pPr>
        <w:ind w:left="20" w:right="2280"/>
        <w:spacing w:after="0" w:line="312" w:lineRule="auto"/>
        <w:rPr>
          <w:sz w:val="20"/>
          <w:szCs w:val="20"/>
          <w:color w:val="auto"/>
        </w:rPr>
      </w:pPr>
      <w:r>
        <w:rPr>
          <w:rFonts w:ascii="Arial" w:cs="Arial" w:eastAsia="Arial" w:hAnsi="Arial"/>
          <w:sz w:val="16"/>
          <w:szCs w:val="16"/>
          <w:color w:val="auto"/>
        </w:rPr>
        <w:t>Valuation allowances against other non-U.S. income tax benefits Other,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Provision for Income Taxes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94,422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85,526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89,561</w:t>
            </w:r>
          </w:p>
        </w:tc>
      </w:tr>
      <w:tr>
        <w:trPr>
          <w:trHeight w:val="229"/>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2,238</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15,366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(4,064)</w:t>
            </w:r>
          </w:p>
        </w:tc>
      </w:tr>
      <w:tr>
        <w:trPr>
          <w:trHeight w:val="230"/>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859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(5,067)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11,632</w:t>
            </w:r>
          </w:p>
        </w:tc>
      </w:tr>
      <w:tr>
        <w:trPr>
          <w:trHeight w:val="229"/>
        </w:trPr>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2,048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(1,743)</w:t>
            </w:r>
          </w:p>
        </w:tc>
      </w:tr>
      <w:tr>
        <w:trPr>
          <w:trHeight w:val="229"/>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4,042</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2,445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1,202</w:t>
            </w:r>
          </w:p>
        </w:tc>
      </w:tr>
      <w:tr>
        <w:trPr>
          <w:trHeight w:val="243"/>
        </w:trPr>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(5,237)</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6,982</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r>
      <w:tr>
        <w:trPr>
          <w:trHeight w:val="223"/>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96,300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107,300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98,600</w:t>
            </w:r>
          </w:p>
        </w:tc>
      </w:tr>
      <w:tr>
        <w:trPr>
          <w:trHeight w:val="27"/>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600"/>
          </w:cols>
          <w:pgMar w:left="320" w:top="1057" w:right="339" w:bottom="1440" w:gutter="0" w:footer="0" w:header="0"/>
          <w:type w:val="continuous"/>
        </w:sectPr>
      </w:pPr>
    </w:p>
    <w:p>
      <w:pPr>
        <w:spacing w:after="0" w:line="42"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Company’s effective tax rate for 2021 was favorably impacted by a $17.2 million deferred tax adjustment arising from a change in the estimated deferred state income tax rate attributable to the apportionment formula used in the calculation of deferred taxes related to the Company’s pension and other postretirement plans. This benefit is included in the overall state tax provision of $2.2 million reflected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color w:val="auto"/>
              </w:rPr>
              <w:t>Employee benefit obligations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64,258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72,787</w:t>
            </w: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3,554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63,050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53,499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State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69,509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18,272</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U.S. Federal foreign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970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992</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18,877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15,802</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3,707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3,925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63,715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74,240</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6,396</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6,214</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294,654</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250,096</w:t>
            </w:r>
          </w:p>
        </w:tc>
      </w:tr>
      <w:tr>
        <w:trPr>
          <w:trHeight w:val="238"/>
        </w:trPr>
        <w:tc>
          <w:tcPr>
            <w:tcW w:w="886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(57,603)</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(47,217)</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237,051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202,879</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color w:val="auto"/>
              </w:rPr>
              <w:t>Prepaid pension cost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594,372</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457,644</w:t>
            </w: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color w:val="auto"/>
              </w:rPr>
              <w:t>Unrealized gain on marketable equity securities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138,868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88,371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103,497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90,921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15,451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15,807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51,668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61,148</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Non-U.S. withholding tax</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2,001</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905,857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715,757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Income Tax Liabilities,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668,806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512,878</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Company has $1,026.1 million of state income tax net operating loss carryforwards available to offset future state taxable income. During 2021, the Company recorded $115.4 million of state income tax loss carryforwards as a result of the Leaf acquisition. State income tax loss carryforwards, if unutilized, will start to expire approximately as follows: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43"/>
        </w:trPr>
        <w:tc>
          <w:tcPr>
            <w:tcW w:w="10280" w:type="dxa"/>
            <w:vAlign w:val="bottom"/>
          </w:tcPr>
          <w:p>
            <w:pPr>
              <w:ind w:left="20"/>
              <w:spacing w:after="0"/>
              <w:rPr>
                <w:sz w:val="20"/>
                <w:szCs w:val="20"/>
                <w:color w:val="auto"/>
              </w:rPr>
            </w:pPr>
            <w:r>
              <w:rPr>
                <w:rFonts w:ascii="Arial" w:cs="Arial" w:eastAsia="Arial" w:hAnsi="Arial"/>
                <w:sz w:val="16"/>
                <w:szCs w:val="16"/>
                <w:color w:val="auto"/>
              </w:rPr>
              <w:t>2027 and after</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976.4</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1,026.1</w:t>
            </w:r>
          </w:p>
        </w:tc>
      </w:tr>
      <w:tr>
        <w:trPr>
          <w:trHeight w:val="20"/>
        </w:trPr>
        <w:tc>
          <w:tcPr>
            <w:tcW w:w="10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Company has recorded at December 31, 2021, $63.1 million in deferred state income tax assets, net of U.S. Federal income tax, with respect to these state income tax loss carryforwards. The Company has established $35.4</w:t>
      </w:r>
    </w:p>
    <w:p>
      <w:pPr>
        <w:sectPr>
          <w:pgSz w:w="11900" w:h="16838" w:orient="portrait"/>
          <w:cols w:equalWidth="0" w:num="1">
            <w:col w:w="11240"/>
          </w:cols>
          <w:pgMar w:left="320" w:top="1057"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95" w:name="page96"/>
    <w:bookmarkEnd w:id="95"/>
    <w:p>
      <w:pPr>
        <w:ind w:right="140"/>
        <w:spacing w:after="0" w:line="235" w:lineRule="auto"/>
        <w:rPr>
          <w:sz w:val="20"/>
          <w:szCs w:val="20"/>
          <w:color w:val="auto"/>
        </w:rPr>
      </w:pPr>
      <w:r>
        <w:rPr>
          <w:rFonts w:ascii="Arial" w:cs="Arial" w:eastAsia="Arial" w:hAnsi="Arial"/>
          <w:sz w:val="18"/>
          <w:szCs w:val="18"/>
          <w:color w:val="auto"/>
        </w:rPr>
        <w:t>million in valuation allowances against these deferred state income tax assets, since the Company has determined that it is more likely than not that some of these state tax losses may not be fully utilized in the future to reduce state taxable income.</w:t>
      </w:r>
    </w:p>
    <w:p>
      <w:pPr>
        <w:spacing w:after="0" w:line="135"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 has $331.0 million of U.S. Federal income tax loss carryforwards obtained as a result of prior stock acquisitions. During 2021, the Company recorded $262.5 million of U.S. Federal income tax loss carryforwards as a result of the Leaf acquisition. U.S. Federal income tax loss carryforwards are expected to be fully utilized as follows: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42"/>
        </w:trPr>
        <w:tc>
          <w:tcPr>
            <w:tcW w:w="10420" w:type="dxa"/>
            <w:vAlign w:val="bottom"/>
          </w:tcPr>
          <w:p>
            <w:pPr>
              <w:ind w:left="20"/>
              <w:spacing w:after="0"/>
              <w:rPr>
                <w:sz w:val="20"/>
                <w:szCs w:val="20"/>
                <w:color w:val="auto"/>
              </w:rPr>
            </w:pPr>
            <w:r>
              <w:rPr>
                <w:rFonts w:ascii="Arial" w:cs="Arial" w:eastAsia="Arial" w:hAnsi="Arial"/>
                <w:sz w:val="16"/>
                <w:szCs w:val="16"/>
                <w:color w:val="auto"/>
              </w:rPr>
              <w:t>2027 and after</w:t>
            </w: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331.0</w:t>
            </w:r>
          </w:p>
        </w:tc>
      </w:tr>
      <w:tr>
        <w:trPr>
          <w:trHeight w:val="20"/>
        </w:trPr>
        <w:tc>
          <w:tcPr>
            <w:tcW w:w="10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Company has established at December 31, 2021, $69.5 million in U.S. Federal deferred tax assets with respect to these U.S. Federal income tax loss carryforwards.</w:t>
      </w:r>
    </w:p>
    <w:p>
      <w:pPr>
        <w:spacing w:after="0" w:line="135"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For U.S. Federal income tax purposes, the Company has established U.S. Federal deferred tax assets with respect to $1.0 million of foreign tax credits available to be credited against future U.S. Federal income tax liabilities that will start to expire in 2023 if unutilized. The Company has recorded a full valuation allowance against these deferred tax assets since the Company determined that it is more likely than not these foreign tax credit carryforwards may not be utilized in the future to reduce U.S. Federal income taxes.</w:t>
      </w:r>
    </w:p>
    <w:p>
      <w:pPr>
        <w:spacing w:after="0" w:line="135"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The Company has $87.1 million of non-U.S. income tax loss carryforwards as a result of operating losses and carryforwards that were obtained in part through prior stock acquisitions that are available to offset future non-U.S. taxable income and has recorded, with respect to these losses, $18.9 million in non-U.S. deferred income tax assets. The Company has established $14.9 million in valuation allowances against the deferred tax assets for the portion of non-U.S. tax losses that may not be utilized to reduce future non-U.S. taxable income. The $87.1 million of non-U.S. income tax loss carryforwards consist of $44.2 million in losses that may be carried forward indefinitely; $12.2 million of losses that, if unutilized, will expire in varying amounts through 2026; and $30.7 million of losses that, if unutilized, will start to expire after 2026.</w:t>
      </w:r>
    </w:p>
    <w:p>
      <w:pPr>
        <w:spacing w:after="0" w:line="13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has $12.4 million of non-U.S. capital loss carryforwards that may be carried forward indefinitely and are available to offset future non-U.S. capital gains. The Company recorded a $3.7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Balance at</w:t>
            </w: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Tax Expense and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Beginning of</w:t>
            </w: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2"/>
                <w:szCs w:val="12"/>
                <w:color w:val="auto"/>
              </w:rPr>
            </w:pPr>
          </w:p>
        </w:tc>
        <w:tc>
          <w:tcPr>
            <w:tcW w:w="98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Revaluation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2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47,217</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13,915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(3,529)</w:t>
            </w:r>
          </w:p>
        </w:tc>
        <w:tc>
          <w:tcPr>
            <w:tcW w:w="30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b w:val="1"/>
                <w:bCs w:val="1"/>
                <w:color w:val="auto"/>
              </w:rPr>
              <w:t>57,603</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46,243</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7,303</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(6,329)</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47,217</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33,120</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14,512</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(1,389)</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46,243</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Company has established $37.5 million in valuation allowances against deferred state tax assets recognized, net of U.S. Federal tax. As stated above, approximately $35.4 million of the valuation allowances, net of U.S. Federal income tax, relate to state income tax loss carryforwards. In most instances, the Company has established valuation allowances against deferred state income tax assets without considering potentially offsetting deferred tax liabilities established with respect to prepaid pension cost and goodwill. Prepaid pension cost and goodwill have not been considered a source of future taxable income for realizing those deferred state tax assets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with indefinite lives. The valuation allowances established against deferred state income tax assets may increase or decrease within the next 12 months, based on operating results or the market value of investment holdings. In 2021, the Company released $1.8 million in valuation allowances against deferred state income tax assets at the healthcare division as the healthcare division generated positive operating results that support the realization of these deferred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6" w:name="page97"/>
    <w:bookmarkEnd w:id="96"/>
    <w:p>
      <w:pPr>
        <w:ind w:right="680"/>
        <w:spacing w:after="0" w:line="235" w:lineRule="auto"/>
        <w:rPr>
          <w:sz w:val="20"/>
          <w:szCs w:val="20"/>
          <w:color w:val="auto"/>
        </w:rPr>
      </w:pPr>
      <w:r>
        <w:rPr>
          <w:rFonts w:ascii="Arial" w:cs="Arial" w:eastAsia="Arial" w:hAnsi="Arial"/>
          <w:sz w:val="18"/>
          <w:szCs w:val="18"/>
          <w:color w:val="auto"/>
        </w:rPr>
        <w:t>tax assets, net of the federal benefit. The Company will monitor future results on a quarterly basis to determine whether the valuation allowances provided against deferred state tax assets should be increased or decreased as future circumstances warrant.</w:t>
      </w:r>
    </w:p>
    <w:p>
      <w:pPr>
        <w:spacing w:after="0" w:line="135"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The Company has established $ 19.1 million in valuation allowances against non-U.S. deferred tax assets, and, as stated above, $14.9 million of the non-U.S. valuation allowances relate to non-U.S. income tax loss carryforwards and $ 3.7 million relate to non-U.S. capital loss carryforwards. Valuation allowances established against non-U.S. deferred tax assets are recorded at the education division and other businesses. These non-U.S. valuation allowances may increase or decrease within the next 12 months, based on operating results. As a result, the Company is unable to estimate the potential tax impact, given the uncertain operating environment. The Company will monitor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estimates that unremitted non-U.S. subsidiary earnings, when distributed, will not be subject to tax except to the extent non-U.S. withholding taxes are imposed. Approximately $ 2.0 million of deferred tax liabilities remain recorded on the books at December 31, 2021 with respect to future non-U.S. withholding taxes the Company estimated may be imposed on future cash distributions.</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U.S. Federal and state tax liabilities may be recorded if the investment in non-U.S. subsidiaries become held for sale instead of being held indefinitely, but calculation of the tax due is not practicable.</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March 27, 2020, the Coronavirus Aid, Relief, and Economic Security (CARES) Act was enacted, which included several technical corrections to the Tax Cuts and Jobs Act and provisions allowing certain net operating losses generated by businesses in 2018, 2019, and 2020 to be carried back five years. Overall, the CARES Act had limited impact on the Company’s tax provision for the year ended December 31, 2021.</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On July 1, 2015 (the Distribution Date), the Company completed the spin-off of Cable ONE as an independent, publicly traded company. The transaction was structured as a tax-free spin-off of Cable ONE to the stockholders of the Company. Since July 1, 2015, Cable ONE has been an independent public company trading on the New York Stock Exchange under the symbol “CABO”. In connection with the CARES Act, Cable ONE has the ability to carryback its 2019 taxable losses to the tax period from January 1, 2015 to June 30, 2015, the period in which Cable ONE was included in the Company’s 2015 tax return. As a result, the Company amended its 2015 tax returns in order to accommodate Cable ONE’s request to carryback its 2019 taxable losses. The Company expects that this action will have no impact on the results or the financial position of the Company. To reflect the expected refund due to Cable ONE, the Company has included a $15.9 million current income tax receivable and a corresponding liability to Cable ONE on its balance sheet as of December 31, 2021.</w:t>
      </w:r>
    </w:p>
    <w:p>
      <w:pPr>
        <w:spacing w:after="0" w:line="135"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2018 U.S. Federal tax return and subsequent years remain open to IRS examination. The Company files income tax returns with the U.S. Federal government and in various state, local and non-U.S. governmental jurisdictions, with the consolidated U.S. Federal tax return filing considered the only major tax jurisdiction.</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0"/>
        </w:trPr>
        <w:tc>
          <w:tcPr>
            <w:tcW w:w="758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2020</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89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Beginning unrecognized tax benefits</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current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settlement with tax authorities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1,898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1,572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2,483</w:t>
            </w:r>
          </w:p>
        </w:tc>
      </w:tr>
      <w:tr>
        <w:trPr>
          <w:trHeight w:val="230"/>
        </w:trPr>
        <w:tc>
          <w:tcPr>
            <w:tcW w:w="3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1,061</w:t>
            </w:r>
          </w:p>
        </w:tc>
        <w:tc>
          <w:tcPr>
            <w:tcW w:w="4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742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45</w:t>
            </w:r>
          </w:p>
        </w:tc>
        <w:tc>
          <w:tcPr>
            <w:tcW w:w="4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656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1,072</w:t>
            </w:r>
          </w:p>
        </w:tc>
      </w:tr>
      <w:tr>
        <w:trPr>
          <w:trHeight w:val="229"/>
        </w:trPr>
        <w:tc>
          <w:tcPr>
            <w:tcW w:w="3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243"/>
        </w:trPr>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r>
        <w:trPr>
          <w:trHeight w:val="223"/>
        </w:trPr>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3,004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w:t>
            </w:r>
          </w:p>
        </w:tc>
      </w:tr>
      <w:tr>
        <w:trPr>
          <w:trHeight w:val="27"/>
        </w:trPr>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1057" w:right="339" w:bottom="1440" w:gutter="0" w:footer="0" w:header="0"/>
          <w:type w:val="continuous"/>
        </w:sectPr>
      </w:pPr>
    </w:p>
    <w:p>
      <w:pPr>
        <w:spacing w:after="0" w:line="42"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unrecognized tax benefits relate to federal and state research and development tax credits applicable to the 2019 to 2021 tax periods, as well as state income tax filing positions applicable to the 2012 to 2014 and 2020 tax periods.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some of the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97" w:name="page98"/>
    <w:bookmarkEnd w:id="97"/>
    <w:p>
      <w:pPr>
        <w:jc w:val="both"/>
        <w:ind w:left="100" w:right="220"/>
        <w:spacing w:after="0" w:line="229" w:lineRule="auto"/>
        <w:rPr>
          <w:sz w:val="20"/>
          <w:szCs w:val="20"/>
          <w:color w:val="auto"/>
        </w:rPr>
      </w:pPr>
      <w:r>
        <w:rPr>
          <w:rFonts w:ascii="Arial" w:cs="Arial" w:eastAsia="Arial" w:hAnsi="Arial"/>
          <w:sz w:val="18"/>
          <w:szCs w:val="18"/>
          <w:color w:val="auto"/>
        </w:rPr>
        <w:t>unrecognized tax benefits may change in the next 12 months due to settlement with the tax authorities. The Company expects that a $1.8 million federal tax benefit and a $1.3 million state tax benefit, net of $0.3 million federal tax expense, will reduce the effective tax rate in the future if the unrecognized tax benefits are recognized.</w:t>
      </w:r>
    </w:p>
    <w:p>
      <w:pPr>
        <w:spacing w:after="0" w:line="137" w:lineRule="exact"/>
        <w:rPr>
          <w:sz w:val="20"/>
          <w:szCs w:val="20"/>
          <w:color w:val="auto"/>
        </w:rPr>
      </w:pPr>
    </w:p>
    <w:p>
      <w:pPr>
        <w:ind w:left="100" w:right="4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2021, the Company has not accrued interest related to the unrecognized tax benefits. The Company has not accrued any penalties related to the unrecognized tax benefits.</w:t>
      </w:r>
    </w:p>
    <w:p>
      <w:pPr>
        <w:spacing w:after="0" w:line="115" w:lineRule="exact"/>
        <w:rPr>
          <w:sz w:val="20"/>
          <w:szCs w:val="20"/>
          <w:color w:val="auto"/>
        </w:rPr>
      </w:pPr>
    </w:p>
    <w:p>
      <w:pPr>
        <w:ind w:left="560" w:hanging="452"/>
        <w:spacing w:after="0"/>
        <w:tabs>
          <w:tab w:leader="none" w:pos="5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Company’s borrowings consist of the following:</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7"/>
                <w:szCs w:val="17"/>
                <w:color w:val="auto"/>
              </w:rPr>
            </w:pPr>
          </w:p>
        </w:tc>
      </w:tr>
      <w:tr>
        <w:trPr>
          <w:trHeight w:val="197"/>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Maturities</w:t>
            </w: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2020</w:t>
            </w:r>
          </w:p>
        </w:tc>
      </w:tr>
      <w:tr>
        <w:trPr>
          <w:trHeight w:val="224"/>
        </w:trPr>
        <w:tc>
          <w:tcPr>
            <w:tcW w:w="2840" w:type="dxa"/>
            <w:vAlign w:val="bottom"/>
          </w:tcPr>
          <w:p>
            <w:pPr>
              <w:ind w:left="20"/>
              <w:spacing w:after="0" w:line="225"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396,830</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396,112</w:t>
            </w: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2023</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1.52% - 3.75%</w:t>
            </w:r>
          </w:p>
        </w:tc>
        <w:tc>
          <w:tcPr>
            <w:tcW w:w="1780" w:type="dxa"/>
            <w:vAlign w:val="bottom"/>
          </w:tcPr>
          <w:p>
            <w:pPr>
              <w:jc w:val="center"/>
              <w:spacing w:after="0"/>
              <w:rPr>
                <w:sz w:val="20"/>
                <w:szCs w:val="20"/>
                <w:color w:val="auto"/>
              </w:rPr>
            </w:pPr>
            <w:r>
              <w:rPr>
                <w:rFonts w:ascii="Arial" w:cs="Arial" w:eastAsia="Arial" w:hAnsi="Arial"/>
                <w:sz w:val="16"/>
                <w:szCs w:val="16"/>
                <w:color w:val="auto"/>
              </w:rPr>
              <w:t>1.63%</w:t>
            </w:r>
          </w:p>
        </w:tc>
        <w:tc>
          <w:tcPr>
            <w:tcW w:w="3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209,643</w:t>
            </w:r>
          </w:p>
        </w:tc>
        <w:tc>
          <w:tcPr>
            <w:tcW w:w="6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74,686</w:t>
            </w:r>
          </w:p>
        </w:tc>
      </w:tr>
      <w:tr>
        <w:trPr>
          <w:trHeight w:val="230"/>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2029</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2.08% - 2.14%</w:t>
            </w:r>
          </w:p>
        </w:tc>
        <w:tc>
          <w:tcPr>
            <w:tcW w:w="1780" w:type="dxa"/>
            <w:vAlign w:val="bottom"/>
          </w:tcPr>
          <w:p>
            <w:pPr>
              <w:jc w:val="center"/>
              <w:spacing w:after="0"/>
              <w:rPr>
                <w:sz w:val="20"/>
                <w:szCs w:val="20"/>
                <w:color w:val="auto"/>
              </w:rPr>
            </w:pPr>
            <w:r>
              <w:rPr>
                <w:rFonts w:ascii="Arial" w:cs="Arial" w:eastAsia="Arial" w:hAnsi="Arial"/>
                <w:sz w:val="16"/>
                <w:szCs w:val="16"/>
                <w:color w:val="auto"/>
              </w:rPr>
              <w:t>2.12%</w:t>
            </w: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25,250</w:t>
            </w:r>
          </w:p>
        </w:tc>
      </w:tr>
      <w:tr>
        <w:trPr>
          <w:trHeight w:val="244"/>
        </w:trPr>
        <w:tc>
          <w:tcPr>
            <w:tcW w:w="2840" w:type="dxa"/>
            <w:vAlign w:val="bottom"/>
          </w:tcPr>
          <w:p>
            <w:pPr>
              <w:ind w:left="20"/>
              <w:spacing w:after="0"/>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(2)</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2031</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1.84% - 1.85%</w:t>
            </w:r>
          </w:p>
        </w:tc>
        <w:tc>
          <w:tcPr>
            <w:tcW w:w="1780" w:type="dxa"/>
            <w:vAlign w:val="bottom"/>
          </w:tcPr>
          <w:p>
            <w:pPr>
              <w:jc w:val="center"/>
              <w:spacing w:after="0"/>
              <w:rPr>
                <w:sz w:val="20"/>
                <w:szCs w:val="20"/>
                <w:color w:val="auto"/>
              </w:rPr>
            </w:pPr>
            <w:r>
              <w:rPr>
                <w:rFonts w:ascii="Arial" w:cs="Arial" w:eastAsia="Arial" w:hAnsi="Arial"/>
                <w:sz w:val="16"/>
                <w:szCs w:val="16"/>
                <w:color w:val="auto"/>
              </w:rPr>
              <w:t>1.87%</w:t>
            </w:r>
          </w:p>
        </w:tc>
        <w:tc>
          <w:tcPr>
            <w:tcW w:w="36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24,504</w:t>
            </w:r>
          </w:p>
        </w:tc>
        <w:tc>
          <w:tcPr>
            <w:tcW w:w="6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2.10%</w:t>
            </w:r>
          </w:p>
        </w:tc>
        <w:tc>
          <w:tcPr>
            <w:tcW w:w="1780" w:type="dxa"/>
            <w:vAlign w:val="bottom"/>
          </w:tcPr>
          <w:p>
            <w:pPr>
              <w:jc w:val="center"/>
              <w:spacing w:after="0"/>
              <w:rPr>
                <w:sz w:val="20"/>
                <w:szCs w:val="20"/>
                <w:color w:val="auto"/>
              </w:rPr>
            </w:pPr>
            <w:r>
              <w:rPr>
                <w:rFonts w:ascii="Arial" w:cs="Arial" w:eastAsia="Arial" w:hAnsi="Arial"/>
                <w:sz w:val="16"/>
                <w:szCs w:val="16"/>
                <w:color w:val="auto"/>
              </w:rPr>
              <w:t>2.10%</w:t>
            </w:r>
          </w:p>
        </w:tc>
        <w:tc>
          <w:tcPr>
            <w:tcW w:w="3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22,500</w:t>
            </w:r>
          </w:p>
        </w:tc>
        <w:tc>
          <w:tcPr>
            <w:tcW w:w="6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840" w:type="dxa"/>
            <w:vAlign w:val="bottom"/>
          </w:tcPr>
          <w:p>
            <w:pPr>
              <w:ind w:left="20"/>
              <w:spacing w:after="0"/>
              <w:rPr>
                <w:sz w:val="20"/>
                <w:szCs w:val="20"/>
                <w:color w:val="auto"/>
              </w:rPr>
            </w:pPr>
            <w:r>
              <w:rPr>
                <w:rFonts w:ascii="Arial" w:cs="Arial" w:eastAsia="Arial" w:hAnsi="Arial"/>
                <w:sz w:val="16"/>
                <w:szCs w:val="16"/>
                <w:color w:val="auto"/>
              </w:rPr>
              <w:t>Pinnacle Bank term loan</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2024</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4.15%</w:t>
            </w:r>
          </w:p>
        </w:tc>
        <w:tc>
          <w:tcPr>
            <w:tcW w:w="1780" w:type="dxa"/>
            <w:vAlign w:val="bottom"/>
          </w:tcPr>
          <w:p>
            <w:pPr>
              <w:jc w:val="center"/>
              <w:spacing w:after="0"/>
              <w:rPr>
                <w:sz w:val="20"/>
                <w:szCs w:val="20"/>
                <w:color w:val="auto"/>
              </w:rPr>
            </w:pPr>
            <w:r>
              <w:rPr>
                <w:rFonts w:ascii="Arial" w:cs="Arial" w:eastAsia="Arial" w:hAnsi="Arial"/>
                <w:sz w:val="16"/>
                <w:szCs w:val="16"/>
                <w:color w:val="auto"/>
              </w:rPr>
              <w:t>4.18%</w:t>
            </w: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9,558</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10,692</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Pinnacle Bank line of credit</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3.25%</w:t>
            </w:r>
          </w:p>
        </w:tc>
        <w:tc>
          <w:tcPr>
            <w:tcW w:w="1780" w:type="dxa"/>
            <w:vAlign w:val="bottom"/>
          </w:tcPr>
          <w:p>
            <w:pPr>
              <w:jc w:val="center"/>
              <w:spacing w:after="0"/>
              <w:rPr>
                <w:sz w:val="20"/>
                <w:szCs w:val="20"/>
                <w:color w:val="auto"/>
              </w:rPr>
            </w:pPr>
            <w:r>
              <w:rPr>
                <w:rFonts w:ascii="Arial" w:cs="Arial" w:eastAsia="Arial" w:hAnsi="Arial"/>
                <w:sz w:val="16"/>
                <w:szCs w:val="16"/>
                <w:color w:val="auto"/>
              </w:rPr>
              <w:t>3.56%</w:t>
            </w: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2,295</w:t>
            </w:r>
          </w:p>
        </w:tc>
      </w:tr>
      <w:tr>
        <w:trPr>
          <w:trHeight w:val="243"/>
        </w:trPr>
        <w:tc>
          <w:tcPr>
            <w:tcW w:w="284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680" w:type="dxa"/>
            <w:vAlign w:val="bottom"/>
          </w:tcPr>
          <w:p>
            <w:pPr>
              <w:jc w:val="center"/>
              <w:ind w:left="260"/>
              <w:spacing w:after="0"/>
              <w:rPr>
                <w:sz w:val="20"/>
                <w:szCs w:val="20"/>
                <w:color w:val="auto"/>
              </w:rPr>
            </w:pPr>
            <w:r>
              <w:rPr>
                <w:rFonts w:ascii="Arial" w:cs="Arial" w:eastAsia="Arial" w:hAnsi="Arial"/>
                <w:sz w:val="16"/>
                <w:szCs w:val="16"/>
                <w:color w:val="auto"/>
              </w:rPr>
              <w:t>2023 - 2030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4,466</w:t>
            </w:r>
          </w:p>
        </w:tc>
        <w:tc>
          <w:tcPr>
            <w:tcW w:w="6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667,501</w:t>
            </w:r>
          </w:p>
        </w:tc>
        <w:tc>
          <w:tcPr>
            <w:tcW w:w="6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512,555</w:t>
            </w:r>
          </w:p>
        </w:tc>
      </w:tr>
      <w:tr>
        <w:trPr>
          <w:trHeight w:val="238"/>
        </w:trPr>
        <w:tc>
          <w:tcPr>
            <w:tcW w:w="284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(141,749)</w:t>
            </w: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525,752</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506,103</w:t>
            </w:r>
          </w:p>
        </w:tc>
      </w:tr>
      <w:tr>
        <w:trPr>
          <w:trHeight w:val="21"/>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100"/>
        <w:spacing w:after="0"/>
        <w:rPr>
          <w:sz w:val="20"/>
          <w:szCs w:val="20"/>
          <w:color w:val="auto"/>
        </w:rPr>
      </w:pPr>
      <w:r>
        <w:rPr>
          <w:rFonts w:ascii="Arial" w:cs="Arial" w:eastAsia="Arial" w:hAnsi="Arial"/>
          <w:sz w:val="11"/>
          <w:szCs w:val="11"/>
          <w:color w:val="auto"/>
        </w:rPr>
        <w:t>____________</w:t>
      </w:r>
    </w:p>
    <w:p>
      <w:pPr>
        <w:spacing w:after="0" w:line="152" w:lineRule="exact"/>
        <w:rPr>
          <w:sz w:val="20"/>
          <w:szCs w:val="20"/>
          <w:color w:val="auto"/>
        </w:rPr>
      </w:pPr>
    </w:p>
    <w:p>
      <w:pPr>
        <w:ind w:left="280" w:hanging="280"/>
        <w:spacing w:after="0"/>
        <w:tabs>
          <w:tab w:leader="none" w:pos="2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carrying value is net of $3.2 million and $3.9 million of unamortized debt issuance costs as of December 31, 2021 and 2020, respectively.</w:t>
      </w:r>
    </w:p>
    <w:p>
      <w:pPr>
        <w:spacing w:after="0" w:line="41" w:lineRule="exact"/>
        <w:rPr>
          <w:rFonts w:ascii="Arial" w:cs="Arial" w:eastAsia="Arial" w:hAnsi="Arial"/>
          <w:sz w:val="14"/>
          <w:szCs w:val="14"/>
          <w:color w:val="auto"/>
        </w:rPr>
      </w:pPr>
    </w:p>
    <w:p>
      <w:pPr>
        <w:ind w:left="280" w:hanging="280"/>
        <w:spacing w:after="0"/>
        <w:tabs>
          <w:tab w:leader="none" w:pos="2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2021</w:t>
      </w:r>
      <w:r>
        <w:rPr>
          <w:rFonts w:ascii="Arial" w:cs="Arial" w:eastAsia="Arial" w:hAnsi="Arial"/>
          <w:sz w:val="12"/>
          <w:szCs w:val="12"/>
          <w:color w:val="auto"/>
        </w:rPr>
        <w:t>.</w:t>
      </w:r>
    </w:p>
    <w:p>
      <w:pPr>
        <w:spacing w:after="0" w:line="144" w:lineRule="exact"/>
        <w:rPr>
          <w:sz w:val="20"/>
          <w:szCs w:val="20"/>
          <w:color w:val="auto"/>
        </w:rPr>
      </w:pPr>
    </w:p>
    <w:p>
      <w:pPr>
        <w:ind w:left="100" w:right="40"/>
        <w:spacing w:after="0" w:line="225" w:lineRule="auto"/>
        <w:rPr>
          <w:sz w:val="20"/>
          <w:szCs w:val="20"/>
          <w:color w:val="auto"/>
        </w:rPr>
      </w:pPr>
      <w:r>
        <w:rPr>
          <w:rFonts w:ascii="Arial" w:cs="Arial" w:eastAsia="Arial" w:hAnsi="Arial"/>
          <w:sz w:val="18"/>
          <w:szCs w:val="18"/>
          <w:color w:val="auto"/>
        </w:rPr>
        <w:t>The Company’s $ 400 million senior unsecured fixed-rate notes (the Notes), due June 1, 2026, are guaranteed, jointly and severally, on a senior unsecured basis, by certain of the Company’s existing and future domestic subsidiaries, as described in the terms of the indenture. The Notes have a coupon rate of 5.75% per annum, payable semi-annually on June 1 and December 1. The Company may redeem the Notes in whole or in part at any time at the respective redemption prices described in the indenture. At December 31, 2021 and 2020, the fair value of the Notes, based on quoted market prices (Level 2 fair value assessment), totaled $417.5 million and $421.7 million, respectively.</w:t>
      </w:r>
    </w:p>
    <w:p>
      <w:pPr>
        <w:spacing w:after="0" w:line="137" w:lineRule="exact"/>
        <w:rPr>
          <w:sz w:val="20"/>
          <w:szCs w:val="20"/>
          <w:color w:val="auto"/>
        </w:rPr>
      </w:pPr>
    </w:p>
    <w:p>
      <w:pPr>
        <w:ind w:left="100" w:right="20"/>
        <w:spacing w:after="0" w:line="234" w:lineRule="auto"/>
        <w:rPr>
          <w:sz w:val="20"/>
          <w:szCs w:val="20"/>
          <w:color w:val="auto"/>
        </w:rPr>
      </w:pPr>
      <w:r>
        <w:rPr>
          <w:rFonts w:ascii="Arial" w:cs="Arial" w:eastAsia="Arial" w:hAnsi="Arial"/>
          <w:sz w:val="17"/>
          <w:szCs w:val="17"/>
          <w:color w:val="auto"/>
        </w:rPr>
        <w:t>In May 2018, the Company entered into an amended $300 million unsecured five-year revolving credit facility (the Revolving Credit Facility) that is guaranteed, jointly and severally, by certain of the Company’s existing and future domestic subsidiaries. The Revolving Credit Facility matures on May 30, 2023; bears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agreement, which is generally a periodic rate equal to LIBOR, CDOR, BBSY or SOR plus an applicable margin that depends on the Company’s consolidated debt to consolidated adjusted EBITDA; and has a commitment fee based on the Company’s leverage ratio, of between 0.15% and 0.25% on the undrawn portion. On November 23, 2021, the Company amended the Revolving Credit Facility to, among other things, update the benchmark interest rates for borrowings denominated in (i) U.S. dollars under its U.S. dollar tranche to be based on SOFR on or before the USD LIBOR transition date and (ii) British Pound (GBP) and Singapore dollars under its multicurrency tranche to be based on Sterling Overnight Index Average (SONIA) and Singapore Overnight Rate Average (SORA), respectively. The Company is required to maintain a Total Net Leverage Ratio of not greater than 3.5 to 1.0 and a consolidated interest coverage ratio of at least 3.5 to 1.0 based upon the ratio of consolidated adjusted EBITDA to consolidated interest expense as determined pursuant to the credit agreement. The outstanding balance on the Company’s revolving credit facility was $ 209.6 million as of December 31, 2021, consisting of borrowings of $137 million under its U.S. dollar tranche with interest payable at either 1 month USD LIBOR plus 1.50% or prime rate plus 0.5%, as applicable, and £54 million under its multicurrency tranche with interest payable at SONIA plus 1.50%.</w:t>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 December 28, 2021, the Company’s automotive subsidiary entered into a commercial note with Truist Bank in an aggregate amount of</w:t>
      </w:r>
    </w:p>
    <w:p>
      <w:pPr>
        <w:jc w:val="both"/>
        <w:ind w:left="100" w:right="40"/>
        <w:spacing w:after="0" w:line="229" w:lineRule="auto"/>
        <w:rPr>
          <w:sz w:val="20"/>
          <w:szCs w:val="20"/>
          <w:color w:val="auto"/>
        </w:rPr>
      </w:pPr>
      <w:r>
        <w:rPr>
          <w:rFonts w:ascii="Arial" w:cs="Arial" w:eastAsia="Arial" w:hAnsi="Arial"/>
          <w:sz w:val="18"/>
          <w:szCs w:val="18"/>
          <w:color w:val="auto"/>
        </w:rPr>
        <w:t>$22.5 million. The commercial note is payable over a 10-year period in monthly installments of $0.2 million, plus accrued and unpaid interest, due on the first day of each month, with a final payment of the outstanding principal balance on January 1, 2032. The commercial note bears interest at variable</w:t>
      </w: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156210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057" w:right="339" w:bottom="1440" w:gutter="0" w:footer="0" w:header="0"/>
        </w:sectPr>
      </w:pPr>
    </w:p>
    <w:bookmarkStart w:id="98" w:name="page99"/>
    <w:bookmarkEnd w:id="98"/>
    <w:p>
      <w:pPr>
        <w:ind w:right="480"/>
        <w:spacing w:after="0" w:line="235" w:lineRule="auto"/>
        <w:rPr>
          <w:sz w:val="20"/>
          <w:szCs w:val="20"/>
          <w:color w:val="auto"/>
        </w:rPr>
      </w:pPr>
      <w:r>
        <w:rPr>
          <w:rFonts w:ascii="Arial" w:cs="Arial" w:eastAsia="Arial" w:hAnsi="Arial"/>
          <w:sz w:val="18"/>
          <w:szCs w:val="18"/>
          <w:color w:val="auto"/>
        </w:rPr>
        <w:t>rates based on SOFR plus 2.05% per annum. The commercial note contains terms and conditions, including remedies in the event of a default by the automotive subsidiary.</w:t>
      </w:r>
    </w:p>
    <w:p>
      <w:pPr>
        <w:spacing w:after="0" w:line="135"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On October 21, 2021, the Company’s automotive subsidiary entered into a commercial note with Truist Bank in an aggregate principal amount of $24.75 million. The commercial note is payable over a 10-year period in monthly installments of $ 0.1 million, plus accrued and unpaid interest, due on the first day of each month, with a final payment of the outstanding principal balance on October 1, 2031. The commercial note bears interest at variable rates based on SOFR plus 1.8% per annum. The commercial note contains terms and conditions, including remedies in the event of a default by the automotive subsidiary. The automotive subsidiary used the net proceeds from this commercial note to repay the outstanding balance on the commercial note due in 2029. On the same date, the Company’s automotive subsidiary rolled its existing interest rate swap into a new interest rate swap agreement with a total notional value of $24.75 million and a maturity date of October 1, 2031. The new interest rate swap agreement will pay the automotive subsidiary variable interest on the $24.75 million notional amount based on SOFR plus 1.8% per annum and the automotive subsidiary will pay the counterparty a fixed rate of 4.118% per annum. The new interest rate swap agreement was entered into to convert the variable rate borrowing under this commercial note into a fixed rate borrowing. Based on the terms of the new interest rate swap agreement and the underlying borrowing, the new interest rate swap was determined to be effective and thus qualifies as a cash flow hedge.</w:t>
      </w:r>
    </w:p>
    <w:p>
      <w:pPr>
        <w:spacing w:after="0" w:line="143"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On January 26, 2021, the GHG subsidiary amended its loan facility with Pinnacle Bank to decrease the principal of the term loan to $10.6 million, bearing interest at 4.15% per annum, and increase the two-year line of credit expiring on December 2, 2022 to $6.0 million, bearing interest at the greater of (a) 3.25% and (b) the sum of one-month LIBOR as in effect on the first business day of each month plus an applicable interest rate of 2.75%.</w:t>
      </w:r>
    </w:p>
    <w:p>
      <w:pPr>
        <w:spacing w:after="0" w:line="135"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December 31, 2021 and 2020. The Company is in compliance with all financial covenants of the Revolving Credit Facility, commercial notes, and Pinnacle Bank term loan and line of credit as of December 31, 2021.</w:t>
      </w:r>
    </w:p>
    <w:p>
      <w:pPr>
        <w:spacing w:after="0" w:line="137"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During 2021 and 2020, the Company had average borrowings outstanding of approximately $545.2 million and $512.4 million, respectively, at average annual interest rates of approximately 4.8% and 5.1%, respectively. The Company incurred net interest expense of $30.5 million, $34.4 million and $23.6 million during 2021, 2020 and 2019, respectively.</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For the years ended December 31, 2021 and 2020, the Company recorded interest expense of $4.1 million and $8.5 million, respectively, to adjust the fair value of the mandatorily redeemable noncontrolling interest. For the year ended December 31, 2019, the Company recorded interest income of $0.1 million to adjust the fair value of the mandatorily redeemable noncontrolling interest. Fair value adjustments are presented within interest expense and interest income in the Company’s Consolidated Statements of Operations and are reclassified to present the net change in fair value for each reporting period. The fair value of the mandatorily redeemable noncontrolling interest was based on the fair value of the underlying subsidiaries owned by GHC One,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99" w:name="page100"/>
    <w:bookmarkEnd w:id="99"/>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2021</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4"/>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52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809,997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809,997</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7,230</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7,218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14,448</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817,227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7,218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824,445</w:t>
            </w:r>
          </w:p>
        </w:tc>
        <w:tc>
          <w:tcPr>
            <w:tcW w:w="0" w:type="dxa"/>
            <w:vAlign w:val="bottom"/>
          </w:tcPr>
          <w:p>
            <w:pPr>
              <w:spacing w:after="0"/>
              <w:rPr>
                <w:sz w:val="1"/>
                <w:szCs w:val="1"/>
                <w:color w:val="auto"/>
              </w:rPr>
            </w:pPr>
          </w:p>
        </w:tc>
      </w:tr>
      <w:tr>
        <w:trPr>
          <w:trHeight w:val="21"/>
        </w:trPr>
        <w:tc>
          <w:tcPr>
            <w:tcW w:w="6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(3)</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31,589</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31,589</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14,881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14,881</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(5)</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2,049</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2,049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Foreign exchange swap </w:t>
            </w:r>
            <w:r>
              <w:rPr>
                <w:rFonts w:ascii="Arial" w:cs="Arial" w:eastAsia="Arial" w:hAnsi="Arial"/>
                <w:sz w:val="21"/>
                <w:szCs w:val="21"/>
                <w:b w:val="1"/>
                <w:bCs w:val="1"/>
                <w:color w:val="auto"/>
                <w:vertAlign w:val="superscript"/>
              </w:rPr>
              <w:t>(6)</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484</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484</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13,661</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13,661</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34,122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28,542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62,664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4"/>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268,841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268,841</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(1)</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573,102</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573,102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10,397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4,083</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14,480</w:t>
            </w:r>
          </w:p>
        </w:tc>
        <w:tc>
          <w:tcPr>
            <w:tcW w:w="0" w:type="dxa"/>
            <w:vAlign w:val="bottom"/>
          </w:tcPr>
          <w:p>
            <w:pPr>
              <w:spacing w:after="0"/>
              <w:rPr>
                <w:sz w:val="1"/>
                <w:szCs w:val="1"/>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583,499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272,924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856,423</w:t>
            </w:r>
          </w:p>
        </w:tc>
        <w:tc>
          <w:tcPr>
            <w:tcW w:w="0" w:type="dxa"/>
            <w:vAlign w:val="bottom"/>
          </w:tcPr>
          <w:p>
            <w:pPr>
              <w:spacing w:after="0"/>
              <w:rPr>
                <w:sz w:val="1"/>
                <w:szCs w:val="1"/>
                <w:color w:val="auto"/>
              </w:rPr>
            </w:pPr>
          </w:p>
        </w:tc>
      </w:tr>
      <w:tr>
        <w:trPr>
          <w:trHeight w:val="21"/>
        </w:trPr>
        <w:tc>
          <w:tcPr>
            <w:tcW w:w="6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31,178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31,178</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37,174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37,174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(5)</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2,342</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(6)</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259</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9,240</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33,779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46,414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80,193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4" w:lineRule="exact"/>
        <w:rPr>
          <w:sz w:val="20"/>
          <w:szCs w:val="20"/>
          <w:color w:val="auto"/>
        </w:rPr>
      </w:pPr>
    </w:p>
    <w:p>
      <w:pPr>
        <w:ind w:left="480" w:right="900" w:hanging="454"/>
        <w:spacing w:after="0" w:line="239" w:lineRule="auto"/>
        <w:tabs>
          <w:tab w:leader="none" w:pos="23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and Canadian corporations that are actively traded on U.S. and Canadian stock exchanges. Price quotes for these shares are readily available.</w:t>
      </w:r>
    </w:p>
    <w:p>
      <w:pPr>
        <w:spacing w:after="0" w:line="30" w:lineRule="exact"/>
        <w:rPr>
          <w:rFonts w:ascii="Arial" w:cs="Arial" w:eastAsia="Arial" w:hAnsi="Arial"/>
          <w:sz w:val="14"/>
          <w:szCs w:val="14"/>
          <w:color w:val="auto"/>
        </w:rPr>
      </w:pPr>
    </w:p>
    <w:p>
      <w:pPr>
        <w:ind w:left="480" w:right="480" w:hanging="454"/>
        <w:spacing w:after="0" w:line="233" w:lineRule="auto"/>
        <w:tabs>
          <w:tab w:leader="none" w:pos="237"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80" w:right="400" w:hanging="454"/>
        <w:spacing w:after="0" w:line="228" w:lineRule="auto"/>
        <w:tabs>
          <w:tab w:leader="none" w:pos="237"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31" w:lineRule="exact"/>
        <w:rPr>
          <w:rFonts w:ascii="Arial" w:cs="Arial" w:eastAsia="Arial" w:hAnsi="Arial"/>
          <w:sz w:val="14"/>
          <w:szCs w:val="14"/>
          <w:color w:val="auto"/>
        </w:rPr>
      </w:pPr>
    </w:p>
    <w:p>
      <w:pPr>
        <w:ind w:left="480" w:right="320" w:hanging="454"/>
        <w:spacing w:after="0" w:line="233" w:lineRule="auto"/>
        <w:tabs>
          <w:tab w:leader="none" w:pos="237"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either a Monte Carlo simulation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30" w:lineRule="exact"/>
        <w:rPr>
          <w:rFonts w:ascii="Arial" w:cs="Arial" w:eastAsia="Arial" w:hAnsi="Arial"/>
          <w:sz w:val="14"/>
          <w:szCs w:val="14"/>
          <w:color w:val="auto"/>
        </w:rPr>
      </w:pPr>
    </w:p>
    <w:p>
      <w:pPr>
        <w:ind w:left="480" w:right="480" w:hanging="454"/>
        <w:spacing w:after="0" w:line="239" w:lineRule="auto"/>
        <w:tabs>
          <w:tab w:leader="none" w:pos="237"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80" w:right="460" w:hanging="454"/>
        <w:spacing w:after="0" w:line="239" w:lineRule="auto"/>
        <w:tabs>
          <w:tab w:leader="none" w:pos="237"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30" w:lineRule="exact"/>
        <w:rPr>
          <w:rFonts w:ascii="Arial" w:cs="Arial" w:eastAsia="Arial" w:hAnsi="Arial"/>
          <w:sz w:val="14"/>
          <w:szCs w:val="14"/>
          <w:color w:val="auto"/>
        </w:rPr>
      </w:pPr>
    </w:p>
    <w:p>
      <w:pPr>
        <w:ind w:left="480" w:right="700" w:hanging="454"/>
        <w:spacing w:after="0" w:line="233" w:lineRule="auto"/>
        <w:tabs>
          <w:tab w:leader="none" w:pos="23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30" w:lineRule="exact"/>
        <w:rPr>
          <w:rFonts w:ascii="Arial" w:cs="Arial" w:eastAsia="Arial" w:hAnsi="Arial"/>
          <w:sz w:val="14"/>
          <w:szCs w:val="14"/>
          <w:color w:val="auto"/>
        </w:rPr>
      </w:pPr>
    </w:p>
    <w:p>
      <w:pPr>
        <w:ind w:left="220" w:hanging="194"/>
        <w:spacing w:after="0"/>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00" w:name="page101"/>
    <w:bookmarkEnd w:id="100"/>
    <w:p>
      <w:pPr>
        <w:ind w:right="440"/>
        <w:spacing w:after="0" w:line="235"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76" w:lineRule="exact"/>
        <w:rPr>
          <w:sz w:val="20"/>
          <w:szCs w:val="20"/>
          <w:color w:val="auto"/>
        </w:rPr>
      </w:pPr>
    </w:p>
    <w:p>
      <w:pPr>
        <w:jc w:val="right"/>
        <w:ind w:right="320"/>
        <w:spacing w:after="0"/>
        <w:tabs>
          <w:tab w:leader="none" w:pos="1640" w:val="left"/>
        </w:tabs>
        <w:rPr>
          <w:sz w:val="20"/>
          <w:szCs w:val="20"/>
          <w:color w:val="auto"/>
        </w:rPr>
      </w:pPr>
      <w:r>
        <w:rPr>
          <w:rFonts w:ascii="Arial" w:cs="Arial" w:eastAsia="Arial" w:hAnsi="Arial"/>
          <w:sz w:val="14"/>
          <w:szCs w:val="14"/>
          <w:b w:val="1"/>
          <w:bCs w:val="1"/>
          <w:color w:val="auto"/>
        </w:rPr>
        <w:t>Contingent consideration</w:t>
      </w:r>
      <w:r>
        <w:rPr>
          <w:sz w:val="20"/>
          <w:szCs w:val="20"/>
          <w:color w:val="auto"/>
        </w:rPr>
        <w:tab/>
      </w:r>
      <w:r>
        <w:rPr>
          <w:rFonts w:ascii="Arial" w:cs="Arial" w:eastAsia="Arial" w:hAnsi="Arial"/>
          <w:sz w:val="14"/>
          <w:szCs w:val="14"/>
          <w:b w:val="1"/>
          <w:bCs w:val="1"/>
          <w:color w:val="auto"/>
        </w:rPr>
        <w:t>Mandatorily redeemable</w:t>
      </w:r>
    </w:p>
    <w:p>
      <w:pPr>
        <w:spacing w:after="0" w:line="6" w:lineRule="exact"/>
        <w:rPr>
          <w:sz w:val="20"/>
          <w:szCs w:val="20"/>
          <w:color w:val="auto"/>
        </w:rPr>
      </w:pPr>
    </w:p>
    <w:p>
      <w:pPr>
        <w:ind w:left="20"/>
        <w:spacing w:after="0"/>
        <w:tabs>
          <w:tab w:leader="none" w:pos="7360" w:val="left"/>
          <w:tab w:leader="none" w:pos="928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b w:val="1"/>
          <w:bCs w:val="1"/>
          <w:color w:val="auto"/>
        </w:rPr>
        <w:t>liabilities</w:t>
      </w:r>
      <w:r>
        <w:rPr>
          <w:sz w:val="20"/>
          <w:szCs w:val="20"/>
          <w:color w:val="auto"/>
        </w:rPr>
        <w:tab/>
      </w:r>
      <w:r>
        <w:rPr>
          <w:rFonts w:ascii="Arial" w:cs="Arial" w:eastAsia="Arial" w:hAnsi="Arial"/>
          <w:sz w:val="14"/>
          <w:szCs w:val="14"/>
          <w:b w:val="1"/>
          <w:bCs w:val="1"/>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2019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ind w:left="20"/>
        <w:spacing w:after="0" w:line="230" w:lineRule="auto"/>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exchange rate changes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2020</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contributions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Foreign currency exchange rate changes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December 31, 2021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13,546</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829</w:t>
            </w:r>
          </w:p>
        </w:tc>
      </w:tr>
      <w:tr>
        <w:trPr>
          <w:trHeight w:val="229"/>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50,609</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(2,051)</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8,483</w:t>
            </w:r>
          </w:p>
        </w:tc>
      </w:tr>
      <w:tr>
        <w:trPr>
          <w:trHeight w:val="229"/>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2,895</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(28,061)</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2"/>
        </w:trPr>
        <w:tc>
          <w:tcPr>
            <w:tcW w:w="8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9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8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37,174</w:t>
            </w:r>
          </w:p>
        </w:tc>
        <w:tc>
          <w:tcPr>
            <w:tcW w:w="9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9,240</w:t>
            </w:r>
          </w:p>
        </w:tc>
      </w:tr>
      <w:tr>
        <w:trPr>
          <w:trHeight w:val="229"/>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1,868</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8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(5,482)</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4,077</w:t>
            </w:r>
          </w:p>
        </w:tc>
      </w:tr>
      <w:tr>
        <w:trPr>
          <w:trHeight w:val="230"/>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427</w:t>
            </w:r>
          </w:p>
        </w:tc>
      </w:tr>
      <w:tr>
        <w:trPr>
          <w:trHeight w:val="229"/>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1,275</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8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(19,942)</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(83)</w:t>
            </w:r>
          </w:p>
        </w:tc>
      </w:tr>
      <w:tr>
        <w:trPr>
          <w:trHeight w:val="243"/>
        </w:trPr>
        <w:tc>
          <w:tcPr>
            <w:tcW w:w="8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9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14,881</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13,661</w:t>
            </w:r>
          </w:p>
        </w:tc>
      </w:tr>
      <w:tr>
        <w:trPr>
          <w:trHeight w:val="27"/>
        </w:trPr>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sectPr>
          <w:pgSz w:w="11900" w:h="16838" w:orient="portrait"/>
          <w:cols w:equalWidth="0" w:num="2">
            <w:col w:w="5820" w:space="720"/>
            <w:col w:w="4700"/>
          </w:cols>
          <w:pgMar w:left="320" w:top="105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39"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Consolidated Statements of Operations.</w:t>
      </w:r>
    </w:p>
    <w:p>
      <w:pPr>
        <w:spacing w:after="0" w:line="7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For the years ended December 31, 2021, 2020 and 2019, the Company recorded goodwill and other long-lived asset impairment charges of $32.9 million, $30.2 million and $9.2 million, respectively (see Note 19). The remeasurement of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indefinite-lived intangible assets, and other long-lived assets. A market value approach was also utilized to supplement the discounted cash flow model. The Company made estimates and assumptions regarding future cash flows, royalty rates, discount rates, market values, and long-term growth rates.</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For the years ended December 31, 2021, 2020 and 2019, the Company recorded gains of $11.8 million, $4.2 million, and $5.1 million, respectively, to equity securities that are accounted for as cost method investments based on observable transactions for identical or similar investments of the same issuer. For the year ended December 31, 2020, the Company recorded impairment losses of $7.3 million to equity securities that are accounted for as cost method investments.</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For the years ended December 31, 2021 and 2020, the Company recorded impairment charges of $6.6 million on one of its investments in affiliates and $3.6 million on two of its investments in affiliates, respectively (see Note 4).</w:t>
      </w:r>
    </w:p>
    <w:p>
      <w:pPr>
        <w:spacing w:after="0" w:line="113"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6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Company generated 78%, 78% and 76% of its revenue from U.S. domestic sales in 2021, 2020 and 2019, respectively. The remaining 22%, 22%, and 24% of revenue was generated from non-U.S. sales.</w:t>
      </w:r>
    </w:p>
    <w:p>
      <w:pPr>
        <w:spacing w:after="0" w:line="135"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In 2021, 2020 and 2019, the Company recognized 67%, 73%, and 73%, respectively, of its revenue over time as control of the services and goods transferred to the customer. The remaining 33%, 27% and 27%, respectively, of revenue was recognized at a point in time, when the customer obtained control of the promised goods.</w:t>
      </w:r>
    </w:p>
    <w:p>
      <w:pPr>
        <w:spacing w:after="0" w:line="137"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the second quarter of 2020, GHG received $7.4 million under the CARES Act as a general distribution from the Provider Relief Fund to provide relief for lost revenues and expenses incurred in connection with COVID-19. The healthcare revenues for the year ended December 31, 2020 includes $5.7 million for lost revenues related to COVID-19 (see Note 19).</w:t>
      </w:r>
    </w:p>
    <w:p>
      <w:pPr>
        <w:spacing w:after="0" w:line="115"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December 31, 2021, the Company recognized a contract asset of $17.7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$495.9 million related to the remaining performance obligation in the contract over the next eleven years. As of December 31, 2020, the contract asset was $8.7 million.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01" w:name="page102"/>
    <w:bookmarkEnd w:id="101"/>
    <w:p>
      <w:pPr>
        <w:ind w:right="140"/>
        <w:spacing w:after="0" w:line="238"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 during the year ended December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7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86"/>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180" w:type="dxa"/>
            <w:vAlign w:val="bottom"/>
          </w:tcPr>
          <w:p>
            <w:pPr>
              <w:jc w:val="center"/>
              <w:ind w:right="85"/>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485"/>
              <w:spacing w:after="0"/>
              <w:rPr>
                <w:sz w:val="20"/>
                <w:szCs w:val="20"/>
                <w:color w:val="auto"/>
              </w:rPr>
            </w:pPr>
            <w:r>
              <w:rPr>
                <w:rFonts w:ascii="Arial" w:cs="Arial" w:eastAsia="Arial" w:hAnsi="Arial"/>
                <w:sz w:val="14"/>
                <w:szCs w:val="14"/>
                <w:color w:val="auto"/>
              </w:rPr>
              <w:t>%</w:t>
            </w:r>
          </w:p>
        </w:tc>
      </w:tr>
      <w:tr>
        <w:trPr>
          <w:trHeight w:val="19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Change</w:t>
            </w:r>
          </w:p>
        </w:tc>
      </w:tr>
      <w:tr>
        <w:trPr>
          <w:trHeight w:val="214"/>
        </w:trPr>
        <w:tc>
          <w:tcPr>
            <w:tcW w:w="71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363,065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343,322</w:t>
            </w:r>
          </w:p>
        </w:tc>
        <w:tc>
          <w:tcPr>
            <w:tcW w:w="1240" w:type="dxa"/>
            <w:vAlign w:val="bottom"/>
          </w:tcPr>
          <w:p>
            <w:pPr>
              <w:jc w:val="right"/>
              <w:ind w:right="505"/>
              <w:spacing w:after="0"/>
              <w:rPr>
                <w:sz w:val="20"/>
                <w:szCs w:val="20"/>
                <w:color w:val="auto"/>
              </w:rPr>
            </w:pPr>
            <w:r>
              <w:rPr>
                <w:rFonts w:ascii="Arial" w:cs="Arial" w:eastAsia="Arial" w:hAnsi="Arial"/>
                <w:sz w:val="16"/>
                <w:szCs w:val="16"/>
                <w:color w:val="auto"/>
              </w:rPr>
              <w:t>6</w:t>
            </w:r>
          </w:p>
        </w:tc>
      </w:tr>
    </w:tbl>
    <w:p>
      <w:pPr>
        <w:spacing w:after="0" w:line="25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 CARES Act as a result of COVID-19. The Department of Health and Human Services began to recoup this advance 365 days after the payment was issued and for the year ended December 31, 2021, $18.9 million of the balance was recognized as revenue for claims submitted for eligible services. The remaining amount is included in the current deferred revenue balance on the Consolidated Balance Sheet as of December 31, 2021. As of December 31, 2020, the $31.5 million balance was included in the current and noncurrent deferred revenue balances on the Consolidated Balance Sheet.</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majority of the change in the deferred revenue balance is due to increased enrollment in the Kaplan International division as a result of recovery from COVID-19 and current year acquisitions, offset by the advanced Medicare payment. During the year ended December 31, 2021, the Company recognized $278.6 million from the Company’s deferred revenue balance as of December 31, 2020.</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December 31, 2021, the deferred revenue balance related to certain medical and nursing qualifications with an original contract length greater than twelve months at Kaplan Supplemental Education was $8.8 million. Kaplan Supplemental Education expects to recognize 72%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of Year</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the Year</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14"/>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b w:val="1"/>
                <w:bCs w:val="1"/>
                <w:color w:val="auto"/>
              </w:rPr>
              <w:t>24,363</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61,214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(59,116)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center"/>
              <w:ind w:left="241"/>
              <w:spacing w:after="0"/>
              <w:rPr>
                <w:sz w:val="20"/>
                <w:szCs w:val="20"/>
                <w:color w:val="auto"/>
              </w:rPr>
            </w:pPr>
            <w:r>
              <w:rPr>
                <w:rFonts w:ascii="Arial" w:cs="Arial" w:eastAsia="Arial" w:hAnsi="Arial"/>
                <w:sz w:val="16"/>
                <w:szCs w:val="16"/>
                <w:b w:val="1"/>
                <w:bCs w:val="1"/>
                <w:color w:val="auto"/>
              </w:rPr>
              <w:t>(380)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26,081</w:t>
            </w: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6"/>
                <w:szCs w:val="16"/>
                <w:color w:val="auto"/>
              </w:rPr>
              <w:t>2020</w:t>
            </w:r>
          </w:p>
        </w:tc>
        <w:tc>
          <w:tcPr>
            <w:tcW w:w="226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31,020</w:t>
            </w:r>
          </w:p>
        </w:tc>
        <w:tc>
          <w:tcPr>
            <w:tcW w:w="32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51,891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(58,855)</w:t>
            </w:r>
          </w:p>
        </w:tc>
        <w:tc>
          <w:tcPr>
            <w:tcW w:w="260" w:type="dxa"/>
            <w:vAlign w:val="bottom"/>
          </w:tcPr>
          <w:p>
            <w:pPr>
              <w:spacing w:after="0"/>
              <w:rPr>
                <w:sz w:val="19"/>
                <w:szCs w:val="19"/>
                <w:color w:val="auto"/>
              </w:rPr>
            </w:pPr>
          </w:p>
        </w:tc>
        <w:tc>
          <w:tcPr>
            <w:tcW w:w="820" w:type="dxa"/>
            <w:vAlign w:val="bottom"/>
          </w:tcPr>
          <w:p>
            <w:pPr>
              <w:jc w:val="center"/>
              <w:ind w:left="241"/>
              <w:spacing w:after="0"/>
              <w:rPr>
                <w:sz w:val="20"/>
                <w:szCs w:val="20"/>
                <w:color w:val="auto"/>
              </w:rPr>
            </w:pPr>
            <w:r>
              <w:rPr>
                <w:rFonts w:ascii="Arial" w:cs="Arial" w:eastAsia="Arial" w:hAnsi="Arial"/>
                <w:sz w:val="16"/>
                <w:szCs w:val="16"/>
                <w:color w:val="auto"/>
                <w:w w:val="97"/>
              </w:rPr>
              <w:t>307</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24,363</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6"/>
                <w:szCs w:val="16"/>
                <w:color w:val="auto"/>
              </w:rPr>
              <w:t>2019</w:t>
            </w:r>
          </w:p>
        </w:tc>
        <w:tc>
          <w:tcPr>
            <w:tcW w:w="226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21,311</w:t>
            </w:r>
          </w:p>
        </w:tc>
        <w:tc>
          <w:tcPr>
            <w:tcW w:w="32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66,607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(57,741)</w:t>
            </w:r>
          </w:p>
        </w:tc>
        <w:tc>
          <w:tcPr>
            <w:tcW w:w="260" w:type="dxa"/>
            <w:vAlign w:val="bottom"/>
          </w:tcPr>
          <w:p>
            <w:pPr>
              <w:spacing w:after="0"/>
              <w:rPr>
                <w:sz w:val="19"/>
                <w:szCs w:val="19"/>
                <w:color w:val="auto"/>
              </w:rPr>
            </w:pPr>
          </w:p>
        </w:tc>
        <w:tc>
          <w:tcPr>
            <w:tcW w:w="820" w:type="dxa"/>
            <w:vAlign w:val="bottom"/>
          </w:tcPr>
          <w:p>
            <w:pPr>
              <w:jc w:val="center"/>
              <w:ind w:left="241"/>
              <w:spacing w:after="0"/>
              <w:rPr>
                <w:sz w:val="20"/>
                <w:szCs w:val="20"/>
                <w:color w:val="auto"/>
              </w:rPr>
            </w:pPr>
            <w:r>
              <w:rPr>
                <w:rFonts w:ascii="Arial" w:cs="Arial" w:eastAsia="Arial" w:hAnsi="Arial"/>
                <w:sz w:val="16"/>
                <w:szCs w:val="16"/>
                <w:color w:val="auto"/>
                <w:w w:val="97"/>
              </w:rPr>
              <w:t>843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31,020</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in 2021, 2020, and 2019.</w:t>
      </w:r>
    </w:p>
    <w:p>
      <w:pPr>
        <w:spacing w:after="0" w:line="12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During 2021, 2020, and 2019 the Company purchased a total of 93,969, 406,112, and 3,392 shares, respectively, of its Class B common stock at a cost of approximately $55.7 million, $161.8 million, and $2.1 million, respectively. On September 10, 2020, the Board of Directors authorized the Company to purchase up to 500,000 shares of its Class B Common Stock. The Company did not announce a ceiling price or time limit for the purchases. At December 31, 2021, the Company had remaining authorization from the Board of Directors to purchase up to 270,182 shares of Class B common stock.</w:t>
      </w:r>
    </w:p>
    <w:p>
      <w:pPr>
        <w:spacing w:after="0" w:line="11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2012, the Company adopted an incentive compensation plan (the 2012 Plan), which, among other provisions, authorizes</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incentive compensation plan. Stock awards made under the 2012 Plan are primarily subject to the general restriction that stock awarded to a participant will be forfeited and revert to Company ownership if the participant’s employment terminates before the end of a specified period of service to the Company. The number of Class B common shares authorized for issuance under the 2012 Plan is 772,588 shares. At December 31, 2021, there were 545,000 shares reserved for issuance under the 2012 incentive compensation plan. Of this number, 214,760 shares were subject to stock awards and stock options outstanding, and 330,240 shares were available for future awards.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Activity related to stock awards under the 2012 incentive compensation plan for the year ended December 31, 2021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96"/>
        </w:trPr>
        <w:tc>
          <w:tcPr>
            <w:tcW w:w="8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10"/>
        </w:trPr>
        <w:tc>
          <w:tcPr>
            <w:tcW w:w="8960" w:type="dxa"/>
            <w:vAlign w:val="bottom"/>
          </w:tcPr>
          <w:p>
            <w:pPr>
              <w:ind w:left="2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27,240</w:t>
            </w:r>
          </w:p>
        </w:tc>
        <w:tc>
          <w:tcPr>
            <w:tcW w:w="42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584.24</w:t>
            </w:r>
          </w:p>
        </w:tc>
      </w:tr>
      <w:tr>
        <w:trPr>
          <w:trHeight w:val="230"/>
        </w:trPr>
        <w:tc>
          <w:tcPr>
            <w:tcW w:w="8960" w:type="dxa"/>
            <w:vAlign w:val="bottom"/>
          </w:tcPr>
          <w:p>
            <w:pPr>
              <w:ind w:left="2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20,258</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539.36</w:t>
            </w:r>
          </w:p>
        </w:tc>
      </w:tr>
      <w:tr>
        <w:trPr>
          <w:trHeight w:val="229"/>
        </w:trPr>
        <w:tc>
          <w:tcPr>
            <w:tcW w:w="8960" w:type="dxa"/>
            <w:vAlign w:val="bottom"/>
          </w:tcPr>
          <w:p>
            <w:pPr>
              <w:ind w:left="2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(12,871)</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522.17</w:t>
            </w:r>
          </w:p>
        </w:tc>
      </w:tr>
      <w:tr>
        <w:trPr>
          <w:trHeight w:val="243"/>
        </w:trPr>
        <w:tc>
          <w:tcPr>
            <w:tcW w:w="89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(3,056)</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598.44</w:t>
            </w:r>
          </w:p>
        </w:tc>
      </w:tr>
      <w:tr>
        <w:trPr>
          <w:trHeight w:val="229"/>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31,571</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579.37</w:t>
            </w:r>
          </w:p>
        </w:tc>
      </w:tr>
      <w:tr>
        <w:trPr>
          <w:trHeight w:val="21"/>
        </w:trPr>
        <w:tc>
          <w:tcPr>
            <w:tcW w:w="8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the share awards outstanding at December 31, 2021, the aforementioned restriction is expected to lapse in 2023 for 12,820 shares, 2025 for 16,751 shares and 2027 for 2,000 shares. Stock-based compensation costs resulting from Company stock awards were $3.9 million, $4.1 million and $4.2 million in 2021, 2020 and 2019, respectively.</w:t>
      </w:r>
    </w:p>
    <w:p>
      <w:pPr>
        <w:spacing w:after="0" w:line="1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2021, there was $9.8 million of total unrecognized compensation expense related to these awards. That cost is expected to be recognized on a straight-line basis over a weighted average period of 2.3 years.</w:t>
      </w:r>
    </w:p>
    <w:p>
      <w:pPr>
        <w:spacing w:after="0" w:line="11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2012 Plan cannot be less than the fair value on the grant date, generally vest over six</w:t>
      </w:r>
      <w:r>
        <w:rPr>
          <w:rFonts w:ascii="Arial" w:cs="Arial" w:eastAsia="Arial" w:hAnsi="Arial"/>
          <w:sz w:val="18"/>
          <w:szCs w:val="18"/>
          <w:b w:val="1"/>
          <w:bCs w:val="1"/>
          <w:color w:val="auto"/>
        </w:rPr>
        <w:t xml:space="preserve"> </w:t>
      </w:r>
      <w:r>
        <w:rPr>
          <w:rFonts w:ascii="Arial" w:cs="Arial" w:eastAsia="Arial" w:hAnsi="Arial"/>
          <w:sz w:val="18"/>
          <w:szCs w:val="18"/>
          <w:color w:val="auto"/>
        </w:rPr>
        <w:t>years and have a maximum term of ten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2021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Average Option</w:t>
            </w:r>
          </w:p>
        </w:tc>
      </w:tr>
      <w:tr>
        <w:trPr>
          <w:trHeight w:val="196"/>
        </w:trPr>
        <w:tc>
          <w:tcPr>
            <w:tcW w:w="8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Price</w:t>
            </w:r>
          </w:p>
        </w:tc>
      </w:tr>
      <w:tr>
        <w:trPr>
          <w:trHeight w:val="210"/>
        </w:trPr>
        <w:tc>
          <w:tcPr>
            <w:tcW w:w="8860" w:type="dxa"/>
            <w:vAlign w:val="bottom"/>
          </w:tcPr>
          <w:p>
            <w:pPr>
              <w:ind w:left="20"/>
              <w:spacing w:after="0"/>
              <w:rPr>
                <w:sz w:val="20"/>
                <w:szCs w:val="20"/>
                <w:color w:val="auto"/>
              </w:rPr>
            </w:pPr>
            <w:r>
              <w:rPr>
                <w:rFonts w:ascii="Arial" w:cs="Arial" w:eastAsia="Arial" w:hAnsi="Arial"/>
                <w:sz w:val="16"/>
                <w:szCs w:val="16"/>
                <w:color w:val="auto"/>
              </w:rPr>
              <w:t>Beginning of year</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183,189</w:t>
            </w:r>
          </w:p>
        </w:tc>
        <w:tc>
          <w:tcPr>
            <w:tcW w:w="3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612.16</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Expired or forfeited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 of Year</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183,189</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612.16</w:t>
            </w:r>
          </w:p>
        </w:tc>
      </w:tr>
      <w:tr>
        <w:trPr>
          <w:trHeight w:val="20"/>
        </w:trPr>
        <w:tc>
          <w:tcPr>
            <w:tcW w:w="8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Of the shares covered by options outstanding at the end of 2021, 118,139 are now exercisable; 13,209 are expected to become exercisable in 2022; 13,211 are expected to become exercisable in 2023; 12,876 are expected to become exercisable in 2024; 12,877 are expected to become exercisable in 2025; and 12,877 are expected to become exercisable in 2026. For 2021, 2020 and 2019, the Company recorded expense of $1.7 million, $2.2 million and $ 2.0 million, respectively, related to stock options. Information related to stock options outstanding and exercisable at December 31, 2021,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58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Options Exercisable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98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auto"/>
              </w:rPr>
              <w:t>Weighted</w:t>
            </w:r>
          </w:p>
        </w:tc>
        <w:tc>
          <w:tcPr>
            <w:tcW w:w="1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2"/>
                <w:szCs w:val="12"/>
                <w:color w:val="auto"/>
              </w:rPr>
            </w:pPr>
          </w:p>
        </w:tc>
        <w:tc>
          <w:tcPr>
            <w:tcW w:w="86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2"/>
                <w:szCs w:val="12"/>
                <w:color w:val="auto"/>
              </w:rPr>
            </w:pPr>
          </w:p>
        </w:tc>
        <w:tc>
          <w:tcPr>
            <w:tcW w:w="98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rPr>
              <w:t>Average</w:t>
            </w:r>
          </w:p>
        </w:tc>
        <w:tc>
          <w:tcPr>
            <w:tcW w:w="118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8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Outstanding at</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2"/>
                <w:szCs w:val="12"/>
                <w:color w:val="auto"/>
              </w:rPr>
            </w:pPr>
          </w:p>
        </w:tc>
        <w:tc>
          <w:tcPr>
            <w:tcW w:w="98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rPr>
              <w:t>Exercise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Exercisable at</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8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9"/>
              </w:rPr>
              <w:t>Price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$244</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0.9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243.85</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0.9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243.85</w:t>
            </w:r>
          </w:p>
        </w:tc>
        <w:tc>
          <w:tcPr>
            <w:tcW w:w="0" w:type="dxa"/>
            <w:vAlign w:val="bottom"/>
          </w:tcPr>
          <w:p>
            <w:pPr>
              <w:spacing w:after="0"/>
              <w:rPr>
                <w:sz w:val="1"/>
                <w:szCs w:val="1"/>
                <w:color w:val="auto"/>
              </w:rPr>
            </w:pPr>
          </w:p>
        </w:tc>
      </w:tr>
      <w:tr>
        <w:trPr>
          <w:trHeight w:val="225"/>
        </w:trPr>
        <w:tc>
          <w:tcPr>
            <w:tcW w:w="3820" w:type="dxa"/>
            <w:vAlign w:val="bottom"/>
          </w:tcPr>
          <w:p>
            <w:pPr>
              <w:ind w:left="140"/>
              <w:spacing w:after="0"/>
              <w:rPr>
                <w:sz w:val="20"/>
                <w:szCs w:val="20"/>
                <w:color w:val="auto"/>
              </w:rPr>
            </w:pPr>
            <w:r>
              <w:rPr>
                <w:rFonts w:ascii="Arial" w:cs="Arial" w:eastAsia="Arial" w:hAnsi="Arial"/>
                <w:sz w:val="16"/>
                <w:szCs w:val="16"/>
                <w:b w:val="1"/>
                <w:bCs w:val="1"/>
                <w:color w:val="auto"/>
              </w:rPr>
              <w:t>427</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8.7</w:t>
            </w:r>
          </w:p>
        </w:tc>
        <w:tc>
          <w:tcPr>
            <w:tcW w:w="16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426.86</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12,876</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8.7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426.86</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6"/>
                <w:szCs w:val="16"/>
                <w:b w:val="1"/>
                <w:bCs w:val="1"/>
                <w:color w:val="auto"/>
              </w:rPr>
              <w:t>719</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2.8</w:t>
            </w:r>
          </w:p>
        </w:tc>
        <w:tc>
          <w:tcPr>
            <w:tcW w:w="16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719.15</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719.15</w:t>
            </w: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rPr>
                <w:sz w:val="20"/>
                <w:szCs w:val="20"/>
                <w:color w:val="auto"/>
              </w:rPr>
            </w:pPr>
            <w:r>
              <w:rPr>
                <w:rFonts w:ascii="Arial" w:cs="Arial" w:eastAsia="Arial" w:hAnsi="Arial"/>
                <w:sz w:val="16"/>
                <w:szCs w:val="16"/>
                <w:b w:val="1"/>
                <w:bCs w:val="1"/>
                <w:color w:val="auto"/>
              </w:rPr>
              <w:t>805–872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4.0</w:t>
            </w:r>
          </w:p>
        </w:tc>
        <w:tc>
          <w:tcPr>
            <w:tcW w:w="160" w:type="dxa"/>
            <w:vAlign w:val="bottom"/>
          </w:tcPr>
          <w:p>
            <w:pPr>
              <w:spacing w:after="0"/>
              <w:rPr>
                <w:sz w:val="21"/>
                <w:szCs w:val="21"/>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865.02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26,074</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3.9</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865.51</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183,189</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5.5</w:t>
            </w:r>
          </w:p>
        </w:tc>
        <w:tc>
          <w:tcPr>
            <w:tcW w:w="16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612.16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118,139</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3.7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711.83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At December 31, 2021, the intrinsic value for all options outstanding, exercisable and unvested was $16.4 million, $3.4 million and $13.1 million, respectively. The intrinsic value of a stock option is the amount by which the market value of the underlying stock exceeds the exercise price of the option. The market value of the Company’s stock was $629.83 at December 31, 2021. At December 31, 2021, there were 65,050 unvested options related to this plan with an average exercise price of $431.16 and a weighted average remaining contractual term of 8.7 years. At December 31, 2020, there were 82,385 unvested options with an average exercise price of $453.97 and a weighted average remaining contractual term of 9.4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total unrecognized stock-based compensation expense related to stock options was $5.7 million, which is</w:t>
      </w:r>
    </w:p>
    <w:p>
      <w:pPr>
        <w:spacing w:after="0" w:line="219" w:lineRule="auto"/>
        <w:rPr>
          <w:sz w:val="20"/>
          <w:szCs w:val="20"/>
          <w:color w:val="auto"/>
        </w:rPr>
      </w:pPr>
      <w:r>
        <w:rPr>
          <w:rFonts w:ascii="Arial" w:cs="Arial" w:eastAsia="Arial" w:hAnsi="Arial"/>
          <w:sz w:val="18"/>
          <w:szCs w:val="18"/>
          <w:color w:val="auto"/>
        </w:rPr>
        <w:t>expected to be recognized on a straight-line basis over a weighted average period of approximately 4.7 years. There were no options</w:t>
      </w:r>
    </w:p>
    <w:p>
      <w:pPr>
        <w:spacing w:after="0" w:line="219" w:lineRule="auto"/>
        <w:rPr>
          <w:sz w:val="20"/>
          <w:szCs w:val="20"/>
          <w:color w:val="auto"/>
        </w:rPr>
      </w:pPr>
      <w:r>
        <w:rPr>
          <w:rFonts w:ascii="Arial" w:cs="Arial" w:eastAsia="Arial" w:hAnsi="Arial"/>
          <w:sz w:val="18"/>
          <w:szCs w:val="18"/>
          <w:color w:val="auto"/>
        </w:rPr>
        <w:t>exercised during 2021. There were 77,258 options exercised during 2020. The total intrinsic value of options exercised during 2020 was</w:t>
      </w:r>
    </w:p>
    <w:p>
      <w:pPr>
        <w:spacing w:after="0" w:line="219" w:lineRule="auto"/>
        <w:rPr>
          <w:sz w:val="20"/>
          <w:szCs w:val="20"/>
          <w:color w:val="auto"/>
        </w:rPr>
      </w:pPr>
      <w:r>
        <w:rPr>
          <w:rFonts w:ascii="Arial" w:cs="Arial" w:eastAsia="Arial" w:hAnsi="Arial"/>
          <w:sz w:val="18"/>
          <w:szCs w:val="18"/>
          <w:color w:val="auto"/>
        </w:rPr>
        <w:t>$11.1 million; a tax benefit from these stock option exercises of $2.9 million was realized. There were 1,743 options exercised during 2019.</w:t>
      </w:r>
    </w:p>
    <w:p>
      <w:pPr>
        <w:spacing w:after="0"/>
        <w:rPr>
          <w:sz w:val="20"/>
          <w:szCs w:val="20"/>
          <w:color w:val="auto"/>
        </w:rPr>
      </w:pPr>
      <w:r>
        <w:rPr>
          <w:rFonts w:ascii="Arial" w:cs="Arial" w:eastAsia="Arial" w:hAnsi="Arial"/>
          <w:sz w:val="18"/>
          <w:szCs w:val="18"/>
          <w:color w:val="auto"/>
        </w:rPr>
        <w:t>The total intrinsic value of</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color w:val="auto"/>
        </w:rPr>
        <w:t>options exercised during 2019 was $0.6 million; a tax benefit from these option exercises of $0.2 million was realized.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granted 77,258 options at an exercise price above the fair market value of its common stock at the date of grant.</w:t>
      </w:r>
    </w:p>
    <w:p>
      <w:pPr>
        <w:spacing w:after="0"/>
        <w:rPr>
          <w:sz w:val="20"/>
          <w:szCs w:val="20"/>
          <w:color w:val="auto"/>
        </w:rPr>
      </w:pPr>
      <w:r>
        <w:rPr>
          <w:rFonts w:ascii="Arial" w:cs="Arial" w:eastAsia="Arial" w:hAnsi="Arial"/>
          <w:sz w:val="18"/>
          <w:szCs w:val="18"/>
          <w:color w:val="auto"/>
        </w:rPr>
        <w:t>The weighted average grant-date fair value of options granted during 2020 was $93.79. No options were granted during 2021 or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6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tcPr>
          <w:p>
            <w:pPr>
              <w:jc w:val="center"/>
              <w:ind w:left="3661"/>
              <w:spacing w:after="0"/>
              <w:rPr>
                <w:sz w:val="20"/>
                <w:szCs w:val="20"/>
                <w:color w:val="auto"/>
              </w:rPr>
            </w:pPr>
            <w:r>
              <w:rPr>
                <w:rFonts w:ascii="Arial" w:cs="Arial" w:eastAsia="Arial" w:hAnsi="Arial"/>
                <w:sz w:val="14"/>
                <w:szCs w:val="14"/>
                <w:color w:val="auto"/>
              </w:rPr>
              <w:t>2020</w:t>
            </w: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5340" w:type="dxa"/>
            <w:vAlign w:val="bottom"/>
          </w:tcPr>
          <w:p>
            <w:pPr>
              <w:jc w:val="center"/>
              <w:ind w:left="3681"/>
              <w:spacing w:after="0"/>
              <w:rPr>
                <w:sz w:val="20"/>
                <w:szCs w:val="20"/>
                <w:color w:val="auto"/>
              </w:rPr>
            </w:pPr>
            <w:r>
              <w:rPr>
                <w:rFonts w:ascii="Arial" w:cs="Arial" w:eastAsia="Arial" w:hAnsi="Arial"/>
                <w:sz w:val="16"/>
                <w:szCs w:val="16"/>
                <w:color w:val="auto"/>
              </w:rPr>
              <w:t>8</w:t>
            </w:r>
          </w:p>
        </w:tc>
      </w:tr>
      <w:tr>
        <w:trPr>
          <w:trHeight w:val="230"/>
        </w:trPr>
        <w:tc>
          <w:tcPr>
            <w:tcW w:w="576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5340" w:type="dxa"/>
            <w:vAlign w:val="bottom"/>
          </w:tcPr>
          <w:p>
            <w:pPr>
              <w:jc w:val="center"/>
              <w:ind w:left="3681"/>
              <w:spacing w:after="0"/>
              <w:rPr>
                <w:sz w:val="20"/>
                <w:szCs w:val="20"/>
                <w:color w:val="auto"/>
              </w:rPr>
            </w:pPr>
            <w:r>
              <w:rPr>
                <w:rFonts w:ascii="Arial" w:cs="Arial" w:eastAsia="Arial" w:hAnsi="Arial"/>
                <w:sz w:val="16"/>
                <w:szCs w:val="16"/>
                <w:color w:val="auto"/>
              </w:rPr>
              <w:t>0.53%</w:t>
            </w: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5340" w:type="dxa"/>
            <w:vAlign w:val="bottom"/>
          </w:tcPr>
          <w:p>
            <w:pPr>
              <w:jc w:val="center"/>
              <w:ind w:left="3681"/>
              <w:spacing w:after="0"/>
              <w:rPr>
                <w:sz w:val="20"/>
                <w:szCs w:val="20"/>
                <w:color w:val="auto"/>
              </w:rPr>
            </w:pPr>
            <w:r>
              <w:rPr>
                <w:rFonts w:ascii="Arial" w:cs="Arial" w:eastAsia="Arial" w:hAnsi="Arial"/>
                <w:sz w:val="16"/>
                <w:szCs w:val="16"/>
                <w:color w:val="auto"/>
                <w:w w:val="99"/>
              </w:rPr>
              <w:t>27.70%</w:t>
            </w: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5340" w:type="dxa"/>
            <w:vAlign w:val="bottom"/>
          </w:tcPr>
          <w:p>
            <w:pPr>
              <w:jc w:val="center"/>
              <w:ind w:left="3681"/>
              <w:spacing w:after="0"/>
              <w:rPr>
                <w:sz w:val="20"/>
                <w:szCs w:val="20"/>
                <w:color w:val="auto"/>
              </w:rPr>
            </w:pPr>
            <w:r>
              <w:rPr>
                <w:rFonts w:ascii="Arial" w:cs="Arial" w:eastAsia="Arial" w:hAnsi="Arial"/>
                <w:sz w:val="16"/>
                <w:szCs w:val="16"/>
                <w:color w:val="auto"/>
              </w:rPr>
              <w:t>1.45%</w:t>
            </w:r>
          </w:p>
        </w:tc>
      </w:tr>
    </w:tbl>
    <w:p>
      <w:pPr>
        <w:spacing w:after="0" w:line="2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December 31, 2021, a Kaplan senior manager holds 7,206 Kaplan restricted shares. The fair value of Kaplan’s common stock is determined by the Company’s compensation committee of the Board of Directors, and in January 2022, the committee set the fair value price at $1,425 per share. No options were awarded during 2021, 2020, or 2019; no options were exercised during 2021, 2020 or 2019; and no options were outstanding at December 31, 2021.</w:t>
      </w:r>
    </w:p>
    <w:p>
      <w:pPr>
        <w:spacing w:after="0" w:line="135"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Kaplan recorded stock compensation expense of $1.3 million in 2021, and a stock compensation credit of $1.1 million and $1.3 million in 2020 and 2019, respectively. At December 31, 2021, the Company’s accrual balance related to the Kaplan restricted shares totaled $10.3 million. There were no payouts in 2021, 2020 or 2019.</w:t>
      </w:r>
    </w:p>
    <w:p>
      <w:pPr>
        <w:spacing w:after="0" w:line="11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04" w:name="page105"/>
    <w:bookmarkEnd w:id="104"/>
    <w:p>
      <w:pPr>
        <w:ind w:right="3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4"/>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352,075</w:t>
            </w:r>
          </w:p>
        </w:tc>
        <w:tc>
          <w:tcPr>
            <w:tcW w:w="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300,365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327,855</w:t>
            </w:r>
          </w:p>
        </w:tc>
        <w:tc>
          <w:tcPr>
            <w:tcW w:w="0" w:type="dxa"/>
            <w:vAlign w:val="bottom"/>
          </w:tcPr>
          <w:p>
            <w:pPr>
              <w:spacing w:after="0"/>
              <w:rPr>
                <w:sz w:val="1"/>
                <w:szCs w:val="1"/>
                <w:color w:val="auto"/>
              </w:rPr>
            </w:pPr>
          </w:p>
        </w:tc>
      </w:tr>
      <w:tr>
        <w:trPr>
          <w:trHeight w:val="242"/>
        </w:trPr>
        <w:tc>
          <w:tcPr>
            <w:tcW w:w="716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(30,136)</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(29,970)</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(29,553)</w:t>
            </w:r>
          </w:p>
        </w:tc>
        <w:tc>
          <w:tcPr>
            <w:tcW w:w="0" w:type="dxa"/>
            <w:vAlign w:val="bottom"/>
          </w:tcPr>
          <w:p>
            <w:pPr>
              <w:spacing w:after="0"/>
              <w:rPr>
                <w:sz w:val="1"/>
                <w:szCs w:val="1"/>
                <w:color w:val="auto"/>
              </w:rPr>
            </w:pPr>
          </w:p>
        </w:tc>
      </w:tr>
      <w:tr>
        <w:trPr>
          <w:trHeight w:val="215"/>
        </w:trPr>
        <w:tc>
          <w:tcPr>
            <w:tcW w:w="716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321,939</w:t>
            </w:r>
          </w:p>
        </w:tc>
        <w:tc>
          <w:tcPr>
            <w:tcW w:w="54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270,395</w:t>
            </w:r>
          </w:p>
        </w:tc>
        <w:tc>
          <w:tcPr>
            <w:tcW w:w="3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298,302</w:t>
            </w:r>
          </w:p>
        </w:tc>
        <w:tc>
          <w:tcPr>
            <w:tcW w:w="0" w:type="dxa"/>
            <w:vAlign w:val="bottom"/>
          </w:tcPr>
          <w:p>
            <w:pPr>
              <w:spacing w:after="0"/>
              <w:rPr>
                <w:sz w:val="1"/>
                <w:szCs w:val="1"/>
                <w:color w:val="auto"/>
              </w:rPr>
            </w:pPr>
          </w:p>
        </w:tc>
      </w:tr>
      <w:tr>
        <w:trPr>
          <w:trHeight w:val="238"/>
        </w:trPr>
        <w:tc>
          <w:tcPr>
            <w:tcW w:w="716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b w:val="1"/>
                <w:bCs w:val="1"/>
                <w:color w:val="auto"/>
              </w:rPr>
              <w:t>99.36 %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99.45 %</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99.45 %</w:t>
            </w:r>
          </w:p>
        </w:tc>
        <w:tc>
          <w:tcPr>
            <w:tcW w:w="0" w:type="dxa"/>
            <w:vAlign w:val="bottom"/>
          </w:tcPr>
          <w:p>
            <w:pPr>
              <w:spacing w:after="0"/>
              <w:rPr>
                <w:sz w:val="1"/>
                <w:szCs w:val="1"/>
                <w:color w:val="auto"/>
              </w:rPr>
            </w:pPr>
          </w:p>
        </w:tc>
      </w:tr>
      <w:tr>
        <w:trPr>
          <w:trHeight w:val="215"/>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319,867</w:t>
            </w:r>
          </w:p>
        </w:tc>
        <w:tc>
          <w:tcPr>
            <w:tcW w:w="54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268,917</w:t>
            </w:r>
          </w:p>
        </w:tc>
        <w:tc>
          <w:tcPr>
            <w:tcW w:w="3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296,665</w:t>
            </w:r>
          </w:p>
        </w:tc>
        <w:tc>
          <w:tcPr>
            <w:tcW w:w="0" w:type="dxa"/>
            <w:vAlign w:val="bottom"/>
          </w:tcPr>
          <w:p>
            <w:pPr>
              <w:spacing w:after="0"/>
              <w:rPr>
                <w:sz w:val="1"/>
                <w:szCs w:val="1"/>
                <w:color w:val="auto"/>
              </w:rPr>
            </w:pPr>
          </w:p>
        </w:tc>
      </w:tr>
      <w:tr>
        <w:trPr>
          <w:trHeight w:val="238"/>
        </w:trPr>
        <w:tc>
          <w:tcPr>
            <w:tcW w:w="716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29,946</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29,812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29,387</w:t>
            </w: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349,813</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298,729</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326,052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160" w:type="dxa"/>
            <w:vAlign w:val="bottom"/>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349,818</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298,733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326,065</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4,951</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5,124</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5,285</w:t>
            </w:r>
          </w:p>
        </w:tc>
        <w:tc>
          <w:tcPr>
            <w:tcW w:w="0" w:type="dxa"/>
            <w:vAlign w:val="bottom"/>
          </w:tcPr>
          <w:p>
            <w:pPr>
              <w:spacing w:after="0"/>
              <w:rPr>
                <w:sz w:val="1"/>
                <w:szCs w:val="1"/>
                <w:color w:val="auto"/>
              </w:rPr>
            </w:pPr>
          </w:p>
        </w:tc>
      </w:tr>
      <w:tr>
        <w:trPr>
          <w:trHeight w:val="243"/>
        </w:trPr>
        <w:tc>
          <w:tcPr>
            <w:tcW w:w="716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4,965</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5,139</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21"/>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60" w:type="dxa"/>
            <w:vAlign w:val="bottom"/>
            <w:vMerge w:val="continue"/>
          </w:tcPr>
          <w:p>
            <w:pPr>
              <w:spacing w:after="0"/>
              <w:rPr>
                <w:sz w:val="17"/>
                <w:szCs w:val="17"/>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70.65</w:t>
            </w:r>
          </w:p>
        </w:tc>
        <w:tc>
          <w:tcPr>
            <w:tcW w:w="5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80"/>
              <w:spacing w:after="0"/>
              <w:rPr>
                <w:sz w:val="20"/>
                <w:szCs w:val="20"/>
                <w:color w:val="auto"/>
              </w:rPr>
            </w:pPr>
            <w:r>
              <w:rPr>
                <w:rFonts w:ascii="Arial" w:cs="Arial" w:eastAsia="Arial" w:hAnsi="Arial"/>
                <w:sz w:val="16"/>
                <w:szCs w:val="16"/>
                <w:color w:val="auto"/>
              </w:rPr>
              <w:t>58.30</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color w:val="auto"/>
              </w:rPr>
              <w:t>61.70</w:t>
            </w:r>
          </w:p>
        </w:tc>
        <w:tc>
          <w:tcPr>
            <w:tcW w:w="0" w:type="dxa"/>
            <w:vAlign w:val="bottom"/>
          </w:tcPr>
          <w:p>
            <w:pPr>
              <w:spacing w:after="0"/>
              <w:rPr>
                <w:sz w:val="1"/>
                <w:szCs w:val="1"/>
                <w:color w:val="auto"/>
              </w:rPr>
            </w:pPr>
          </w:p>
        </w:tc>
      </w:tr>
      <w:tr>
        <w:trPr>
          <w:trHeight w:val="254"/>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70.45</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58.13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39"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720" w:type="dxa"/>
            <w:vAlign w:val="bottom"/>
            <w:tcBorders>
              <w:bottom w:val="single" w:sz="8" w:color="auto"/>
            </w:tcBorders>
            <w:gridSpan w:val="2"/>
          </w:tcPr>
          <w:p>
            <w:pPr>
              <w:jc w:val="center"/>
              <w:ind w:left="72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2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2019</w:t>
            </w:r>
          </w:p>
        </w:tc>
      </w:tr>
      <w:tr>
        <w:trPr>
          <w:trHeight w:val="214"/>
        </w:trPr>
        <w:tc>
          <w:tcPr>
            <w:tcW w:w="768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320" w:type="dxa"/>
            <w:vAlign w:val="bottom"/>
          </w:tcPr>
          <w:p>
            <w:pPr>
              <w:jc w:val="right"/>
              <w:ind w:right="205"/>
              <w:spacing w:after="0"/>
              <w:rPr>
                <w:sz w:val="20"/>
                <w:szCs w:val="20"/>
                <w:color w:val="auto"/>
              </w:rPr>
            </w:pPr>
            <w:r>
              <w:rPr>
                <w:rFonts w:ascii="Arial" w:cs="Arial" w:eastAsia="Arial" w:hAnsi="Arial"/>
                <w:sz w:val="16"/>
                <w:szCs w:val="16"/>
                <w:b w:val="1"/>
                <w:bCs w:val="1"/>
                <w:color w:val="auto"/>
              </w:rPr>
              <w:t>13</w:t>
            </w:r>
          </w:p>
        </w:tc>
        <w:tc>
          <w:tcPr>
            <w:tcW w:w="1400" w:type="dxa"/>
            <w:vAlign w:val="bottom"/>
          </w:tcPr>
          <w:p>
            <w:pPr>
              <w:jc w:val="right"/>
              <w:ind w:right="404"/>
              <w:spacing w:after="0"/>
              <w:rPr>
                <w:sz w:val="20"/>
                <w:szCs w:val="20"/>
                <w:color w:val="auto"/>
              </w:rPr>
            </w:pPr>
            <w:r>
              <w:rPr>
                <w:rFonts w:ascii="Arial" w:cs="Arial" w:eastAsia="Arial" w:hAnsi="Arial"/>
                <w:sz w:val="16"/>
                <w:szCs w:val="16"/>
                <w:color w:val="auto"/>
              </w:rPr>
              <w:t>12</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12</w:t>
            </w:r>
          </w:p>
        </w:tc>
      </w:tr>
    </w:tbl>
    <w:p>
      <w:pPr>
        <w:spacing w:after="0" w:line="244"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color w:val="auto"/>
        </w:rPr>
        <w:t>The 2021, 2020 and 2019 diluted earnings per share amounts exclude the effects of 104,000, 181,258 and 104,000 stock options outstanding, respectively, as their inclusion would have been antidilutive due to a market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2021, 2020 and 2019, the Company declared regular dividends totaling $6.04, $5.80 and $5.56 per share, respectively.</w:t>
      </w:r>
    </w:p>
    <w:p>
      <w:pPr>
        <w:spacing w:after="0" w:line="122"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6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December 2019, the Company purchased an irrevocable group annuity contract from an insurance company for $ 216.8 million to settle $212.1 million of the outstanding defined benefit pension obligation related to certain retirees and beneficiaries. The purchase of the group annuity contract was funded from the assets of the Company’s pension plans As a result of this transaction, the Company was relieved of all responsibility for these pension obligations and the insurance company is now required to pay and administer the retirement benefits owed to approximately 3,800 retirees and beneficiaries, with no change to the amount, timing or form of monthly retirement benefit payments. As a result, the Company recorded a one-time settlement gain of $91.7 million.</w:t>
      </w:r>
    </w:p>
    <w:p>
      <w:pPr>
        <w:spacing w:after="0" w:line="11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Supplemental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(SERP) offered to certain executives of the Company.</w:t>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105" w:name="page106"/>
    <w:bookmarkEnd w:id="105"/>
    <w:p>
      <w:pPr>
        <w:ind w:right="300"/>
        <w:spacing w:after="0" w:line="235" w:lineRule="auto"/>
        <w:rPr>
          <w:sz w:val="20"/>
          <w:szCs w:val="20"/>
          <w:color w:val="auto"/>
        </w:rPr>
      </w:pPr>
      <w:r>
        <w:rPr>
          <w:rFonts w:ascii="Arial" w:cs="Arial" w:eastAsia="Arial" w:hAnsi="Arial"/>
          <w:sz w:val="18"/>
          <w:szCs w:val="18"/>
          <w:color w:val="auto"/>
        </w:rPr>
        <w:t>In the second quarter of 2021, the Company recorded $ 1.1 million in expenses related to a Separation Incentive Program (SIP) for certain Dekko employees, which will be funded from the assets of the Company’s pension plans.</w:t>
      </w:r>
    </w:p>
    <w:p>
      <w:pPr>
        <w:spacing w:after="0" w:line="135"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In the second quarter of 2020, the Company recorded $6.0 million in expenses related to a SIP for certain Kaplan, Code3 and Decile employees, which was funded from the assets of the Company’s pension plans. In the third quarter of 2020, the Company recorded $7.8 million in expenses related to a SIP for certain Kaplan employees, which was funded from the assets of the Company’s pension plans.</w:t>
      </w:r>
    </w:p>
    <w:p>
      <w:pPr>
        <w:spacing w:after="0" w:line="130"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In the second quarter of 2019, the Company offered a SIP for certain Kaplan employees, which was funded from the assets of the Company’s pension plans. The Company recorded $6.4 million in expense related to the SIP for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Pension Plans</w:t>
            </w:r>
          </w:p>
        </w:tc>
        <w:tc>
          <w:tcPr>
            <w:tcW w:w="0" w:type="dxa"/>
            <w:vAlign w:val="bottom"/>
          </w:tcPr>
          <w:p>
            <w:pPr>
              <w:spacing w:after="0"/>
              <w:rPr>
                <w:sz w:val="1"/>
                <w:szCs w:val="1"/>
                <w:color w:val="auto"/>
              </w:rPr>
            </w:pPr>
          </w:p>
        </w:tc>
      </w:tr>
      <w:tr>
        <w:trPr>
          <w:trHeight w:val="196"/>
        </w:trPr>
        <w:tc>
          <w:tcPr>
            <w:tcW w:w="8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1,095,117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1,020,356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22,991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26,917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Amendments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Actuarial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5,660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(63,510)</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(73,232)</w:t>
            </w:r>
          </w:p>
        </w:tc>
        <w:tc>
          <w:tcPr>
            <w:tcW w:w="0" w:type="dxa"/>
            <w:vAlign w:val="bottom"/>
          </w:tcPr>
          <w:p>
            <w:pPr>
              <w:spacing w:after="0"/>
              <w:rPr>
                <w:sz w:val="1"/>
                <w:szCs w:val="1"/>
                <w:color w:val="auto"/>
              </w:rPr>
            </w:pPr>
          </w:p>
        </w:tc>
      </w:tr>
      <w:tr>
        <w:trPr>
          <w:trHeight w:val="242"/>
        </w:trPr>
        <w:tc>
          <w:tcPr>
            <w:tcW w:w="8840" w:type="dxa"/>
            <w:vAlign w:val="bottom"/>
          </w:tcPr>
          <w:p>
            <w:pPr>
              <w:ind w:left="20"/>
              <w:spacing w:after="0"/>
              <w:rPr>
                <w:sz w:val="20"/>
                <w:szCs w:val="20"/>
                <w:color w:val="auto"/>
              </w:rPr>
            </w:pPr>
            <w:r>
              <w:rPr>
                <w:rFonts w:ascii="Arial" w:cs="Arial" w:eastAsia="Arial" w:hAnsi="Arial"/>
                <w:sz w:val="16"/>
                <w:szCs w:val="16"/>
                <w:color w:val="auto"/>
              </w:rPr>
              <w:t>Special termination benefits</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1,132</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1,088,309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2,803,422</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2,312,706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654,911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563,948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(63,510)</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(73,232)</w:t>
            </w: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3,394,823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2,803,422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2,306,514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1,708,305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8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rPr>
              <w:t>SERP</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122,299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1,022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2,943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(7,640)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(5,918)</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112,706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5,918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(5,918)</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(112,706)</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change in the Company’s benefit obligations for the pension plans was primarily due to benefits paid during the year. The change in the benefit obligations for the Company’s SERP was due to the recognition of an actuarial gain resulting from an increase to the discount rate used to measure the benefit obligation and benefits paid during the year.</w:t>
      </w:r>
    </w:p>
    <w:p>
      <w:pPr>
        <w:spacing w:after="0" w:line="137"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accumulated benefit obligation for the Company’s pension plans at December 31, 2021 and 2020, was $1,052.7 million and $1,064.3 million, respectively. The accumulated benefit obligation for the Company’s SERP at</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06" w:name="page107"/>
    <w:bookmarkEnd w:id="106"/>
    <w:p>
      <w:pPr>
        <w:ind w:right="100"/>
        <w:spacing w:after="0" w:line="235" w:lineRule="auto"/>
        <w:rPr>
          <w:sz w:val="20"/>
          <w:szCs w:val="20"/>
          <w:color w:val="auto"/>
        </w:rPr>
      </w:pPr>
      <w:r>
        <w:rPr>
          <w:rFonts w:ascii="Arial" w:cs="Arial" w:eastAsia="Arial" w:hAnsi="Arial"/>
          <w:sz w:val="18"/>
          <w:szCs w:val="18"/>
          <w:color w:val="auto"/>
        </w:rPr>
        <w:t>December 31, 2021 and 2020, was $112.2 million and $ 121.7 million, respectively. The amounts recognized in the Company’s Consolidated Balance Sheets for its defined benefit pension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196"/>
        </w:trPr>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2020</w:t>
            </w:r>
          </w:p>
        </w:tc>
      </w:tr>
      <w:tr>
        <w:trPr>
          <w:trHeight w:val="214"/>
        </w:trPr>
        <w:tc>
          <w:tcPr>
            <w:tcW w:w="6320" w:type="dxa"/>
            <w:vAlign w:val="bottom"/>
          </w:tcPr>
          <w:p>
            <w:pPr>
              <w:ind w:left="20"/>
              <w:spacing w:after="0"/>
              <w:rPr>
                <w:sz w:val="20"/>
                <w:szCs w:val="20"/>
                <w:color w:val="auto"/>
              </w:rPr>
            </w:pPr>
            <w:r>
              <w:rPr>
                <w:rFonts w:ascii="Arial" w:cs="Arial" w:eastAsia="Arial" w:hAnsi="Arial"/>
                <w:sz w:val="16"/>
                <w:szCs w:val="16"/>
                <w:color w:val="auto"/>
              </w:rPr>
              <w:t>Noncurrent asset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2,306,514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1,708,305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79"/>
        </w:trPr>
        <w:tc>
          <w:tcPr>
            <w:tcW w:w="6320" w:type="dxa"/>
            <w:vAlign w:val="bottom"/>
          </w:tcPr>
          <w:p>
            <w:pPr>
              <w:ind w:left="20"/>
              <w:spacing w:after="0"/>
              <w:rPr>
                <w:sz w:val="20"/>
                <w:szCs w:val="20"/>
                <w:color w:val="auto"/>
              </w:rPr>
            </w:pPr>
            <w:r>
              <w:rPr>
                <w:rFonts w:ascii="Arial" w:cs="Arial" w:eastAsia="Arial" w:hAnsi="Arial"/>
                <w:sz w:val="16"/>
                <w:szCs w:val="16"/>
                <w:color w:val="auto"/>
              </w:rPr>
              <w:t>Current liability</w:t>
            </w:r>
          </w:p>
        </w:tc>
        <w:tc>
          <w:tcPr>
            <w:tcW w:w="24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(6,334)</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(6,495)</w:t>
            </w:r>
          </w:p>
        </w:tc>
      </w:tr>
      <w:tr>
        <w:trPr>
          <w:trHeight w:val="242"/>
        </w:trPr>
        <w:tc>
          <w:tcPr>
            <w:tcW w:w="6320" w:type="dxa"/>
            <w:vAlign w:val="bottom"/>
          </w:tcPr>
          <w:p>
            <w:pPr>
              <w:ind w:left="20"/>
              <w:spacing w:after="0"/>
              <w:rPr>
                <w:sz w:val="20"/>
                <w:szCs w:val="20"/>
                <w:color w:val="auto"/>
              </w:rPr>
            </w:pPr>
            <w:r>
              <w:rPr>
                <w:rFonts w:ascii="Arial" w:cs="Arial" w:eastAsia="Arial" w:hAnsi="Arial"/>
                <w:sz w:val="16"/>
                <w:szCs w:val="16"/>
                <w:color w:val="auto"/>
              </w:rPr>
              <w:t>Noncurrent liability</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(106,372)</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(115,804)</w:t>
            </w:r>
          </w:p>
        </w:tc>
      </w:tr>
      <w:tr>
        <w:trPr>
          <w:trHeight w:val="230"/>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Recognized Asset (Liability)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2,306,514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1,708,305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(112,706)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(122,299)</w:t>
            </w: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Pension Plans</w:t>
            </w:r>
          </w:p>
        </w:tc>
        <w:tc>
          <w:tcPr>
            <w:tcW w:w="1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223"/>
              <w:spacing w:after="0"/>
              <w:rPr>
                <w:sz w:val="20"/>
                <w:szCs w:val="20"/>
                <w:color w:val="auto"/>
              </w:rPr>
            </w:pPr>
            <w:r>
              <w:rPr>
                <w:rFonts w:ascii="Arial" w:cs="Arial" w:eastAsia="Arial" w:hAnsi="Arial"/>
                <w:sz w:val="14"/>
                <w:szCs w:val="14"/>
                <w:b w:val="1"/>
                <w:bCs w:val="1"/>
                <w:color w:val="auto"/>
                <w:w w:val="99"/>
              </w:rPr>
              <w:t>SERP</w:t>
            </w:r>
          </w:p>
        </w:tc>
      </w:tr>
      <w:tr>
        <w:trPr>
          <w:trHeight w:val="196"/>
        </w:trPr>
        <w:tc>
          <w:tcPr>
            <w:tcW w:w="4040" w:type="dxa"/>
            <w:vAlign w:val="bottom"/>
          </w:tcPr>
          <w:p>
            <w:pPr>
              <w:spacing w:after="0"/>
              <w:rPr>
                <w:sz w:val="17"/>
                <w:szCs w:val="17"/>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As of December 31</w:t>
            </w:r>
          </w:p>
        </w:tc>
        <w:tc>
          <w:tcPr>
            <w:tcW w:w="310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4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2021</w:t>
            </w:r>
          </w:p>
        </w:tc>
        <w:tc>
          <w:tcPr>
            <w:tcW w:w="2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2020</w:t>
            </w:r>
          </w:p>
        </w:tc>
        <w:tc>
          <w:tcPr>
            <w:tcW w:w="12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rPr>
              <w:t>2021</w:t>
            </w:r>
          </w:p>
        </w:tc>
        <w:tc>
          <w:tcPr>
            <w:tcW w:w="188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color w:val="auto"/>
              </w:rPr>
              <w:t>2020</w:t>
            </w:r>
          </w:p>
        </w:tc>
      </w:tr>
      <w:tr>
        <w:trPr>
          <w:trHeight w:val="214"/>
        </w:trPr>
        <w:tc>
          <w:tcPr>
            <w:tcW w:w="404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2.9%</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w w:val="98"/>
              </w:rPr>
              <w:t>2.5%</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w w:val="98"/>
              </w:rPr>
              <w:t>2.9%</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2.5%</w:t>
            </w:r>
          </w:p>
        </w:tc>
      </w:tr>
      <w:tr>
        <w:trPr>
          <w:trHeight w:val="225"/>
        </w:trPr>
        <w:tc>
          <w:tcPr>
            <w:tcW w:w="4040" w:type="dxa"/>
            <w:vAlign w:val="bottom"/>
          </w:tcPr>
          <w:p>
            <w:pPr>
              <w:ind w:left="20"/>
              <w:spacing w:after="0"/>
              <w:rPr>
                <w:sz w:val="20"/>
                <w:szCs w:val="20"/>
                <w:color w:val="auto"/>
              </w:rPr>
            </w:pPr>
            <w:r>
              <w:rPr>
                <w:rFonts w:ascii="Arial" w:cs="Arial" w:eastAsia="Arial" w:hAnsi="Arial"/>
                <w:sz w:val="16"/>
                <w:szCs w:val="16"/>
                <w:color w:val="auto"/>
              </w:rPr>
              <w:t>Rate of compensation increase – age graded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5.0%–1.0%</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rPr>
              <w:t>5.0%–1.0%</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5.0%–1.0%</w:t>
            </w:r>
          </w:p>
        </w:tc>
      </w:tr>
      <w:tr>
        <w:trPr>
          <w:trHeight w:val="190"/>
        </w:trPr>
        <w:tc>
          <w:tcPr>
            <w:tcW w:w="40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1.41% with phase in to</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1.41% with phase in to</w:t>
            </w:r>
          </w:p>
        </w:tc>
        <w:tc>
          <w:tcPr>
            <w:tcW w:w="12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2.90% in 2024</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2.50% in 2023</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w w:val="99"/>
              </w:rPr>
              <w:t>—</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w:t>
            </w:r>
          </w:p>
        </w:tc>
      </w:tr>
    </w:tbl>
    <w:p>
      <w:pPr>
        <w:spacing w:after="0" w:line="248"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made no contributions to its pension plans in 2021 and 2020, and the Company does not expect to make any contributions in 2022. The Company made contributions to its SERP of $5.9 million and $6.0 million for the years ended December 31, 2021 and 2020, respectively. As the plan is unfunded, the Company makes contributions to the SERP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future estimated benefit payments, excluding charges for early retirement programs,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2022</w:t>
            </w:r>
          </w:p>
        </w:tc>
        <w:tc>
          <w:tcPr>
            <w:tcW w:w="42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61,330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6,425</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2023</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61,487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6,706</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2024</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62,710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6,897</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2025</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63,299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7,029</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2026</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63,102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7,118</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2027–2031</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316,913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35,476</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cost arising from the Company’s defined benefit pension plans consists of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22,991</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22,656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20,422</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26,917</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32,587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46,821</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(137,878)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(113,427)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(122,790)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2,846</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2,830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(7,906)</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(93,030)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(55,354)</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(52,665)</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(91,676)</w:t>
            </w: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1,132</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13,781</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6,432</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(91,898)</w:t>
            </w: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(41,573)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(137,909)</w:t>
            </w:r>
          </w:p>
        </w:tc>
      </w:tr>
      <w:tr>
        <w:trPr>
          <w:trHeight w:val="157"/>
        </w:trPr>
        <w:tc>
          <w:tcPr>
            <w:tcW w:w="764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Other Changes in Plan Assets and Benefit Obligations Recognized in Other Comprehensive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5"/>
        </w:trPr>
        <w:tc>
          <w:tcPr>
            <w:tcW w:w="7640" w:type="dxa"/>
            <w:vAlign w:val="bottom"/>
          </w:tcPr>
          <w:p>
            <w:pPr>
              <w:ind w:left="26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actuarial gain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(511,373)</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(371,621)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(245,402)</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prior service cost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5,725</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(2,846)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Recognized net actuarial gain</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7,906</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Curtailment and settlement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91,676</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(506,311)</w:t>
            </w: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(374,382)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(150,883)</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(598,209)</w:t>
            </w: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(415,955)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(288,792)</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SERP</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1,022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954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2,943</w:t>
            </w:r>
          </w:p>
        </w:tc>
        <w:tc>
          <w:tcPr>
            <w:tcW w:w="30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3,678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331</w:t>
            </w:r>
          </w:p>
        </w:tc>
        <w:tc>
          <w:tcPr>
            <w:tcW w:w="30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331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5,930</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5,267</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Cost for the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10,226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10,230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w:t>
            </w:r>
          </w:p>
        </w:tc>
        <w:tc>
          <w:tcPr>
            <w:tcW w:w="0" w:type="dxa"/>
            <w:vAlign w:val="bottom"/>
          </w:tcPr>
          <w:p>
            <w:pPr>
              <w:spacing w:after="0"/>
              <w:rPr>
                <w:sz w:val="1"/>
                <w:szCs w:val="1"/>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(7,640)</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actuarial (gain) loss</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7,448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15,544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(331)</w:t>
            </w:r>
          </w:p>
        </w:tc>
        <w:tc>
          <w:tcPr>
            <w:tcW w:w="3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(5,930)</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(5,267)</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(13,901)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1,850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(3,675)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12,080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Pension Plans</w:t>
            </w:r>
          </w:p>
        </w:tc>
        <w:tc>
          <w:tcPr>
            <w:tcW w:w="1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SERP</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3100" w:type="dxa"/>
            <w:vAlign w:val="bottom"/>
            <w:tcBorders>
              <w:bottom w:val="single" w:sz="8" w:color="auto"/>
            </w:tcBorders>
            <w:gridSpan w:val="2"/>
          </w:tcPr>
          <w:p>
            <w:pPr>
              <w:jc w:val="center"/>
              <w:ind w:left="1301"/>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2021</w:t>
            </w:r>
          </w:p>
        </w:tc>
        <w:tc>
          <w:tcPr>
            <w:tcW w:w="16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2020</w:t>
            </w: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4"/>
        </w:trPr>
        <w:tc>
          <w:tcPr>
            <w:tcW w:w="308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2.5%</w:t>
            </w: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3.3%</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4.3%</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2.5%</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1180" w:type="dxa"/>
            <w:vAlign w:val="bottom"/>
          </w:tcPr>
          <w:p>
            <w:pPr>
              <w:jc w:val="center"/>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6.25%</w:t>
            </w: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6.25%</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6.25%</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6"/>
                <w:szCs w:val="16"/>
                <w:color w:val="auto"/>
              </w:rPr>
              <w:t>Rate of compensation increase – age</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180"/>
              <w:spacing w:after="0"/>
              <w:rPr>
                <w:sz w:val="20"/>
                <w:szCs w:val="20"/>
                <w:color w:val="auto"/>
              </w:rPr>
            </w:pPr>
            <w:r>
              <w:rPr>
                <w:rFonts w:ascii="Arial" w:cs="Arial" w:eastAsia="Arial" w:hAnsi="Arial"/>
                <w:sz w:val="16"/>
                <w:szCs w:val="16"/>
                <w:color w:val="auto"/>
              </w:rPr>
              <w:t>graded</w:t>
            </w:r>
          </w:p>
        </w:tc>
        <w:tc>
          <w:tcPr>
            <w:tcW w:w="1480" w:type="dxa"/>
            <w:vAlign w:val="bottom"/>
            <w:vMerge w:val="continue"/>
          </w:tcPr>
          <w:p>
            <w:pPr>
              <w:spacing w:after="0"/>
              <w:rPr>
                <w:sz w:val="16"/>
                <w:szCs w:val="16"/>
                <w:color w:val="auto"/>
              </w:rPr>
            </w:pP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5.0%–1.0%</w:t>
            </w:r>
          </w:p>
        </w:tc>
        <w:tc>
          <w:tcPr>
            <w:tcW w:w="118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5.0%–1.0%</w:t>
            </w:r>
          </w:p>
        </w:tc>
        <w:tc>
          <w:tcPr>
            <w:tcW w:w="1180" w:type="dxa"/>
            <w:vAlign w:val="bottom"/>
          </w:tcPr>
          <w:p>
            <w:pPr>
              <w:jc w:val="center"/>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1.41% with phase</w:t>
            </w:r>
          </w:p>
        </w:tc>
        <w:tc>
          <w:tcPr>
            <w:tcW w:w="1620" w:type="dxa"/>
            <w:vAlign w:val="bottom"/>
          </w:tcPr>
          <w:p>
            <w:pPr>
              <w:jc w:val="center"/>
              <w:ind w:right="61"/>
              <w:spacing w:after="0"/>
              <w:rPr>
                <w:sz w:val="20"/>
                <w:szCs w:val="20"/>
                <w:color w:val="auto"/>
              </w:rPr>
            </w:pPr>
            <w:r>
              <w:rPr>
                <w:rFonts w:ascii="Arial" w:cs="Arial" w:eastAsia="Arial" w:hAnsi="Arial"/>
                <w:sz w:val="16"/>
                <w:szCs w:val="16"/>
                <w:color w:val="auto"/>
              </w:rPr>
              <w:t>2.77% with phase</w:t>
            </w:r>
          </w:p>
        </w:tc>
        <w:tc>
          <w:tcPr>
            <w:tcW w:w="1460" w:type="dxa"/>
            <w:vAlign w:val="bottom"/>
          </w:tcPr>
          <w:p>
            <w:pPr>
              <w:jc w:val="center"/>
              <w:ind w:right="60"/>
              <w:spacing w:after="0"/>
              <w:rPr>
                <w:sz w:val="20"/>
                <w:szCs w:val="20"/>
                <w:color w:val="auto"/>
              </w:rPr>
            </w:pPr>
            <w:r>
              <w:rPr>
                <w:rFonts w:ascii="Arial" w:cs="Arial" w:eastAsia="Arial" w:hAnsi="Arial"/>
                <w:sz w:val="16"/>
                <w:szCs w:val="16"/>
                <w:color w:val="auto"/>
              </w:rPr>
              <w:t>3.45% with phase</w:t>
            </w: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4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in to 2.50% in</w:t>
            </w:r>
          </w:p>
        </w:tc>
        <w:tc>
          <w:tcPr>
            <w:tcW w:w="1620" w:type="dxa"/>
            <w:vAlign w:val="bottom"/>
          </w:tcPr>
          <w:p>
            <w:pPr>
              <w:jc w:val="center"/>
              <w:ind w:right="41"/>
              <w:spacing w:after="0" w:line="175" w:lineRule="exact"/>
              <w:rPr>
                <w:sz w:val="20"/>
                <w:szCs w:val="20"/>
                <w:color w:val="auto"/>
              </w:rPr>
            </w:pPr>
            <w:r>
              <w:rPr>
                <w:rFonts w:ascii="Arial" w:cs="Arial" w:eastAsia="Arial" w:hAnsi="Arial"/>
                <w:sz w:val="16"/>
                <w:szCs w:val="16"/>
                <w:color w:val="auto"/>
              </w:rPr>
              <w:t>in to 3.30% in</w:t>
            </w:r>
          </w:p>
        </w:tc>
        <w:tc>
          <w:tcPr>
            <w:tcW w:w="1460" w:type="dxa"/>
            <w:vAlign w:val="bottom"/>
          </w:tcPr>
          <w:p>
            <w:pPr>
              <w:jc w:val="center"/>
              <w:ind w:right="80"/>
              <w:spacing w:after="0" w:line="175" w:lineRule="exact"/>
              <w:rPr>
                <w:sz w:val="20"/>
                <w:szCs w:val="20"/>
                <w:color w:val="auto"/>
              </w:rPr>
            </w:pPr>
            <w:r>
              <w:rPr>
                <w:rFonts w:ascii="Arial" w:cs="Arial" w:eastAsia="Arial" w:hAnsi="Arial"/>
                <w:sz w:val="16"/>
                <w:szCs w:val="16"/>
                <w:color w:val="auto"/>
              </w:rPr>
              <w:t>in to 4.30% in</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480" w:type="dxa"/>
            <w:vAlign w:val="bottom"/>
          </w:tcPr>
          <w:p>
            <w:pPr>
              <w:jc w:val="center"/>
              <w:ind w:right="1"/>
              <w:spacing w:after="0"/>
              <w:rPr>
                <w:sz w:val="20"/>
                <w:szCs w:val="20"/>
                <w:color w:val="auto"/>
              </w:rPr>
            </w:pPr>
            <w:r>
              <w:rPr>
                <w:rFonts w:ascii="Arial" w:cs="Arial" w:eastAsia="Arial" w:hAnsi="Arial"/>
                <w:sz w:val="16"/>
                <w:szCs w:val="16"/>
                <w:b w:val="1"/>
                <w:bCs w:val="1"/>
                <w:color w:val="auto"/>
              </w:rPr>
              <w:t>2023</w:t>
            </w:r>
          </w:p>
        </w:tc>
        <w:tc>
          <w:tcPr>
            <w:tcW w:w="1620" w:type="dxa"/>
            <w:vAlign w:val="bottom"/>
          </w:tcPr>
          <w:p>
            <w:pPr>
              <w:jc w:val="center"/>
              <w:ind w:right="61"/>
              <w:spacing w:after="0"/>
              <w:rPr>
                <w:sz w:val="20"/>
                <w:szCs w:val="20"/>
                <w:color w:val="auto"/>
              </w:rPr>
            </w:pPr>
            <w:r>
              <w:rPr>
                <w:rFonts w:ascii="Arial" w:cs="Arial" w:eastAsia="Arial" w:hAnsi="Arial"/>
                <w:sz w:val="16"/>
                <w:szCs w:val="16"/>
                <w:color w:val="auto"/>
              </w:rPr>
              <w:t>2022</w:t>
            </w:r>
          </w:p>
        </w:tc>
        <w:tc>
          <w:tcPr>
            <w:tcW w:w="1460" w:type="dxa"/>
            <w:vAlign w:val="bottom"/>
          </w:tcPr>
          <w:p>
            <w:pPr>
              <w:jc w:val="center"/>
              <w:ind w:right="60"/>
              <w:spacing w:after="0"/>
              <w:rPr>
                <w:sz w:val="20"/>
                <w:szCs w:val="20"/>
                <w:color w:val="auto"/>
              </w:rPr>
            </w:pPr>
            <w:r>
              <w:rPr>
                <w:rFonts w:ascii="Arial" w:cs="Arial" w:eastAsia="Arial" w:hAnsi="Arial"/>
                <w:sz w:val="16"/>
                <w:szCs w:val="16"/>
                <w:color w:val="auto"/>
              </w:rPr>
              <w:t>2021</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SERP</w:t>
            </w:r>
          </w:p>
        </w:tc>
        <w:tc>
          <w:tcPr>
            <w:tcW w:w="940" w:type="dxa"/>
            <w:vAlign w:val="bottom"/>
            <w:tcBorders>
              <w:bottom w:val="single" w:sz="8" w:color="auto"/>
            </w:tcBorders>
          </w:tcPr>
          <w:p>
            <w:pPr>
              <w:spacing w:after="0"/>
              <w:rPr>
                <w:sz w:val="17"/>
                <w:szCs w:val="17"/>
                <w:color w:val="auto"/>
              </w:rPr>
            </w:pPr>
          </w:p>
        </w:tc>
      </w:tr>
      <w:tr>
        <w:trPr>
          <w:trHeight w:val="196"/>
        </w:trPr>
        <w:tc>
          <w:tcPr>
            <w:tcW w:w="5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2020</w:t>
            </w:r>
          </w:p>
        </w:tc>
      </w:tr>
      <w:tr>
        <w:trPr>
          <w:trHeight w:val="214"/>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(1,342,623)</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(839,156)</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b w:val="1"/>
                <w:bCs w:val="1"/>
                <w:color w:val="auto"/>
              </w:rPr>
              <w:t>19,111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32,681</w:t>
            </w:r>
          </w:p>
        </w:tc>
      </w:tr>
      <w:tr>
        <w:trPr>
          <w:trHeight w:val="238"/>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4,511</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7,355</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36</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367</w:t>
            </w: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(1,338,112)</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(831,801)</w:t>
            </w:r>
          </w:p>
        </w:tc>
        <w:tc>
          <w:tcPr>
            <w:tcW w:w="3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b w:val="1"/>
                <w:bCs w:val="1"/>
                <w:color w:val="auto"/>
              </w:rPr>
              <w:t>19,147</w:t>
            </w:r>
          </w:p>
        </w:tc>
        <w:tc>
          <w:tcPr>
            <w:tcW w:w="3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33,048</w:t>
            </w:r>
          </w:p>
        </w:tc>
      </w:tr>
      <w:tr>
        <w:trPr>
          <w:trHeight w:val="238"/>
        </w:trPr>
        <w:tc>
          <w:tcPr>
            <w:tcW w:w="5920" w:type="dxa"/>
            <w:vAlign w:val="bottom"/>
          </w:tcPr>
          <w:p>
            <w:pPr>
              <w:ind w:left="2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355,078</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224,586</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(5,340)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(8,923)</w:t>
            </w:r>
          </w:p>
        </w:tc>
      </w:tr>
      <w:tr>
        <w:trPr>
          <w:trHeight w:val="230"/>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(983,034)</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(607,215)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13,807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24,125</w:t>
            </w: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 U.S. stock index fund, and a relatively small number of stocks and high-quality fixed-income securities that are held by a third-party trustee. The assets of the Company’s pension plans were allocated as follows:</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062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26035</wp:posOffset>
            </wp:positionV>
            <wp:extent cx="13373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5"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color w:val="auto"/>
        </w:rPr>
        <w:t>2020</w:t>
      </w:r>
    </w:p>
    <w:p>
      <w:pPr>
        <w:spacing w:after="0" w:line="50"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61 %</w:t>
      </w:r>
      <w:r>
        <w:rPr>
          <w:sz w:val="20"/>
          <w:szCs w:val="20"/>
          <w:color w:val="auto"/>
        </w:rPr>
        <w:tab/>
      </w:r>
      <w:r>
        <w:rPr>
          <w:rFonts w:ascii="Arial" w:cs="Arial" w:eastAsia="Arial" w:hAnsi="Arial"/>
          <w:sz w:val="15"/>
          <w:szCs w:val="15"/>
          <w:color w:val="auto"/>
        </w:rPr>
        <w:t>58 %</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18 %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9 %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9 %</w:t>
      </w:r>
      <w:r>
        <w:rPr>
          <w:sz w:val="20"/>
          <w:szCs w:val="20"/>
          <w:color w:val="auto"/>
        </w:rPr>
        <w:tab/>
      </w:r>
      <w:r>
        <w:rPr>
          <w:rFonts w:ascii="Arial" w:cs="Arial" w:eastAsia="Arial" w:hAnsi="Arial"/>
          <w:sz w:val="16"/>
          <w:szCs w:val="16"/>
          <w:color w:val="auto"/>
        </w:rPr>
        <w:t>8 %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4 %</w:t>
      </w:r>
      <w:r>
        <w:rPr>
          <w:sz w:val="20"/>
          <w:szCs w:val="20"/>
          <w:color w:val="auto"/>
        </w:rPr>
        <w:tab/>
      </w: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31750</wp:posOffset>
            </wp:positionV>
            <wp:extent cx="13373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9" w:lineRule="exact"/>
        <w:rPr>
          <w:sz w:val="20"/>
          <w:szCs w:val="20"/>
          <w:color w:val="auto"/>
        </w:rPr>
      </w:pPr>
    </w:p>
    <w:p>
      <w:pPr>
        <w:jc w:val="right"/>
        <w:ind w:right="60"/>
        <w:spacing w:after="0"/>
        <w:tabs>
          <w:tab w:leader="none" w:pos="44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31750</wp:posOffset>
            </wp:positionV>
            <wp:extent cx="13373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13373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720"/>
            <w:col w:w="1800"/>
          </w:cols>
          <w:pgMar w:left="320" w:top="1098" w:right="339" w:bottom="1440" w:gutter="0" w:footer="0" w:header="0"/>
          <w:type w:val="continuous"/>
        </w:sectPr>
      </w:pPr>
    </w:p>
    <w:p>
      <w:pPr>
        <w:spacing w:after="0" w:line="14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manages approximately 39% of the pension assets internally, of which the majority is invested in private investment funds with the remaining investments in Berkshire Hathaway stock, a U.S. stock index fund, and short-term fixed-income securities. The remaining 61%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w:t>
      </w:r>
    </w:p>
    <w:p>
      <w:pPr>
        <w:sectPr>
          <w:pgSz w:w="11900" w:h="16838" w:orient="portrait"/>
          <w:cols w:equalWidth="0" w:num="1">
            <w:col w:w="11240"/>
          </w:cols>
          <w:pgMar w:left="320" w:top="1098" w:right="3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108" w:name="page109"/>
    <w:bookmarkEnd w:id="108"/>
    <w:p>
      <w:pPr>
        <w:ind w:right="360"/>
        <w:spacing w:after="0" w:line="224" w:lineRule="auto"/>
        <w:rPr>
          <w:sz w:val="20"/>
          <w:szCs w:val="20"/>
          <w:color w:val="auto"/>
        </w:rPr>
      </w:pPr>
      <w:r>
        <w:rPr>
          <w:rFonts w:ascii="Arial" w:cs="Arial" w:eastAsia="Arial" w:hAnsi="Arial"/>
          <w:sz w:val="18"/>
          <w:szCs w:val="18"/>
          <w:color w:val="auto"/>
        </w:rPr>
        <w:t>purchase in the stock of Alphabet and Berkshire Hathaway, and no more than 30%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37"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2021. Types of concentrations that were evaluated include, but are not limited to, investment concentrations in a single entity, type of industry, foreign country and individual fund. At December 31, 2021, the pension plan held investments in one common stock and one private investment fund that exceeded 10% of total plan assets, valued at $998.8 million, or approximately 29% of total plan assets. At December 31, 2020, the pension plan held investments in one common stock and one private investment fund that exceeded 10% of total plan assets, valued at $850.6 million, or approximately 30% of total plan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4"/>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2,159</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145,683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147,842</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Arial" w:cs="Arial" w:eastAsia="Arial" w:hAnsi="Arial"/>
                <w:sz w:val="16"/>
                <w:szCs w:val="16"/>
                <w:b w:val="1"/>
                <w:bCs w:val="1"/>
                <w:color w:val="auto"/>
              </w:rPr>
              <w:t>U.S. equities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2,067,152</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2,067,152</w:t>
            </w:r>
          </w:p>
        </w:tc>
        <w:tc>
          <w:tcPr>
            <w:tcW w:w="0" w:type="dxa"/>
            <w:vAlign w:val="bottom"/>
          </w:tcPr>
          <w:p>
            <w:pPr>
              <w:spacing w:after="0"/>
              <w:rPr>
                <w:sz w:val="1"/>
                <w:szCs w:val="1"/>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6"/>
                <w:szCs w:val="16"/>
                <w:b w:val="1"/>
                <w:bCs w:val="1"/>
                <w:color w:val="auto"/>
              </w:rPr>
              <w:t>International equities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301,640</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301,640</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Private investment funds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573,970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573,970</w:t>
            </w:r>
          </w:p>
        </w:tc>
        <w:tc>
          <w:tcPr>
            <w:tcW w:w="0" w:type="dxa"/>
            <w:vAlign w:val="bottom"/>
          </w:tcPr>
          <w:p>
            <w:pPr>
              <w:spacing w:after="0"/>
              <w:rPr>
                <w:sz w:val="1"/>
                <w:szCs w:val="1"/>
                <w:color w:val="auto"/>
              </w:rPr>
            </w:pPr>
          </w:p>
        </w:tc>
      </w:tr>
      <w:tr>
        <w:trPr>
          <w:trHeight w:val="242"/>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U.S. stock index fund</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302,478</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302,478</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2,370,951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145,683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876,448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3,393,082</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Receivables, net</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1,741</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3,394,823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As of December 31, 2020</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4"/>
        </w:trPr>
        <w:tc>
          <w:tcPr>
            <w:tcW w:w="6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Level 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Arial" w:cs="Arial" w:eastAsia="Arial" w:hAnsi="Arial"/>
                <w:sz w:val="16"/>
                <w:szCs w:val="16"/>
                <w:color w:val="auto"/>
              </w:rPr>
              <w:t>Cash equivalents and other short-term investments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2,218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197,655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199,873</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6"/>
                <w:szCs w:val="16"/>
                <w:color w:val="auto"/>
              </w:rPr>
              <w:t>U.S. equities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1,614,879</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1,614,879</w:t>
            </w:r>
          </w:p>
        </w:tc>
        <w:tc>
          <w:tcPr>
            <w:tcW w:w="0" w:type="dxa"/>
            <w:vAlign w:val="bottom"/>
          </w:tcPr>
          <w:p>
            <w:pPr>
              <w:spacing w:after="0"/>
              <w:rPr>
                <w:sz w:val="1"/>
                <w:szCs w:val="1"/>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6"/>
                <w:szCs w:val="16"/>
                <w:color w:val="auto"/>
              </w:rPr>
              <w:t>International equities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233,818</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233,818</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6"/>
                <w:szCs w:val="16"/>
                <w:color w:val="auto"/>
              </w:rPr>
              <w:t>Private investment fund</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496,458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496,458</w:t>
            </w:r>
          </w:p>
        </w:tc>
        <w:tc>
          <w:tcPr>
            <w:tcW w:w="0" w:type="dxa"/>
            <w:vAlign w:val="bottom"/>
          </w:tcPr>
          <w:p>
            <w:pPr>
              <w:spacing w:after="0"/>
              <w:rPr>
                <w:sz w:val="1"/>
                <w:szCs w:val="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6"/>
                <w:szCs w:val="16"/>
                <w:color w:val="auto"/>
              </w:rPr>
              <w:t>U.S. stock index fund</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256,291</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256,291</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1,850,915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197,655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752,749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2,801,319</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2,803,422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18" w:lineRule="exact"/>
        <w:rPr>
          <w:sz w:val="20"/>
          <w:szCs w:val="20"/>
          <w:color w:val="auto"/>
        </w:rPr>
      </w:pPr>
    </w:p>
    <w:p>
      <w:pPr>
        <w:jc w:val="both"/>
        <w:ind w:right="220"/>
        <w:spacing w:after="0" w:line="236" w:lineRule="auto"/>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18"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9" w:name="page110"/>
    <w:bookmarkEnd w:id="109"/>
    <w:p>
      <w:pPr>
        <w:ind w:right="20"/>
        <w:spacing w:after="0" w:line="225" w:lineRule="auto"/>
        <w:rPr>
          <w:sz w:val="20"/>
          <w:szCs w:val="20"/>
          <w:color w:val="auto"/>
        </w:rPr>
      </w:pPr>
      <w:r>
        <w:rPr>
          <w:rFonts w:ascii="Arial" w:cs="Arial" w:eastAsia="Arial" w:hAnsi="Arial"/>
          <w:sz w:val="18"/>
          <w:szCs w:val="18"/>
          <w:i w:val="1"/>
          <w:iCs w:val="1"/>
          <w:color w:val="auto"/>
        </w:rPr>
        <w:t xml:space="preserve">Private investment funds. </w:t>
      </w:r>
      <w:r>
        <w:rPr>
          <w:rFonts w:ascii="Arial" w:cs="Arial" w:eastAsia="Arial" w:hAnsi="Arial"/>
          <w:sz w:val="18"/>
          <w:szCs w:val="18"/>
          <w:color w:val="auto"/>
        </w:rPr>
        <w:t>This category includes a commingled fund and a private investment fund. The commingled fund invests in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diversified mix of publicly-traded securities (U.S. and international stocks) and private companies. The private investment fund invests in non-public companies. These investment funds have restrictions that limit the Company’s ability to liquidate its investments. The investment in the commingled fund may be redeemed in part, or in full, at the 60-month anniversary of the investment, or at any subsequent 36-month anniversary date following the initial 60-month anniversary. The investment in the private investment fund is generally not redeemable until the dissolution of the fund. The funds are valued using the net asset value (NAV) provided by the administrator of the funds and reviewed by the Company. The NAV is based on the value of the underlying assets owned by the fund, minus liabilities and divided by the number of units outstanding. These investments are classified as Level 3 in the valuation hierarchy.</w:t>
      </w:r>
    </w:p>
    <w:p>
      <w:pPr>
        <w:spacing w:after="0" w:line="122" w:lineRule="exact"/>
        <w:rPr>
          <w:sz w:val="20"/>
          <w:szCs w:val="20"/>
          <w:color w:val="auto"/>
        </w:rPr>
      </w:pPr>
    </w:p>
    <w:p>
      <w:pPr>
        <w:spacing w:after="0" w:line="229" w:lineRule="auto"/>
        <w:rPr>
          <w:sz w:val="20"/>
          <w:szCs w:val="20"/>
          <w:color w:val="auto"/>
        </w:rPr>
      </w:pPr>
      <w:r>
        <w:rPr>
          <w:rFonts w:ascii="Arial" w:cs="Arial" w:eastAsia="Arial" w:hAnsi="Arial"/>
          <w:sz w:val="18"/>
          <w:szCs w:val="18"/>
          <w:i w:val="1"/>
          <w:iCs w:val="1"/>
          <w:color w:val="auto"/>
        </w:rPr>
        <w:t xml:space="preserve">U.S. stock index fund. </w:t>
      </w:r>
      <w:r>
        <w:rPr>
          <w:rFonts w:ascii="Arial" w:cs="Arial" w:eastAsia="Arial" w:hAnsi="Arial"/>
          <w:sz w:val="18"/>
          <w:szCs w:val="18"/>
          <w:color w:val="auto"/>
        </w:rPr>
        <w:t>This fund consists of investments held in a diversified mix of securities (U.S. and international stocks, and fixed-income securities) and a combination of other collective funds that together are designed to track the performance of the S&amp;P 500 Index. The fund is valued using the NAV provided by the administrator of the fund and reviewed by the Company. The NAV is based on the value of the underlying assets owned by the fund, minus liabilities and divided by the number of units outstanding. The investment in this fund may be redeemed daily, subject to the restrictions of the fund. This investment is classified as Level 3 in the valuation hierarchy.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changes in pension assets measured at fair value on a recurring basis, using Level 3 inputs: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441"/>
              <w:spacing w:after="0"/>
              <w:rPr>
                <w:sz w:val="20"/>
                <w:szCs w:val="20"/>
                <w:color w:val="auto"/>
              </w:rPr>
            </w:pPr>
            <w:r>
              <w:rPr>
                <w:rFonts w:ascii="Arial" w:cs="Arial" w:eastAsia="Arial" w:hAnsi="Arial"/>
                <w:sz w:val="14"/>
                <w:szCs w:val="14"/>
                <w:b w:val="1"/>
                <w:bCs w:val="1"/>
                <w:color w:val="auto"/>
              </w:rPr>
              <w:t>Private</w:t>
            </w:r>
          </w:p>
        </w:tc>
        <w:tc>
          <w:tcPr>
            <w:tcW w:w="320" w:type="dxa"/>
            <w:vAlign w:val="bottom"/>
          </w:tcPr>
          <w:p>
            <w:pPr>
              <w:spacing w:after="0"/>
              <w:rPr>
                <w:sz w:val="14"/>
                <w:szCs w:val="14"/>
                <w:color w:val="auto"/>
              </w:rPr>
            </w:pPr>
          </w:p>
        </w:tc>
        <w:tc>
          <w:tcPr>
            <w:tcW w:w="1220" w:type="dxa"/>
            <w:vAlign w:val="bottom"/>
          </w:tcPr>
          <w:p>
            <w:pPr>
              <w:jc w:val="right"/>
              <w:ind w:right="301"/>
              <w:spacing w:after="0"/>
              <w:rPr>
                <w:sz w:val="20"/>
                <w:szCs w:val="20"/>
                <w:color w:val="auto"/>
              </w:rPr>
            </w:pPr>
            <w:r>
              <w:rPr>
                <w:rFonts w:ascii="Arial" w:cs="Arial" w:eastAsia="Arial" w:hAnsi="Arial"/>
                <w:sz w:val="14"/>
                <w:szCs w:val="14"/>
                <w:b w:val="1"/>
                <w:bCs w:val="1"/>
                <w:color w:val="auto"/>
              </w:rPr>
              <w:t>U.S. Stock</w:t>
            </w:r>
          </w:p>
        </w:tc>
      </w:tr>
      <w:tr>
        <w:trPr>
          <w:trHeight w:val="19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Investment Funds</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Index Fund</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151,854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322,229</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Purchases, sales, and settlements, net</w:t>
            </w:r>
          </w:p>
        </w:tc>
        <w:tc>
          <w:tcPr>
            <w:tcW w:w="10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130,000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6"/>
                <w:szCs w:val="16"/>
                <w:color w:val="auto"/>
              </w:rPr>
              <w:t>Losses relating to assets sold</w:t>
            </w:r>
          </w:p>
        </w:tc>
        <w:tc>
          <w:tcPr>
            <w:tcW w:w="10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(5,763)</w:t>
            </w:r>
          </w:p>
        </w:tc>
      </w:tr>
      <w:tr>
        <w:trPr>
          <w:trHeight w:val="242"/>
        </w:trPr>
        <w:tc>
          <w:tcPr>
            <w:tcW w:w="8220" w:type="dxa"/>
            <w:vAlign w:val="bottom"/>
          </w:tcPr>
          <w:p>
            <w:pPr>
              <w:ind w:left="220"/>
              <w:spacing w:after="0"/>
              <w:rPr>
                <w:sz w:val="20"/>
                <w:szCs w:val="20"/>
                <w:color w:val="auto"/>
              </w:rPr>
            </w:pPr>
            <w:r>
              <w:rPr>
                <w:rFonts w:ascii="Arial" w:cs="Arial" w:eastAsia="Arial" w:hAnsi="Arial"/>
                <w:sz w:val="16"/>
                <w:szCs w:val="16"/>
                <w:color w:val="auto"/>
              </w:rPr>
              <w:t>Gains relating to assets still held at year-end</w:t>
            </w: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214,604</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39,825</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496,458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256,291</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Purchases, sales, and settlements, net</w:t>
            </w:r>
          </w:p>
        </w:tc>
        <w:tc>
          <w:tcPr>
            <w:tcW w:w="10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3,912</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(25,000)</w:t>
            </w:r>
          </w:p>
        </w:tc>
      </w:tr>
      <w:tr>
        <w:trPr>
          <w:trHeight w:val="225"/>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Actual return on plan assets: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6"/>
                <w:szCs w:val="16"/>
                <w:b w:val="1"/>
                <w:bCs w:val="1"/>
                <w:color w:val="auto"/>
              </w:rPr>
              <w:t>Gains relating to assets sold</w:t>
            </w:r>
          </w:p>
        </w:tc>
        <w:tc>
          <w:tcPr>
            <w:tcW w:w="10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b w:val="1"/>
                <w:bCs w:val="1"/>
                <w:color w:val="auto"/>
              </w:rPr>
              <w:t>3,715</w:t>
            </w:r>
          </w:p>
        </w:tc>
      </w:tr>
      <w:tr>
        <w:trPr>
          <w:trHeight w:val="243"/>
        </w:trPr>
        <w:tc>
          <w:tcPr>
            <w:tcW w:w="8220" w:type="dxa"/>
            <w:vAlign w:val="bottom"/>
          </w:tcPr>
          <w:p>
            <w:pPr>
              <w:ind w:left="220"/>
              <w:spacing w:after="0"/>
              <w:rPr>
                <w:sz w:val="20"/>
                <w:szCs w:val="20"/>
                <w:color w:val="auto"/>
              </w:rPr>
            </w:pPr>
            <w:r>
              <w:rPr>
                <w:rFonts w:ascii="Arial" w:cs="Arial" w:eastAsia="Arial" w:hAnsi="Arial"/>
                <w:sz w:val="16"/>
                <w:szCs w:val="16"/>
                <w:b w:val="1"/>
                <w:bCs w:val="1"/>
                <w:color w:val="auto"/>
              </w:rPr>
              <w:t>Gains relating to assets still held at year-end</w:t>
            </w: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73,600</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67,472</w:t>
            </w:r>
          </w:p>
        </w:tc>
      </w:tr>
      <w:tr>
        <w:trPr>
          <w:trHeight w:val="23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573,970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302,478</w:t>
            </w:r>
          </w:p>
        </w:tc>
      </w:tr>
      <w:tr>
        <w:trPr>
          <w:trHeight w:val="20"/>
        </w:trPr>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c>
          <w:tcPr>
            <w:tcW w:w="0" w:type="dxa"/>
            <w:vAlign w:val="bottom"/>
          </w:tcPr>
          <w:p>
            <w:pPr>
              <w:spacing w:after="0"/>
              <w:rPr>
                <w:sz w:val="1"/>
                <w:szCs w:val="1"/>
                <w:color w:val="auto"/>
              </w:rPr>
            </w:pPr>
          </w:p>
        </w:tc>
      </w:tr>
      <w:tr>
        <w:trPr>
          <w:trHeight w:val="196"/>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10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5,587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6,816</w:t>
            </w: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92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(582)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43"/>
        </w:trPr>
        <w:tc>
          <w:tcPr>
            <w:tcW w:w="9100" w:type="dxa"/>
            <w:vAlign w:val="bottom"/>
          </w:tcPr>
          <w:p>
            <w:pPr>
              <w:ind w:left="20"/>
              <w:spacing w:after="0"/>
              <w:rPr>
                <w:sz w:val="20"/>
                <w:szCs w:val="20"/>
                <w:color w:val="auto"/>
              </w:rPr>
            </w:pPr>
            <w:r>
              <w:rPr>
                <w:rFonts w:ascii="Arial" w:cs="Arial" w:eastAsia="Arial" w:hAnsi="Arial"/>
                <w:sz w:val="16"/>
                <w:szCs w:val="16"/>
                <w:color w:val="auto"/>
              </w:rPr>
              <w:t>Benefits paid, net of Medicare subsidy</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(375)</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4,722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5,587</w:t>
            </w:r>
          </w:p>
        </w:tc>
        <w:tc>
          <w:tcPr>
            <w:tcW w:w="0" w:type="dxa"/>
            <w:vAlign w:val="bottom"/>
          </w:tcPr>
          <w:p>
            <w:pPr>
              <w:spacing w:after="0"/>
              <w:rPr>
                <w:sz w:val="1"/>
                <w:szCs w:val="1"/>
                <w:color w:val="auto"/>
              </w:rPr>
            </w:pPr>
          </w:p>
        </w:tc>
      </w:tr>
      <w:tr>
        <w:trPr>
          <w:trHeight w:val="210"/>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375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43"/>
        </w:trPr>
        <w:tc>
          <w:tcPr>
            <w:tcW w:w="9100" w:type="dxa"/>
            <w:vAlign w:val="bottom"/>
          </w:tcPr>
          <w:p>
            <w:pPr>
              <w:ind w:left="20"/>
              <w:spacing w:after="0"/>
              <w:rPr>
                <w:sz w:val="20"/>
                <w:szCs w:val="20"/>
                <w:color w:val="auto"/>
              </w:rPr>
            </w:pPr>
            <w:r>
              <w:rPr>
                <w:rFonts w:ascii="Arial" w:cs="Arial" w:eastAsia="Arial" w:hAnsi="Arial"/>
                <w:sz w:val="16"/>
                <w:szCs w:val="16"/>
                <w:color w:val="auto"/>
              </w:rPr>
              <w:t>Benefits paid, net of Medicare subsidy</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(375)</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(4,722)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(5,587)</w:t>
            </w:r>
          </w:p>
        </w:tc>
        <w:tc>
          <w:tcPr>
            <w:tcW w:w="0" w:type="dxa"/>
            <w:vAlign w:val="bottom"/>
          </w:tcPr>
          <w:p>
            <w:pPr>
              <w:spacing w:after="0"/>
              <w:rPr>
                <w:sz w:val="1"/>
                <w:szCs w:val="1"/>
                <w:color w:val="auto"/>
              </w:rPr>
            </w:pPr>
          </w:p>
        </w:tc>
      </w:tr>
      <w:tr>
        <w:trPr>
          <w:trHeight w:val="21"/>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change in the benefit obligation for the Company’s other postretirement plans was due to updated claims experience based on actual premium rates, the recognition of an actuarial gain resulting from an increase to the discount rate used to measure the benefit obligation, and benefits paid during the year.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auto"/>
        </w:rPr>
        <w:t>The amounts recognized in the Company’s Consolidated Balance Sheets for its other postretirement plans are as follows:</w:t>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liability</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13373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13373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5"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26035</wp:posOffset>
            </wp:positionV>
            <wp:extent cx="71062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 w:lineRule="exact"/>
        <w:rPr>
          <w:sz w:val="20"/>
          <w:szCs w:val="20"/>
          <w:color w:val="auto"/>
        </w:rPr>
      </w:pPr>
    </w:p>
    <w:p>
      <w:pPr>
        <w:spacing w:after="0"/>
        <w:tabs>
          <w:tab w:leader="none" w:pos="540" w:val="left"/>
          <w:tab w:leader="none" w:pos="1080" w:val="left"/>
          <w:tab w:leader="none" w:pos="16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(671)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(797)</w:t>
      </w:r>
    </w:p>
    <w:p>
      <w:pPr>
        <w:spacing w:after="0" w:line="46" w:lineRule="exact"/>
        <w:rPr>
          <w:sz w:val="20"/>
          <w:szCs w:val="20"/>
          <w:color w:val="auto"/>
        </w:rPr>
      </w:pPr>
    </w:p>
    <w:p>
      <w:pPr>
        <w:jc w:val="both"/>
        <w:ind w:left="440"/>
        <w:spacing w:after="0"/>
        <w:tabs>
          <w:tab w:leader="none" w:pos="1520" w:val="left"/>
        </w:tabs>
        <w:rPr>
          <w:sz w:val="20"/>
          <w:szCs w:val="20"/>
          <w:color w:val="auto"/>
        </w:rPr>
      </w:pPr>
      <w:r>
        <w:rPr>
          <w:rFonts w:ascii="Arial" w:cs="Arial" w:eastAsia="Arial" w:hAnsi="Arial"/>
          <w:sz w:val="16"/>
          <w:szCs w:val="16"/>
          <w:b w:val="1"/>
          <w:bCs w:val="1"/>
          <w:color w:val="auto"/>
        </w:rPr>
        <w:t>(4,051)</w:t>
      </w:r>
      <w:r>
        <w:rPr>
          <w:sz w:val="20"/>
          <w:szCs w:val="20"/>
          <w:color w:val="auto"/>
        </w:rPr>
        <w:tab/>
      </w:r>
      <w:r>
        <w:rPr>
          <w:rFonts w:ascii="Arial" w:cs="Arial" w:eastAsia="Arial" w:hAnsi="Arial"/>
          <w:sz w:val="16"/>
          <w:szCs w:val="16"/>
          <w:color w:val="auto"/>
        </w:rPr>
        <w:t>(4,790)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3373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9" w:lineRule="exact"/>
        <w:rPr>
          <w:sz w:val="20"/>
          <w:szCs w:val="20"/>
          <w:color w:val="auto"/>
        </w:rPr>
      </w:pPr>
    </w:p>
    <w:p>
      <w:pPr>
        <w:spacing w:after="0"/>
        <w:tabs>
          <w:tab w:leader="none" w:pos="420" w:val="left"/>
          <w:tab w:leader="none" w:pos="1080" w:val="left"/>
          <w:tab w:leader="none" w:pos="15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(4,722)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3373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57785</wp:posOffset>
            </wp:positionV>
            <wp:extent cx="13373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400" w:space="720"/>
            <w:col w:w="2100"/>
          </w:cols>
          <w:pgMar w:left="320" w:top="1057" w:right="359" w:bottom="1440" w:gutter="0" w:footer="0" w:header="0"/>
          <w:type w:val="continuous"/>
        </w:sectPr>
      </w:pPr>
    </w:p>
    <w:p>
      <w:pPr>
        <w:spacing w:after="0" w:line="10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discount rates utilized for determining the benefit obligation at December 31, 2021 and 2020, for the postretirement plans were 2.23% and 1.78%, respectively. The assumed healthcare cost trend rate used in measuring the postretirement benefit obligation at December 31, 2021, was 6.17% for pre-age 65, decreasing to 4.5% in the year 2032 and thereafter. The assumed healthcare cost trend rate used in measuring the postretirement benefit obligation at December 31, 2021, was 6.52% for post-age 65, decreasing to 4.5% in the year 2032 and thereafter. The assumed healthcare cost trend rate used in measuring the postretirement benefit obligation at December 31, 2021, was 8.00% for Medicare Advantage, decreasing to 4.5% in the year 2032 and thereafter.</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 made contributions to its postretirement benefit plans of $0.4 million for each of the years ended December 31, 2021 and 2020. As the plans are unfunded, the Company makes contributions to its postretirement plans based on actual benefit payments.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future estimated benefit payments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jc w:val="right"/>
              <w:ind w:right="141"/>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Plans</w:t>
            </w:r>
          </w:p>
        </w:tc>
      </w:tr>
      <w:tr>
        <w:trPr>
          <w:trHeight w:val="209"/>
        </w:trPr>
        <w:tc>
          <w:tcPr>
            <w:tcW w:w="5380" w:type="dxa"/>
            <w:vAlign w:val="bottom"/>
          </w:tcPr>
          <w:p>
            <w:pPr>
              <w:ind w:left="20"/>
              <w:spacing w:after="0"/>
              <w:rPr>
                <w:sz w:val="20"/>
                <w:szCs w:val="20"/>
                <w:color w:val="auto"/>
              </w:rPr>
            </w:pPr>
            <w:r>
              <w:rPr>
                <w:rFonts w:ascii="Arial" w:cs="Arial" w:eastAsia="Arial" w:hAnsi="Arial"/>
                <w:sz w:val="16"/>
                <w:szCs w:val="16"/>
                <w:color w:val="auto"/>
              </w:rPr>
              <w:t>2022</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671</w:t>
            </w: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2023</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590</w:t>
            </w: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2024</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485</w:t>
            </w: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2025</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393</w:t>
            </w: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2026</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335</w:t>
            </w: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2027–2031</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2,474</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arising from the Company’s other postretirement plans consists of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Postretirement Plans</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92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167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(481)</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(7,363)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(3,510)</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w:t>
            </w: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(3,425)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(4,362)</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(11,434)</w:t>
            </w:r>
          </w:p>
        </w:tc>
        <w:tc>
          <w:tcPr>
            <w:tcW w:w="0" w:type="dxa"/>
            <w:vAlign w:val="bottom"/>
          </w:tcPr>
          <w:p>
            <w:pPr>
              <w:spacing w:after="0"/>
              <w:rPr>
                <w:sz w:val="1"/>
                <w:szCs w:val="1"/>
                <w:color w:val="auto"/>
              </w:rPr>
            </w:pPr>
          </w:p>
        </w:tc>
      </w:tr>
      <w:tr>
        <w:trPr>
          <w:trHeight w:val="238"/>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(120)</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(3,545)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(11,434)</w:t>
            </w:r>
          </w:p>
        </w:tc>
        <w:tc>
          <w:tcPr>
            <w:tcW w:w="0" w:type="dxa"/>
            <w:vAlign w:val="bottom"/>
          </w:tcPr>
          <w:p>
            <w:pPr>
              <w:spacing w:after="0"/>
              <w:rPr>
                <w:sz w:val="1"/>
                <w:szCs w:val="1"/>
                <w:color w:val="auto"/>
              </w:rPr>
            </w:pPr>
          </w:p>
        </w:tc>
      </w:tr>
      <w:tr>
        <w:trPr>
          <w:trHeight w:val="19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(582)</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Current year actuarial gain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481</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7,363</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3,510</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4,048</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120</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3,055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3,538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Benefit and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(490)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111" w:name="page112"/>
    <w:bookmarkEnd w:id="111"/>
    <w:p>
      <w:pPr>
        <w:ind w:right="100"/>
        <w:spacing w:after="0" w:line="229" w:lineRule="auto"/>
        <w:rPr>
          <w:sz w:val="20"/>
          <w:szCs w:val="20"/>
          <w:color w:val="auto"/>
        </w:rPr>
      </w:pPr>
      <w:r>
        <w:rPr>
          <w:rFonts w:ascii="Arial" w:cs="Arial" w:eastAsia="Arial" w:hAnsi="Arial"/>
          <w:sz w:val="18"/>
          <w:szCs w:val="18"/>
          <w:color w:val="auto"/>
        </w:rPr>
        <w:t>The costs for the Company’s postretirement plans are actuarially determined. The discount rate utilized to determine periodic cost for the years ended December 31, 2021, 2020 and 2019 were 1.78%, 2.68% and 3.69%. AOCI included the following components of unrecognized net periodic benefit for the postretirement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2020</w:t>
            </w:r>
          </w:p>
        </w:tc>
      </w:tr>
      <w:tr>
        <w:trPr>
          <w:trHeight w:val="214"/>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actuarial gain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(13,642)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(16,690)</w:t>
            </w:r>
          </w:p>
        </w:tc>
      </w:tr>
      <w:tr>
        <w:trPr>
          <w:trHeight w:val="238"/>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prior service credit</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(13,654)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(16,709)</w:t>
            </w:r>
          </w:p>
        </w:tc>
      </w:tr>
      <w:tr>
        <w:trPr>
          <w:trHeight w:val="238"/>
        </w:trPr>
        <w:tc>
          <w:tcPr>
            <w:tcW w:w="91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3,724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4,512</w:t>
            </w: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(9,930)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(12,197)</w:t>
            </w:r>
          </w:p>
        </w:tc>
      </w:tr>
      <w:tr>
        <w:trPr>
          <w:trHeight w:val="21"/>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2021, 2020 and 2019,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2021, 2020 and 2019.</w:t>
      </w:r>
    </w:p>
    <w:p>
      <w:pPr>
        <w:spacing w:after="0" w:line="113"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401(k) plans) of approximately $10.9 million in 2021, $8.8 million in 2020 and $9.8 million in 2019.</w:t>
      </w:r>
    </w:p>
    <w:p>
      <w:pPr>
        <w:spacing w:after="0" w:line="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r>
      <w:tr>
        <w:trPr>
          <w:trHeight w:val="214"/>
        </w:trPr>
        <w:tc>
          <w:tcPr>
            <w:tcW w:w="7640" w:type="dxa"/>
            <w:vAlign w:val="bottom"/>
          </w:tcPr>
          <w:p>
            <w:pPr>
              <w:ind w:left="20"/>
              <w:spacing w:after="0"/>
              <w:rPr>
                <w:sz w:val="20"/>
                <w:szCs w:val="20"/>
                <w:color w:val="auto"/>
              </w:rPr>
            </w:pPr>
            <w:r>
              <w:rPr>
                <w:rFonts w:ascii="Arial" w:cs="Arial" w:eastAsia="Arial" w:hAnsi="Arial"/>
                <w:sz w:val="16"/>
                <w:szCs w:val="16"/>
                <w:color w:val="auto"/>
              </w:rPr>
              <w:t>Net gain on cost method investments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11,756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4,209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5,080</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9,355</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1,039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gain (loss) on sale of businesses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3,789</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213,302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loss, net</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(179)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(1,070)</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(7,327)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Gain on acquiring a controlling interest in an equity affiliate</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3,708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equity affiliates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1,370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28,994</w:t>
            </w: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7,833</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386</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32,554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214,534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32,431</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gains on cost method investments result from observable price changes in the fair value of the underlying equity securities accounted for under the cost method (see Notes 4 and 12).</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For the years ended December 31, 2021, 2020 and 2019, the Company recorded contingent consideration gains of $3.9 million, $3.5 million and $1.4 million, respectively, related to the disposition of Kaplan University (KU) in 2018.</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the second quarter of 2020, the Company made an additional investment in Framebridge (see Notes 3 and 4) that resulted in the Company obtaining control of the investee. The Company remeasured its previously held equity interest in Framebridge at the acquisition-date fair value and recorded a gain of $3.7 million. The fair value was determined using a market approach by using the share value indicated in the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2020, the Company recorded a $209.8 million gain on the sale of Megaphone.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the Company recorded a $29.0 million gain on the sale of the Company’s interest in Gimlet Media.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12" w:name="page113"/>
    <w:bookmarkEnd w:id="112"/>
    <w:p>
      <w:pPr>
        <w:spacing w:after="0"/>
        <w:tabs>
          <w:tab w:leader="none" w:pos="4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5"/>
          </w:tcPr>
          <w:p>
            <w:pPr>
              <w:jc w:val="center"/>
              <w:ind w:right="81"/>
              <w:spacing w:after="0"/>
              <w:rPr>
                <w:sz w:val="20"/>
                <w:szCs w:val="20"/>
                <w:color w:val="auto"/>
              </w:rPr>
            </w:pPr>
            <w:r>
              <w:rPr>
                <w:rFonts w:ascii="Arial" w:cs="Arial" w:eastAsia="Arial" w:hAnsi="Arial"/>
                <w:sz w:val="14"/>
                <w:szCs w:val="14"/>
                <w:b w:val="1"/>
                <w:bCs w:val="1"/>
                <w:color w:val="auto"/>
              </w:rPr>
              <w:t>Year Ended December 31, 2021</w:t>
            </w:r>
          </w:p>
        </w:tc>
      </w:tr>
      <w:tr>
        <w:trPr>
          <w:trHeight w:val="190"/>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16"/>
                <w:szCs w:val="16"/>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b w:val="1"/>
                <w:bCs w:val="1"/>
                <w:color w:val="auto"/>
              </w:rPr>
              <w:t>After-Tax</w:t>
            </w: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Amount</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(16,052)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(16,052)</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Actuarial gain</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519,595</w:t>
            </w:r>
          </w:p>
        </w:tc>
        <w:tc>
          <w:tcPr>
            <w:tcW w:w="2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(133,915)</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385,680</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Prior service cost</w:t>
            </w:r>
          </w:p>
        </w:tc>
        <w:tc>
          <w:tcPr>
            <w:tcW w:w="14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(5,486)</w:t>
            </w: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1,414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(4,072)</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3,170</w:t>
            </w:r>
          </w:p>
        </w:tc>
        <w:tc>
          <w:tcPr>
            <w:tcW w:w="2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(817)</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2,353</w:t>
            </w:r>
          </w:p>
        </w:tc>
      </w:tr>
      <w:tr>
        <w:trPr>
          <w:trHeight w:val="243"/>
        </w:trPr>
        <w:tc>
          <w:tcPr>
            <w:tcW w:w="7640" w:type="dxa"/>
            <w:vAlign w:val="bottom"/>
          </w:tcPr>
          <w:p>
            <w:pPr>
              <w:ind w:left="140"/>
              <w:spacing w:after="0"/>
              <w:rPr>
                <w:sz w:val="20"/>
                <w:szCs w:val="20"/>
                <w:color w:val="auto"/>
              </w:rPr>
            </w:pPr>
            <w:r>
              <w:rPr>
                <w:rFonts w:ascii="Arial" w:cs="Arial" w:eastAsia="Arial" w:hAnsi="Arial"/>
                <w:sz w:val="16"/>
                <w:szCs w:val="16"/>
                <w:color w:val="auto"/>
              </w:rPr>
              <w:t>Settlement included in net income</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(120)</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r>
      <w:tr>
        <w:trPr>
          <w:trHeight w:val="223"/>
        </w:trPr>
        <w:tc>
          <w:tcPr>
            <w:tcW w:w="7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517,157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(133,287)</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383,870</w:t>
            </w:r>
          </w:p>
        </w:tc>
      </w:tr>
      <w:tr>
        <w:trPr>
          <w:trHeight w:val="197"/>
        </w:trPr>
        <w:tc>
          <w:tcPr>
            <w:tcW w:w="7640" w:type="dxa"/>
            <w:vAlign w:val="bottom"/>
          </w:tcPr>
          <w:p>
            <w:pPr>
              <w:ind w:left="2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3"/>
        </w:trPr>
        <w:tc>
          <w:tcPr>
            <w:tcW w:w="7640" w:type="dxa"/>
            <w:vAlign w:val="bottom"/>
          </w:tcPr>
          <w:p>
            <w:pPr>
              <w:ind w:left="140"/>
              <w:spacing w:after="0"/>
              <w:rPr>
                <w:sz w:val="20"/>
                <w:szCs w:val="20"/>
                <w:color w:val="auto"/>
              </w:rPr>
            </w:pPr>
            <w:r>
              <w:rPr>
                <w:rFonts w:ascii="Arial" w:cs="Arial" w:eastAsia="Arial" w:hAnsi="Arial"/>
                <w:sz w:val="16"/>
                <w:szCs w:val="16"/>
                <w:color w:val="auto"/>
              </w:rPr>
              <w:t>Gain for the year</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349</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(93)</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256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501,454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(133,380)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368,074</w:t>
            </w:r>
          </w:p>
        </w:tc>
      </w:tr>
      <w:tr>
        <w:trPr>
          <w:trHeight w:val="21"/>
        </w:trPr>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5"/>
          </w:tcPr>
          <w:p>
            <w:pPr>
              <w:spacing w:after="0" w:line="20" w:lineRule="exact"/>
              <w:rPr>
                <w:sz w:val="1"/>
                <w:szCs w:val="1"/>
                <w:color w:val="auto"/>
              </w:rPr>
            </w:pPr>
          </w:p>
        </w:tc>
      </w:tr>
      <w:tr>
        <w:trPr>
          <w:trHeight w:val="473"/>
        </w:trPr>
        <w:tc>
          <w:tcPr>
            <w:tcW w:w="7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81"/>
              <w:spacing w:after="0"/>
              <w:rPr>
                <w:sz w:val="20"/>
                <w:szCs w:val="20"/>
                <w:color w:val="auto"/>
              </w:rPr>
            </w:pPr>
            <w:r>
              <w:rPr>
                <w:rFonts w:ascii="Arial" w:cs="Arial" w:eastAsia="Arial" w:hAnsi="Arial"/>
                <w:sz w:val="14"/>
                <w:szCs w:val="14"/>
                <w:color w:val="auto"/>
              </w:rPr>
              <w:t>Year Ended December 31, 2020</w:t>
            </w:r>
          </w:p>
        </w:tc>
      </w:tr>
      <w:tr>
        <w:trPr>
          <w:trHeight w:val="190"/>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16"/>
                <w:szCs w:val="16"/>
                <w:color w:val="auto"/>
              </w:rPr>
            </w:pPr>
          </w:p>
        </w:tc>
        <w:tc>
          <w:tcPr>
            <w:tcW w:w="960" w:type="dxa"/>
            <w:vAlign w:val="bottom"/>
          </w:tcPr>
          <w:p>
            <w:pPr>
              <w:jc w:val="center"/>
              <w:ind w:right="20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After-Tax</w:t>
            </w:r>
          </w:p>
        </w:tc>
      </w:tr>
      <w:tr>
        <w:trPr>
          <w:trHeight w:val="20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w w:val="94"/>
              </w:rPr>
              <w:t>Tax</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Amount</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31,642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31,642</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Actuarial gain</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365,164</w:t>
            </w:r>
          </w:p>
        </w:tc>
        <w:tc>
          <w:tcPr>
            <w:tcW w:w="2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(98,594)</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266,570</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Prior service cost</w:t>
            </w:r>
          </w:p>
        </w:tc>
        <w:tc>
          <w:tcPr>
            <w:tcW w:w="14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net actuarial loss included in net income</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1,219</w:t>
            </w:r>
          </w:p>
        </w:tc>
        <w:tc>
          <w:tcPr>
            <w:tcW w:w="2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(329)</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890</w:t>
            </w:r>
          </w:p>
        </w:tc>
      </w:tr>
      <w:tr>
        <w:trPr>
          <w:trHeight w:val="243"/>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2,680</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(724)</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1,956</w:t>
            </w:r>
          </w:p>
        </w:tc>
      </w:tr>
      <w:tr>
        <w:trPr>
          <w:trHeight w:val="223"/>
        </w:trPr>
        <w:tc>
          <w:tcPr>
            <w:tcW w:w="7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368,994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(99,628)</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269,366</w:t>
            </w:r>
          </w:p>
        </w:tc>
      </w:tr>
      <w:tr>
        <w:trPr>
          <w:trHeight w:val="197"/>
        </w:trPr>
        <w:tc>
          <w:tcPr>
            <w:tcW w:w="764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3"/>
        </w:trPr>
        <w:tc>
          <w:tcPr>
            <w:tcW w:w="7640" w:type="dxa"/>
            <w:vAlign w:val="bottom"/>
          </w:tcPr>
          <w:p>
            <w:pPr>
              <w:ind w:left="140"/>
              <w:spacing w:after="0"/>
              <w:rPr>
                <w:sz w:val="20"/>
                <w:szCs w:val="20"/>
                <w:color w:val="auto"/>
              </w:rPr>
            </w:pPr>
            <w:r>
              <w:rPr>
                <w:rFonts w:ascii="Arial" w:cs="Arial" w:eastAsia="Arial" w:hAnsi="Arial"/>
                <w:sz w:val="16"/>
                <w:szCs w:val="16"/>
                <w:color w:val="auto"/>
              </w:rPr>
              <w:t>Loss for the year</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293</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399,354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(99,335)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300,019</w:t>
            </w:r>
          </w:p>
        </w:tc>
      </w:tr>
      <w:tr>
        <w:trPr>
          <w:trHeight w:val="21"/>
        </w:trPr>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5"/>
          </w:tcPr>
          <w:p>
            <w:pPr>
              <w:spacing w:after="0" w:line="20" w:lineRule="exact"/>
              <w:rPr>
                <w:sz w:val="1"/>
                <w:szCs w:val="1"/>
                <w:color w:val="auto"/>
              </w:rPr>
            </w:pPr>
          </w:p>
        </w:tc>
      </w:tr>
      <w:tr>
        <w:trPr>
          <w:trHeight w:val="460"/>
        </w:trPr>
        <w:tc>
          <w:tcPr>
            <w:tcW w:w="7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41"/>
              <w:spacing w:after="0"/>
              <w:rPr>
                <w:sz w:val="20"/>
                <w:szCs w:val="20"/>
                <w:color w:val="auto"/>
              </w:rPr>
            </w:pPr>
            <w:r>
              <w:rPr>
                <w:rFonts w:ascii="Arial" w:cs="Arial" w:eastAsia="Arial" w:hAnsi="Arial"/>
                <w:sz w:val="14"/>
                <w:szCs w:val="14"/>
                <w:color w:val="auto"/>
              </w:rPr>
              <w:t>Year Ended December 31, 2019</w:t>
            </w:r>
          </w:p>
        </w:tc>
      </w:tr>
      <w:tr>
        <w:trPr>
          <w:trHeight w:val="190"/>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16"/>
                <w:szCs w:val="16"/>
                <w:color w:val="auto"/>
              </w:rPr>
            </w:pPr>
          </w:p>
        </w:tc>
        <w:tc>
          <w:tcPr>
            <w:tcW w:w="960" w:type="dxa"/>
            <w:vAlign w:val="bottom"/>
          </w:tcPr>
          <w:p>
            <w:pPr>
              <w:jc w:val="center"/>
              <w:ind w:right="16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After-Tax</w:t>
            </w:r>
          </w:p>
        </w:tc>
      </w:tr>
      <w:tr>
        <w:trPr>
          <w:trHeight w:val="203"/>
        </w:trPr>
        <w:tc>
          <w:tcPr>
            <w:tcW w:w="76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7"/>
                <w:szCs w:val="17"/>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7"/>
                <w:szCs w:val="17"/>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7"/>
                <w:szCs w:val="17"/>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Translation adjustments arising during the year</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Actuarial gain</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Prior service cost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Settlement included in net income</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Loss for the year</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5,371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5,371</w:t>
            </w:r>
          </w:p>
        </w:tc>
      </w:tr>
      <w:tr>
        <w:trPr>
          <w:trHeight w:val="243"/>
        </w:trPr>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2,011</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223"/>
        </w:trPr>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7,382</w:t>
            </w:r>
          </w:p>
        </w:tc>
      </w:tr>
      <w:tr>
        <w:trPr>
          <w:trHeight w:val="426"/>
        </w:trPr>
        <w:tc>
          <w:tcPr>
            <w:tcW w:w="30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231,104</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(62,398)</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168,706</w:t>
            </w:r>
          </w:p>
        </w:tc>
      </w:tr>
      <w:tr>
        <w:trPr>
          <w:trHeight w:val="229"/>
        </w:trPr>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(5,725)</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1,546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(4,179)</w:t>
            </w:r>
          </w:p>
        </w:tc>
      </w:tr>
      <w:tr>
        <w:trPr>
          <w:trHeight w:val="230"/>
        </w:trPr>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(2,046)</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552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(1,494)</w:t>
            </w:r>
          </w:p>
        </w:tc>
      </w:tr>
      <w:tr>
        <w:trPr>
          <w:trHeight w:val="230"/>
        </w:trPr>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(4,142)</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1,118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(3,024)</w:t>
            </w:r>
          </w:p>
        </w:tc>
      </w:tr>
      <w:tr>
        <w:trPr>
          <w:trHeight w:val="243"/>
        </w:trPr>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(91,676)</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24,752</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(66,924)</w:t>
            </w:r>
          </w:p>
        </w:tc>
      </w:tr>
      <w:tr>
        <w:trPr>
          <w:trHeight w:val="223"/>
        </w:trPr>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127,515</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93,085</w:t>
            </w:r>
          </w:p>
        </w:tc>
      </w:tr>
      <w:tr>
        <w:trPr>
          <w:trHeight w:val="439"/>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r>
      <w:tr>
        <w:trPr>
          <w:trHeight w:val="223"/>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133,553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99,466</w:t>
            </w:r>
          </w:p>
        </w:tc>
      </w:tr>
      <w:tr>
        <w:trPr>
          <w:trHeight w:val="27"/>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5" w:right="3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2"/>
                <w:szCs w:val="12"/>
                <w:color w:val="auto"/>
              </w:rPr>
            </w:pPr>
          </w:p>
        </w:tc>
        <w:tc>
          <w:tcPr>
            <w:tcW w:w="14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142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rPr>
              <w:t>and Other</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2"/>
                <w:szCs w:val="12"/>
                <w:color w:val="auto"/>
              </w:rPr>
            </w:pPr>
          </w:p>
        </w:tc>
        <w:tc>
          <w:tcPr>
            <w:tcW w:w="13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4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Postretirement</w:t>
            </w: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(21,888)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325,921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303,295</w:t>
            </w: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9"/>
                <w:szCs w:val="19"/>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31,642</w:t>
            </w:r>
          </w:p>
        </w:tc>
        <w:tc>
          <w:tcPr>
            <w:tcW w:w="22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266,520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(1,476)</w:t>
            </w:r>
          </w:p>
        </w:tc>
        <w:tc>
          <w:tcPr>
            <w:tcW w:w="20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296,686</w:t>
            </w:r>
          </w:p>
        </w:tc>
        <w:tc>
          <w:tcPr>
            <w:tcW w:w="0" w:type="dxa"/>
            <w:vAlign w:val="bottom"/>
          </w:tcPr>
          <w:p>
            <w:pPr>
              <w:spacing w:after="0"/>
              <w:rPr>
                <w:sz w:val="1"/>
                <w:szCs w:val="1"/>
                <w:color w:val="auto"/>
              </w:rPr>
            </w:pPr>
          </w:p>
        </w:tc>
      </w:tr>
      <w:tr>
        <w:trPr>
          <w:trHeight w:val="242"/>
        </w:trPr>
        <w:tc>
          <w:tcPr>
            <w:tcW w:w="5800" w:type="dxa"/>
            <w:vAlign w:val="bottom"/>
          </w:tcPr>
          <w:p>
            <w:pPr>
              <w:ind w:left="140"/>
              <w:spacing w:after="0"/>
              <w:rPr>
                <w:sz w:val="20"/>
                <w:szCs w:val="20"/>
                <w:color w:val="auto"/>
              </w:rPr>
            </w:pPr>
            <w:r>
              <w:rPr>
                <w:rFonts w:ascii="Arial" w:cs="Arial" w:eastAsia="Arial" w:hAnsi="Arial"/>
                <w:sz w:val="16"/>
                <w:szCs w:val="16"/>
                <w:color w:val="auto"/>
              </w:rPr>
              <w:t>Net amount reclassified from accumulated other comprehensive income</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2,846</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487</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3,333</w:t>
            </w:r>
          </w:p>
        </w:tc>
        <w:tc>
          <w:tcPr>
            <w:tcW w:w="0" w:type="dxa"/>
            <w:vAlign w:val="bottom"/>
          </w:tcPr>
          <w:p>
            <w:pPr>
              <w:spacing w:after="0"/>
              <w:rPr>
                <w:sz w:val="1"/>
                <w:szCs w:val="1"/>
                <w:color w:val="auto"/>
              </w:rPr>
            </w:pPr>
          </w:p>
        </w:tc>
      </w:tr>
      <w:tr>
        <w:trPr>
          <w:trHeight w:val="223"/>
        </w:trPr>
        <w:tc>
          <w:tcPr>
            <w:tcW w:w="5800" w:type="dxa"/>
            <w:vAlign w:val="bottom"/>
          </w:tcPr>
          <w:p>
            <w:pPr>
              <w:ind w:left="140"/>
              <w:spacing w:after="0"/>
              <w:rPr>
                <w:sz w:val="20"/>
                <w:szCs w:val="20"/>
                <w:color w:val="auto"/>
              </w:rPr>
            </w:pPr>
            <w:r>
              <w:rPr>
                <w:rFonts w:ascii="Arial" w:cs="Arial" w:eastAsia="Arial" w:hAnsi="Arial"/>
                <w:sz w:val="16"/>
                <w:szCs w:val="16"/>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31,642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269,366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300,019</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16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9,754</w:t>
            </w:r>
          </w:p>
        </w:tc>
        <w:tc>
          <w:tcPr>
            <w:tcW w:w="220" w:type="dxa"/>
            <w:vAlign w:val="bottom"/>
          </w:tcPr>
          <w:p>
            <w:pPr>
              <w:spacing w:after="0"/>
              <w:rPr>
                <w:sz w:val="18"/>
                <w:szCs w:val="18"/>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595,287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(1,727)</w:t>
            </w: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603,314</w:t>
            </w: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(16,052)</w:t>
            </w:r>
          </w:p>
        </w:tc>
        <w:tc>
          <w:tcPr>
            <w:tcW w:w="22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b w:val="1"/>
                <w:bCs w:val="1"/>
                <w:color w:val="auto"/>
              </w:rPr>
              <w:t>385,679</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20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369,252</w:t>
            </w:r>
          </w:p>
        </w:tc>
        <w:tc>
          <w:tcPr>
            <w:tcW w:w="0" w:type="dxa"/>
            <w:vAlign w:val="bottom"/>
          </w:tcPr>
          <w:p>
            <w:pPr>
              <w:spacing w:after="0"/>
              <w:rPr>
                <w:sz w:val="1"/>
                <w:szCs w:val="1"/>
                <w:color w:val="auto"/>
              </w:rPr>
            </w:pPr>
          </w:p>
        </w:tc>
      </w:tr>
      <w:tr>
        <w:trPr>
          <w:trHeight w:val="242"/>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(1,809)</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631</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(1,178)</w:t>
            </w:r>
          </w:p>
        </w:tc>
        <w:tc>
          <w:tcPr>
            <w:tcW w:w="0" w:type="dxa"/>
            <w:vAlign w:val="bottom"/>
          </w:tcPr>
          <w:p>
            <w:pPr>
              <w:spacing w:after="0"/>
              <w:rPr>
                <w:sz w:val="1"/>
                <w:szCs w:val="1"/>
                <w:color w:val="auto"/>
              </w:rPr>
            </w:pPr>
          </w:p>
        </w:tc>
      </w:tr>
      <w:tr>
        <w:trPr>
          <w:trHeight w:val="223"/>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(16,052)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383,870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256</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368,074</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(6,298)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979,157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971,388</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14"/>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140"/>
              <w:spacing w:after="0"/>
              <w:rPr>
                <w:sz w:val="20"/>
                <w:szCs w:val="20"/>
                <w:color w:val="auto"/>
              </w:rPr>
            </w:pPr>
            <w:r>
              <w:rPr>
                <w:rFonts w:ascii="Arial" w:cs="Arial" w:eastAsia="Arial" w:hAnsi="Arial"/>
                <w:sz w:val="16"/>
                <w:szCs w:val="16"/>
                <w:color w:val="auto"/>
              </w:rPr>
              <w:t>Adjustment for sales of businesses with foreign operations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9"/>
                <w:szCs w:val="19"/>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(5,486)</w:t>
            </w:r>
          </w:p>
        </w:tc>
        <w:tc>
          <w:tcPr>
            <w:tcW w:w="26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1,219</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(2,046)</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(credit)</w:t>
            </w:r>
          </w:p>
        </w:tc>
        <w:tc>
          <w:tcPr>
            <w:tcW w:w="22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3,170</w:t>
            </w:r>
          </w:p>
        </w:tc>
        <w:tc>
          <w:tcPr>
            <w:tcW w:w="26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2,680</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(4,142)</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6"/>
                <w:szCs w:val="16"/>
                <w:color w:val="auto"/>
              </w:rPr>
              <w:t>Settlement gains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(91,676)</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(2,436)</w:t>
            </w:r>
          </w:p>
        </w:tc>
        <w:tc>
          <w:tcPr>
            <w:tcW w:w="26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3,899</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(97,864)</w:t>
            </w:r>
          </w:p>
        </w:tc>
        <w:tc>
          <w:tcPr>
            <w:tcW w:w="10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627</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26,422</w:t>
            </w:r>
          </w:p>
        </w:tc>
        <w:tc>
          <w:tcPr>
            <w:tcW w:w="10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2,846</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(71,442)</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96"/>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Pr>
          <w:p>
            <w:pPr>
              <w:spacing w:after="0"/>
              <w:rPr>
                <w:sz w:val="17"/>
                <w:szCs w:val="17"/>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631</w:t>
            </w:r>
          </w:p>
        </w:tc>
        <w:tc>
          <w:tcPr>
            <w:tcW w:w="260" w:type="dxa"/>
            <w:vAlign w:val="bottom"/>
          </w:tcPr>
          <w:p>
            <w:pPr>
              <w:spacing w:after="0"/>
              <w:rPr>
                <w:sz w:val="17"/>
                <w:szCs w:val="17"/>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color w:val="auto"/>
              </w:rPr>
              <w:t>474</w:t>
            </w:r>
          </w:p>
        </w:tc>
        <w:tc>
          <w:tcPr>
            <w:tcW w:w="3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631</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487</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3,333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(69,526)</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p>
      <w:pPr>
        <w:spacing w:after="0" w:line="38" w:lineRule="exact"/>
        <w:rPr>
          <w:sz w:val="20"/>
          <w:szCs w:val="20"/>
          <w:color w:val="auto"/>
        </w:rPr>
      </w:pPr>
    </w:p>
    <w:p>
      <w:pPr>
        <w:ind w:left="260" w:right="40" w:hanging="252"/>
        <w:spacing w:after="0" w:line="219" w:lineRule="auto"/>
        <w:tabs>
          <w:tab w:leader="none" w:pos="309"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11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OTHER COMMITMENTS</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139"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In 2015, Kaplan sold substantially all of the assets of the KHEC business to Education Corporation of America. In 2018, certain subsidiaries of Kaplan contributed the institutional assets and operations of KU to a new university: an Indiana nonprofit, public-benefit corporation affiliated with Purdue University, known as Purdue University Global. Kaplan could be held liable to the current owners of KU and the KHEC schools related to the pre-sale conduct of the schools, and the pre-sale conduct of the schools has been and could be the subject of future compliance reviews, regulatory proceedings or lawsuits that could result in monetary liabilities or fines or other sanctions. On May 6, 2021, Kaplan received a notice from the Department of Education (ED) that it would be conducting a fact-finding</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14" w:name="page115"/>
    <w:bookmarkEnd w:id="114"/>
    <w:p>
      <w:pPr>
        <w:jc w:val="both"/>
        <w:ind w:right="180"/>
        <w:spacing w:after="0" w:line="232" w:lineRule="auto"/>
        <w:rPr>
          <w:sz w:val="20"/>
          <w:szCs w:val="20"/>
          <w:color w:val="auto"/>
        </w:rPr>
      </w:pPr>
      <w:r>
        <w:rPr>
          <w:rFonts w:ascii="Arial" w:cs="Arial" w:eastAsia="Arial" w:hAnsi="Arial"/>
          <w:sz w:val="17"/>
          <w:szCs w:val="17"/>
          <w:color w:val="auto"/>
        </w:rPr>
        <w:t>process pursuant to the borrower defense to repayment (BDTR) regulations to determine the validity of more than 800 BDTR claims and a request for documents related to several of Kaplan’s previously owned schools. Beginning in July 2021, Kaplan started receiving the claims and related information requests. In total, Kaplan received 1,449 borrower defense applications that seek discharge of approximately</w:t>
      </w:r>
    </w:p>
    <w:p>
      <w:pPr>
        <w:ind w:right="120"/>
        <w:spacing w:after="0" w:line="222" w:lineRule="auto"/>
        <w:rPr>
          <w:sz w:val="20"/>
          <w:szCs w:val="20"/>
          <w:color w:val="auto"/>
        </w:rPr>
      </w:pPr>
      <w:r>
        <w:rPr>
          <w:rFonts w:ascii="Arial" w:cs="Arial" w:eastAsia="Arial" w:hAnsi="Arial"/>
          <w:sz w:val="18"/>
          <w:szCs w:val="18"/>
          <w:color w:val="auto"/>
        </w:rPr>
        <w:t>$35 million in loans. Most claims received are from former KU students. The ED’s process for adjudicating these claims is subject to the borrower defense regulations but it is not clear to what extent the ED will exclude claims based on the underlying statutes of limitations, evidence provided by Kaplan, or any prior investigation related to schools attended by the student applicants. Kaplan believes it has defenses that would bar any student discharge or school liability including that the claims are barred by the applicable statute of limitations, unproven, incomplete and fail to meet regulatory filing requirements. Kaplan expects to vigorously defend any attempt by the ED to hold Kaplan liable for any ultimate student discharges and is responding to all claims with documentary and narrative evidence to refute the allegations, demonstrate their lack of merit, and support the denial of all such claims by the ED. If the claims are successful, the ED may seek reimbursement for the amount discharged from Kaplan. If the ED initiates a reimbursement action against Kaplan following approval of former students’ BDTR applications, Kaplan may be subject to significant liability.</w:t>
      </w:r>
    </w:p>
    <w:p>
      <w:pPr>
        <w:spacing w:after="0" w:line="14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three marketing diploma programs on both a full and part-time basis due to noncompliance with minimum entry level requirements for admission and to teach out existing students in these programs. On August 23, 2021, the CPE issued the same instructions with respect to the Kaplan Foundation diploma and four information technology diploma programs on both a full and part-time basis. In November 2021, the CPE issued the same instructions with respect to a further 23 full-time or part-time diploma programs. Post regulatory action, Kaplan Singapore is currently still able to offer 449 programs that are registered with the CPE, out of which there are 16 diplomas, 361 bachelors and the balance of which are certificate and postgraduate courses. Kaplan Singapore will apply for re-registration of diploma programs in 2022. The impact from regulatory actions by the CPE will have a significant adverse impact on Kaplan Singapore’s revenues, operating results and cash flows in the future. No assurance can be given that applications for re-registration of the impacted programs will be successful. An inability to re-register one or more impacted programs could have a further material adverse effect on Kaplan Singapore’s revenues, operating results and cash flows.</w:t>
      </w:r>
    </w:p>
    <w:p>
      <w:pPr>
        <w:spacing w:after="0" w:line="11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The Company’s broadcast subsidiaries are parties to certain agreements that commit them to purchase programming</w:t>
      </w:r>
      <w:r>
        <w:rPr>
          <w:rFonts w:ascii="Arial" w:cs="Arial" w:eastAsia="Arial" w:hAnsi="Arial"/>
          <w:sz w:val="18"/>
          <w:szCs w:val="18"/>
          <w:b w:val="1"/>
          <w:bCs w:val="1"/>
          <w:color w:val="auto"/>
        </w:rPr>
        <w:t xml:space="preserve"> </w:t>
      </w:r>
      <w:r>
        <w:rPr>
          <w:rFonts w:ascii="Arial" w:cs="Arial" w:eastAsia="Arial" w:hAnsi="Arial"/>
          <w:sz w:val="18"/>
          <w:szCs w:val="18"/>
          <w:color w:val="auto"/>
        </w:rPr>
        <w:t>to be produced in future years. At December 31, 2021, such commitments amounted to approximately $14.2 million. If such programs are not produced, the Company’s commitment would expire without obligation.</w:t>
      </w:r>
    </w:p>
    <w:p>
      <w:pPr>
        <w:spacing w:after="0" w:line="113"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w:t>
      </w:r>
      <w:r>
        <w:rPr>
          <w:rFonts w:ascii="Arial" w:cs="Arial" w:eastAsia="Arial" w:hAnsi="Arial"/>
          <w:sz w:val="18"/>
          <w:szCs w:val="18"/>
          <w:b w:val="1"/>
          <w:bCs w:val="1"/>
          <w:color w:val="auto"/>
        </w:rPr>
        <w:t xml:space="preserve"> </w:t>
      </w:r>
      <w:r>
        <w:rPr>
          <w:rFonts w:ascii="Arial" w:cs="Arial" w:eastAsia="Arial" w:hAnsi="Arial"/>
          <w:sz w:val="18"/>
          <w:szCs w:val="18"/>
          <w:color w:val="auto"/>
        </w:rPr>
        <w:t>and 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w:t>
      </w:r>
    </w:p>
    <w:p>
      <w:pPr>
        <w:spacing w:after="0" w:line="13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To meet the quantitative threshold related to revenue required for separate disclosure, the Company changed the presentation of its segments in the third quarter of 2021 into the following seven reportable segments: Kaplan International, Kaplan Higher Education, Kaplan Supplemental Education, Television Broadcasting, Manufacturing, Healthcare and Automotive. Segment operating results have been restated to reflect this change.</w:t>
      </w:r>
    </w:p>
    <w:p>
      <w:pPr>
        <w:spacing w:after="0" w:line="135"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operating income before amortization by segment, the effects of amortization of intangible assets, impairment of goodwill and other long-lived assets, equity in earnings (losses) of affiliates, interest income, interest expense, non-operating pension and postretirement benefit income, other non-operating income and expense items and income taxes are excluded. Intersegment sales are not material.</w:t>
      </w:r>
    </w:p>
    <w:p>
      <w:pPr>
        <w:spacing w:after="0" w:line="137" w:lineRule="exact"/>
        <w:rPr>
          <w:sz w:val="20"/>
          <w:szCs w:val="20"/>
          <w:color w:val="auto"/>
        </w:rPr>
      </w:pPr>
    </w:p>
    <w:p>
      <w:pPr>
        <w:ind w:right="600"/>
        <w:spacing w:after="0" w:line="229"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investments in marketable equity securities and affiliates, and prepaid pension cost are not included in identifiable assets by segment. Investments in marketable equity securities are discussed in Note 4.</w:t>
      </w:r>
    </w:p>
    <w:p>
      <w:pPr>
        <w:spacing w:after="0" w:line="115"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Kaplan International includes professional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businesses largely outside the U.S., as well as English-language programs. KHE includes the results as a service provider to higher education institutions. Supplemental Education includes Kaplan’s standardized test preparation, domestic professional and other continuing education businesses.</w:t>
      </w:r>
    </w:p>
    <w:p>
      <w:pPr>
        <w:spacing w:after="0" w:line="136"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As of December 31, 2021, Kaplan had a total outstanding accounts receivable balance of $97.4 million from Purdue Global related to amounts due for reimbursements for services, fees earned and a deferred fee. Included in this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5" w:name="page116"/>
    <w:bookmarkEnd w:id="115"/>
    <w:p>
      <w:pPr>
        <w:ind w:right="420"/>
        <w:spacing w:after="0" w:line="235" w:lineRule="auto"/>
        <w:rPr>
          <w:sz w:val="20"/>
          <w:szCs w:val="20"/>
          <w:color w:val="auto"/>
        </w:rPr>
      </w:pPr>
      <w:r>
        <w:rPr>
          <w:rFonts w:ascii="Arial" w:cs="Arial" w:eastAsia="Arial" w:hAnsi="Arial"/>
          <w:sz w:val="18"/>
          <w:szCs w:val="18"/>
          <w:color w:val="auto"/>
        </w:rPr>
        <w:t>total, Kaplan has a $19.2 million long-term receivable balance due from Purdue Global at December 31, 2021, related to the advance of $20.0 million during the initial KU Transaction.</w:t>
      </w:r>
    </w:p>
    <w:p>
      <w:pPr>
        <w:spacing w:after="0" w:line="11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seven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114"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Manufacturing operations include Hoover, a Thomson, GA-based supplier of pressure impregnated kiln-dried lumber and</w:t>
      </w:r>
      <w:r>
        <w:rPr>
          <w:rFonts w:ascii="Arial" w:cs="Arial" w:eastAsia="Arial" w:hAnsi="Arial"/>
          <w:sz w:val="18"/>
          <w:szCs w:val="18"/>
          <w:b w:val="1"/>
          <w:bCs w:val="1"/>
          <w:color w:val="auto"/>
        </w:rPr>
        <w:t xml:space="preserve"> </w:t>
      </w:r>
      <w:r>
        <w:rPr>
          <w:rFonts w:ascii="Arial" w:cs="Arial" w:eastAsia="Arial" w:hAnsi="Arial"/>
          <w:sz w:val="18"/>
          <w:szCs w:val="18"/>
          <w:color w:val="auto"/>
        </w:rPr>
        <w:t>plywood products for fire retardant and preservative application; Dekko, a Garrett, IN-based manufacturer of electrical workspace solutions, architectural lighting, and electrical components and assemblies;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provides home health, hospice and palliative services. GHG also provides other healthcare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nursing care and prescription services for patients receiving in-home infusion treatments.</w:t>
      </w:r>
    </w:p>
    <w:p>
      <w:pPr>
        <w:spacing w:after="0" w:line="98"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Automotive includes four automotive dealerships in the Washington, D.C. metropolitan area, including Lexus of Rockville,</w:t>
      </w:r>
      <w:r>
        <w:rPr>
          <w:rFonts w:ascii="Arial" w:cs="Arial" w:eastAsia="Arial" w:hAnsi="Arial"/>
          <w:sz w:val="18"/>
          <w:szCs w:val="18"/>
          <w:b w:val="1"/>
          <w:bCs w:val="1"/>
          <w:color w:val="auto"/>
        </w:rPr>
        <w:t xml:space="preserve"> </w:t>
      </w:r>
      <w:r>
        <w:rPr>
          <w:rFonts w:ascii="Arial" w:cs="Arial" w:eastAsia="Arial" w:hAnsi="Arial"/>
          <w:sz w:val="18"/>
          <w:szCs w:val="18"/>
          <w:color w:val="auto"/>
        </w:rPr>
        <w:t>Honda of Tysons Corner, Jeep of Bethesda and Ford of Manassas, which was acquired in December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2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Leaf Group, a consumer internet company, which was acquired in June 2021.</w:t>
      </w:r>
    </w:p>
    <w:p>
      <w:pPr>
        <w:spacing w:after="0" w:line="117" w:lineRule="exact"/>
        <w:rPr>
          <w:rFonts w:ascii="Arial" w:cs="Arial" w:eastAsia="Arial" w:hAnsi="Arial"/>
          <w:sz w:val="18"/>
          <w:szCs w:val="18"/>
          <w:color w:val="auto"/>
        </w:rPr>
      </w:pPr>
    </w:p>
    <w:p>
      <w:pPr>
        <w:ind w:left="660" w:right="280" w:hanging="328"/>
        <w:spacing w:after="0" w:line="235"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Clyde’s Restaurant Group owns and operates eleven restaurants and entertainment venues in the Washington, D.C. metropolitan area.</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Code3 is a marketing and insights company that manages digital advertising campaigns.</w:t>
      </w:r>
    </w:p>
    <w:p>
      <w:pPr>
        <w:spacing w:after="0" w:line="103" w:lineRule="exact"/>
        <w:rPr>
          <w:rFonts w:ascii="Arial" w:cs="Arial" w:eastAsia="Arial" w:hAnsi="Arial"/>
          <w:sz w:val="18"/>
          <w:szCs w:val="18"/>
          <w:b w:val="1"/>
          <w:bCs w:val="1"/>
          <w:color w:val="auto"/>
        </w:rPr>
      </w:pPr>
    </w:p>
    <w:p>
      <w:pPr>
        <w:ind w:left="660" w:hanging="328"/>
        <w:spacing w:after="0"/>
        <w:tabs>
          <w:tab w:leader="none" w:pos="660" w:val="left"/>
        </w:tabs>
        <w:numPr>
          <w:ilvl w:val="0"/>
          <w:numId w:val="81"/>
        </w:numPr>
        <w:rPr>
          <w:rFonts w:ascii="Arial" w:cs="Arial" w:eastAsia="Arial" w:hAnsi="Arial"/>
          <w:sz w:val="18"/>
          <w:szCs w:val="18"/>
          <w:i w:val="1"/>
          <w:iCs w:val="1"/>
          <w:color w:val="auto"/>
        </w:rPr>
      </w:pPr>
      <w:r>
        <w:rPr>
          <w:rFonts w:ascii="Arial" w:cs="Arial" w:eastAsia="Arial" w:hAnsi="Arial"/>
          <w:sz w:val="18"/>
          <w:szCs w:val="18"/>
          <w:color w:val="auto"/>
        </w:rPr>
        <w:t>Framebridge, a custom framing service company, which was acquired in May 2020.</w:t>
      </w:r>
    </w:p>
    <w:p>
      <w:pPr>
        <w:spacing w:after="0" w:line="117" w:lineRule="exact"/>
        <w:rPr>
          <w:rFonts w:ascii="Arial" w:cs="Arial" w:eastAsia="Arial" w:hAnsi="Arial"/>
          <w:sz w:val="18"/>
          <w:szCs w:val="18"/>
          <w:i w:val="1"/>
          <w:iCs w:val="1"/>
          <w:color w:val="auto"/>
        </w:rPr>
      </w:pPr>
    </w:p>
    <w:p>
      <w:pPr>
        <w:ind w:left="660" w:right="420" w:hanging="328"/>
        <w:spacing w:after="0" w:line="229"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Slate Group and Foreign Policy Group, which publish online and print magazines and websites; and four investment stage businesses, CyberVista, Decile, Pinna and City Cast. Other businesses also includes Megaphone, which was sold in December 2020.</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defined benefit pension expense,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obligations related to prior business dispositions.</w:t>
      </w:r>
    </w:p>
    <w:p>
      <w:pPr>
        <w:spacing w:after="0" w:line="98" w:lineRule="exact"/>
        <w:rPr>
          <w:sz w:val="20"/>
          <w:szCs w:val="20"/>
          <w:color w:val="auto"/>
        </w:rPr>
      </w:pPr>
    </w:p>
    <w:p>
      <w:pPr>
        <w:ind w:right="300"/>
        <w:spacing w:after="0" w:line="230"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2021, 2020 and 2019 totaled approximately $ 709 million, $642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$691 million, respectively, primarily from Kaplan’s operations outside the U.S. Additionally, revenues in 2021, 2020 and 2019 totaled approximately $404 million, $375 million, and $384 million, respectively, from Kaplan’s operations in the U.K. The Company’s long-lived assets in non-U.S. countries (excluding goodwill and other intangible assets), totaled approximately $476 million and $442 million at December 31, 2021 and 2020, respectively.</w:t>
      </w:r>
    </w:p>
    <w:p>
      <w:pPr>
        <w:spacing w:after="0" w:line="115"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Restructuring. </w:t>
      </w:r>
      <w:r>
        <w:rPr>
          <w:rFonts w:ascii="Arial" w:cs="Arial" w:eastAsia="Arial" w:hAnsi="Arial"/>
          <w:sz w:val="18"/>
          <w:szCs w:val="18"/>
          <w:color w:val="auto"/>
        </w:rPr>
        <w:t>During 2020, Kaplan developed and implemented a number of initiatives across its businesses to help mitigate the negative</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impact arising from COVID-19 and to re-align its program offerings to better pursue opportunities from the disruption. These initiatives include employee salary and work-hour reductions; temporary furlough and other employee reductions; reduced discretionary spending; facility restructuring to reduce its classroom and office facilities; reduced capital expenditures; and accelerated development and promotion of various online programs and solutions.</w:t>
      </w:r>
    </w:p>
    <w:p>
      <w:pPr>
        <w:spacing w:after="0" w:line="137"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In 2020, Kaplan recorded restructuring costs related to severance, the exit of classroom and office facilities, and approved Separation Incentive Programs that reduced the number of employees at all of Kaplan’s divisions.</w:t>
      </w:r>
    </w:p>
    <w:p>
      <w:pPr>
        <w:spacing w:after="0" w:line="135"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In 2020, Code3 and Decile recorded restructuring costs in connection with a restructuring plan that included the exit of an office facility, an approved Separation Incentive Program to reduce the number of employees, and other cost reduction initiatives to mitigate the adverse impact of COVID-19 on advertising demand.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Restructuring related costs across all businesses in 2020 were recorded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320" w:type="dxa"/>
            <w:vAlign w:val="bottom"/>
          </w:tcPr>
          <w:p>
            <w:pPr>
              <w:spacing w:after="0"/>
              <w:rPr>
                <w:sz w:val="14"/>
                <w:szCs w:val="14"/>
                <w:color w:val="auto"/>
              </w:rPr>
            </w:pPr>
          </w:p>
        </w:tc>
        <w:tc>
          <w:tcPr>
            <w:tcW w:w="960" w:type="dxa"/>
            <w:vAlign w:val="bottom"/>
          </w:tcPr>
          <w:p>
            <w:pPr>
              <w:jc w:val="center"/>
              <w:ind w:right="25"/>
              <w:spacing w:after="0"/>
              <w:rPr>
                <w:sz w:val="20"/>
                <w:szCs w:val="20"/>
                <w:color w:val="auto"/>
              </w:rPr>
            </w:pPr>
            <w:r>
              <w:rPr>
                <w:rFonts w:ascii="Arial" w:cs="Arial" w:eastAsia="Arial" w:hAnsi="Arial"/>
                <w:sz w:val="14"/>
                <w:szCs w:val="14"/>
                <w:color w:val="auto"/>
              </w:rPr>
              <w:t>Kaplan</w:t>
            </w:r>
          </w:p>
        </w:tc>
        <w:tc>
          <w:tcPr>
            <w:tcW w:w="180" w:type="dxa"/>
            <w:vAlign w:val="bottom"/>
          </w:tcPr>
          <w:p>
            <w:pPr>
              <w:spacing w:after="0"/>
              <w:rPr>
                <w:sz w:val="14"/>
                <w:szCs w:val="14"/>
                <w:color w:val="auto"/>
              </w:rPr>
            </w:pPr>
          </w:p>
        </w:tc>
        <w:tc>
          <w:tcPr>
            <w:tcW w:w="980" w:type="dxa"/>
            <w:vAlign w:val="bottom"/>
          </w:tcPr>
          <w:p>
            <w:pPr>
              <w:jc w:val="center"/>
              <w:ind w:right="205"/>
              <w:spacing w:after="0"/>
              <w:rPr>
                <w:sz w:val="20"/>
                <w:szCs w:val="20"/>
                <w:color w:val="auto"/>
              </w:rPr>
            </w:pPr>
            <w:r>
              <w:rPr>
                <w:rFonts w:ascii="Arial" w:cs="Arial" w:eastAsia="Arial" w:hAnsi="Arial"/>
                <w:sz w:val="14"/>
                <w:szCs w:val="14"/>
                <w:color w:val="auto"/>
              </w:rPr>
              <w:t>Higher</w:t>
            </w:r>
          </w:p>
        </w:tc>
        <w:tc>
          <w:tcPr>
            <w:tcW w:w="1060" w:type="dxa"/>
            <w:vAlign w:val="bottom"/>
          </w:tcPr>
          <w:p>
            <w:pPr>
              <w:jc w:val="center"/>
              <w:ind w:right="25"/>
              <w:spacing w:after="0"/>
              <w:rPr>
                <w:sz w:val="20"/>
                <w:szCs w:val="20"/>
                <w:color w:val="auto"/>
              </w:rPr>
            </w:pPr>
            <w:r>
              <w:rPr>
                <w:rFonts w:ascii="Arial" w:cs="Arial" w:eastAsia="Arial" w:hAnsi="Arial"/>
                <w:sz w:val="14"/>
                <w:szCs w:val="14"/>
                <w:color w:val="auto"/>
              </w:rPr>
              <w:t>Supplemental</w:t>
            </w:r>
          </w:p>
        </w:tc>
        <w:tc>
          <w:tcPr>
            <w:tcW w:w="160" w:type="dxa"/>
            <w:vAlign w:val="bottom"/>
          </w:tcPr>
          <w:p>
            <w:pPr>
              <w:spacing w:after="0"/>
              <w:rPr>
                <w:sz w:val="14"/>
                <w:szCs w:val="14"/>
                <w:color w:val="auto"/>
              </w:rPr>
            </w:pPr>
          </w:p>
        </w:tc>
        <w:tc>
          <w:tcPr>
            <w:tcW w:w="940" w:type="dxa"/>
            <w:vAlign w:val="bottom"/>
          </w:tcPr>
          <w:p>
            <w:pPr>
              <w:jc w:val="center"/>
              <w:ind w:right="185"/>
              <w:spacing w:after="0"/>
              <w:rPr>
                <w:sz w:val="20"/>
                <w:szCs w:val="20"/>
                <w:color w:val="auto"/>
              </w:rPr>
            </w:pPr>
            <w:r>
              <w:rPr>
                <w:rFonts w:ascii="Arial" w:cs="Arial" w:eastAsia="Arial" w:hAnsi="Arial"/>
                <w:sz w:val="14"/>
                <w:szCs w:val="14"/>
                <w:color w:val="auto"/>
              </w:rPr>
              <w:t>Kaplan</w:t>
            </w:r>
          </w:p>
        </w:tc>
        <w:tc>
          <w:tcPr>
            <w:tcW w:w="840" w:type="dxa"/>
            <w:vAlign w:val="bottom"/>
          </w:tcPr>
          <w:p>
            <w:pPr>
              <w:jc w:val="center"/>
              <w:ind w:right="2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180" w:type="dxa"/>
            <w:vAlign w:val="bottom"/>
          </w:tcPr>
          <w:p>
            <w:pPr>
              <w:jc w:val="center"/>
              <w:ind w:right="245"/>
              <w:spacing w:after="0"/>
              <w:rPr>
                <w:sz w:val="20"/>
                <w:szCs w:val="20"/>
                <w:color w:val="auto"/>
              </w:rPr>
            </w:pPr>
            <w:r>
              <w:rPr>
                <w:rFonts w:ascii="Arial" w:cs="Arial" w:eastAsia="Arial" w:hAnsi="Arial"/>
                <w:sz w:val="14"/>
                <w:szCs w:val="14"/>
                <w:b w:val="1"/>
                <w:bCs w:val="1"/>
                <w:color w:val="auto"/>
              </w:rPr>
              <w:t>Other</w:t>
            </w:r>
          </w:p>
        </w:tc>
        <w:tc>
          <w:tcPr>
            <w:tcW w:w="7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7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vMerge w:val="restart"/>
          </w:tcPr>
          <w:p>
            <w:pPr>
              <w:jc w:val="center"/>
              <w:ind w:right="25"/>
              <w:spacing w:after="0"/>
              <w:rPr>
                <w:sz w:val="20"/>
                <w:szCs w:val="20"/>
                <w:color w:val="auto"/>
              </w:rPr>
            </w:pPr>
            <w:r>
              <w:rPr>
                <w:rFonts w:ascii="Arial" w:cs="Arial" w:eastAsia="Arial" w:hAnsi="Arial"/>
                <w:sz w:val="14"/>
                <w:szCs w:val="14"/>
                <w:color w:val="auto"/>
              </w:rPr>
              <w:t>International</w:t>
            </w:r>
          </w:p>
        </w:tc>
        <w:tc>
          <w:tcPr>
            <w:tcW w:w="180" w:type="dxa"/>
            <w:vAlign w:val="bottom"/>
          </w:tcPr>
          <w:p>
            <w:pPr>
              <w:spacing w:after="0"/>
              <w:rPr>
                <w:sz w:val="9"/>
                <w:szCs w:val="9"/>
                <w:color w:val="auto"/>
              </w:rPr>
            </w:pPr>
          </w:p>
        </w:tc>
        <w:tc>
          <w:tcPr>
            <w:tcW w:w="980" w:type="dxa"/>
            <w:vAlign w:val="bottom"/>
            <w:vMerge w:val="restart"/>
          </w:tcPr>
          <w:p>
            <w:pPr>
              <w:jc w:val="center"/>
              <w:ind w:right="205"/>
              <w:spacing w:after="0"/>
              <w:rPr>
                <w:sz w:val="20"/>
                <w:szCs w:val="20"/>
                <w:color w:val="auto"/>
              </w:rPr>
            </w:pPr>
            <w:r>
              <w:rPr>
                <w:rFonts w:ascii="Arial" w:cs="Arial" w:eastAsia="Arial" w:hAnsi="Arial"/>
                <w:sz w:val="14"/>
                <w:szCs w:val="14"/>
                <w:color w:val="auto"/>
                <w:w w:val="99"/>
              </w:rPr>
              <w:t>Education</w:t>
            </w:r>
          </w:p>
        </w:tc>
        <w:tc>
          <w:tcPr>
            <w:tcW w:w="1060" w:type="dxa"/>
            <w:vAlign w:val="bottom"/>
            <w:vMerge w:val="restart"/>
          </w:tcPr>
          <w:p>
            <w:pPr>
              <w:jc w:val="center"/>
              <w:ind w:right="25"/>
              <w:spacing w:after="0"/>
              <w:rPr>
                <w:sz w:val="20"/>
                <w:szCs w:val="20"/>
                <w:color w:val="auto"/>
              </w:rPr>
            </w:pPr>
            <w:r>
              <w:rPr>
                <w:rFonts w:ascii="Arial" w:cs="Arial" w:eastAsia="Arial" w:hAnsi="Arial"/>
                <w:sz w:val="14"/>
                <w:szCs w:val="14"/>
                <w:color w:val="auto"/>
              </w:rPr>
              <w:t>Education</w:t>
            </w:r>
          </w:p>
        </w:tc>
        <w:tc>
          <w:tcPr>
            <w:tcW w:w="160" w:type="dxa"/>
            <w:vAlign w:val="bottom"/>
          </w:tcPr>
          <w:p>
            <w:pPr>
              <w:spacing w:after="0"/>
              <w:rPr>
                <w:sz w:val="9"/>
                <w:szCs w:val="9"/>
                <w:color w:val="auto"/>
              </w:rPr>
            </w:pPr>
          </w:p>
        </w:tc>
        <w:tc>
          <w:tcPr>
            <w:tcW w:w="940" w:type="dxa"/>
            <w:vAlign w:val="bottom"/>
            <w:vMerge w:val="restart"/>
          </w:tcPr>
          <w:p>
            <w:pPr>
              <w:jc w:val="center"/>
              <w:ind w:right="185"/>
              <w:spacing w:after="0"/>
              <w:rPr>
                <w:sz w:val="20"/>
                <w:szCs w:val="20"/>
                <w:color w:val="auto"/>
              </w:rPr>
            </w:pPr>
            <w:r>
              <w:rPr>
                <w:rFonts w:ascii="Arial" w:cs="Arial" w:eastAsia="Arial" w:hAnsi="Arial"/>
                <w:sz w:val="14"/>
                <w:szCs w:val="14"/>
                <w:color w:val="auto"/>
              </w:rPr>
              <w:t>Corporate</w:t>
            </w:r>
          </w:p>
        </w:tc>
        <w:tc>
          <w:tcPr>
            <w:tcW w:w="84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rPr>
              <w:t>Education</w:t>
            </w:r>
          </w:p>
        </w:tc>
        <w:tc>
          <w:tcPr>
            <w:tcW w:w="160" w:type="dxa"/>
            <w:vAlign w:val="bottom"/>
          </w:tcPr>
          <w:p>
            <w:pPr>
              <w:spacing w:after="0"/>
              <w:rPr>
                <w:sz w:val="9"/>
                <w:szCs w:val="9"/>
                <w:color w:val="auto"/>
              </w:rPr>
            </w:pPr>
          </w:p>
        </w:tc>
        <w:tc>
          <w:tcPr>
            <w:tcW w:w="1180" w:type="dxa"/>
            <w:vAlign w:val="bottom"/>
            <w:vMerge w:val="restart"/>
          </w:tcPr>
          <w:p>
            <w:pPr>
              <w:jc w:val="center"/>
              <w:ind w:right="265"/>
              <w:spacing w:after="0"/>
              <w:rPr>
                <w:sz w:val="20"/>
                <w:szCs w:val="20"/>
                <w:color w:val="auto"/>
              </w:rPr>
            </w:pPr>
            <w:r>
              <w:rPr>
                <w:rFonts w:ascii="Arial" w:cs="Arial" w:eastAsia="Arial" w:hAnsi="Arial"/>
                <w:sz w:val="14"/>
                <w:szCs w:val="14"/>
                <w:b w:val="1"/>
                <w:bCs w:val="1"/>
                <w:color w:val="auto"/>
              </w:rPr>
              <w:t>Businesses</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76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760" w:type="dxa"/>
            <w:vAlign w:val="bottom"/>
          </w:tcPr>
          <w:p>
            <w:pPr>
              <w:ind w:left="20"/>
              <w:spacing w:after="0"/>
              <w:rPr>
                <w:sz w:val="20"/>
                <w:szCs w:val="20"/>
                <w:color w:val="auto"/>
              </w:rPr>
            </w:pPr>
            <w:r>
              <w:rPr>
                <w:rFonts w:ascii="Arial" w:cs="Arial" w:eastAsia="Arial" w:hAnsi="Arial"/>
                <w:sz w:val="16"/>
                <w:szCs w:val="16"/>
                <w:color w:val="auto"/>
              </w:rPr>
              <w:t>Severance</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4,366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620"/>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1,797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6,163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ind w:left="760"/>
              <w:spacing w:after="0"/>
              <w:rPr>
                <w:sz w:val="20"/>
                <w:szCs w:val="20"/>
                <w:color w:val="auto"/>
              </w:rPr>
            </w:pPr>
            <w:r>
              <w:rPr>
                <w:rFonts w:ascii="Arial" w:cs="Arial" w:eastAsia="Arial" w:hAnsi="Arial"/>
                <w:sz w:val="16"/>
                <w:szCs w:val="16"/>
                <w:b w:val="1"/>
                <w:bCs w:val="1"/>
                <w:color w:val="auto"/>
              </w:rPr>
              <w:t>— $</w:t>
            </w:r>
          </w:p>
        </w:tc>
        <w:tc>
          <w:tcPr>
            <w:tcW w:w="700" w:type="dxa"/>
            <w:vAlign w:val="bottom"/>
          </w:tcPr>
          <w:p>
            <w:pPr>
              <w:jc w:val="right"/>
              <w:ind w:right="4"/>
              <w:spacing w:after="0"/>
              <w:rPr>
                <w:sz w:val="20"/>
                <w:szCs w:val="20"/>
                <w:color w:val="auto"/>
              </w:rPr>
            </w:pPr>
            <w:r>
              <w:rPr>
                <w:rFonts w:ascii="Arial" w:cs="Arial" w:eastAsia="Arial" w:hAnsi="Arial"/>
                <w:sz w:val="16"/>
                <w:szCs w:val="16"/>
                <w:b w:val="1"/>
                <w:bCs w:val="1"/>
                <w:color w:val="auto"/>
              </w:rPr>
              <w:t>6,163</w:t>
            </w:r>
          </w:p>
        </w:tc>
        <w:tc>
          <w:tcPr>
            <w:tcW w:w="0" w:type="dxa"/>
            <w:vAlign w:val="bottom"/>
          </w:tcPr>
          <w:p>
            <w:pPr>
              <w:spacing w:after="0"/>
              <w:rPr>
                <w:sz w:val="1"/>
                <w:szCs w:val="1"/>
                <w:color w:val="auto"/>
              </w:rPr>
            </w:pPr>
          </w:p>
        </w:tc>
      </w:tr>
      <w:tr>
        <w:trPr>
          <w:trHeight w:val="225"/>
        </w:trPr>
        <w:tc>
          <w:tcPr>
            <w:tcW w:w="2760" w:type="dxa"/>
            <w:vAlign w:val="bottom"/>
          </w:tcPr>
          <w:p>
            <w:pPr>
              <w:ind w:left="20"/>
              <w:spacing w:after="0"/>
              <w:rPr>
                <w:sz w:val="20"/>
                <w:szCs w:val="20"/>
                <w:color w:val="auto"/>
              </w:rPr>
            </w:pPr>
            <w:r>
              <w:rPr>
                <w:rFonts w:ascii="Arial" w:cs="Arial" w:eastAsia="Arial" w:hAnsi="Arial"/>
                <w:sz w:val="16"/>
                <w:szCs w:val="16"/>
                <w:color w:val="auto"/>
              </w:rPr>
              <w:t>Facility related costs:</w:t>
            </w: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360" w:right="100" w:hanging="161"/>
        <w:spacing w:after="0" w:line="242" w:lineRule="auto"/>
        <w:rPr>
          <w:sz w:val="20"/>
          <w:szCs w:val="20"/>
          <w:color w:val="auto"/>
        </w:rPr>
      </w:pPr>
      <w:r>
        <w:rPr>
          <w:rFonts w:ascii="Arial" w:cs="Arial" w:eastAsia="Arial" w:hAnsi="Arial"/>
          <w:sz w:val="16"/>
          <w:szCs w:val="16"/>
          <w:color w:val="auto"/>
        </w:rPr>
        <w:t>Accelerated depreciation of property, plant and equipment</w:t>
      </w:r>
    </w:p>
    <w:p>
      <w:pPr>
        <w:spacing w:after="0" w:line="14" w:lineRule="exact"/>
        <w:rPr>
          <w:sz w:val="20"/>
          <w:szCs w:val="20"/>
          <w:color w:val="auto"/>
        </w:rPr>
      </w:pPr>
    </w:p>
    <w:p>
      <w:pPr>
        <w:ind w:left="180" w:hanging="161"/>
        <w:spacing w:after="0" w:line="239" w:lineRule="auto"/>
        <w:rPr>
          <w:sz w:val="20"/>
          <w:szCs w:val="20"/>
          <w:color w:val="auto"/>
        </w:rPr>
      </w:pPr>
      <w:r>
        <w:rPr>
          <w:rFonts w:ascii="Arial" w:cs="Arial" w:eastAsia="Arial" w:hAnsi="Arial"/>
          <w:sz w:val="16"/>
          <w:szCs w:val="16"/>
          <w:b w:val="1"/>
          <w:bCs w:val="1"/>
          <w:color w:val="auto"/>
        </w:rPr>
        <w:t xml:space="preserve">Total Restructuring Costs Included in Segment Income (Loss) from Operations </w:t>
      </w:r>
      <w:r>
        <w:rPr>
          <w:rFonts w:ascii="Arial" w:cs="Arial" w:eastAsia="Arial" w:hAnsi="Arial"/>
          <w:sz w:val="21"/>
          <w:szCs w:val="21"/>
          <w:b w:val="1"/>
          <w:bCs w:val="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other long-lived assets: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Lease right-of-use assets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plant and equipment</w:t>
      </w:r>
    </w:p>
    <w:p>
      <w:pPr>
        <w:spacing w:after="0" w:line="46" w:lineRule="exact"/>
        <w:rPr>
          <w:sz w:val="20"/>
          <w:szCs w:val="20"/>
          <w:color w:val="auto"/>
        </w:rPr>
      </w:pPr>
    </w:p>
    <w:p>
      <w:pPr>
        <w:ind w:left="180" w:right="40" w:hanging="161"/>
        <w:spacing w:after="0" w:line="242" w:lineRule="auto"/>
        <w:rPr>
          <w:sz w:val="20"/>
          <w:szCs w:val="20"/>
          <w:color w:val="auto"/>
        </w:rPr>
      </w:pPr>
      <w:r>
        <w:rPr>
          <w:rFonts w:ascii="Arial" w:cs="Arial" w:eastAsia="Arial" w:hAnsi="Arial"/>
          <w:sz w:val="16"/>
          <w:szCs w:val="16"/>
          <w:color w:val="auto"/>
        </w:rPr>
        <w:t>Non-operating pension and postretirement benefit income, net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Restructuring Related Costs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2,905</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3,586</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9,942</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9,942</w:t>
            </w:r>
          </w:p>
        </w:tc>
      </w:tr>
      <w:tr>
        <w:trPr>
          <w:trHeight w:val="418"/>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3,573</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3,573</w:t>
            </w:r>
          </w:p>
        </w:tc>
      </w:tr>
      <w:tr>
        <w:trPr>
          <w:trHeight w:val="385"/>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8,891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3,603</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7,184</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19,678</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19,678</w:t>
            </w:r>
          </w:p>
        </w:tc>
      </w:tr>
      <w:tr>
        <w:trPr>
          <w:trHeight w:val="426"/>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3,976</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2,062</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4,005</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5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10,043</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1,405</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11,448</w:t>
            </w:r>
          </w:p>
        </w:tc>
      </w:tr>
      <w:tr>
        <w:trPr>
          <w:trHeight w:val="230"/>
        </w:trPr>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1,248</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813</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2,235</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2,321</w:t>
            </w:r>
          </w:p>
        </w:tc>
      </w:tr>
      <w:tr>
        <w:trPr>
          <w:trHeight w:val="418"/>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12,782</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13,781</w:t>
            </w:r>
          </w:p>
        </w:tc>
      </w:tr>
      <w:tr>
        <w:trPr>
          <w:trHeight w:val="223"/>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15,215</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8,072</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20,568</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44,738</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47,228</w:t>
            </w:r>
          </w:p>
        </w:tc>
      </w:tr>
      <w:tr>
        <w:trPr>
          <w:trHeight w:val="27"/>
        </w:trPr>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3640" w:space="300"/>
            <w:col w:w="7300"/>
          </w:cols>
          <w:pgMar w:left="320" w:top="1057" w:right="339" w:bottom="1440" w:gutter="0" w:footer="0" w:header="0"/>
          <w:type w:val="continuous"/>
        </w:sectPr>
      </w:pPr>
    </w:p>
    <w:p>
      <w:pPr>
        <w:spacing w:after="0" w:line="48" w:lineRule="exact"/>
        <w:rPr>
          <w:sz w:val="20"/>
          <w:szCs w:val="20"/>
          <w:color w:val="auto"/>
        </w:rPr>
      </w:pPr>
    </w:p>
    <w:p>
      <w:pPr>
        <w:ind w:left="420" w:right="160" w:hanging="412"/>
        <w:spacing w:after="0" w:line="239" w:lineRule="auto"/>
        <w:tabs>
          <w:tab w:leader="none" w:pos="348"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These amounts are included in the segments’ Income (Loss) from Operations before Amortization of Intangible Assets and Impairment of Goodwill and Other Long-Lived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were $1.2 million and $4.7 million as of December 31, 2021 and 2020, respectively.</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June 2020, CRG made the decision to close its restaurant and entertainment venue in Columbia, MD effective July 19, 2020 and recorded accelerated depreciation of property, plant and equipment totaling $5.7 million for the year ended December 31, 2020.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4"/>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1,361,245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1,305,713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1,451,750</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494,177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525,212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463,464</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458,125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416,137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449,053</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223,030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198,196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161,768</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327,069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258,144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236,319</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324,353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187,347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170,412</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3,185,974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2,889,121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2,932,099</w:t>
            </w:r>
          </w:p>
        </w:tc>
        <w:tc>
          <w:tcPr>
            <w:tcW w:w="0" w:type="dxa"/>
            <w:vAlign w:val="bottom"/>
          </w:tcPr>
          <w:p>
            <w:pPr>
              <w:spacing w:after="0"/>
              <w:rPr>
                <w:sz w:val="1"/>
                <w:szCs w:val="1"/>
                <w:color w:val="auto"/>
              </w:rPr>
            </w:pPr>
          </w:p>
        </w:tc>
      </w:tr>
      <w:tr>
        <w:trPr>
          <w:trHeight w:val="157"/>
        </w:trPr>
        <w:tc>
          <w:tcPr>
            <w:tcW w:w="750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69,892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41,056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63,680</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154,862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199,938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166,076</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36,926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40,427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46,809</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29,912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30,327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14,319</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11,771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(76,153)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(72,915)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(33,317)</w:t>
            </w:r>
          </w:p>
        </w:tc>
        <w:tc>
          <w:tcPr>
            <w:tcW w:w="0" w:type="dxa"/>
            <w:vAlign w:val="bottom"/>
          </w:tcPr>
          <w:p>
            <w:pPr>
              <w:spacing w:after="0"/>
              <w:rPr>
                <w:sz w:val="1"/>
                <w:szCs w:val="1"/>
                <w:color w:val="auto"/>
              </w:rPr>
            </w:pPr>
          </w:p>
        </w:tc>
      </w:tr>
      <w:tr>
        <w:trPr>
          <w:trHeight w:val="242"/>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(59,025)</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(51,978)</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(51,157)</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168,185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187,357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206,941</w:t>
            </w:r>
          </w:p>
        </w:tc>
        <w:tc>
          <w:tcPr>
            <w:tcW w:w="0" w:type="dxa"/>
            <w:vAlign w:val="bottom"/>
          </w:tcPr>
          <w:p>
            <w:pPr>
              <w:spacing w:after="0"/>
              <w:rPr>
                <w:sz w:val="1"/>
                <w:szCs w:val="1"/>
                <w:color w:val="auto"/>
              </w:rPr>
            </w:pPr>
          </w:p>
        </w:tc>
      </w:tr>
      <w:tr>
        <w:trPr>
          <w:trHeight w:val="196"/>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19,319</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29,452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15,608</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5,440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5,440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13,408</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52,974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28,099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26,342</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3,106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4,220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6,411</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6,698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9,971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13,041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90,810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86,950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62,395</w:t>
            </w:r>
          </w:p>
        </w:tc>
        <w:tc>
          <w:tcPr>
            <w:tcW w:w="0" w:type="dxa"/>
            <w:vAlign w:val="bottom"/>
          </w:tcPr>
          <w:p>
            <w:pPr>
              <w:spacing w:after="0"/>
              <w:rPr>
                <w:sz w:val="1"/>
                <w:szCs w:val="1"/>
                <w:color w:val="auto"/>
              </w:rPr>
            </w:pPr>
          </w:p>
        </w:tc>
      </w:tr>
      <w:tr>
        <w:trPr>
          <w:trHeight w:val="196"/>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50,573</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11,604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48,072</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149,422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194,498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152,668</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(16,048)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12,328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20,467</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26,806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26,107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11,771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(6,196)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(86,124)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(85,956)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(33,943)</w:t>
            </w: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(59,025)</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(51,978)</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(51,157)</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77,375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100,407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144,546</w:t>
            </w:r>
          </w:p>
        </w:tc>
        <w:tc>
          <w:tcPr>
            <w:tcW w:w="0" w:type="dxa"/>
            <w:vAlign w:val="bottom"/>
          </w:tcPr>
          <w:p>
            <w:pPr>
              <w:spacing w:after="0"/>
              <w:rPr>
                <w:sz w:val="1"/>
                <w:szCs w:val="1"/>
                <w:color w:val="auto"/>
              </w:rPr>
            </w:pP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24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17,914</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6,664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11,664</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(30,534)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(34,439)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(23,628)</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109,230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59,315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162,798</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Gain on Marketable Equity Securities, net</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243,088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60,787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98,668</w:t>
            </w: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32,554</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214,534</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32,431</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449,627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407,268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426,479</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4"/>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32,113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31,759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25,655</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14,018</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13,830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12,817</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9,808</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10,333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10,036</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1,313</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2,156</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11,376</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13,947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5,376</w:t>
            </w: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631</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706</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71,415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74,257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59,253</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9,357</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10,024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10,385</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3,575</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1,282</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1,424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561</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1,755</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42"/>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6,461</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5,704</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22,991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22,656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20,422</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100,780</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33,553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57,246</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6,803</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13,470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19,362</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7,190</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8,034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11,218</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3,671</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2,481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31,124</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3,181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13,176</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5,075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162,769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65,874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93,947</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2020</w:t>
            </w:r>
          </w:p>
        </w:tc>
      </w:tr>
      <w:tr>
        <w:trPr>
          <w:trHeight w:val="214"/>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88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2,026,782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1,975,104</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448,627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453,988</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486,304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551,611</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194,823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160,654</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238,200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151,789</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689,872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365,744</w:t>
            </w:r>
          </w:p>
        </w:tc>
      </w:tr>
      <w:tr>
        <w:trPr>
          <w:trHeight w:val="243"/>
        </w:trPr>
        <w:tc>
          <w:tcPr>
            <w:tcW w:w="88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68,962</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348,045</w:t>
            </w:r>
          </w:p>
        </w:tc>
      </w:tr>
      <w:tr>
        <w:trPr>
          <w:trHeight w:val="223"/>
        </w:trPr>
        <w:tc>
          <w:tcPr>
            <w:tcW w:w="88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4,153,570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4,006,935</w:t>
            </w:r>
          </w:p>
        </w:tc>
      </w:tr>
      <w:tr>
        <w:trPr>
          <w:trHeight w:val="215"/>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809,997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573,102</w:t>
            </w:r>
          </w:p>
        </w:tc>
      </w:tr>
      <w:tr>
        <w:trPr>
          <w:trHeight w:val="225"/>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155,444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155,777</w:t>
            </w:r>
          </w:p>
        </w:tc>
      </w:tr>
      <w:tr>
        <w:trPr>
          <w:trHeight w:val="24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2,306,514</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1,708,305</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7,425,525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8" w:right="3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726,875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653,892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750,245</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317,854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316,095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305,672</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309,069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327,087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388,814</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14,759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12,643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9,480</w:t>
            </w:r>
          </w:p>
        </w:tc>
        <w:tc>
          <w:tcPr>
            <w:tcW w:w="0" w:type="dxa"/>
            <w:vAlign w:val="bottom"/>
          </w:tcPr>
          <w:p>
            <w:pPr>
              <w:spacing w:after="0"/>
              <w:rPr>
                <w:sz w:val="1"/>
                <w:szCs w:val="1"/>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(7,312)</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1,361,245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1,305,713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1,451,750</w:t>
            </w:r>
          </w:p>
        </w:tc>
        <w:tc>
          <w:tcPr>
            <w:tcW w:w="0" w:type="dxa"/>
            <w:vAlign w:val="bottom"/>
          </w:tcPr>
          <w:p>
            <w:pPr>
              <w:spacing w:after="0"/>
              <w:rPr>
                <w:sz w:val="1"/>
                <w:szCs w:val="1"/>
                <w:color w:val="auto"/>
              </w:rPr>
            </w:pPr>
          </w:p>
        </w:tc>
      </w:tr>
      <w:tr>
        <w:trPr>
          <w:trHeight w:val="157"/>
        </w:trPr>
        <w:tc>
          <w:tcPr>
            <w:tcW w:w="758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 Long-</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1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33,457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15,248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42,129</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24,134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24,364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13,960</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36,919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19,705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34,487</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(24,715)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(18,266)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(26,891)</w:t>
            </w:r>
          </w:p>
        </w:tc>
        <w:tc>
          <w:tcPr>
            <w:tcW w:w="0" w:type="dxa"/>
            <w:vAlign w:val="bottom"/>
          </w:tcPr>
          <w:p>
            <w:pPr>
              <w:spacing w:after="0"/>
              <w:rPr>
                <w:sz w:val="1"/>
                <w:szCs w:val="1"/>
                <w:color w:val="auto"/>
              </w:rPr>
            </w:pPr>
          </w:p>
        </w:tc>
      </w:tr>
      <w:tr>
        <w:trPr>
          <w:trHeight w:val="242"/>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97</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69,892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41,056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63,680</w:t>
            </w: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16,001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17,174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14,915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3,318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12,278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33,457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15,248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42,129</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24,134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24,364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13,960</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36,919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19,705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34,487</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(44,034)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(47,718)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(42,499)</w:t>
            </w:r>
          </w:p>
        </w:tc>
        <w:tc>
          <w:tcPr>
            <w:tcW w:w="0" w:type="dxa"/>
            <w:vAlign w:val="bottom"/>
          </w:tcPr>
          <w:p>
            <w:pPr>
              <w:spacing w:after="0"/>
              <w:rPr>
                <w:sz w:val="1"/>
                <w:szCs w:val="1"/>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97</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50,573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11,604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48,072</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21,472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19,562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15,394</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3,658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3,082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6,544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8,724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7,132</w:t>
            </w:r>
          </w:p>
        </w:tc>
        <w:tc>
          <w:tcPr>
            <w:tcW w:w="0" w:type="dxa"/>
            <w:vAlign w:val="bottom"/>
          </w:tcPr>
          <w:p>
            <w:pPr>
              <w:spacing w:after="0"/>
              <w:rPr>
                <w:sz w:val="1"/>
                <w:szCs w:val="1"/>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439</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32,113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31,759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25,655</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291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4,440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4,150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4,535</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3,814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4,207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4,734</w:t>
            </w:r>
          </w:p>
        </w:tc>
        <w:tc>
          <w:tcPr>
            <w:tcW w:w="0" w:type="dxa"/>
            <w:vAlign w:val="bottom"/>
          </w:tcPr>
          <w:p>
            <w:pPr>
              <w:spacing w:after="0"/>
              <w:rPr>
                <w:sz w:val="1"/>
                <w:szCs w:val="1"/>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812</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1,234</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9,357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10,024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92,532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24,085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48,362</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3,629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3,234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3,463</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4,297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6,030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5,362</w:t>
            </w:r>
          </w:p>
        </w:tc>
        <w:tc>
          <w:tcPr>
            <w:tcW w:w="0" w:type="dxa"/>
            <w:vAlign w:val="bottom"/>
          </w:tcPr>
          <w:p>
            <w:pPr>
              <w:spacing w:after="0"/>
              <w:rPr>
                <w:sz w:val="1"/>
                <w:szCs w:val="1"/>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322</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100,780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33,553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57,246</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2020</w:t>
            </w:r>
          </w:p>
        </w:tc>
      </w:tr>
      <w:tr>
        <w:trPr>
          <w:trHeight w:val="214"/>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5"/>
        </w:trPr>
        <w:tc>
          <w:tcPr>
            <w:tcW w:w="8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1,493,868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1,455,722</w:t>
            </w:r>
          </w:p>
        </w:tc>
      </w:tr>
      <w:tr>
        <w:trPr>
          <w:trHeight w:val="230"/>
        </w:trPr>
        <w:tc>
          <w:tcPr>
            <w:tcW w:w="8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187,789</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187,123</w:t>
            </w: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286,877</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274,687</w:t>
            </w:r>
          </w:p>
        </w:tc>
      </w:tr>
      <w:tr>
        <w:trPr>
          <w:trHeight w:val="243"/>
        </w:trPr>
        <w:tc>
          <w:tcPr>
            <w:tcW w:w="8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58,248</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57,572</w:t>
            </w:r>
          </w:p>
        </w:tc>
      </w:tr>
      <w:tr>
        <w:trPr>
          <w:trHeight w:val="223"/>
        </w:trPr>
        <w:tc>
          <w:tcPr>
            <w:tcW w:w="8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2,026,782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1,975,104</w:t>
            </w:r>
          </w:p>
        </w:tc>
      </w:tr>
      <w:tr>
        <w:trPr>
          <w:trHeight w:val="27"/>
        </w:trPr>
        <w:tc>
          <w:tcPr>
            <w:tcW w:w="8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1057" w:right="3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4.3</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SUPPLEMENTAL INDENTURE</w:t>
      </w:r>
    </w:p>
    <w:p>
      <w:pPr>
        <w:ind w:right="240" w:firstLine="1296"/>
        <w:spacing w:after="0" w:line="224" w:lineRule="auto"/>
        <w:rPr>
          <w:sz w:val="20"/>
          <w:szCs w:val="20"/>
          <w:color w:val="auto"/>
        </w:rPr>
      </w:pPr>
      <w:r>
        <w:rPr>
          <w:rFonts w:ascii="Arial" w:cs="Arial" w:eastAsia="Arial" w:hAnsi="Arial"/>
          <w:sz w:val="19"/>
          <w:szCs w:val="19"/>
          <w:color w:val="auto"/>
        </w:rPr>
        <w:t>Second Supplemental Indenture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January 6, 2022, among Graham Automotive LLC, a Delaware limited liability company (the “</w:t>
      </w:r>
      <w:r>
        <w:rPr>
          <w:rFonts w:ascii="Arial" w:cs="Arial" w:eastAsia="Arial" w:hAnsi="Arial"/>
          <w:sz w:val="19"/>
          <w:szCs w:val="19"/>
          <w:i w:val="1"/>
          <w:iCs w:val="1"/>
          <w:color w:val="auto"/>
        </w:rPr>
        <w:t>Guaranteeing Subsidiary</w:t>
      </w:r>
      <w:r>
        <w:rPr>
          <w:rFonts w:ascii="Arial" w:cs="Arial" w:eastAsia="Arial" w:hAnsi="Arial"/>
          <w:sz w:val="19"/>
          <w:szCs w:val="19"/>
          <w:color w:val="auto"/>
        </w:rPr>
        <w:t>”), a subsidiary of Graham Holdings Company,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Trust Company, N.A., as trustee (the “</w:t>
      </w:r>
      <w:r>
        <w:rPr>
          <w:rFonts w:ascii="Arial" w:cs="Arial" w:eastAsia="Arial" w:hAnsi="Arial"/>
          <w:sz w:val="19"/>
          <w:szCs w:val="19"/>
          <w:i w:val="1"/>
          <w:iCs w:val="1"/>
          <w:color w:val="auto"/>
        </w:rPr>
        <w:t>Trustee</w:t>
      </w:r>
      <w:r>
        <w:rPr>
          <w:rFonts w:ascii="Arial" w:cs="Arial" w:eastAsia="Arial" w:hAnsi="Arial"/>
          <w:sz w:val="19"/>
          <w:szCs w:val="19"/>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162" w:lineRule="exact"/>
        <w:rPr>
          <w:sz w:val="20"/>
          <w:szCs w:val="20"/>
          <w:color w:val="auto"/>
        </w:rPr>
      </w:pPr>
    </w:p>
    <w:p>
      <w:pPr>
        <w:ind w:right="300" w:firstLine="1296"/>
        <w:spacing w:after="0" w:line="218" w:lineRule="auto"/>
        <w:rPr>
          <w:sz w:val="20"/>
          <w:szCs w:val="20"/>
          <w:color w:val="auto"/>
        </w:rPr>
      </w:pPr>
      <w:r>
        <w:rPr>
          <w:rFonts w:ascii="Arial" w:cs="Arial" w:eastAsia="Arial" w:hAnsi="Arial"/>
          <w:sz w:val="20"/>
          <w:szCs w:val="20"/>
          <w:color w:val="auto"/>
        </w:rPr>
        <w:t>WHEREAS, each of the Company and the Subsidiary Guarantors (as defined in the Indenture referred to below) has heretofore executed and delivered to the Trustee an indenture (the “</w:t>
      </w:r>
      <w:r>
        <w:rPr>
          <w:rFonts w:ascii="Arial" w:cs="Arial" w:eastAsia="Arial" w:hAnsi="Arial"/>
          <w:sz w:val="20"/>
          <w:szCs w:val="20"/>
          <w:i w:val="1"/>
          <w:iCs w:val="1"/>
          <w:color w:val="auto"/>
        </w:rPr>
        <w:t>Indenture</w:t>
      </w:r>
      <w:r>
        <w:rPr>
          <w:rFonts w:ascii="Arial" w:cs="Arial" w:eastAsia="Arial" w:hAnsi="Arial"/>
          <w:sz w:val="20"/>
          <w:szCs w:val="20"/>
          <w:color w:val="auto"/>
        </w:rPr>
        <w:t>”), dated as of May 30, 2018 providing for the issuance of an unlimited aggregate principal amount of 5.750% Senior Notes due 2026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43" w:lineRule="exact"/>
        <w:rPr>
          <w:sz w:val="20"/>
          <w:szCs w:val="20"/>
          <w:color w:val="auto"/>
        </w:rPr>
      </w:pPr>
    </w:p>
    <w:p>
      <w:pPr>
        <w:ind w:right="60" w:firstLine="1296"/>
        <w:spacing w:after="0" w:line="24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and under the Indenture; and</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w:t>
      </w:r>
    </w:p>
    <w:p>
      <w:pPr>
        <w:spacing w:after="0" w:line="146" w:lineRule="exact"/>
        <w:rPr>
          <w:sz w:val="20"/>
          <w:szCs w:val="20"/>
          <w:color w:val="auto"/>
        </w:rPr>
      </w:pPr>
    </w:p>
    <w:p>
      <w:pPr>
        <w:ind w:right="40" w:firstLine="1296"/>
        <w:spacing w:after="0" w:line="242"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38" w:lineRule="exact"/>
        <w:rPr>
          <w:sz w:val="20"/>
          <w:szCs w:val="20"/>
          <w:color w:val="auto"/>
        </w:rPr>
      </w:pPr>
    </w:p>
    <w:p>
      <w:pPr>
        <w:ind w:left="1960" w:hanging="656"/>
        <w:spacing w:after="0"/>
        <w:tabs>
          <w:tab w:leader="none" w:pos="19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w:t>
      </w:r>
    </w:p>
    <w:p>
      <w:pPr>
        <w:spacing w:after="0"/>
        <w:rPr>
          <w:sz w:val="20"/>
          <w:szCs w:val="20"/>
          <w:color w:val="auto"/>
        </w:rPr>
      </w:pPr>
      <w:r>
        <w:rPr>
          <w:rFonts w:ascii="Arial" w:cs="Arial" w:eastAsia="Arial" w:hAnsi="Arial"/>
          <w:sz w:val="20"/>
          <w:szCs w:val="20"/>
          <w:color w:val="auto"/>
        </w:rPr>
        <w:t>Indenture.</w:t>
      </w:r>
    </w:p>
    <w:p>
      <w:pPr>
        <w:spacing w:after="0" w:line="159" w:lineRule="exact"/>
        <w:rPr>
          <w:sz w:val="20"/>
          <w:szCs w:val="20"/>
          <w:color w:val="auto"/>
        </w:rPr>
      </w:pPr>
    </w:p>
    <w:p>
      <w:pPr>
        <w:ind w:right="120" w:firstLine="1304"/>
        <w:spacing w:after="0" w:line="229" w:lineRule="auto"/>
        <w:tabs>
          <w:tab w:leader="none" w:pos="1944"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Subsidiary Guarantor.</w:t>
      </w:r>
      <w:r>
        <w:rPr>
          <w:rFonts w:ascii="Arial" w:cs="Arial" w:eastAsia="Arial" w:hAnsi="Arial"/>
          <w:sz w:val="20"/>
          <w:szCs w:val="20"/>
          <w:color w:val="auto"/>
        </w:rPr>
        <w:t xml:space="preserve"> The Guaranteeing Subsidiary hereby agrees to be a Subsidiary Guarantor under the Indenture and to be bound by the terms of the Indenture applicable to Subsidiary Guarantors, including Article 10 thereof.</w:t>
      </w:r>
    </w:p>
    <w:p>
      <w:pPr>
        <w:spacing w:after="0" w:line="155" w:lineRule="exact"/>
        <w:rPr>
          <w:rFonts w:ascii="Arial" w:cs="Arial" w:eastAsia="Arial" w:hAnsi="Arial"/>
          <w:sz w:val="20"/>
          <w:szCs w:val="20"/>
          <w:color w:val="auto"/>
        </w:rPr>
      </w:pPr>
    </w:p>
    <w:p>
      <w:pPr>
        <w:ind w:right="460" w:firstLine="1304"/>
        <w:spacing w:after="0" w:line="229" w:lineRule="auto"/>
        <w:tabs>
          <w:tab w:leader="none" w:pos="1944"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SUPPLEMENTAL INDENTURE WILL BE GOVERNED BY, AND CONSTRUED IN ACCORDANCE WITH, THE LAWS OF THE STATE OF NEW YORK.</w:t>
      </w:r>
    </w:p>
    <w:p>
      <w:pPr>
        <w:spacing w:after="0" w:line="155" w:lineRule="exact"/>
        <w:rPr>
          <w:rFonts w:ascii="Arial" w:cs="Arial" w:eastAsia="Arial" w:hAnsi="Arial"/>
          <w:sz w:val="20"/>
          <w:szCs w:val="20"/>
          <w:color w:val="auto"/>
        </w:rPr>
      </w:pPr>
    </w:p>
    <w:p>
      <w:pPr>
        <w:ind w:right="300" w:firstLine="1304"/>
        <w:spacing w:after="0" w:line="210" w:lineRule="auto"/>
        <w:tabs>
          <w:tab w:leader="none" w:pos="1944"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xml:space="preserve"> EACH OF THE GUARANTEEING SUBSIDIARY AND THE TRUSTEE HEREBY IRREVOCABLY WAIVES, TO THE FULLEST EXTENT PERMITTED BY APPLICABLE LAW, ANY AND ALL RIGHT TO TRIAL BY JURY IN ANY LEGAL PROCEEDING ARISING OUT OF OR RELATING TO THIS SUPPLEMENTAL INDENTURE, THE INDENTURE, THE NOTES, THE SUBSIDIARY GUARANTEES OR THE TRANSACTIONS CONTEMPLATED HEREBY OR THEREBY.</w:t>
      </w:r>
    </w:p>
    <w:p>
      <w:pPr>
        <w:spacing w:after="0" w:line="154" w:lineRule="exact"/>
        <w:rPr>
          <w:rFonts w:ascii="Arial" w:cs="Arial" w:eastAsia="Arial" w:hAnsi="Arial"/>
          <w:sz w:val="20"/>
          <w:szCs w:val="20"/>
          <w:color w:val="auto"/>
        </w:rPr>
      </w:pPr>
    </w:p>
    <w:p>
      <w:pPr>
        <w:ind w:right="100" w:firstLine="1304"/>
        <w:spacing w:after="0" w:line="229" w:lineRule="auto"/>
        <w:tabs>
          <w:tab w:leader="none" w:pos="1944"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The parties may sign any number of copies of this Supplemental Indenture. Each signed copy shall be an original, but all of them together represent the same agreement.</w:t>
      </w:r>
    </w:p>
    <w:p>
      <w:pPr>
        <w:spacing w:after="0" w:line="155" w:lineRule="exact"/>
        <w:rPr>
          <w:rFonts w:ascii="Arial" w:cs="Arial" w:eastAsia="Arial" w:hAnsi="Arial"/>
          <w:sz w:val="20"/>
          <w:szCs w:val="20"/>
          <w:color w:val="auto"/>
        </w:rPr>
      </w:pPr>
    </w:p>
    <w:p>
      <w:pPr>
        <w:jc w:val="both"/>
        <w:ind w:right="560" w:firstLine="1304"/>
        <w:spacing w:after="0" w:line="218" w:lineRule="auto"/>
        <w:tabs>
          <w:tab w:leader="none" w:pos="1944"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xml:space="preserve">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ectPr>
          <w:pgSz w:w="11900" w:h="16838" w:orient="portrait"/>
          <w:cols w:equalWidth="0" w:num="1">
            <w:col w:w="11240"/>
          </w:cols>
          <w:pgMar w:left="320" w:top="773" w:right="339" w:bottom="1440" w:gutter="0" w:footer="0" w:header="0"/>
        </w:sectPr>
      </w:pPr>
    </w:p>
    <w:bookmarkStart w:id="121" w:name="page122"/>
    <w:bookmarkEnd w:id="121"/>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34"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GRAHAM AUTOMOTIVE LLC</w:t>
      </w:r>
    </w:p>
    <w:p>
      <w:pPr>
        <w:spacing w:after="0" w:line="210" w:lineRule="exact"/>
        <w:rPr>
          <w:sz w:val="20"/>
          <w:szCs w:val="20"/>
          <w:color w:val="auto"/>
        </w:rPr>
      </w:pPr>
    </w:p>
    <w:tbl>
      <w:tblPr>
        <w:tblLayout w:type="fixed"/>
        <w:tblInd w:w="37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500" w:type="dxa"/>
            <w:vAlign w:val="bottom"/>
          </w:tcPr>
          <w:p>
            <w:pPr>
              <w:ind w:left="80"/>
              <w:spacing w:after="0"/>
              <w:rPr>
                <w:sz w:val="20"/>
                <w:szCs w:val="20"/>
                <w:color w:val="auto"/>
              </w:rPr>
            </w:pPr>
            <w:r>
              <w:rPr>
                <w:rFonts w:ascii="Arial" w:cs="Arial" w:eastAsia="Arial" w:hAnsi="Arial"/>
                <w:sz w:val="22"/>
                <w:szCs w:val="22"/>
                <w:color w:val="auto"/>
                <w:w w:val="99"/>
              </w:rPr>
              <w:t>GRAHAM HOLDINGS COMPANY,</w:t>
            </w:r>
          </w:p>
        </w:tc>
      </w:tr>
      <w:tr>
        <w:trPr>
          <w:trHeight w:val="270"/>
        </w:trPr>
        <w:tc>
          <w:tcPr>
            <w:tcW w:w="720" w:type="dxa"/>
            <w:vAlign w:val="bottom"/>
          </w:tcPr>
          <w:p>
            <w:pPr>
              <w:spacing w:after="0"/>
              <w:rPr>
                <w:sz w:val="23"/>
                <w:szCs w:val="23"/>
                <w:color w:val="auto"/>
              </w:rPr>
            </w:pPr>
          </w:p>
        </w:tc>
        <w:tc>
          <w:tcPr>
            <w:tcW w:w="3500" w:type="dxa"/>
            <w:vAlign w:val="bottom"/>
          </w:tcPr>
          <w:p>
            <w:pPr>
              <w:ind w:left="80"/>
              <w:spacing w:after="0"/>
              <w:rPr>
                <w:sz w:val="20"/>
                <w:szCs w:val="20"/>
                <w:color w:val="auto"/>
              </w:rPr>
            </w:pPr>
            <w:r>
              <w:rPr>
                <w:rFonts w:ascii="Arial" w:cs="Arial" w:eastAsia="Arial" w:hAnsi="Arial"/>
                <w:sz w:val="22"/>
                <w:szCs w:val="22"/>
                <w:color w:val="auto"/>
              </w:rPr>
              <w:t>its Sole Member</w:t>
            </w:r>
          </w:p>
        </w:tc>
      </w:tr>
      <w:tr>
        <w:trPr>
          <w:trHeight w:val="276"/>
        </w:trPr>
        <w:tc>
          <w:tcPr>
            <w:tcW w:w="720" w:type="dxa"/>
            <w:vAlign w:val="bottom"/>
          </w:tcPr>
          <w:p>
            <w:pPr>
              <w:spacing w:after="0"/>
              <w:rPr>
                <w:sz w:val="24"/>
                <w:szCs w:val="24"/>
                <w:color w:val="auto"/>
              </w:rPr>
            </w:pP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Jacob Maas</w:t>
            </w:r>
          </w:p>
        </w:tc>
      </w:tr>
      <w:tr>
        <w:trPr>
          <w:trHeight w:val="500"/>
        </w:trPr>
        <w:tc>
          <w:tcPr>
            <w:tcW w:w="720" w:type="dxa"/>
            <w:vAlign w:val="bottom"/>
          </w:tcPr>
          <w:p>
            <w:pPr>
              <w:spacing w:after="0"/>
              <w:rPr>
                <w:sz w:val="20"/>
                <w:szCs w:val="20"/>
                <w:color w:val="auto"/>
              </w:rPr>
            </w:pPr>
            <w:r>
              <w:rPr>
                <w:rFonts w:ascii="Arial" w:cs="Arial" w:eastAsia="Arial" w:hAnsi="Arial"/>
                <w:sz w:val="22"/>
                <w:szCs w:val="22"/>
                <w:color w:val="auto"/>
              </w:rPr>
              <w:t>Name:</w:t>
            </w:r>
          </w:p>
        </w:tc>
        <w:tc>
          <w:tcPr>
            <w:tcW w:w="3500" w:type="dxa"/>
            <w:vAlign w:val="bottom"/>
          </w:tcPr>
          <w:p>
            <w:pPr>
              <w:ind w:left="80"/>
              <w:spacing w:after="0"/>
              <w:rPr>
                <w:sz w:val="20"/>
                <w:szCs w:val="20"/>
                <w:color w:val="auto"/>
              </w:rPr>
            </w:pPr>
            <w:r>
              <w:rPr>
                <w:rFonts w:ascii="Arial" w:cs="Arial" w:eastAsia="Arial" w:hAnsi="Arial"/>
                <w:sz w:val="22"/>
                <w:szCs w:val="22"/>
                <w:color w:val="auto"/>
              </w:rPr>
              <w:t>Jacob Maas</w:t>
            </w:r>
          </w:p>
        </w:tc>
      </w:tr>
      <w:tr>
        <w:trPr>
          <w:trHeight w:val="216"/>
        </w:trPr>
        <w:tc>
          <w:tcPr>
            <w:tcW w:w="720" w:type="dxa"/>
            <w:vAlign w:val="bottom"/>
          </w:tcPr>
          <w:p>
            <w:pPr>
              <w:spacing w:after="0" w:line="216" w:lineRule="exact"/>
              <w:rPr>
                <w:sz w:val="20"/>
                <w:szCs w:val="20"/>
                <w:color w:val="auto"/>
              </w:rPr>
            </w:pPr>
            <w:r>
              <w:rPr>
                <w:rFonts w:ascii="Arial" w:cs="Arial" w:eastAsia="Arial" w:hAnsi="Arial"/>
                <w:sz w:val="22"/>
                <w:szCs w:val="22"/>
                <w:color w:val="auto"/>
              </w:rPr>
              <w:t>Title:</w:t>
            </w:r>
          </w:p>
        </w:tc>
        <w:tc>
          <w:tcPr>
            <w:tcW w:w="3500" w:type="dxa"/>
            <w:vAlign w:val="bottom"/>
          </w:tcPr>
          <w:p>
            <w:pPr>
              <w:ind w:left="80"/>
              <w:spacing w:after="0" w:line="216" w:lineRule="exact"/>
              <w:rPr>
                <w:sz w:val="20"/>
                <w:szCs w:val="20"/>
                <w:color w:val="auto"/>
              </w:rPr>
            </w:pPr>
            <w:r>
              <w:rPr>
                <w:rFonts w:ascii="Arial" w:cs="Arial" w:eastAsia="Arial" w:hAnsi="Arial"/>
                <w:sz w:val="22"/>
                <w:szCs w:val="22"/>
                <w:color w:val="auto"/>
                <w:w w:val="93"/>
              </w:rPr>
              <w:t>Senior Vice President – Planning and</w:t>
            </w:r>
          </w:p>
        </w:tc>
      </w:tr>
      <w:tr>
        <w:trPr>
          <w:trHeight w:val="274"/>
        </w:trPr>
        <w:tc>
          <w:tcPr>
            <w:tcW w:w="720" w:type="dxa"/>
            <w:vAlign w:val="bottom"/>
          </w:tcPr>
          <w:p>
            <w:pPr>
              <w:spacing w:after="0"/>
              <w:rPr>
                <w:sz w:val="23"/>
                <w:szCs w:val="23"/>
                <w:color w:val="auto"/>
              </w:rPr>
            </w:pPr>
          </w:p>
        </w:tc>
        <w:tc>
          <w:tcPr>
            <w:tcW w:w="3500" w:type="dxa"/>
            <w:vAlign w:val="bottom"/>
          </w:tcPr>
          <w:p>
            <w:pPr>
              <w:ind w:left="80"/>
              <w:spacing w:after="0"/>
              <w:rPr>
                <w:sz w:val="20"/>
                <w:szCs w:val="20"/>
                <w:color w:val="auto"/>
              </w:rPr>
            </w:pPr>
            <w:r>
              <w:rPr>
                <w:rFonts w:ascii="Arial" w:cs="Arial" w:eastAsia="Arial" w:hAnsi="Arial"/>
                <w:sz w:val="22"/>
                <w:szCs w:val="22"/>
                <w:color w:val="auto"/>
              </w:rPr>
              <w:t>Development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[Supplemental Indenture – Graham Automotive LLC]</w:t>
      </w:r>
    </w:p>
    <w:p>
      <w:pPr>
        <w:sectPr>
          <w:pgSz w:w="11900" w:h="16838" w:orient="portrait"/>
          <w:cols w:equalWidth="0" w:num="1">
            <w:col w:w="11160"/>
          </w:cols>
          <w:pgMar w:left="320" w:top="1405" w:right="419" w:bottom="1440" w:gutter="0" w:footer="0" w:header="0"/>
        </w:sectPr>
      </w:pPr>
    </w:p>
    <w:bookmarkStart w:id="122" w:name="page123"/>
    <w:bookmarkEnd w:id="122"/>
    <w:p>
      <w:pPr>
        <w:ind w:left="1960"/>
        <w:spacing w:after="0"/>
        <w:rPr>
          <w:sz w:val="20"/>
          <w:szCs w:val="20"/>
          <w:color w:val="auto"/>
        </w:rPr>
      </w:pPr>
      <w:r>
        <w:rPr>
          <w:rFonts w:ascii="Arial" w:cs="Arial" w:eastAsia="Arial" w:hAnsi="Arial"/>
          <w:sz w:val="19"/>
          <w:szCs w:val="19"/>
          <w:color w:val="auto"/>
        </w:rPr>
        <w:t>THE BANK OF NEW YORK MELLON TRUST COMPANY, N.A., as Trustee</w:t>
      </w:r>
    </w:p>
    <w:p>
      <w:pPr>
        <w:spacing w:after="0" w:line="200" w:lineRule="exact"/>
        <w:rPr>
          <w:sz w:val="20"/>
          <w:szCs w:val="20"/>
          <w:color w:val="auto"/>
        </w:rPr>
      </w:pPr>
    </w:p>
    <w:p>
      <w:pPr>
        <w:spacing w:after="0" w:line="26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By:_______</w:t>
      </w:r>
      <w:r>
        <w:rPr>
          <w:rFonts w:ascii="Arial" w:cs="Arial" w:eastAsia="Arial" w:hAnsi="Arial"/>
          <w:sz w:val="22"/>
          <w:szCs w:val="22"/>
          <w:u w:val="single" w:color="auto"/>
          <w:color w:val="auto"/>
        </w:rPr>
        <w:t>/s/ Ann Dolezal</w:t>
      </w:r>
      <w:r>
        <w:rPr>
          <w:rFonts w:ascii="Arial" w:cs="Arial" w:eastAsia="Arial" w:hAnsi="Arial"/>
          <w:sz w:val="22"/>
          <w:szCs w:val="22"/>
          <w:color w:val="auto"/>
        </w:rPr>
        <w:t>_________</w:t>
      </w:r>
    </w:p>
    <w:p>
      <w:pPr>
        <w:ind w:left="2240"/>
        <w:spacing w:after="0" w:line="204" w:lineRule="auto"/>
        <w:rPr>
          <w:sz w:val="20"/>
          <w:szCs w:val="20"/>
          <w:color w:val="auto"/>
        </w:rPr>
      </w:pPr>
      <w:r>
        <w:rPr>
          <w:rFonts w:ascii="Arial" w:cs="Arial" w:eastAsia="Arial" w:hAnsi="Arial"/>
          <w:sz w:val="22"/>
          <w:szCs w:val="22"/>
          <w:color w:val="auto"/>
        </w:rPr>
        <w:t>Name: Ann Dolezal</w:t>
      </w:r>
    </w:p>
    <w:p>
      <w:pPr>
        <w:spacing w:after="0" w:line="1"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[Supplemental Indenture – Graham Automotive LLC]</w:t>
      </w:r>
    </w:p>
    <w:p>
      <w:pPr>
        <w:sectPr>
          <w:pgSz w:w="11900" w:h="16838" w:orient="portrait"/>
          <w:cols w:equalWidth="0" w:num="1">
            <w:col w:w="9019"/>
          </w:cols>
          <w:pgMar w:left="1440" w:top="1401"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10.2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AMENDED AND RESTATED FIVE YEAR CREDIT AGREEMENT</w:t>
      </w:r>
    </w:p>
    <w:p>
      <w:pPr>
        <w:spacing w:after="0" w:line="20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 xml:space="preserve">THIS FIRST AMENDMENT TO AMENDED AND RESTATED FIVE YEAR CREDIT AGREEMENT </w:t>
      </w: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dated as of November 23, 2021, is by and among </w:t>
      </w:r>
      <w:r>
        <w:rPr>
          <w:rFonts w:ascii="Arial" w:cs="Arial" w:eastAsia="Arial" w:hAnsi="Arial"/>
          <w:sz w:val="19"/>
          <w:szCs w:val="19"/>
          <w:b w:val="1"/>
          <w:bCs w:val="1"/>
          <w:color w:val="auto"/>
        </w:rPr>
        <w:t>GRAHAM HOLDINGS COMPANY</w:t>
      </w:r>
      <w:r>
        <w:rPr>
          <w:rFonts w:ascii="Arial" w:cs="Arial" w:eastAsia="Arial" w:hAnsi="Arial"/>
          <w:sz w:val="19"/>
          <w:szCs w:val="19"/>
          <w:color w:val="auto"/>
        </w:rPr>
        <w:t>,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the Foreign Borrowers party hereto, the Guarantors party hereto, the Lenders party hereto and </w:t>
      </w:r>
      <w:r>
        <w:rPr>
          <w:rFonts w:ascii="Arial" w:cs="Arial" w:eastAsia="Arial" w:hAnsi="Arial"/>
          <w:sz w:val="19"/>
          <w:szCs w:val="19"/>
          <w:b w:val="1"/>
          <w:bCs w:val="1"/>
          <w:color w:val="auto"/>
        </w:rPr>
        <w:t>WELLS FARGO BANK, NATIONAL</w:t>
      </w:r>
      <w:r>
        <w:rPr>
          <w:rFonts w:ascii="Arial" w:cs="Arial" w:eastAsia="Arial" w:hAnsi="Arial"/>
          <w:sz w:val="19"/>
          <w:szCs w:val="19"/>
          <w:color w:val="auto"/>
        </w:rPr>
        <w:t xml:space="preserve"> </w:t>
      </w:r>
      <w:r>
        <w:rPr>
          <w:rFonts w:ascii="Arial" w:cs="Arial" w:eastAsia="Arial" w:hAnsi="Arial"/>
          <w:sz w:val="19"/>
          <w:szCs w:val="19"/>
          <w:b w:val="1"/>
          <w:bCs w:val="1"/>
          <w:color w:val="auto"/>
        </w:rPr>
        <w:t>ASSOCIATION</w:t>
      </w:r>
      <w:r>
        <w:rPr>
          <w:rFonts w:ascii="Arial" w:cs="Arial" w:eastAsia="Arial" w:hAnsi="Arial"/>
          <w:sz w:val="19"/>
          <w:szCs w:val="19"/>
          <w:color w:val="auto"/>
        </w:rPr>
        <w:t>, as administrative agent on behalf of the Lenders (in such capacity,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used herein</w:t>
      </w:r>
      <w:r>
        <w:rPr>
          <w:rFonts w:ascii="Arial" w:cs="Arial" w:eastAsia="Arial" w:hAnsi="Arial"/>
          <w:sz w:val="19"/>
          <w:szCs w:val="19"/>
          <w:b w:val="1"/>
          <w:bCs w:val="1"/>
          <w:color w:val="auto"/>
        </w:rPr>
        <w:t xml:space="preserve"> </w:t>
      </w:r>
      <w:r>
        <w:rPr>
          <w:rFonts w:ascii="Arial" w:cs="Arial" w:eastAsia="Arial" w:hAnsi="Arial"/>
          <w:sz w:val="19"/>
          <w:szCs w:val="19"/>
          <w:color w:val="auto"/>
        </w:rPr>
        <w:t>and not otherwise defined herein shall have the meanings ascribed thereto in the Credit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w:t>
      </w:r>
    </w:p>
    <w:p>
      <w:pPr>
        <w:spacing w:after="0" w:line="20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certain banks and financial institutions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are parties to that certain Credit Agreement, dated as of May 30, 2018 (as amended, modified, extended, restated, replaced, or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Credit Parties have requested that the Lenders amend certain provisions of the Credit Agreement; and</w:t>
      </w:r>
    </w:p>
    <w:p>
      <w:pPr>
        <w:spacing w:after="0" w:line="20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Lenders are willing to make such amendments to the Credit Agreement, in accordance with and subject to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set forth herein.</w:t>
      </w:r>
    </w:p>
    <w:p>
      <w:pPr>
        <w:spacing w:after="0" w:line="17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agreements hereinafter set forth, and for other good and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adequacy of which are hereby acknowledged, the parties hereto agree as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jc w:val="center"/>
        <w:spacing w:after="0"/>
        <w:rPr>
          <w:sz w:val="20"/>
          <w:szCs w:val="20"/>
          <w:color w:val="auto"/>
        </w:rPr>
      </w:pPr>
      <w:r>
        <w:rPr>
          <w:rFonts w:ascii="Arial" w:cs="Arial" w:eastAsia="Arial" w:hAnsi="Arial"/>
          <w:sz w:val="20"/>
          <w:szCs w:val="20"/>
          <w:b w:val="1"/>
          <w:bCs w:val="1"/>
          <w:color w:val="auto"/>
        </w:rPr>
        <w:t>AMENDMENTS TO CREDIT AGREEMENT</w:t>
      </w:r>
    </w:p>
    <w:p>
      <w:pPr>
        <w:spacing w:after="0" w:line="180"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color w:val="auto"/>
        </w:rPr>
        <w:t>In reliance on the representations, warranties, covenants and agreements contained in this Amendment, and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satisfaction of the conditions to effectiveness set forth in Article II hereof, the parties hereto agree that, effective as of the First Amendment Effective Date (as defined below), the Credit Agreement is hereby amended to delete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to add the underlined text (indicated textually in the same manner as the following example: </w:t>
      </w:r>
      <w:r>
        <w:rPr>
          <w:rFonts w:ascii="Arial" w:cs="Arial" w:eastAsia="Arial" w:hAnsi="Arial"/>
          <w:sz w:val="19"/>
          <w:szCs w:val="19"/>
          <w:u w:val="single" w:color="auto"/>
          <w:color w:val="0000FF"/>
        </w:rPr>
        <w:t>underlined text</w:t>
      </w:r>
      <w:r>
        <w:rPr>
          <w:rFonts w:ascii="Arial" w:cs="Arial" w:eastAsia="Arial" w:hAnsi="Arial"/>
          <w:sz w:val="19"/>
          <w:szCs w:val="19"/>
          <w:color w:val="000000"/>
        </w:rPr>
        <w:t>) as set forth in the Credit Agreement attached hereto as</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Exhibit A</w:t>
      </w:r>
      <w:r>
        <w:rPr>
          <w:rFonts w:ascii="Arial" w:cs="Arial" w:eastAsia="Arial" w:hAnsi="Arial"/>
          <w:sz w:val="19"/>
          <w:szCs w:val="19"/>
          <w:color w:val="000000"/>
        </w:rPr>
        <w:t>.</w:t>
      </w:r>
    </w:p>
    <w:p>
      <w:pPr>
        <w:spacing w:after="0" w:line="177"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u w:val="single" w:color="auto"/>
          <w:color w:val="auto"/>
        </w:rPr>
        <w:t>Exhibits</w:t>
      </w:r>
      <w:r>
        <w:rPr>
          <w:rFonts w:ascii="Arial" w:cs="Arial" w:eastAsia="Arial" w:hAnsi="Arial"/>
          <w:sz w:val="20"/>
          <w:szCs w:val="20"/>
          <w:color w:val="auto"/>
        </w:rPr>
        <w:t>. Exhibits B-1, B-2 and F to the Credit Agreement are hereby amended and restated in their entirety in the forms set out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jc w:val="center"/>
        <w:spacing w:after="0"/>
        <w:rPr>
          <w:sz w:val="20"/>
          <w:szCs w:val="20"/>
          <w:color w:val="auto"/>
        </w:rPr>
      </w:pPr>
      <w:r>
        <w:rPr>
          <w:rFonts w:ascii="Arial" w:cs="Arial" w:eastAsia="Arial" w:hAnsi="Arial"/>
          <w:sz w:val="20"/>
          <w:szCs w:val="20"/>
          <w:b w:val="1"/>
          <w:bCs w:val="1"/>
          <w:color w:val="auto"/>
        </w:rPr>
        <w:t>CONDITIONS TO EFFECTIVENESS</w:t>
      </w:r>
    </w:p>
    <w:p>
      <w:pPr>
        <w:spacing w:after="0" w:line="180"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0"/>
          <w:szCs w:val="20"/>
          <w:b w:val="1"/>
          <w:bCs w:val="1"/>
          <w:u w:val="single" w:color="auto"/>
          <w:color w:val="auto"/>
        </w:rPr>
        <w:t>Closing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become effective as of the day and year set forth above (the “</w:t>
      </w:r>
      <w:r>
        <w:rPr>
          <w:rFonts w:ascii="Arial" w:cs="Arial" w:eastAsia="Arial" w:hAnsi="Arial"/>
          <w:sz w:val="20"/>
          <w:szCs w:val="20"/>
          <w:u w:val="single" w:color="auto"/>
          <w:color w:val="auto"/>
        </w:rPr>
        <w:t>First Amendment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Effective Date</w:t>
      </w:r>
      <w:r>
        <w:rPr>
          <w:rFonts w:ascii="Arial" w:cs="Arial" w:eastAsia="Arial" w:hAnsi="Arial"/>
          <w:sz w:val="20"/>
          <w:szCs w:val="20"/>
          <w:color w:val="auto"/>
        </w:rPr>
        <w:t>”) upon satisfaction (or waiver) of the following conditions:</w:t>
      </w:r>
    </w:p>
    <w:p>
      <w:pPr>
        <w:spacing w:after="0" w:line="182" w:lineRule="exact"/>
        <w:rPr>
          <w:sz w:val="20"/>
          <w:szCs w:val="20"/>
          <w:color w:val="auto"/>
        </w:rPr>
      </w:pPr>
    </w:p>
    <w:p>
      <w:pPr>
        <w:ind w:left="660" w:firstLine="644"/>
        <w:spacing w:after="0" w:line="229" w:lineRule="auto"/>
        <w:tabs>
          <w:tab w:leader="none" w:pos="1752"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Executed Amendment</w:t>
      </w:r>
      <w:r>
        <w:rPr>
          <w:rFonts w:ascii="Arial" w:cs="Arial" w:eastAsia="Arial" w:hAnsi="Arial"/>
          <w:sz w:val="20"/>
          <w:szCs w:val="20"/>
          <w:color w:val="auto"/>
        </w:rPr>
        <w:t>. Administrative Agent shall have received a copy of this Amendment duly executed by each of the Credit Parties, the Lenders and Administrative Agent.</w:t>
      </w:r>
    </w:p>
    <w:p>
      <w:pPr>
        <w:spacing w:after="0" w:line="182"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left="660" w:right="20" w:firstLine="644"/>
        <w:spacing w:after="0" w:line="229" w:lineRule="auto"/>
        <w:tabs>
          <w:tab w:leader="none" w:pos="1752"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exists as of the First Amendment Effective Date and after giving effect to the transactions contemplated hereby.</w:t>
      </w:r>
    </w:p>
    <w:p>
      <w:pPr>
        <w:sectPr>
          <w:pgSz w:w="11900" w:h="16838" w:orient="portrait"/>
          <w:cols w:equalWidth="0" w:num="1">
            <w:col w:w="11240"/>
          </w:cols>
          <w:pgMar w:left="320" w:top="1435" w:right="339" w:bottom="1440" w:gutter="0" w:footer="0" w:header="0"/>
        </w:sectPr>
      </w:pPr>
    </w:p>
    <w:bookmarkStart w:id="124" w:name="page125"/>
    <w:bookmarkEnd w:id="124"/>
    <w:p>
      <w:pPr>
        <w:jc w:val="both"/>
        <w:ind w:left="660" w:firstLine="644"/>
        <w:spacing w:after="0" w:line="218" w:lineRule="auto"/>
        <w:tabs>
          <w:tab w:leader="none" w:pos="175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contained in Section 4.01 of the Credit Agreement are true and correct in all material respects on and as of the First Amendment Effective Date, except to the extent any such representation and warranty is qualified by materiality or reference to Material Adverse Effect, in which case, such representation and warranty shall be true and correct in all respects, on the First Amendment Effective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186" w:lineRule="exact"/>
        <w:rPr>
          <w:rFonts w:ascii="Arial" w:cs="Arial" w:eastAsia="Arial" w:hAnsi="Arial"/>
          <w:sz w:val="19"/>
          <w:szCs w:val="19"/>
          <w:color w:val="auto"/>
        </w:rPr>
      </w:pPr>
    </w:p>
    <w:p>
      <w:pPr>
        <w:jc w:val="both"/>
        <w:ind w:left="660" w:firstLine="644"/>
        <w:spacing w:after="0" w:line="230" w:lineRule="auto"/>
        <w:tabs>
          <w:tab w:leader="none" w:pos="1833"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Administrative Agent shall have received from the Borrower such fees and expenses that are payable in connection with this Amendment and King &amp; Spalding LLP shall have received from the Borrower payment of all outstanding fees and expenses previously incurred and all fees and expenses incurred in connection with this Amendment.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Amended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On and after the First Amendment Effective Date, all references to the Credit Agreement in each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shall hereafter mean the Credit Agreement as amended by this Amendment. Except as specifically amended hereby or otherwise agreed, the Credit Agreement is hereby ratified and confirmed and shall remain in full force and effect according to its terms.</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u w:val="single" w:color="auto"/>
          <w:color w:val="auto"/>
        </w:rPr>
        <w:t>Representations and Warranties of Credit Parties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Each of the Credit Parties represents and warrants as follows:</w:t>
      </w:r>
    </w:p>
    <w:p>
      <w:pPr>
        <w:spacing w:after="0" w:line="208" w:lineRule="exact"/>
        <w:rPr>
          <w:sz w:val="20"/>
          <w:szCs w:val="20"/>
          <w:color w:val="auto"/>
        </w:rPr>
      </w:pPr>
    </w:p>
    <w:p>
      <w:pPr>
        <w:ind w:left="660" w:right="20" w:firstLine="644"/>
        <w:spacing w:after="0" w:line="229" w:lineRule="auto"/>
        <w:tabs>
          <w:tab w:leader="none" w:pos="1725" w:val="left"/>
        </w:tabs>
        <w:numPr>
          <w:ilvl w:val="0"/>
          <w:numId w:val="87"/>
        </w:numPr>
        <w:rPr>
          <w:rFonts w:ascii="Arial" w:cs="Arial" w:eastAsia="Arial" w:hAnsi="Arial"/>
          <w:sz w:val="20"/>
          <w:szCs w:val="20"/>
          <w:color w:val="auto"/>
        </w:rPr>
      </w:pPr>
      <w:r>
        <w:rPr>
          <w:rFonts w:ascii="Arial" w:cs="Arial" w:eastAsia="Arial" w:hAnsi="Arial"/>
          <w:sz w:val="20"/>
          <w:szCs w:val="20"/>
          <w:color w:val="auto"/>
        </w:rPr>
        <w:t>It has taken all necessary corporate and other organizational action to authorize the execution, delivery and performance of this Amendment.</w:t>
      </w:r>
    </w:p>
    <w:p>
      <w:pPr>
        <w:spacing w:after="0" w:line="182" w:lineRule="exact"/>
        <w:rPr>
          <w:rFonts w:ascii="Arial" w:cs="Arial" w:eastAsia="Arial" w:hAnsi="Arial"/>
          <w:sz w:val="20"/>
          <w:szCs w:val="20"/>
          <w:color w:val="auto"/>
        </w:rPr>
      </w:pPr>
    </w:p>
    <w:p>
      <w:pPr>
        <w:jc w:val="both"/>
        <w:ind w:left="660" w:firstLine="644"/>
        <w:spacing w:after="0" w:line="236" w:lineRule="auto"/>
        <w:tabs>
          <w:tab w:leader="none" w:pos="177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such Person and constitutes such Person’s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84" w:lineRule="exact"/>
        <w:rPr>
          <w:rFonts w:ascii="Arial" w:cs="Arial" w:eastAsia="Arial" w:hAnsi="Arial"/>
          <w:sz w:val="18"/>
          <w:szCs w:val="18"/>
          <w:color w:val="auto"/>
        </w:rPr>
      </w:pPr>
    </w:p>
    <w:p>
      <w:pPr>
        <w:ind w:left="1720" w:hanging="416"/>
        <w:spacing w:after="0"/>
        <w:tabs>
          <w:tab w:leader="none" w:pos="1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jc w:val="both"/>
        <w:ind w:left="660" w:firstLine="644"/>
        <w:spacing w:after="0" w:line="210" w:lineRule="auto"/>
        <w:tabs>
          <w:tab w:leader="none" w:pos="1749"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representations and warranties set forth in Section 4.01 of the Credit Agreement are true and correct in all material respects, except to the extent any such representation and warranty is qualified by materiality or reference to Material Adverse Effect, in which case, such representation and warranty shall be true and correct in all respects, on and as of the date hereof (except for any such representation and warranty that by its terms is made only as of an earlier date, which representation and warranty shall remain true and correct as of such earlier date).</w:t>
      </w:r>
    </w:p>
    <w:p>
      <w:pPr>
        <w:spacing w:after="0" w:line="179" w:lineRule="exact"/>
        <w:rPr>
          <w:rFonts w:ascii="Arial" w:cs="Arial" w:eastAsia="Arial" w:hAnsi="Arial"/>
          <w:sz w:val="20"/>
          <w:szCs w:val="20"/>
          <w:color w:val="auto"/>
        </w:rPr>
      </w:pPr>
    </w:p>
    <w:p>
      <w:pPr>
        <w:ind w:left="1720" w:hanging="416"/>
        <w:spacing w:after="0"/>
        <w:tabs>
          <w:tab w:leader="none" w:pos="1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giving effect to this Amendment, no event has occurred and is continuing which constitutes a Default or an Event</w:t>
      </w:r>
    </w:p>
    <w:p>
      <w:pPr>
        <w:ind w:left="660"/>
        <w:spacing w:after="0"/>
        <w:rPr>
          <w:rFonts w:ascii="Arial" w:cs="Arial" w:eastAsia="Arial" w:hAnsi="Arial"/>
          <w:sz w:val="18"/>
          <w:szCs w:val="18"/>
          <w:color w:val="auto"/>
        </w:rPr>
      </w:pPr>
      <w:r>
        <w:rPr>
          <w:rFonts w:ascii="Arial" w:cs="Arial" w:eastAsia="Arial" w:hAnsi="Arial"/>
          <w:sz w:val="20"/>
          <w:szCs w:val="20"/>
          <w:color w:val="auto"/>
        </w:rPr>
        <w:t>of Default.</w:t>
      </w:r>
    </w:p>
    <w:p>
      <w:pPr>
        <w:spacing w:after="0" w:line="18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b w:val="1"/>
          <w:bCs w:val="1"/>
          <w:u w:val="single" w:color="auto"/>
          <w:color w:val="auto"/>
        </w:rPr>
        <w:t>Reaffirmation of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Each Credit Party hereby ratifies the Credit Agreement as amended by this Amendment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reaffirms (a) that it is bound by all terms of the Credit Agreement as so amended applicable to it and (b) that it is responsible for the observance and full performance of its respective obligations under the Credit Agreement and the other Loan Documents. Each Credit Party further ratifies and confirms the terms of the Guaranty of such Credit Party with respect to the indebtedness now or hereafter outstanding under the Credit Agreement as amended hereby. Each Credit Party acknowledges that, notwithstanding anything to the contrary contained herein or in any other Loan Document, or any actions now or hereafter taken by the Lenders with respect to any obligation of Borrowers, the Guaranty of such Credit Party (i) is and shall continue to be a primary obligation of such Credit Party, (ii) is and shall continue to be an absolute, unconditional, continuing and irrevocable</w:t>
      </w:r>
    </w:p>
    <w:p>
      <w:pPr>
        <w:sectPr>
          <w:pgSz w:w="11900" w:h="16838" w:orient="portrait"/>
          <w:cols w:equalWidth="0" w:num="1">
            <w:col w:w="11240"/>
          </w:cols>
          <w:pgMar w:left="320" w:top="1405" w:right="339" w:bottom="1440" w:gutter="0" w:footer="0" w:header="0"/>
        </w:sectPr>
      </w:pPr>
    </w:p>
    <w:bookmarkStart w:id="125" w:name="page126"/>
    <w:bookmarkEnd w:id="125"/>
    <w:p>
      <w:pPr>
        <w:jc w:val="both"/>
        <w:ind w:right="20"/>
        <w:spacing w:after="0" w:line="269" w:lineRule="auto"/>
        <w:rPr>
          <w:sz w:val="20"/>
          <w:szCs w:val="20"/>
          <w:color w:val="auto"/>
        </w:rPr>
      </w:pPr>
      <w:r>
        <w:rPr>
          <w:rFonts w:ascii="Arial" w:cs="Arial" w:eastAsia="Arial" w:hAnsi="Arial"/>
          <w:sz w:val="18"/>
          <w:szCs w:val="18"/>
          <w:color w:val="auto"/>
        </w:rPr>
        <w:t>guaranty of payment, and (iii) is and shall continue to be in full force and effect in accordance with its terms. Nothing contained herein to the contrary shall release, discharge, modify, change or affect the original liability of any Credit Party under the Guaranty of such Credit Party.</w:t>
      </w:r>
    </w:p>
    <w:p>
      <w:pPr>
        <w:spacing w:after="0" w:line="15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Amendment shall constitute a Loan Document under the terms of the Credit Agreement.</w:t>
      </w:r>
    </w:p>
    <w:p>
      <w:pPr>
        <w:spacing w:after="0" w:line="20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3.5 </w:t>
      </w:r>
      <w:r>
        <w:rPr>
          <w:rFonts w:ascii="Arial" w:cs="Arial" w:eastAsia="Arial" w:hAnsi="Arial"/>
          <w:sz w:val="20"/>
          <w:szCs w:val="20"/>
          <w:b w:val="1"/>
          <w:bCs w:val="1"/>
          <w:u w:val="single" w:color="auto"/>
          <w:color w:val="auto"/>
        </w:rPr>
        <w:t>Further Assurances</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Parties agree to promptly take such action, upon the reasonable request of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as is necessary to carry out the intent of this Amendment.</w:t>
      </w:r>
    </w:p>
    <w:p>
      <w:pPr>
        <w:spacing w:after="0" w:line="17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3.6 </w:t>
      </w:r>
      <w:r>
        <w:rPr>
          <w:rFonts w:ascii="Arial" w:cs="Arial" w:eastAsia="Arial" w:hAnsi="Arial"/>
          <w:sz w:val="20"/>
          <w:szCs w:val="20"/>
          <w:b w:val="1"/>
          <w:bCs w:val="1"/>
          <w:u w:val="single" w:color="auto"/>
          <w:color w:val="auto"/>
        </w:rPr>
        <w:t>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reflects the entire understanding of the parties with respect to the transactions contemplated hereby</w:t>
      </w:r>
      <w:r>
        <w:rPr>
          <w:rFonts w:ascii="Arial" w:cs="Arial" w:eastAsia="Arial" w:hAnsi="Arial"/>
          <w:sz w:val="20"/>
          <w:szCs w:val="20"/>
          <w:b w:val="1"/>
          <w:bCs w:val="1"/>
          <w:color w:val="auto"/>
        </w:rPr>
        <w:t xml:space="preserve"> </w:t>
      </w:r>
      <w:r>
        <w:rPr>
          <w:rFonts w:ascii="Arial" w:cs="Arial" w:eastAsia="Arial" w:hAnsi="Arial"/>
          <w:sz w:val="20"/>
          <w:szCs w:val="20"/>
          <w:color w:val="auto"/>
        </w:rPr>
        <w:t>and shall not be contradicted or qualified by any other agreement, oral or written, before the date hereof.</w:t>
      </w:r>
    </w:p>
    <w:p>
      <w:pPr>
        <w:spacing w:after="0" w:line="17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b w:val="1"/>
          <w:bCs w:val="1"/>
          <w:color w:val="auto"/>
        </w:rPr>
        <w:t xml:space="preserve">3.7 </w:t>
      </w:r>
      <w:r>
        <w:rPr>
          <w:rFonts w:ascii="Arial" w:cs="Arial" w:eastAsia="Arial" w:hAnsi="Arial"/>
          <w:sz w:val="20"/>
          <w:szCs w:val="20"/>
          <w:b w:val="1"/>
          <w:bCs w:val="1"/>
          <w:u w:val="single" w:color="auto"/>
          <w:color w:val="auto"/>
        </w:rPr>
        <w:t>Counterparts; Telecopy</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may be executed in any number of counterparts and by different parties on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each of which, when executed and delivered, shall be deemed to be an original, and all of which, when taken together, shall constitute but one and the same Amendment. Delivery of an executed counterpart of this Amendment by telefacsimile or other electronic method of transmission shall be equally as effective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02"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b w:val="1"/>
          <w:bCs w:val="1"/>
          <w:color w:val="auto"/>
        </w:rPr>
        <w:t xml:space="preserve">3.9 </w:t>
      </w: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THE CONSTRUCTION, INTERPRETATION, AND ENFORCEMENT OF THIS AMENDMENT, THE RIGHTS OF THE PARTIES HERETO AND THERETO WITH RESPECT TO ALL MATTERS ARISING HEREUNDER OR THEREUNDER OR RELATED HERETO, AND ANY CLAIMS, CONTROVERSIES OR DISPUTES ARISING HEREUNDER OR RELATED HERETO SHALL BE DETERMINED UNDER, GOVERNED BY, AND CONSTRUED IN ACCORDANCE WITH THE LAWS OF THE STATE OF NEW YORK.</w:t>
      </w:r>
    </w:p>
    <w:p>
      <w:pPr>
        <w:spacing w:after="0" w:line="177"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 xml:space="preserve">3.10 </w:t>
      </w: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bind and inure to the benefit of the respective successors and assigns of each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parties hereto; provided, that no Borrower may assign this Amendment or any rights or duties hereunder without the Lenders’ prior written consent and any prohibited assignment shall be absolutely void </w:t>
      </w:r>
      <w:r>
        <w:rPr>
          <w:rFonts w:ascii="Arial" w:cs="Arial" w:eastAsia="Arial" w:hAnsi="Arial"/>
          <w:sz w:val="20"/>
          <w:szCs w:val="20"/>
          <w:i w:val="1"/>
          <w:iCs w:val="1"/>
          <w:color w:val="auto"/>
        </w:rPr>
        <w:t>ab initio</w:t>
      </w:r>
      <w:r>
        <w:rPr>
          <w:rFonts w:ascii="Arial" w:cs="Arial" w:eastAsia="Arial" w:hAnsi="Arial"/>
          <w:sz w:val="20"/>
          <w:szCs w:val="20"/>
          <w:color w:val="auto"/>
        </w:rPr>
        <w:t>.</w:t>
      </w:r>
    </w:p>
    <w:p>
      <w:pPr>
        <w:spacing w:after="0" w:line="17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3.11 </w:t>
      </w:r>
      <w:r>
        <w:rPr>
          <w:rFonts w:ascii="Arial" w:cs="Arial" w:eastAsia="Arial" w:hAnsi="Arial"/>
          <w:sz w:val="20"/>
          <w:szCs w:val="20"/>
          <w:b w:val="1"/>
          <w:bCs w:val="1"/>
          <w:u w:val="single" w:color="auto"/>
          <w:color w:val="auto"/>
        </w:rPr>
        <w:t>Additional Consents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jurisdiction, jury trial waiver, venue, indemnification and judicial reference provisions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Article IX of the Credit Agreement are hereby incorporated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405" w:right="339" w:bottom="1440" w:gutter="0" w:footer="0" w:header="0"/>
        </w:sectPr>
      </w:pPr>
    </w:p>
    <w:bookmarkStart w:id="126" w:name="page127"/>
    <w:bookmarkEnd w:id="126"/>
    <w:p>
      <w:pPr>
        <w:ind w:left="660"/>
        <w:spacing w:after="0"/>
        <w:rPr>
          <w:sz w:val="20"/>
          <w:szCs w:val="20"/>
          <w:color w:val="auto"/>
        </w:rPr>
      </w:pPr>
      <w:r>
        <w:rPr>
          <w:rFonts w:ascii="Arial" w:cs="Arial" w:eastAsia="Arial" w:hAnsi="Arial"/>
          <w:sz w:val="16"/>
          <w:szCs w:val="16"/>
          <w:color w:val="auto"/>
        </w:rPr>
        <w:t>IN WITNESS WHEREOF the parties hereto have caused this Amendment to be duly executed on the date first above written.</w:t>
      </w:r>
    </w:p>
    <w:p>
      <w:pPr>
        <w:spacing w:after="0" w:line="248"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GRAHAM HOLDINGS COMPANY</w:t>
      </w:r>
    </w:p>
    <w:p>
      <w:pPr>
        <w:spacing w:after="0" w:line="200" w:lineRule="exact"/>
        <w:rPr>
          <w:sz w:val="20"/>
          <w:szCs w:val="20"/>
          <w:color w:val="auto"/>
        </w:rPr>
      </w:pPr>
    </w:p>
    <w:p>
      <w:pPr>
        <w:spacing w:after="0" w:line="220" w:lineRule="exact"/>
        <w:rPr>
          <w:sz w:val="20"/>
          <w:szCs w:val="20"/>
          <w:color w:val="auto"/>
        </w:rPr>
      </w:pPr>
    </w:p>
    <w:p>
      <w:pPr>
        <w:ind w:left="3900"/>
        <w:spacing w:after="0"/>
        <w:tabs>
          <w:tab w:leader="none" w:pos="4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Wallace R. Rooney</w:t>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Wallace R. Cooney</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ectPr>
          <w:pgSz w:w="11900" w:h="16838" w:orient="portrait"/>
          <w:cols w:equalWidth="0" w:num="1">
            <w:col w:w="10620"/>
          </w:cols>
          <w:pgMar w:left="320" w:top="1405" w:right="959" w:bottom="1440" w:gutter="0" w:footer="0" w:header="0"/>
        </w:sectPr>
      </w:pPr>
    </w:p>
    <w:bookmarkStart w:id="127" w:name="page128"/>
    <w:bookmarkEnd w:id="127"/>
    <w:p>
      <w:pPr>
        <w:jc w:val="right"/>
        <w:spacing w:after="0"/>
        <w:tabs>
          <w:tab w:leader="none" w:pos="2080" w:val="left"/>
        </w:tabs>
        <w:rPr>
          <w:sz w:val="20"/>
          <w:szCs w:val="20"/>
          <w:color w:val="auto"/>
        </w:rPr>
      </w:pPr>
      <w:r>
        <w:rPr>
          <w:rFonts w:ascii="Arial" w:cs="Arial" w:eastAsia="Arial" w:hAnsi="Arial"/>
          <w:sz w:val="20"/>
          <w:szCs w:val="20"/>
          <w:u w:val="single" w:color="auto"/>
          <w:color w:val="auto"/>
        </w:rPr>
        <w:t>ADDITIONAL FOREIGN BORROWER</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KAPLAN U.K. LIMITED</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P.M. Houillon</w:t>
      </w:r>
    </w:p>
    <w:p>
      <w:pPr>
        <w:spacing w:after="0" w:line="211" w:lineRule="auto"/>
        <w:rPr>
          <w:sz w:val="20"/>
          <w:szCs w:val="20"/>
          <w:color w:val="auto"/>
        </w:rPr>
      </w:pPr>
      <w:r>
        <w:rPr>
          <w:rFonts w:ascii="Arial" w:cs="Arial" w:eastAsia="Arial" w:hAnsi="Arial"/>
          <w:sz w:val="20"/>
          <w:szCs w:val="20"/>
          <w:color w:val="auto"/>
        </w:rPr>
        <w:t>Name: P.M Houillon</w:t>
      </w:r>
    </w:p>
    <w:p>
      <w:pPr>
        <w:spacing w:after="0"/>
        <w:rPr>
          <w:sz w:val="20"/>
          <w:szCs w:val="20"/>
          <w:color w:val="auto"/>
        </w:rPr>
      </w:pPr>
      <w:r>
        <w:rPr>
          <w:rFonts w:ascii="Arial" w:cs="Arial" w:eastAsia="Arial" w:hAnsi="Arial"/>
          <w:sz w:val="20"/>
          <w:szCs w:val="20"/>
          <w:color w:val="auto"/>
        </w:rPr>
        <w:t>Title: CFO Kaplan International</w:t>
      </w:r>
    </w:p>
    <w:p>
      <w:pPr>
        <w:sectPr>
          <w:pgSz w:w="11900" w:h="16838" w:orient="portrait"/>
          <w:cols w:equalWidth="0" w:num="1">
            <w:col w:w="10000"/>
          </w:cols>
          <w:pgMar w:left="520" w:top="1405" w:right="1379" w:bottom="1440" w:gutter="0" w:footer="0" w:header="0"/>
        </w:sectPr>
      </w:pPr>
    </w:p>
    <w:bookmarkStart w:id="128" w:name="page129"/>
    <w:bookmarkEnd w:id="128"/>
    <w:p>
      <w:pPr>
        <w:spacing w:after="0"/>
        <w:tabs>
          <w:tab w:leader="none" w:pos="1580" w:val="left"/>
        </w:tabs>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GRAHAM MEDIA GROUP, INC.</w:t>
      </w:r>
    </w:p>
    <w:p>
      <w:pPr>
        <w:spacing w:after="0" w:line="39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 Heidi Schmid Whiting</w:t>
      </w:r>
    </w:p>
    <w:p>
      <w:pPr>
        <w:ind w:left="3900"/>
        <w:spacing w:after="0" w:line="197" w:lineRule="auto"/>
        <w:rPr>
          <w:sz w:val="20"/>
          <w:szCs w:val="20"/>
          <w:color w:val="auto"/>
        </w:rPr>
      </w:pPr>
      <w:r>
        <w:rPr>
          <w:rFonts w:ascii="Arial" w:cs="Arial" w:eastAsia="Arial" w:hAnsi="Arial"/>
          <w:sz w:val="20"/>
          <w:szCs w:val="20"/>
          <w:color w:val="auto"/>
        </w:rPr>
        <w:t>Name: Heidi Schmid Whiting</w:t>
      </w:r>
    </w:p>
    <w:p>
      <w:pPr>
        <w:ind w:left="3900"/>
        <w:spacing w:after="0"/>
        <w:rPr>
          <w:sz w:val="20"/>
          <w:szCs w:val="20"/>
          <w:color w:val="auto"/>
        </w:rPr>
      </w:pPr>
      <w:r>
        <w:rPr>
          <w:rFonts w:ascii="Arial" w:cs="Arial" w:eastAsia="Arial" w:hAnsi="Arial"/>
          <w:sz w:val="20"/>
          <w:szCs w:val="20"/>
          <w:color w:val="auto"/>
        </w:rPr>
        <w:t>Title: VP/General Cousel</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GRAHAM MEDIA GROUP, FLORIDA, INC.</w:t>
      </w:r>
    </w:p>
    <w:p>
      <w:pPr>
        <w:spacing w:after="0" w:line="200" w:lineRule="exact"/>
        <w:rPr>
          <w:sz w:val="20"/>
          <w:szCs w:val="20"/>
          <w:color w:val="auto"/>
        </w:rPr>
      </w:pPr>
    </w:p>
    <w:p>
      <w:pPr>
        <w:spacing w:after="0" w:line="22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 Heidi Schmid Whiting</w:t>
      </w:r>
    </w:p>
    <w:p>
      <w:pPr>
        <w:ind w:left="3900"/>
        <w:spacing w:after="0" w:line="197" w:lineRule="auto"/>
        <w:rPr>
          <w:sz w:val="20"/>
          <w:szCs w:val="20"/>
          <w:color w:val="auto"/>
        </w:rPr>
      </w:pPr>
      <w:r>
        <w:rPr>
          <w:rFonts w:ascii="Arial" w:cs="Arial" w:eastAsia="Arial" w:hAnsi="Arial"/>
          <w:sz w:val="20"/>
          <w:szCs w:val="20"/>
          <w:color w:val="auto"/>
        </w:rPr>
        <w:t>Name: Heidi Schmid Whiting</w:t>
      </w:r>
    </w:p>
    <w:p>
      <w:pPr>
        <w:ind w:left="3900"/>
        <w:spacing w:after="0"/>
        <w:rPr>
          <w:sz w:val="20"/>
          <w:szCs w:val="20"/>
          <w:color w:val="auto"/>
        </w:rPr>
      </w:pPr>
      <w:r>
        <w:rPr>
          <w:rFonts w:ascii="Arial" w:cs="Arial" w:eastAsia="Arial" w:hAnsi="Arial"/>
          <w:sz w:val="20"/>
          <w:szCs w:val="20"/>
          <w:color w:val="auto"/>
        </w:rPr>
        <w:t>Title: VP/General Cousel</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GRAHAM MEDIA GROUP, HOUSTON, INC.</w:t>
      </w:r>
    </w:p>
    <w:p>
      <w:pPr>
        <w:spacing w:after="0" w:line="200" w:lineRule="exact"/>
        <w:rPr>
          <w:sz w:val="20"/>
          <w:szCs w:val="20"/>
          <w:color w:val="auto"/>
        </w:rPr>
      </w:pPr>
    </w:p>
    <w:p>
      <w:pPr>
        <w:spacing w:after="0" w:line="22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 Heidi Schmid Whiting</w:t>
      </w:r>
    </w:p>
    <w:p>
      <w:pPr>
        <w:ind w:left="3900"/>
        <w:spacing w:after="0" w:line="197" w:lineRule="auto"/>
        <w:rPr>
          <w:sz w:val="20"/>
          <w:szCs w:val="20"/>
          <w:color w:val="auto"/>
        </w:rPr>
      </w:pPr>
      <w:r>
        <w:rPr>
          <w:rFonts w:ascii="Arial" w:cs="Arial" w:eastAsia="Arial" w:hAnsi="Arial"/>
          <w:sz w:val="20"/>
          <w:szCs w:val="20"/>
          <w:color w:val="auto"/>
        </w:rPr>
        <w:t>Name: Heidi Schmid Whiting</w:t>
      </w:r>
    </w:p>
    <w:p>
      <w:pPr>
        <w:ind w:left="3900"/>
        <w:spacing w:after="0"/>
        <w:rPr>
          <w:sz w:val="20"/>
          <w:szCs w:val="20"/>
          <w:color w:val="auto"/>
        </w:rPr>
      </w:pPr>
      <w:r>
        <w:rPr>
          <w:rFonts w:ascii="Arial" w:cs="Arial" w:eastAsia="Arial" w:hAnsi="Arial"/>
          <w:sz w:val="20"/>
          <w:szCs w:val="20"/>
          <w:color w:val="auto"/>
        </w:rPr>
        <w:t>Title: VP/General Cousel</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GRAHAM MEDIA GROUP, MICHIGAN, INC.</w:t>
      </w:r>
    </w:p>
    <w:p>
      <w:pPr>
        <w:spacing w:after="0" w:line="200" w:lineRule="exact"/>
        <w:rPr>
          <w:sz w:val="20"/>
          <w:szCs w:val="20"/>
          <w:color w:val="auto"/>
        </w:rPr>
      </w:pPr>
    </w:p>
    <w:p>
      <w:pPr>
        <w:spacing w:after="0" w:line="22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 Heidi Schmid Whiting</w:t>
      </w:r>
    </w:p>
    <w:p>
      <w:pPr>
        <w:ind w:left="3900"/>
        <w:spacing w:after="0" w:line="197" w:lineRule="auto"/>
        <w:rPr>
          <w:sz w:val="20"/>
          <w:szCs w:val="20"/>
          <w:color w:val="auto"/>
        </w:rPr>
      </w:pPr>
      <w:r>
        <w:rPr>
          <w:rFonts w:ascii="Arial" w:cs="Arial" w:eastAsia="Arial" w:hAnsi="Arial"/>
          <w:sz w:val="20"/>
          <w:szCs w:val="20"/>
          <w:color w:val="auto"/>
        </w:rPr>
        <w:t>Name: Heidi Schmid Whiting</w:t>
      </w:r>
    </w:p>
    <w:p>
      <w:pPr>
        <w:ind w:left="3900"/>
        <w:spacing w:after="0"/>
        <w:rPr>
          <w:sz w:val="20"/>
          <w:szCs w:val="20"/>
          <w:color w:val="auto"/>
        </w:rPr>
      </w:pPr>
      <w:r>
        <w:rPr>
          <w:rFonts w:ascii="Arial" w:cs="Arial" w:eastAsia="Arial" w:hAnsi="Arial"/>
          <w:sz w:val="20"/>
          <w:szCs w:val="20"/>
          <w:color w:val="auto"/>
        </w:rPr>
        <w:t>Title: VP/General Cousel:</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GRAHAM MEDIA GROUP, ORLANDO, INC.</w:t>
      </w:r>
    </w:p>
    <w:p>
      <w:pPr>
        <w:spacing w:after="0" w:line="200" w:lineRule="exact"/>
        <w:rPr>
          <w:sz w:val="20"/>
          <w:szCs w:val="20"/>
          <w:color w:val="auto"/>
        </w:rPr>
      </w:pPr>
    </w:p>
    <w:p>
      <w:pPr>
        <w:spacing w:after="0" w:line="22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 Heidi Schmid Whiting</w:t>
      </w:r>
    </w:p>
    <w:p>
      <w:pPr>
        <w:ind w:left="3900"/>
        <w:spacing w:after="0" w:line="197" w:lineRule="auto"/>
        <w:rPr>
          <w:sz w:val="20"/>
          <w:szCs w:val="20"/>
          <w:color w:val="auto"/>
        </w:rPr>
      </w:pPr>
      <w:r>
        <w:rPr>
          <w:rFonts w:ascii="Arial" w:cs="Arial" w:eastAsia="Arial" w:hAnsi="Arial"/>
          <w:sz w:val="20"/>
          <w:szCs w:val="20"/>
          <w:color w:val="auto"/>
        </w:rPr>
        <w:t>Name: Heidi Schmid Whiting</w:t>
      </w:r>
    </w:p>
    <w:p>
      <w:pPr>
        <w:ind w:left="3900"/>
        <w:spacing w:after="0"/>
        <w:rPr>
          <w:sz w:val="20"/>
          <w:szCs w:val="20"/>
          <w:color w:val="auto"/>
        </w:rPr>
      </w:pPr>
      <w:r>
        <w:rPr>
          <w:rFonts w:ascii="Arial" w:cs="Arial" w:eastAsia="Arial" w:hAnsi="Arial"/>
          <w:sz w:val="20"/>
          <w:szCs w:val="20"/>
          <w:color w:val="auto"/>
        </w:rPr>
        <w:t>Title: VP/General Cousel</w:t>
      </w:r>
    </w:p>
    <w:p>
      <w:pPr>
        <w:spacing w:after="0" w:line="200" w:lineRule="exact"/>
        <w:rPr>
          <w:sz w:val="20"/>
          <w:szCs w:val="20"/>
          <w:color w:val="auto"/>
        </w:rPr>
      </w:pPr>
    </w:p>
    <w:p>
      <w:pPr>
        <w:spacing w:after="0" w:line="229" w:lineRule="exact"/>
        <w:rPr>
          <w:sz w:val="20"/>
          <w:szCs w:val="20"/>
          <w:color w:val="auto"/>
        </w:rPr>
      </w:pPr>
    </w:p>
    <w:p>
      <w:pPr>
        <w:jc w:val="right"/>
        <w:ind w:right="2039"/>
        <w:spacing w:after="0"/>
        <w:rPr>
          <w:sz w:val="20"/>
          <w:szCs w:val="20"/>
          <w:color w:val="auto"/>
        </w:rPr>
      </w:pPr>
      <w:r>
        <w:rPr>
          <w:rFonts w:ascii="Arial" w:cs="Arial" w:eastAsia="Arial" w:hAnsi="Arial"/>
          <w:sz w:val="20"/>
          <w:szCs w:val="20"/>
          <w:color w:val="auto"/>
        </w:rPr>
        <w:t>GRAHAM MEDIA GROUP, SAN ANTONIO, INC.</w:t>
      </w:r>
    </w:p>
    <w:p>
      <w:pPr>
        <w:spacing w:after="0" w:line="200" w:lineRule="exact"/>
        <w:rPr>
          <w:sz w:val="20"/>
          <w:szCs w:val="20"/>
          <w:color w:val="auto"/>
        </w:rPr>
      </w:pPr>
    </w:p>
    <w:p>
      <w:pPr>
        <w:spacing w:after="0" w:line="22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 Heidi Schmid Whiting</w:t>
      </w:r>
    </w:p>
    <w:p>
      <w:pPr>
        <w:ind w:left="3900"/>
        <w:spacing w:after="0" w:line="197" w:lineRule="auto"/>
        <w:rPr>
          <w:sz w:val="20"/>
          <w:szCs w:val="20"/>
          <w:color w:val="auto"/>
        </w:rPr>
      </w:pPr>
      <w:r>
        <w:rPr>
          <w:rFonts w:ascii="Arial" w:cs="Arial" w:eastAsia="Arial" w:hAnsi="Arial"/>
          <w:sz w:val="20"/>
          <w:szCs w:val="20"/>
          <w:color w:val="auto"/>
        </w:rPr>
        <w:t>Name: Heidi Schmid Whiting</w:t>
      </w:r>
    </w:p>
    <w:p>
      <w:pPr>
        <w:ind w:left="3900"/>
        <w:spacing w:after="0"/>
        <w:rPr>
          <w:sz w:val="20"/>
          <w:szCs w:val="20"/>
          <w:color w:val="auto"/>
        </w:rPr>
      </w:pPr>
      <w:r>
        <w:rPr>
          <w:rFonts w:ascii="Arial" w:cs="Arial" w:eastAsia="Arial" w:hAnsi="Arial"/>
          <w:sz w:val="20"/>
          <w:szCs w:val="20"/>
          <w:color w:val="auto"/>
        </w:rPr>
        <w:t>Title: VP/General Cousel</w:t>
      </w:r>
    </w:p>
    <w:p>
      <w:pPr>
        <w:sectPr>
          <w:pgSz w:w="11900" w:h="16838" w:orient="portrait"/>
          <w:cols w:equalWidth="0" w:num="1">
            <w:col w:w="10139"/>
          </w:cols>
          <w:pgMar w:left="320" w:top="1405" w:right="1440" w:bottom="1440" w:gutter="0" w:footer="0" w:header="0"/>
        </w:sectPr>
      </w:pPr>
    </w:p>
    <w:bookmarkStart w:id="129" w:name="page130"/>
    <w:bookmarkEnd w:id="129"/>
    <w:p>
      <w:pPr>
        <w:ind w:left="2780"/>
        <w:spacing w:after="0"/>
        <w:rPr>
          <w:sz w:val="20"/>
          <w:szCs w:val="20"/>
          <w:color w:val="auto"/>
        </w:rPr>
      </w:pPr>
      <w:r>
        <w:rPr>
          <w:rFonts w:ascii="Arial" w:cs="Arial" w:eastAsia="Arial" w:hAnsi="Arial"/>
          <w:sz w:val="20"/>
          <w:szCs w:val="20"/>
          <w:color w:val="auto"/>
        </w:rPr>
        <w:t>GROUP DEKKO INC.</w:t>
      </w:r>
    </w:p>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David Burnworth</w:t>
      </w:r>
    </w:p>
    <w:p>
      <w:pPr>
        <w:ind w:left="2780"/>
        <w:spacing w:after="0" w:line="197" w:lineRule="auto"/>
        <w:rPr>
          <w:sz w:val="20"/>
          <w:szCs w:val="20"/>
          <w:color w:val="auto"/>
        </w:rPr>
      </w:pPr>
      <w:r>
        <w:rPr>
          <w:rFonts w:ascii="Arial" w:cs="Arial" w:eastAsia="Arial" w:hAnsi="Arial"/>
          <w:sz w:val="20"/>
          <w:szCs w:val="20"/>
          <w:color w:val="auto"/>
        </w:rPr>
        <w:t>Name: David Burnworth</w:t>
      </w:r>
    </w:p>
    <w:p>
      <w:pPr>
        <w:ind w:left="278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GROUP DEKKO HOLDINGS INC..</w:t>
      </w:r>
    </w:p>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David Burnworth</w:t>
      </w:r>
    </w:p>
    <w:p>
      <w:pPr>
        <w:ind w:left="2780"/>
        <w:spacing w:after="0" w:line="197" w:lineRule="auto"/>
        <w:rPr>
          <w:sz w:val="20"/>
          <w:szCs w:val="20"/>
          <w:color w:val="auto"/>
        </w:rPr>
      </w:pPr>
      <w:r>
        <w:rPr>
          <w:rFonts w:ascii="Arial" w:cs="Arial" w:eastAsia="Arial" w:hAnsi="Arial"/>
          <w:sz w:val="20"/>
          <w:szCs w:val="20"/>
          <w:color w:val="auto"/>
        </w:rPr>
        <w:t>Name: Daivd Burnworth</w:t>
      </w:r>
    </w:p>
    <w:p>
      <w:pPr>
        <w:ind w:left="278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FRTW HOLDINGS LLC</w:t>
      </w:r>
    </w:p>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Herbert</w:t>
      </w:r>
    </w:p>
    <w:p>
      <w:pPr>
        <w:ind w:left="2780"/>
        <w:spacing w:after="0" w:line="197" w:lineRule="auto"/>
        <w:rPr>
          <w:sz w:val="20"/>
          <w:szCs w:val="20"/>
          <w:color w:val="auto"/>
        </w:rPr>
      </w:pPr>
      <w:r>
        <w:rPr>
          <w:rFonts w:ascii="Arial" w:cs="Arial" w:eastAsia="Arial" w:hAnsi="Arial"/>
          <w:sz w:val="20"/>
          <w:szCs w:val="20"/>
          <w:color w:val="auto"/>
        </w:rPr>
        <w:t>Name: William Herbert</w:t>
      </w:r>
    </w:p>
    <w:p>
      <w:pPr>
        <w:ind w:left="2780"/>
        <w:spacing w:after="0"/>
        <w:rPr>
          <w:sz w:val="20"/>
          <w:szCs w:val="20"/>
          <w:color w:val="auto"/>
        </w:rPr>
      </w:pPr>
      <w:r>
        <w:rPr>
          <w:rFonts w:ascii="Arial" w:cs="Arial" w:eastAsia="Arial" w:hAnsi="Arial"/>
          <w:sz w:val="20"/>
          <w:szCs w:val="20"/>
          <w:color w:val="auto"/>
        </w:rPr>
        <w:t>Title: CFO</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KAPLAN, INC.</w:t>
      </w:r>
    </w:p>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Mathew C. Seelye</w:t>
      </w:r>
    </w:p>
    <w:p>
      <w:pPr>
        <w:ind w:left="2780"/>
        <w:spacing w:after="0" w:line="197" w:lineRule="auto"/>
        <w:rPr>
          <w:sz w:val="20"/>
          <w:szCs w:val="20"/>
          <w:color w:val="auto"/>
        </w:rPr>
      </w:pPr>
      <w:r>
        <w:rPr>
          <w:rFonts w:ascii="Arial" w:cs="Arial" w:eastAsia="Arial" w:hAnsi="Arial"/>
          <w:sz w:val="20"/>
          <w:szCs w:val="20"/>
          <w:color w:val="auto"/>
        </w:rPr>
        <w:t>Name: Mathew C. Seelye</w:t>
      </w:r>
    </w:p>
    <w:p>
      <w:pPr>
        <w:ind w:left="27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IOWA COLLEGE ACQUISITION, LLC</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David Adams</w:t>
      </w:r>
    </w:p>
    <w:p>
      <w:pPr>
        <w:ind w:left="2780"/>
        <w:spacing w:after="0" w:line="197" w:lineRule="auto"/>
        <w:rPr>
          <w:sz w:val="20"/>
          <w:szCs w:val="20"/>
          <w:color w:val="auto"/>
        </w:rPr>
      </w:pPr>
      <w:r>
        <w:rPr>
          <w:rFonts w:ascii="Arial" w:cs="Arial" w:eastAsia="Arial" w:hAnsi="Arial"/>
          <w:sz w:val="20"/>
          <w:szCs w:val="20"/>
          <w:color w:val="auto"/>
        </w:rPr>
        <w:t>Name: David Adams</w:t>
      </w:r>
    </w:p>
    <w:p>
      <w:pPr>
        <w:ind w:left="2780"/>
        <w:spacing w:after="0"/>
        <w:rPr>
          <w:sz w:val="20"/>
          <w:szCs w:val="20"/>
          <w:color w:val="auto"/>
        </w:rPr>
      </w:pPr>
      <w:r>
        <w:rPr>
          <w:rFonts w:ascii="Arial" w:cs="Arial" w:eastAsia="Arial" w:hAnsi="Arial"/>
          <w:sz w:val="20"/>
          <w:szCs w:val="20"/>
          <w:color w:val="auto"/>
        </w:rPr>
        <w:t>Title: General Counsel, Officer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DF INSTITUTE, LLC</w:t>
      </w:r>
    </w:p>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David Adams</w:t>
      </w:r>
    </w:p>
    <w:p>
      <w:pPr>
        <w:ind w:left="2780"/>
        <w:spacing w:after="0" w:line="197" w:lineRule="auto"/>
        <w:rPr>
          <w:sz w:val="20"/>
          <w:szCs w:val="20"/>
          <w:color w:val="auto"/>
        </w:rPr>
      </w:pPr>
      <w:r>
        <w:rPr>
          <w:rFonts w:ascii="Arial" w:cs="Arial" w:eastAsia="Arial" w:hAnsi="Arial"/>
          <w:sz w:val="20"/>
          <w:szCs w:val="20"/>
          <w:color w:val="auto"/>
        </w:rPr>
        <w:t>Name: David Adams</w:t>
      </w:r>
    </w:p>
    <w:p>
      <w:pPr>
        <w:ind w:left="2780"/>
        <w:spacing w:after="0"/>
        <w:rPr>
          <w:sz w:val="20"/>
          <w:szCs w:val="20"/>
          <w:color w:val="auto"/>
        </w:rPr>
      </w:pPr>
      <w:r>
        <w:rPr>
          <w:rFonts w:ascii="Arial" w:cs="Arial" w:eastAsia="Arial" w:hAnsi="Arial"/>
          <w:sz w:val="20"/>
          <w:szCs w:val="20"/>
          <w:color w:val="auto"/>
        </w:rPr>
        <w:t>Title: General Counsel, Officer</w:t>
      </w:r>
    </w:p>
    <w:p>
      <w:pPr>
        <w:sectPr>
          <w:pgSz w:w="11900" w:h="16838" w:orient="portrait"/>
          <w:cols w:equalWidth="0" w:num="1">
            <w:col w:w="9019"/>
          </w:cols>
          <w:pgMar w:left="1440" w:top="1405" w:right="1440" w:bottom="1440" w:gutter="0" w:footer="0" w:header="0"/>
        </w:sectPr>
      </w:pPr>
    </w:p>
    <w:bookmarkStart w:id="130" w:name="page131"/>
    <w:bookmarkEnd w:id="130"/>
    <w:p>
      <w:pPr>
        <w:ind w:left="2780"/>
        <w:spacing w:after="0"/>
        <w:rPr>
          <w:sz w:val="20"/>
          <w:szCs w:val="20"/>
          <w:color w:val="auto"/>
        </w:rPr>
      </w:pPr>
      <w:r>
        <w:rPr>
          <w:rFonts w:ascii="Arial" w:cs="Arial" w:eastAsia="Arial" w:hAnsi="Arial"/>
          <w:sz w:val="19"/>
          <w:szCs w:val="19"/>
          <w:color w:val="auto"/>
        </w:rPr>
        <w:t>KAPLAN INTERNATIONAL NORTH AMERICA, LLC</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Ashley Pomonis</w:t>
      </w:r>
    </w:p>
    <w:p>
      <w:pPr>
        <w:ind w:left="2780"/>
        <w:spacing w:after="0" w:line="197" w:lineRule="auto"/>
        <w:rPr>
          <w:sz w:val="20"/>
          <w:szCs w:val="20"/>
          <w:color w:val="auto"/>
        </w:rPr>
      </w:pPr>
      <w:r>
        <w:rPr>
          <w:rFonts w:ascii="Arial" w:cs="Arial" w:eastAsia="Arial" w:hAnsi="Arial"/>
          <w:sz w:val="20"/>
          <w:szCs w:val="20"/>
          <w:color w:val="auto"/>
        </w:rPr>
        <w:t>Name: Ashley Pomonis</w:t>
      </w:r>
    </w:p>
    <w:p>
      <w:pPr>
        <w:ind w:left="278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GRAHAM HEALTHCARE GROUP, INC.</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Jason T. Pierce</w:t>
      </w:r>
    </w:p>
    <w:p>
      <w:pPr>
        <w:ind w:left="2780"/>
        <w:spacing w:after="0" w:line="197" w:lineRule="auto"/>
        <w:rPr>
          <w:sz w:val="20"/>
          <w:szCs w:val="20"/>
          <w:color w:val="auto"/>
        </w:rPr>
      </w:pPr>
      <w:r>
        <w:rPr>
          <w:rFonts w:ascii="Arial" w:cs="Arial" w:eastAsia="Arial" w:hAnsi="Arial"/>
          <w:sz w:val="20"/>
          <w:szCs w:val="20"/>
          <w:color w:val="auto"/>
        </w:rPr>
        <w:t>Name: Jason T. Pierce</w:t>
      </w:r>
    </w:p>
    <w:p>
      <w:pPr>
        <w:ind w:left="2780"/>
        <w:spacing w:after="0"/>
        <w:rPr>
          <w:sz w:val="20"/>
          <w:szCs w:val="20"/>
          <w:color w:val="auto"/>
        </w:rPr>
      </w:pPr>
      <w:r>
        <w:rPr>
          <w:rFonts w:ascii="Arial" w:cs="Arial" w:eastAsia="Arial" w:hAnsi="Arial"/>
          <w:sz w:val="20"/>
          <w:szCs w:val="20"/>
          <w:color w:val="auto"/>
        </w:rPr>
        <w:t>Title: CFO</w:t>
      </w:r>
    </w:p>
    <w:p>
      <w:pPr>
        <w:sectPr>
          <w:pgSz w:w="11900" w:h="16838" w:orient="portrait"/>
          <w:cols w:equalWidth="0" w:num="1">
            <w:col w:w="9019"/>
          </w:cols>
          <w:pgMar w:left="1440" w:top="1405" w:right="1440" w:bottom="1440" w:gutter="0" w:footer="0" w:header="0"/>
        </w:sectPr>
      </w:pPr>
    </w:p>
    <w:bookmarkStart w:id="131" w:name="page132"/>
    <w:bookmarkEnd w:id="131"/>
    <w:p>
      <w:pPr>
        <w:ind w:left="1540" w:right="99" w:hanging="4535"/>
        <w:spacing w:after="0" w:line="232" w:lineRule="auto"/>
        <w:tabs>
          <w:tab w:leader="none" w:pos="1520" w:val="left"/>
        </w:tabs>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 national banking association, as</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and as a Lender</w:t>
      </w:r>
    </w:p>
    <w:p>
      <w:pPr>
        <w:spacing w:after="0" w:line="157"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Katherine A. Marcotte</w:t>
      </w:r>
    </w:p>
    <w:p>
      <w:pPr>
        <w:ind w:left="3420"/>
        <w:spacing w:after="0" w:line="197" w:lineRule="auto"/>
        <w:rPr>
          <w:sz w:val="20"/>
          <w:szCs w:val="20"/>
          <w:color w:val="auto"/>
        </w:rPr>
      </w:pPr>
      <w:r>
        <w:rPr>
          <w:rFonts w:ascii="Arial" w:cs="Arial" w:eastAsia="Arial" w:hAnsi="Arial"/>
          <w:sz w:val="20"/>
          <w:szCs w:val="20"/>
          <w:color w:val="auto"/>
        </w:rPr>
        <w:t>Name: Katherine A. Marcotte</w:t>
      </w:r>
    </w:p>
    <w:p>
      <w:pPr>
        <w:ind w:left="342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399" w:right="1440"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u w:val="single" w:color="auto"/>
          <w:color w:val="auto"/>
        </w:rPr>
        <w:t>LENDERS</w:t>
      </w:r>
      <w:r>
        <w:rPr>
          <w:rFonts w:ascii="Arial" w:cs="Arial" w:eastAsia="Arial" w:hAnsi="Arial"/>
          <w:sz w:val="20"/>
          <w:szCs w:val="20"/>
          <w:color w:val="auto"/>
        </w:rPr>
        <w:t>:</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JPMORGAN CHASE BANK, N.A.</w:t>
      </w:r>
    </w:p>
    <w:p>
      <w:pPr>
        <w:spacing w:after="0" w:line="187"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Alicia Schreibstein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3487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3900"/>
        <w:spacing w:after="0" w:line="204" w:lineRule="auto"/>
        <w:tabs>
          <w:tab w:leader="none" w:pos="4720" w:val="left"/>
        </w:tabs>
        <w:rPr>
          <w:sz w:val="20"/>
          <w:szCs w:val="20"/>
          <w:color w:val="auto"/>
        </w:rPr>
      </w:pPr>
      <w:r>
        <w:rPr>
          <w:rFonts w:ascii="Arial" w:cs="Arial" w:eastAsia="Arial" w:hAnsi="Arial"/>
          <w:sz w:val="22"/>
          <w:szCs w:val="22"/>
          <w:color w:val="auto"/>
        </w:rPr>
        <w:t>Name:</w:t>
        <w:tab/>
        <w:t>Alicia Schreibstein</w:t>
      </w:r>
    </w:p>
    <w:p>
      <w:pPr>
        <w:spacing w:after="0" w:line="1"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2"/>
          <w:szCs w:val="22"/>
          <w:color w:val="auto"/>
        </w:rPr>
        <w:t>Title:</w:t>
        <w:tab/>
        <w:t>Executive Director</w:t>
      </w:r>
    </w:p>
    <w:p>
      <w:pPr>
        <w:spacing w:after="0" w:line="188" w:lineRule="exact"/>
        <w:rPr>
          <w:sz w:val="20"/>
          <w:szCs w:val="20"/>
          <w:color w:val="auto"/>
        </w:rPr>
      </w:pPr>
    </w:p>
    <w:p>
      <w:pPr>
        <w:jc w:val="right"/>
        <w:ind w:right="1419"/>
        <w:spacing w:after="0"/>
        <w:rPr>
          <w:sz w:val="20"/>
          <w:szCs w:val="20"/>
          <w:color w:val="auto"/>
        </w:rPr>
      </w:pPr>
      <w:r>
        <w:rPr>
          <w:rFonts w:ascii="Arial" w:cs="Arial" w:eastAsia="Arial" w:hAnsi="Arial"/>
          <w:sz w:val="22"/>
          <w:szCs w:val="22"/>
          <w:color w:val="auto"/>
        </w:rPr>
        <w:t>WELLS FARGO BANK, NATIONAL ASSOCIATION</w:t>
      </w:r>
    </w:p>
    <w:p>
      <w:pPr>
        <w:spacing w:after="0" w:line="187"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Katherine A. Marcotte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5386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ind w:left="3900"/>
        <w:spacing w:after="0" w:line="204" w:lineRule="auto"/>
        <w:tabs>
          <w:tab w:leader="none" w:pos="4780" w:val="left"/>
        </w:tabs>
        <w:rPr>
          <w:sz w:val="20"/>
          <w:szCs w:val="20"/>
          <w:color w:val="auto"/>
        </w:rPr>
      </w:pPr>
      <w:r>
        <w:rPr>
          <w:rFonts w:ascii="Arial" w:cs="Arial" w:eastAsia="Arial" w:hAnsi="Arial"/>
          <w:sz w:val="22"/>
          <w:szCs w:val="22"/>
          <w:color w:val="auto"/>
        </w:rPr>
        <w:t>Name:</w:t>
        <w:tab/>
        <w:t>Katherine A. Marcotte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HSBC BANK USA, NATIONAL ASSOCIATION</w:t>
      </w:r>
    </w:p>
    <w:p>
      <w:pPr>
        <w:spacing w:after="0" w:line="187"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Alyssa Champion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280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3900"/>
        <w:spacing w:after="0" w:line="204" w:lineRule="auto"/>
        <w:tabs>
          <w:tab w:leader="none" w:pos="4780" w:val="left"/>
        </w:tabs>
        <w:rPr>
          <w:sz w:val="20"/>
          <w:szCs w:val="20"/>
          <w:color w:val="auto"/>
        </w:rPr>
      </w:pPr>
      <w:r>
        <w:rPr>
          <w:rFonts w:ascii="Arial" w:cs="Arial" w:eastAsia="Arial" w:hAnsi="Arial"/>
          <w:sz w:val="22"/>
          <w:szCs w:val="22"/>
          <w:color w:val="auto"/>
        </w:rPr>
        <w:t>Name:</w:t>
        <w:tab/>
        <w:t>Alyssa Champion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BANK OF AMERICA, N.A.</w:t>
      </w:r>
    </w:p>
    <w:p>
      <w:pPr>
        <w:spacing w:after="0" w:line="187"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Mark A. Zirkle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1353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ind w:left="3900"/>
        <w:spacing w:after="0" w:line="204" w:lineRule="auto"/>
        <w:tabs>
          <w:tab w:leader="none" w:pos="4780" w:val="left"/>
        </w:tabs>
        <w:rPr>
          <w:sz w:val="20"/>
          <w:szCs w:val="20"/>
          <w:color w:val="auto"/>
        </w:rPr>
      </w:pPr>
      <w:r>
        <w:rPr>
          <w:rFonts w:ascii="Arial" w:cs="Arial" w:eastAsia="Arial" w:hAnsi="Arial"/>
          <w:sz w:val="22"/>
          <w:szCs w:val="22"/>
          <w:color w:val="auto"/>
        </w:rPr>
        <w:t>Name:</w:t>
        <w:tab/>
        <w:t>Mark A. Zirkle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PNC BANK, NATIONAL ASSOCIATION</w:t>
      </w:r>
    </w:p>
    <w:p>
      <w:pPr>
        <w:spacing w:after="0" w:line="187"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Eric 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228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3900"/>
        <w:spacing w:after="0" w:line="204" w:lineRule="auto"/>
        <w:tabs>
          <w:tab w:leader="none" w:pos="4780" w:val="left"/>
        </w:tabs>
        <w:rPr>
          <w:sz w:val="20"/>
          <w:szCs w:val="20"/>
          <w:color w:val="auto"/>
        </w:rPr>
      </w:pPr>
      <w:r>
        <w:rPr>
          <w:rFonts w:ascii="Arial" w:cs="Arial" w:eastAsia="Arial" w:hAnsi="Arial"/>
          <w:sz w:val="22"/>
          <w:szCs w:val="22"/>
          <w:color w:val="auto"/>
        </w:rPr>
        <w:t>Name:</w:t>
        <w:tab/>
        <w:t>Eric H. Williams</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BANK OF NEW YORK MELLON</w:t>
      </w:r>
    </w:p>
    <w:p>
      <w:pPr>
        <w:spacing w:after="0" w:line="187"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William M. Feathers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4344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1434465" cy="8890"/>
                    </a:xfrm>
                    <a:prstGeom prst="rect">
                      <a:avLst/>
                    </a:prstGeom>
                    <a:noFill/>
                  </pic:spPr>
                </pic:pic>
              </a:graphicData>
            </a:graphic>
          </wp:anchor>
        </w:drawing>
      </w:r>
    </w:p>
    <w:p>
      <w:pPr>
        <w:ind w:left="3900"/>
        <w:spacing w:after="0" w:line="204" w:lineRule="auto"/>
        <w:tabs>
          <w:tab w:leader="none" w:pos="4780" w:val="left"/>
        </w:tabs>
        <w:rPr>
          <w:sz w:val="20"/>
          <w:szCs w:val="20"/>
          <w:color w:val="auto"/>
        </w:rPr>
      </w:pPr>
      <w:r>
        <w:rPr>
          <w:rFonts w:ascii="Arial" w:cs="Arial" w:eastAsia="Arial" w:hAnsi="Arial"/>
          <w:sz w:val="22"/>
          <w:szCs w:val="22"/>
          <w:color w:val="auto"/>
        </w:rPr>
        <w:t>Name:</w:t>
        <w:tab/>
        <w:t>William M. Feathers</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10139"/>
          </w:cols>
          <w:pgMar w:left="320" w:top="1405" w:right="1440" w:bottom="1440" w:gutter="0" w:footer="0" w:header="0"/>
        </w:sectPr>
      </w:pPr>
    </w:p>
    <w:bookmarkStart w:id="133" w:name="page134"/>
    <w:bookmarkEnd w:id="133"/>
    <w:p>
      <w:pPr>
        <w:ind w:left="4860"/>
        <w:spacing w:after="0"/>
        <w:rPr>
          <w:sz w:val="20"/>
          <w:szCs w:val="20"/>
          <w:color w:val="auto"/>
        </w:rPr>
      </w:pPr>
      <w:r>
        <w:rPr>
          <w:rFonts w:ascii="Arial" w:cs="Arial" w:eastAsia="Arial" w:hAnsi="Arial"/>
          <w:sz w:val="16"/>
          <w:szCs w:val="16"/>
          <w:i w:val="1"/>
          <w:iCs w:val="1"/>
          <w:color w:val="auto"/>
        </w:rPr>
        <w:t>Conformed through the First Amendment dated as of November 23, 2021</w:t>
      </w: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U.S. $300,000,000</w:t>
      </w:r>
    </w:p>
    <w:p>
      <w:pPr>
        <w:spacing w:after="0" w:line="11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AMENDED AND RESTATED FIVE YEAR CREDIT AGREEMENT</w:t>
      </w: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May 30, 2018</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Among</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GRAHAM HOLDINGS COMPANY</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Company</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THE FOREIGN BORROWERS FROM TIME TO TIME PARTY HERETO</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Foreign Borrowers</w:t>
      </w:r>
    </w:p>
    <w:p>
      <w:pPr>
        <w:spacing w:after="0" w:line="24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THE GUARANTORS LISTED ON THE SIGNATURE PAGES HEREOF</w:t>
      </w:r>
    </w:p>
    <w:p>
      <w:pPr>
        <w:jc w:val="center"/>
        <w:ind w:right="1120"/>
        <w:spacing w:after="0"/>
        <w:rPr>
          <w:sz w:val="20"/>
          <w:szCs w:val="20"/>
          <w:color w:val="auto"/>
        </w:rPr>
      </w:pPr>
      <w:r>
        <w:rPr>
          <w:rFonts w:ascii="Arial" w:cs="Arial" w:eastAsia="Arial" w:hAnsi="Arial"/>
          <w:sz w:val="22"/>
          <w:szCs w:val="22"/>
          <w:u w:val="single" w:color="auto"/>
          <w:color w:val="auto"/>
        </w:rPr>
        <w:t>as Guarantors</w:t>
      </w:r>
    </w:p>
    <w:p>
      <w:pPr>
        <w:spacing w:after="0" w:line="9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THE INITIAL LENDERS NAMED HEREIN</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Initial Lenders</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Administrative Agent</w:t>
      </w:r>
    </w:p>
    <w:p>
      <w:pPr>
        <w:spacing w:after="0" w:line="24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92"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JPMORGAN CHASE BANK, N.A.</w:t>
      </w:r>
    </w:p>
    <w:p>
      <w:pPr>
        <w:spacing w:after="0" w:line="118" w:lineRule="exact"/>
        <w:rPr>
          <w:sz w:val="20"/>
          <w:szCs w:val="20"/>
          <w:color w:val="auto"/>
        </w:rPr>
      </w:pPr>
    </w:p>
    <w:p>
      <w:pPr>
        <w:ind w:left="3580"/>
        <w:spacing w:after="0"/>
        <w:rPr>
          <w:sz w:val="20"/>
          <w:szCs w:val="20"/>
          <w:color w:val="auto"/>
        </w:rPr>
      </w:pPr>
      <w:r>
        <w:rPr>
          <w:rFonts w:ascii="Arial" w:cs="Arial" w:eastAsia="Arial" w:hAnsi="Arial"/>
          <w:sz w:val="22"/>
          <w:szCs w:val="22"/>
          <w:u w:val="single" w:color="auto"/>
          <w:color w:val="auto"/>
        </w:rPr>
        <w:t>as Syndication Agent</w:t>
      </w:r>
    </w:p>
    <w:p>
      <w:pPr>
        <w:spacing w:after="0" w:line="79"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HSBC BANK USA, NATIONAL ASSOCIATION</w:t>
      </w:r>
    </w:p>
    <w:p>
      <w:pPr>
        <w:jc w:val="center"/>
        <w:ind w:right="1120"/>
        <w:spacing w:after="0" w:line="204" w:lineRule="auto"/>
        <w:rPr>
          <w:sz w:val="20"/>
          <w:szCs w:val="20"/>
          <w:color w:val="auto"/>
        </w:rPr>
      </w:pPr>
      <w:r>
        <w:rPr>
          <w:rFonts w:ascii="Arial" w:cs="Arial" w:eastAsia="Arial" w:hAnsi="Arial"/>
          <w:sz w:val="22"/>
          <w:szCs w:val="22"/>
          <w:b w:val="1"/>
          <w:bCs w:val="1"/>
          <w:color w:val="auto"/>
        </w:rPr>
        <w:t>BANK OF AMERICA, N.A.</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Documentation Agents</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WELLS FARGO SECURITIES, LLC</w:t>
      </w:r>
    </w:p>
    <w:p>
      <w:pPr>
        <w:jc w:val="center"/>
        <w:ind w:right="1120"/>
        <w:spacing w:after="0" w:line="204" w:lineRule="auto"/>
        <w:rPr>
          <w:sz w:val="20"/>
          <w:szCs w:val="20"/>
          <w:color w:val="auto"/>
        </w:rPr>
      </w:pPr>
      <w:r>
        <w:rPr>
          <w:rFonts w:ascii="Arial" w:cs="Arial" w:eastAsia="Arial" w:hAnsi="Arial"/>
          <w:sz w:val="22"/>
          <w:szCs w:val="22"/>
          <w:b w:val="1"/>
          <w:bCs w:val="1"/>
          <w:color w:val="auto"/>
        </w:rPr>
        <w:t>JPMORGAN CHASE BANK, N.A.</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Joint Lead Arrangers and Joint Book Managers</w:t>
      </w:r>
    </w:p>
    <w:p>
      <w:pPr>
        <w:sectPr>
          <w:pgSz w:w="11900" w:h="16838" w:orient="portrait"/>
          <w:cols w:equalWidth="0" w:num="1">
            <w:col w:w="10120"/>
          </w:cols>
          <w:pgMar w:left="1440" w:top="1408" w:right="339" w:bottom="1440" w:gutter="0" w:footer="0" w:header="0"/>
        </w:sectPr>
      </w:pPr>
    </w:p>
    <w:bookmarkStart w:id="134" w:name="page135"/>
    <w:bookmarkEnd w:id="134"/>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TABLE OF CONTENTS</w:t>
      </w:r>
    </w:p>
    <w:tbl>
      <w:tblPr>
        <w:tblLayout w:type="fixed"/>
        <w:tblInd w:w="0" w:type="dxa"/>
        <w:tblCellMar>
          <w:top w:w="0" w:type="dxa"/>
          <w:left w:w="0" w:type="dxa"/>
          <w:bottom w:w="0" w:type="dxa"/>
          <w:right w:w="0" w:type="dxa"/>
        </w:tblCellMar>
      </w:tblPr>
      <w:tr>
        <w:trPr>
          <w:trHeight w:val="274"/>
        </w:trPr>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w w:val="77"/>
              </w:rPr>
              <w:t>Page</w:t>
            </w:r>
          </w:p>
        </w:tc>
      </w:tr>
      <w:tr>
        <w:trPr>
          <w:trHeight w:val="444"/>
        </w:trPr>
        <w:tc>
          <w:tcPr>
            <w:tcW w:w="10420" w:type="dxa"/>
            <w:vAlign w:val="bottom"/>
            <w:gridSpan w:val="33"/>
          </w:tcPr>
          <w:p>
            <w:pPr>
              <w:spacing w:after="0"/>
              <w:rPr>
                <w:sz w:val="20"/>
                <w:szCs w:val="20"/>
                <w:color w:val="auto"/>
              </w:rPr>
            </w:pPr>
            <w:r>
              <w:rPr>
                <w:rFonts w:ascii="Arial" w:cs="Arial" w:eastAsia="Arial" w:hAnsi="Arial"/>
                <w:sz w:val="22"/>
                <w:szCs w:val="22"/>
                <w:color w:val="auto"/>
              </w:rPr>
              <w:t>ARTICLE I DEFINITIONS AND ACCOUNTING TERMS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37">
              <w:r>
                <w:rPr>
                  <w:rFonts w:ascii="Arial" w:cs="Arial" w:eastAsia="Arial" w:hAnsi="Arial"/>
                  <w:sz w:val="19"/>
                  <w:szCs w:val="19"/>
                  <w:color w:val="auto"/>
                  <w:w w:val="75"/>
                </w:rPr>
                <w:t>1</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1.01.  Certain Defined Terms</w:t>
            </w:r>
          </w:p>
        </w:tc>
        <w:tc>
          <w:tcPr>
            <w:tcW w:w="100" w:type="dxa"/>
            <w:vAlign w:val="bottom"/>
          </w:tcPr>
          <w:p>
            <w:pPr>
              <w:spacing w:after="0"/>
              <w:rPr>
                <w:rFonts w:ascii="Arial" w:cs="Arial" w:eastAsia="Arial" w:hAnsi="Arial"/>
                <w:sz w:val="19"/>
                <w:szCs w:val="19"/>
                <w:color w:val="auto"/>
                <w:w w:val="75"/>
              </w:rPr>
            </w:pPr>
            <w:hyperlink w:anchor="page137">
              <w:r>
                <w:rPr>
                  <w:rFonts w:ascii="Arial" w:cs="Arial" w:eastAsia="Arial" w:hAnsi="Arial"/>
                  <w:sz w:val="19"/>
                  <w:szCs w:val="19"/>
                  <w:color w:val="auto"/>
                  <w:w w:val="75"/>
                </w:rPr>
                <w:t>1</w:t>
              </w:r>
            </w:hyperlink>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1.02.  Computation of Time Periods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36</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1.03.</w:t>
            </w:r>
          </w:p>
        </w:tc>
        <w:tc>
          <w:tcPr>
            <w:tcW w:w="80" w:type="dxa"/>
            <w:vAlign w:val="bottom"/>
          </w:tcPr>
          <w:p>
            <w:pPr>
              <w:spacing w:after="0"/>
              <w:rPr>
                <w:sz w:val="21"/>
                <w:szCs w:val="21"/>
                <w:color w:val="auto"/>
              </w:rPr>
            </w:pPr>
          </w:p>
        </w:tc>
        <w:tc>
          <w:tcPr>
            <w:tcW w:w="1540" w:type="dxa"/>
            <w:vAlign w:val="bottom"/>
            <w:tcBorders>
              <w:top w:val="single" w:sz="8" w:color="auto"/>
              <w:bottom w:val="single" w:sz="8" w:color="auto"/>
            </w:tcBorders>
            <w:gridSpan w:val="9"/>
          </w:tcPr>
          <w:p>
            <w:pPr>
              <w:spacing w:after="0" w:line="250" w:lineRule="exact"/>
              <w:rPr>
                <w:sz w:val="20"/>
                <w:szCs w:val="20"/>
                <w:color w:val="auto"/>
              </w:rPr>
            </w:pPr>
            <w:r>
              <w:rPr>
                <w:rFonts w:ascii="Arial" w:cs="Arial" w:eastAsia="Arial" w:hAnsi="Arial"/>
                <w:sz w:val="22"/>
                <w:szCs w:val="22"/>
                <w:color w:val="auto"/>
                <w:w w:val="85"/>
              </w:rPr>
              <w:t>Accounting Terms</w:t>
            </w:r>
          </w:p>
        </w:tc>
        <w:tc>
          <w:tcPr>
            <w:tcW w:w="960" w:type="dxa"/>
            <w:vAlign w:val="bottom"/>
            <w:tcBorders>
              <w:top w:val="single" w:sz="8" w:color="auto"/>
            </w:tcBorders>
            <w:gridSpan w:val="11"/>
          </w:tcPr>
          <w:p>
            <w:pPr>
              <w:spacing w:after="0"/>
              <w:rPr>
                <w:sz w:val="21"/>
                <w:szCs w:val="21"/>
                <w:color w:val="auto"/>
              </w:rPr>
            </w:pPr>
          </w:p>
        </w:tc>
        <w:tc>
          <w:tcPr>
            <w:tcW w:w="6240" w:type="dxa"/>
            <w:vAlign w:val="bottom"/>
            <w:gridSpan w:val="11"/>
          </w:tcPr>
          <w:p>
            <w:pPr>
              <w:spacing w:after="0"/>
              <w:rPr>
                <w:sz w:val="21"/>
                <w:szCs w:val="21"/>
                <w:color w:val="auto"/>
              </w:rPr>
            </w:pPr>
          </w:p>
        </w:tc>
        <w:tc>
          <w:tcPr>
            <w:tcW w:w="220" w:type="dxa"/>
            <w:vAlign w:val="bottom"/>
            <w:tcBorders>
              <w:top w:val="single" w:sz="8" w:color="auto"/>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36</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1.04.</w:t>
            </w:r>
          </w:p>
        </w:tc>
        <w:tc>
          <w:tcPr>
            <w:tcW w:w="80" w:type="dxa"/>
            <w:vAlign w:val="bottom"/>
          </w:tcPr>
          <w:p>
            <w:pPr>
              <w:spacing w:after="0"/>
              <w:rPr>
                <w:sz w:val="21"/>
                <w:szCs w:val="21"/>
                <w:color w:val="auto"/>
              </w:rPr>
            </w:pPr>
          </w:p>
        </w:tc>
        <w:tc>
          <w:tcPr>
            <w:tcW w:w="8740" w:type="dxa"/>
            <w:vAlign w:val="bottom"/>
            <w:gridSpan w:val="31"/>
          </w:tcPr>
          <w:p>
            <w:pPr>
              <w:spacing w:after="0" w:line="250" w:lineRule="exact"/>
              <w:rPr>
                <w:sz w:val="20"/>
                <w:szCs w:val="20"/>
                <w:color w:val="auto"/>
              </w:rPr>
            </w:pPr>
            <w:r>
              <w:rPr>
                <w:rFonts w:ascii="Arial" w:cs="Arial" w:eastAsia="Arial" w:hAnsi="Arial"/>
                <w:sz w:val="22"/>
                <w:szCs w:val="22"/>
                <w:color w:val="auto"/>
              </w:rPr>
              <w:t>Guarantees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37</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1.05.  Redenominations of Certain Foreign Currencies and Computation of US Dollar Amounts;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37</w:t>
              </w:r>
            </w:hyperlink>
          </w:p>
        </w:tc>
        <w:tc>
          <w:tcPr>
            <w:tcW w:w="520" w:type="dxa"/>
            <w:vAlign w:val="bottom"/>
          </w:tcPr>
          <w:p>
            <w:pPr>
              <w:spacing w:after="0"/>
              <w:rPr>
                <w:sz w:val="21"/>
                <w:szCs w:val="21"/>
                <w:color w:val="auto"/>
              </w:rPr>
            </w:pPr>
          </w:p>
        </w:tc>
      </w:tr>
      <w:tr>
        <w:trPr>
          <w:trHeight w:val="196"/>
        </w:trPr>
        <w:tc>
          <w:tcPr>
            <w:tcW w:w="1680" w:type="dxa"/>
            <w:vAlign w:val="bottom"/>
            <w:tcBorders>
              <w:bottom w:val="single" w:sz="8" w:color="auto"/>
            </w:tcBorders>
            <w:gridSpan w:val="2"/>
          </w:tcPr>
          <w:p>
            <w:pPr>
              <w:spacing w:after="0" w:line="195" w:lineRule="exact"/>
              <w:rPr>
                <w:sz w:val="20"/>
                <w:szCs w:val="20"/>
                <w:color w:val="auto"/>
              </w:rPr>
            </w:pPr>
            <w:r>
              <w:rPr>
                <w:rFonts w:ascii="Arial" w:cs="Arial" w:eastAsia="Arial" w:hAnsi="Arial"/>
                <w:sz w:val="22"/>
                <w:szCs w:val="22"/>
                <w:color w:val="auto"/>
                <w:w w:val="97"/>
              </w:rPr>
              <w:t>Exchange Rates;</w:t>
            </w:r>
          </w:p>
        </w:tc>
        <w:tc>
          <w:tcPr>
            <w:tcW w:w="1700" w:type="dxa"/>
            <w:vAlign w:val="bottom"/>
            <w:tcBorders>
              <w:top w:val="single" w:sz="8" w:color="auto"/>
              <w:bottom w:val="single" w:sz="8" w:color="auto"/>
            </w:tcBorders>
            <w:gridSpan w:val="12"/>
          </w:tcPr>
          <w:p>
            <w:pPr>
              <w:spacing w:after="0" w:line="195" w:lineRule="exact"/>
              <w:rPr>
                <w:sz w:val="20"/>
                <w:szCs w:val="20"/>
                <w:color w:val="auto"/>
              </w:rPr>
            </w:pPr>
            <w:r>
              <w:rPr>
                <w:rFonts w:ascii="Arial" w:cs="Arial" w:eastAsia="Arial" w:hAnsi="Arial"/>
                <w:sz w:val="22"/>
                <w:szCs w:val="22"/>
                <w:color w:val="auto"/>
                <w:w w:val="80"/>
              </w:rPr>
              <w:t>Currency Equivalents</w:t>
            </w:r>
          </w:p>
        </w:tc>
        <w:tc>
          <w:tcPr>
            <w:tcW w:w="6000" w:type="dxa"/>
            <w:vAlign w:val="bottom"/>
            <w:tcBorders>
              <w:top w:val="single" w:sz="8" w:color="auto"/>
            </w:tcBorders>
            <w:gridSpan w:val="18"/>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1.06.</w:t>
            </w:r>
          </w:p>
        </w:tc>
        <w:tc>
          <w:tcPr>
            <w:tcW w:w="80" w:type="dxa"/>
            <w:vAlign w:val="bottom"/>
          </w:tcPr>
          <w:p>
            <w:pPr>
              <w:spacing w:after="0"/>
              <w:rPr>
                <w:sz w:val="21"/>
                <w:szCs w:val="21"/>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72"/>
              </w:rPr>
              <w:t>Rates</w:t>
            </w:r>
          </w:p>
        </w:tc>
        <w:tc>
          <w:tcPr>
            <w:tcW w:w="8320" w:type="dxa"/>
            <w:vAlign w:val="bottom"/>
            <w:gridSpan w:val="29"/>
          </w:tcPr>
          <w:p>
            <w:pPr>
              <w:spacing w:after="0"/>
              <w:rPr>
                <w:sz w:val="21"/>
                <w:szCs w:val="21"/>
                <w:color w:val="auto"/>
              </w:rPr>
            </w:pP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38</w:t>
              </w:r>
            </w:hyperlink>
          </w:p>
        </w:tc>
        <w:tc>
          <w:tcPr>
            <w:tcW w:w="520" w:type="dxa"/>
            <w:vAlign w:val="bottom"/>
          </w:tcPr>
          <w:p>
            <w:pPr>
              <w:spacing w:after="0"/>
              <w:rPr>
                <w:sz w:val="21"/>
                <w:szCs w:val="2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ARTICLE II AMOUNTS AND TERMS OF THE ADVANCES</w:t>
            </w: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39</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2.01.</w:t>
            </w:r>
          </w:p>
        </w:tc>
        <w:tc>
          <w:tcPr>
            <w:tcW w:w="80" w:type="dxa"/>
            <w:vAlign w:val="bottom"/>
          </w:tcPr>
          <w:p>
            <w:pPr>
              <w:spacing w:after="0"/>
              <w:rPr>
                <w:sz w:val="21"/>
                <w:szCs w:val="21"/>
                <w:color w:val="auto"/>
              </w:rPr>
            </w:pPr>
          </w:p>
        </w:tc>
        <w:tc>
          <w:tcPr>
            <w:tcW w:w="1180" w:type="dxa"/>
            <w:vAlign w:val="bottom"/>
            <w:tcBorders>
              <w:bottom w:val="single" w:sz="8" w:color="auto"/>
            </w:tcBorders>
            <w:gridSpan w:val="6"/>
          </w:tcPr>
          <w:p>
            <w:pPr>
              <w:spacing w:after="0" w:line="250" w:lineRule="exact"/>
              <w:rPr>
                <w:sz w:val="20"/>
                <w:szCs w:val="20"/>
                <w:color w:val="auto"/>
              </w:rPr>
            </w:pPr>
            <w:r>
              <w:rPr>
                <w:rFonts w:ascii="Arial" w:cs="Arial" w:eastAsia="Arial" w:hAnsi="Arial"/>
                <w:sz w:val="22"/>
                <w:szCs w:val="22"/>
                <w:color w:val="auto"/>
                <w:w w:val="82"/>
              </w:rPr>
              <w:t>The Advances</w:t>
            </w:r>
          </w:p>
        </w:tc>
        <w:tc>
          <w:tcPr>
            <w:tcW w:w="7560" w:type="dxa"/>
            <w:vAlign w:val="bottom"/>
            <w:gridSpan w:val="25"/>
          </w:tcPr>
          <w:p>
            <w:pPr>
              <w:spacing w:after="0"/>
              <w:rPr>
                <w:sz w:val="21"/>
                <w:szCs w:val="21"/>
                <w:color w:val="auto"/>
              </w:rPr>
            </w:pP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39</w:t>
              </w:r>
            </w:hyperlink>
          </w:p>
        </w:tc>
        <w:tc>
          <w:tcPr>
            <w:tcW w:w="520" w:type="dxa"/>
            <w:vAlign w:val="bottom"/>
          </w:tcPr>
          <w:p>
            <w:pPr>
              <w:spacing w:after="0"/>
              <w:rPr>
                <w:sz w:val="21"/>
                <w:szCs w:val="2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2.02.  Making the Advances.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40</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2.03.</w:t>
            </w:r>
          </w:p>
        </w:tc>
        <w:tc>
          <w:tcPr>
            <w:tcW w:w="80" w:type="dxa"/>
            <w:vAlign w:val="bottom"/>
          </w:tcPr>
          <w:p>
            <w:pPr>
              <w:spacing w:after="0"/>
              <w:rPr>
                <w:sz w:val="21"/>
                <w:szCs w:val="21"/>
                <w:color w:val="auto"/>
              </w:rPr>
            </w:pPr>
          </w:p>
        </w:tc>
        <w:tc>
          <w:tcPr>
            <w:tcW w:w="1820" w:type="dxa"/>
            <w:vAlign w:val="bottom"/>
            <w:tcBorders>
              <w:top w:val="single" w:sz="8" w:color="auto"/>
            </w:tcBorders>
            <w:gridSpan w:val="14"/>
          </w:tcPr>
          <w:p>
            <w:pPr>
              <w:spacing w:after="0" w:line="250" w:lineRule="exact"/>
              <w:rPr>
                <w:sz w:val="20"/>
                <w:szCs w:val="20"/>
                <w:color w:val="auto"/>
              </w:rPr>
            </w:pPr>
            <w:r>
              <w:rPr>
                <w:rFonts w:ascii="Arial" w:cs="Arial" w:eastAsia="Arial" w:hAnsi="Arial"/>
                <w:sz w:val="22"/>
                <w:szCs w:val="22"/>
                <w:color w:val="auto"/>
              </w:rPr>
              <w:t>[Reserved]</w:t>
            </w:r>
          </w:p>
        </w:tc>
        <w:tc>
          <w:tcPr>
            <w:tcW w:w="6920" w:type="dxa"/>
            <w:vAlign w:val="bottom"/>
            <w:gridSpan w:val="17"/>
          </w:tcPr>
          <w:p>
            <w:pPr>
              <w:spacing w:after="0"/>
              <w:rPr>
                <w:sz w:val="21"/>
                <w:szCs w:val="21"/>
                <w:color w:val="auto"/>
              </w:rPr>
            </w:pPr>
          </w:p>
        </w:tc>
        <w:tc>
          <w:tcPr>
            <w:tcW w:w="220" w:type="dxa"/>
            <w:vAlign w:val="bottom"/>
            <w:tcBorders>
              <w:top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41</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2.04.</w:t>
            </w:r>
          </w:p>
        </w:tc>
        <w:tc>
          <w:tcPr>
            <w:tcW w:w="80" w:type="dxa"/>
            <w:vAlign w:val="bottom"/>
          </w:tcPr>
          <w:p>
            <w:pPr>
              <w:spacing w:after="0"/>
              <w:rPr>
                <w:sz w:val="21"/>
                <w:szCs w:val="21"/>
                <w:color w:val="auto"/>
              </w:rPr>
            </w:pPr>
          </w:p>
        </w:tc>
        <w:tc>
          <w:tcPr>
            <w:tcW w:w="900" w:type="dxa"/>
            <w:vAlign w:val="bottom"/>
            <w:tcBorders>
              <w:top w:val="single" w:sz="8" w:color="auto"/>
            </w:tcBorders>
            <w:gridSpan w:val="5"/>
          </w:tcPr>
          <w:p>
            <w:pPr>
              <w:spacing w:after="0" w:line="250" w:lineRule="exact"/>
              <w:rPr>
                <w:sz w:val="20"/>
                <w:szCs w:val="20"/>
                <w:color w:val="auto"/>
              </w:rPr>
            </w:pPr>
            <w:r>
              <w:rPr>
                <w:rFonts w:ascii="Arial" w:cs="Arial" w:eastAsia="Arial" w:hAnsi="Arial"/>
                <w:sz w:val="22"/>
                <w:szCs w:val="22"/>
                <w:color w:val="auto"/>
              </w:rPr>
              <w:t>Fees</w:t>
            </w:r>
          </w:p>
        </w:tc>
        <w:tc>
          <w:tcPr>
            <w:tcW w:w="7840" w:type="dxa"/>
            <w:vAlign w:val="bottom"/>
            <w:gridSpan w:val="26"/>
          </w:tcPr>
          <w:p>
            <w:pPr>
              <w:spacing w:after="0"/>
              <w:rPr>
                <w:sz w:val="21"/>
                <w:szCs w:val="21"/>
                <w:color w:val="auto"/>
              </w:rPr>
            </w:pPr>
          </w:p>
        </w:tc>
        <w:tc>
          <w:tcPr>
            <w:tcW w:w="220" w:type="dxa"/>
            <w:vAlign w:val="bottom"/>
            <w:tcBorders>
              <w:top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41</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2.05.  Termination, Reduction or Increase of the Commitments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42</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2.06.  Repayment of Advances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44</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2.07.  Interest on Advances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44</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2.08.</w:t>
            </w:r>
          </w:p>
        </w:tc>
        <w:tc>
          <w:tcPr>
            <w:tcW w:w="80" w:type="dxa"/>
            <w:vAlign w:val="bottom"/>
          </w:tcPr>
          <w:p>
            <w:pPr>
              <w:spacing w:after="0"/>
              <w:rPr>
                <w:sz w:val="21"/>
                <w:szCs w:val="21"/>
                <w:color w:val="auto"/>
              </w:rPr>
            </w:pPr>
          </w:p>
        </w:tc>
        <w:tc>
          <w:tcPr>
            <w:tcW w:w="1760" w:type="dxa"/>
            <w:vAlign w:val="bottom"/>
            <w:tcBorders>
              <w:top w:val="single" w:sz="8" w:color="auto"/>
            </w:tcBorders>
            <w:gridSpan w:val="13"/>
          </w:tcPr>
          <w:p>
            <w:pPr>
              <w:spacing w:after="0" w:line="250" w:lineRule="exact"/>
              <w:rPr>
                <w:sz w:val="20"/>
                <w:szCs w:val="20"/>
                <w:color w:val="auto"/>
              </w:rPr>
            </w:pPr>
            <w:r>
              <w:rPr>
                <w:rFonts w:ascii="Arial" w:cs="Arial" w:eastAsia="Arial" w:hAnsi="Arial"/>
                <w:sz w:val="22"/>
                <w:szCs w:val="22"/>
                <w:color w:val="auto"/>
              </w:rPr>
              <w:t>[Reserved]</w:t>
            </w:r>
          </w:p>
        </w:tc>
        <w:tc>
          <w:tcPr>
            <w:tcW w:w="6980" w:type="dxa"/>
            <w:vAlign w:val="bottom"/>
            <w:gridSpan w:val="18"/>
          </w:tcPr>
          <w:p>
            <w:pPr>
              <w:spacing w:after="0"/>
              <w:rPr>
                <w:sz w:val="21"/>
                <w:szCs w:val="21"/>
                <w:color w:val="auto"/>
              </w:rPr>
            </w:pPr>
          </w:p>
        </w:tc>
        <w:tc>
          <w:tcPr>
            <w:tcW w:w="220" w:type="dxa"/>
            <w:vAlign w:val="bottom"/>
            <w:tcBorders>
              <w:top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46</w:t>
              </w:r>
            </w:hyperlink>
          </w:p>
        </w:tc>
        <w:tc>
          <w:tcPr>
            <w:tcW w:w="520" w:type="dxa"/>
            <w:vAlign w:val="bottom"/>
          </w:tcPr>
          <w:p>
            <w:pPr>
              <w:spacing w:after="0"/>
              <w:rPr>
                <w:sz w:val="21"/>
                <w:szCs w:val="21"/>
                <w:color w:val="auto"/>
              </w:rPr>
            </w:pPr>
          </w:p>
        </w:tc>
      </w:tr>
      <w:tr>
        <w:trPr>
          <w:trHeight w:val="20"/>
        </w:trPr>
        <w:tc>
          <w:tcPr>
            <w:tcW w:w="168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2.09.  Optional Conversion of Advances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46</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2.10.  Optional Prepayment of Advances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47</w:t>
              </w:r>
            </w:hyperlink>
          </w:p>
        </w:tc>
        <w:tc>
          <w:tcPr>
            <w:tcW w:w="520" w:type="dxa"/>
            <w:vAlign w:val="bottom"/>
          </w:tcPr>
          <w:p>
            <w:pPr>
              <w:spacing w:after="0"/>
              <w:rPr>
                <w:sz w:val="21"/>
                <w:szCs w:val="21"/>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2.11.</w:t>
            </w:r>
          </w:p>
        </w:tc>
        <w:tc>
          <w:tcPr>
            <w:tcW w:w="8820" w:type="dxa"/>
            <w:vAlign w:val="bottom"/>
            <w:gridSpan w:val="32"/>
          </w:tcPr>
          <w:p>
            <w:pPr>
              <w:spacing w:after="0" w:line="250" w:lineRule="exact"/>
              <w:rPr>
                <w:sz w:val="20"/>
                <w:szCs w:val="20"/>
                <w:color w:val="auto"/>
              </w:rPr>
            </w:pPr>
            <w:r>
              <w:rPr>
                <w:rFonts w:ascii="Arial" w:cs="Arial" w:eastAsia="Arial" w:hAnsi="Arial"/>
                <w:sz w:val="22"/>
                <w:szCs w:val="22"/>
                <w:color w:val="auto"/>
              </w:rPr>
              <w:t>Increased Costs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48</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2.12.</w:t>
            </w:r>
          </w:p>
        </w:tc>
        <w:tc>
          <w:tcPr>
            <w:tcW w:w="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7"/>
          </w:tcPr>
          <w:p>
            <w:pPr>
              <w:spacing w:after="0" w:line="250" w:lineRule="exact"/>
              <w:rPr>
                <w:sz w:val="20"/>
                <w:szCs w:val="20"/>
                <w:color w:val="auto"/>
              </w:rPr>
            </w:pPr>
            <w:r>
              <w:rPr>
                <w:rFonts w:ascii="Arial" w:cs="Arial" w:eastAsia="Arial" w:hAnsi="Arial"/>
                <w:sz w:val="22"/>
                <w:szCs w:val="22"/>
                <w:color w:val="auto"/>
              </w:rPr>
              <w:t>[Reserved]</w:t>
            </w:r>
          </w:p>
        </w:tc>
        <w:tc>
          <w:tcPr>
            <w:tcW w:w="7460" w:type="dxa"/>
            <w:vAlign w:val="bottom"/>
            <w:gridSpan w:val="24"/>
          </w:tcPr>
          <w:p>
            <w:pPr>
              <w:spacing w:after="0"/>
              <w:rPr>
                <w:sz w:val="21"/>
                <w:szCs w:val="21"/>
                <w:color w:val="auto"/>
              </w:rPr>
            </w:pPr>
          </w:p>
        </w:tc>
        <w:tc>
          <w:tcPr>
            <w:tcW w:w="220" w:type="dxa"/>
            <w:vAlign w:val="bottom"/>
            <w:tcBorders>
              <w:top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49</w:t>
              </w:r>
            </w:hyperlink>
          </w:p>
        </w:tc>
        <w:tc>
          <w:tcPr>
            <w:tcW w:w="520" w:type="dxa"/>
            <w:vAlign w:val="bottom"/>
          </w:tcPr>
          <w:p>
            <w:pPr>
              <w:spacing w:after="0"/>
              <w:rPr>
                <w:sz w:val="21"/>
                <w:szCs w:val="21"/>
                <w:color w:val="auto"/>
              </w:rPr>
            </w:pPr>
          </w:p>
        </w:tc>
      </w:tr>
      <w:tr>
        <w:trPr>
          <w:trHeight w:val="20"/>
        </w:trPr>
        <w:tc>
          <w:tcPr>
            <w:tcW w:w="168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2.13.  Payments and Computations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49</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2.14.</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70"/>
              </w:rPr>
              <w:t>Taxes</w:t>
            </w:r>
          </w:p>
        </w:tc>
        <w:tc>
          <w:tcPr>
            <w:tcW w:w="1960" w:type="dxa"/>
            <w:vAlign w:val="bottom"/>
            <w:tcBorders>
              <w:top w:val="single" w:sz="8" w:color="auto"/>
            </w:tcBorders>
            <w:gridSpan w:val="16"/>
          </w:tcPr>
          <w:p>
            <w:pPr>
              <w:spacing w:after="0"/>
              <w:rPr>
                <w:sz w:val="21"/>
                <w:szCs w:val="21"/>
                <w:color w:val="auto"/>
              </w:rPr>
            </w:pPr>
          </w:p>
        </w:tc>
        <w:tc>
          <w:tcPr>
            <w:tcW w:w="6340" w:type="dxa"/>
            <w:vAlign w:val="bottom"/>
            <w:gridSpan w:val="12"/>
          </w:tcPr>
          <w:p>
            <w:pPr>
              <w:spacing w:after="0"/>
              <w:rPr>
                <w:sz w:val="21"/>
                <w:szCs w:val="21"/>
                <w:color w:val="auto"/>
              </w:rPr>
            </w:pPr>
          </w:p>
        </w:tc>
        <w:tc>
          <w:tcPr>
            <w:tcW w:w="220" w:type="dxa"/>
            <w:vAlign w:val="bottom"/>
            <w:tcBorders>
              <w:top w:val="single" w:sz="8" w:color="auto"/>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50</w:t>
              </w:r>
            </w:hyperlink>
          </w:p>
        </w:tc>
        <w:tc>
          <w:tcPr>
            <w:tcW w:w="520" w:type="dxa"/>
            <w:vAlign w:val="bottom"/>
          </w:tcPr>
          <w:p>
            <w:pPr>
              <w:spacing w:after="0"/>
              <w:rPr>
                <w:sz w:val="21"/>
                <w:szCs w:val="2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2.15.  Sharing of Payments, Etc.</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52</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2.16.</w:t>
            </w:r>
          </w:p>
        </w:tc>
        <w:tc>
          <w:tcPr>
            <w:tcW w:w="80" w:type="dxa"/>
            <w:vAlign w:val="bottom"/>
          </w:tcPr>
          <w:p>
            <w:pPr>
              <w:spacing w:after="0"/>
              <w:rPr>
                <w:sz w:val="21"/>
                <w:szCs w:val="21"/>
                <w:color w:val="auto"/>
              </w:rPr>
            </w:pPr>
          </w:p>
        </w:tc>
        <w:tc>
          <w:tcPr>
            <w:tcW w:w="1340" w:type="dxa"/>
            <w:vAlign w:val="bottom"/>
            <w:tcBorders>
              <w:top w:val="single" w:sz="8" w:color="auto"/>
              <w:bottom w:val="single" w:sz="8" w:color="auto"/>
            </w:tcBorders>
            <w:gridSpan w:val="8"/>
          </w:tcPr>
          <w:p>
            <w:pPr>
              <w:spacing w:after="0" w:line="250" w:lineRule="exact"/>
              <w:rPr>
                <w:sz w:val="20"/>
                <w:szCs w:val="20"/>
                <w:color w:val="auto"/>
              </w:rPr>
            </w:pPr>
            <w:r>
              <w:rPr>
                <w:rFonts w:ascii="Arial" w:cs="Arial" w:eastAsia="Arial" w:hAnsi="Arial"/>
                <w:sz w:val="22"/>
                <w:szCs w:val="22"/>
                <w:color w:val="auto"/>
                <w:w w:val="81"/>
              </w:rPr>
              <w:t>Use of Proceeds</w:t>
            </w:r>
          </w:p>
        </w:tc>
        <w:tc>
          <w:tcPr>
            <w:tcW w:w="840" w:type="dxa"/>
            <w:vAlign w:val="bottom"/>
            <w:tcBorders>
              <w:top w:val="single" w:sz="8" w:color="auto"/>
            </w:tcBorders>
            <w:gridSpan w:val="10"/>
          </w:tcPr>
          <w:p>
            <w:pPr>
              <w:spacing w:after="0"/>
              <w:rPr>
                <w:sz w:val="21"/>
                <w:szCs w:val="21"/>
                <w:color w:val="auto"/>
              </w:rPr>
            </w:pPr>
          </w:p>
        </w:tc>
        <w:tc>
          <w:tcPr>
            <w:tcW w:w="6560" w:type="dxa"/>
            <w:vAlign w:val="bottom"/>
            <w:gridSpan w:val="13"/>
          </w:tcPr>
          <w:p>
            <w:pPr>
              <w:spacing w:after="0"/>
              <w:rPr>
                <w:sz w:val="21"/>
                <w:szCs w:val="21"/>
                <w:color w:val="auto"/>
              </w:rPr>
            </w:pPr>
          </w:p>
        </w:tc>
        <w:tc>
          <w:tcPr>
            <w:tcW w:w="220" w:type="dxa"/>
            <w:vAlign w:val="bottom"/>
            <w:tcBorders>
              <w:top w:val="single" w:sz="8" w:color="auto"/>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52</w:t>
              </w:r>
            </w:hyperlink>
          </w:p>
        </w:tc>
        <w:tc>
          <w:tcPr>
            <w:tcW w:w="520" w:type="dxa"/>
            <w:vAlign w:val="bottom"/>
          </w:tcPr>
          <w:p>
            <w:pPr>
              <w:spacing w:after="0"/>
              <w:rPr>
                <w:sz w:val="21"/>
                <w:szCs w:val="2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2.17.  Extension of Termination Date</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53</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2.18.</w:t>
            </w:r>
          </w:p>
        </w:tc>
        <w:tc>
          <w:tcPr>
            <w:tcW w:w="80" w:type="dxa"/>
            <w:vAlign w:val="bottom"/>
          </w:tcPr>
          <w:p>
            <w:pPr>
              <w:spacing w:after="0"/>
              <w:rPr>
                <w:sz w:val="21"/>
                <w:szCs w:val="21"/>
                <w:color w:val="auto"/>
              </w:rPr>
            </w:pPr>
          </w:p>
        </w:tc>
        <w:tc>
          <w:tcPr>
            <w:tcW w:w="2600" w:type="dxa"/>
            <w:vAlign w:val="bottom"/>
            <w:tcBorders>
              <w:top w:val="single" w:sz="8" w:color="auto"/>
            </w:tcBorders>
            <w:gridSpan w:val="21"/>
          </w:tcPr>
          <w:p>
            <w:pPr>
              <w:spacing w:after="0" w:line="250" w:lineRule="exact"/>
              <w:rPr>
                <w:sz w:val="20"/>
                <w:szCs w:val="20"/>
                <w:color w:val="auto"/>
              </w:rPr>
            </w:pPr>
            <w:r>
              <w:rPr>
                <w:rFonts w:ascii="Arial" w:cs="Arial" w:eastAsia="Arial" w:hAnsi="Arial"/>
                <w:sz w:val="22"/>
                <w:szCs w:val="22"/>
                <w:color w:val="auto"/>
              </w:rPr>
              <w:t>Defaulting Lenders</w:t>
            </w:r>
          </w:p>
        </w:tc>
        <w:tc>
          <w:tcPr>
            <w:tcW w:w="6140" w:type="dxa"/>
            <w:vAlign w:val="bottom"/>
            <w:gridSpan w:val="10"/>
          </w:tcPr>
          <w:p>
            <w:pPr>
              <w:spacing w:after="0"/>
              <w:rPr>
                <w:sz w:val="21"/>
                <w:szCs w:val="21"/>
                <w:color w:val="auto"/>
              </w:rPr>
            </w:pPr>
          </w:p>
        </w:tc>
        <w:tc>
          <w:tcPr>
            <w:tcW w:w="220" w:type="dxa"/>
            <w:vAlign w:val="bottom"/>
            <w:tcBorders>
              <w:top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55</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1600" w:type="dxa"/>
            <w:vAlign w:val="bottom"/>
            <w:gridSpan w:val="10"/>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2.19.  Mitigation of Obligations; Replacement of Lenders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56</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2.20.</w:t>
            </w:r>
          </w:p>
        </w:tc>
        <w:tc>
          <w:tcPr>
            <w:tcW w:w="80" w:type="dxa"/>
            <w:vAlign w:val="bottom"/>
          </w:tcPr>
          <w:p>
            <w:pPr>
              <w:spacing w:after="0"/>
              <w:rPr>
                <w:sz w:val="21"/>
                <w:szCs w:val="21"/>
                <w:color w:val="auto"/>
              </w:rPr>
            </w:pPr>
          </w:p>
        </w:tc>
        <w:tc>
          <w:tcPr>
            <w:tcW w:w="4360" w:type="dxa"/>
            <w:vAlign w:val="bottom"/>
            <w:tcBorders>
              <w:top w:val="single" w:sz="8" w:color="auto"/>
            </w:tcBorders>
            <w:gridSpan w:val="26"/>
          </w:tcPr>
          <w:p>
            <w:pPr>
              <w:spacing w:after="0" w:line="250" w:lineRule="exact"/>
              <w:rPr>
                <w:sz w:val="20"/>
                <w:szCs w:val="20"/>
                <w:color w:val="auto"/>
              </w:rPr>
            </w:pPr>
            <w:r>
              <w:rPr>
                <w:rFonts w:ascii="Arial" w:cs="Arial" w:eastAsia="Arial" w:hAnsi="Arial"/>
                <w:sz w:val="22"/>
                <w:szCs w:val="22"/>
                <w:color w:val="auto"/>
              </w:rPr>
              <w:t>Changed Circumstances.</w:t>
            </w:r>
          </w:p>
        </w:tc>
        <w:tc>
          <w:tcPr>
            <w:tcW w:w="4380" w:type="dxa"/>
            <w:vAlign w:val="bottom"/>
            <w:gridSpan w:val="5"/>
          </w:tcPr>
          <w:p>
            <w:pPr>
              <w:spacing w:after="0"/>
              <w:rPr>
                <w:sz w:val="21"/>
                <w:szCs w:val="21"/>
                <w:color w:val="auto"/>
              </w:rPr>
            </w:pPr>
          </w:p>
        </w:tc>
        <w:tc>
          <w:tcPr>
            <w:tcW w:w="220" w:type="dxa"/>
            <w:vAlign w:val="bottom"/>
            <w:tcBorders>
              <w:top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57</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ARTICLE III CONDITIONS TO EFFECTIVENESS AND LENDING</w:t>
            </w: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64</w:t>
              </w:r>
            </w:hyperlink>
          </w:p>
        </w:tc>
        <w:tc>
          <w:tcPr>
            <w:tcW w:w="520" w:type="dxa"/>
            <w:vAlign w:val="bottom"/>
          </w:tcPr>
          <w:p>
            <w:pPr>
              <w:spacing w:after="0"/>
              <w:rPr>
                <w:sz w:val="21"/>
                <w:szCs w:val="2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3.01.  Conditions Precedent to Effectiveness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64</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80" w:type="dxa"/>
            <w:vAlign w:val="bottom"/>
            <w:gridSpan w:val="8"/>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3.02.  Conditions Precedent to Each Borrowing, Increase Date and Extension Date</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65</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80" w:type="dxa"/>
            <w:vAlign w:val="bottom"/>
            <w:gridSpan w:val="8"/>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3.03.  Determinations Under Section 3.01</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66</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80" w:type="dxa"/>
            <w:vAlign w:val="bottom"/>
            <w:gridSpan w:val="8"/>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ARTICLE IV REPRESENTATIONS AND WARRANTIES</w:t>
            </w: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66</w:t>
              </w:r>
            </w:hyperlink>
          </w:p>
        </w:tc>
        <w:tc>
          <w:tcPr>
            <w:tcW w:w="520" w:type="dxa"/>
            <w:vAlign w:val="bottom"/>
          </w:tcPr>
          <w:p>
            <w:pPr>
              <w:spacing w:after="0"/>
              <w:rPr>
                <w:sz w:val="21"/>
                <w:szCs w:val="2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SECTION 4.01.  Representations and Warranties of the Credit Parties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66</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2540" w:type="dxa"/>
            <w:vAlign w:val="bottom"/>
            <w:gridSpan w:val="11"/>
            <w:shd w:val="clear" w:color="auto" w:fill="000000"/>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ARTICLE V COVENANTS OF THE CREDIT PARTIES</w:t>
            </w: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70</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5.01.</w:t>
            </w:r>
          </w:p>
        </w:tc>
        <w:tc>
          <w:tcPr>
            <w:tcW w:w="80" w:type="dxa"/>
            <w:vAlign w:val="bottom"/>
          </w:tcPr>
          <w:p>
            <w:pPr>
              <w:spacing w:after="0"/>
              <w:rPr>
                <w:sz w:val="21"/>
                <w:szCs w:val="21"/>
                <w:color w:val="auto"/>
              </w:rPr>
            </w:pPr>
          </w:p>
        </w:tc>
        <w:tc>
          <w:tcPr>
            <w:tcW w:w="1920" w:type="dxa"/>
            <w:vAlign w:val="bottom"/>
            <w:tcBorders>
              <w:bottom w:val="single" w:sz="8" w:color="auto"/>
            </w:tcBorders>
            <w:gridSpan w:val="16"/>
          </w:tcPr>
          <w:p>
            <w:pPr>
              <w:spacing w:after="0" w:line="250" w:lineRule="exact"/>
              <w:rPr>
                <w:sz w:val="20"/>
                <w:szCs w:val="20"/>
                <w:color w:val="auto"/>
              </w:rPr>
            </w:pPr>
            <w:r>
              <w:rPr>
                <w:rFonts w:ascii="Arial" w:cs="Arial" w:eastAsia="Arial" w:hAnsi="Arial"/>
                <w:sz w:val="22"/>
                <w:szCs w:val="22"/>
                <w:color w:val="auto"/>
                <w:w w:val="88"/>
              </w:rPr>
              <w:t>Affirmative Covenants</w:t>
            </w:r>
          </w:p>
        </w:tc>
        <w:tc>
          <w:tcPr>
            <w:tcW w:w="6820" w:type="dxa"/>
            <w:vAlign w:val="bottom"/>
            <w:gridSpan w:val="15"/>
          </w:tcPr>
          <w:p>
            <w:pPr>
              <w:spacing w:after="0"/>
              <w:rPr>
                <w:sz w:val="21"/>
                <w:szCs w:val="21"/>
                <w:color w:val="auto"/>
              </w:rPr>
            </w:pP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70</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5.02.</w:t>
            </w:r>
          </w:p>
        </w:tc>
        <w:tc>
          <w:tcPr>
            <w:tcW w:w="80" w:type="dxa"/>
            <w:vAlign w:val="bottom"/>
          </w:tcPr>
          <w:p>
            <w:pPr>
              <w:spacing w:after="0"/>
              <w:rPr>
                <w:sz w:val="21"/>
                <w:szCs w:val="21"/>
                <w:color w:val="auto"/>
              </w:rPr>
            </w:pPr>
          </w:p>
        </w:tc>
        <w:tc>
          <w:tcPr>
            <w:tcW w:w="1680" w:type="dxa"/>
            <w:vAlign w:val="bottom"/>
            <w:tcBorders>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83"/>
              </w:rPr>
              <w:t>Negative Covenants</w:t>
            </w:r>
          </w:p>
        </w:tc>
        <w:tc>
          <w:tcPr>
            <w:tcW w:w="7060" w:type="dxa"/>
            <w:vAlign w:val="bottom"/>
            <w:gridSpan w:val="20"/>
          </w:tcPr>
          <w:p>
            <w:pPr>
              <w:spacing w:after="0"/>
              <w:rPr>
                <w:sz w:val="21"/>
                <w:szCs w:val="21"/>
                <w:color w:val="auto"/>
              </w:rPr>
            </w:pP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73</w:t>
              </w:r>
            </w:hyperlink>
          </w:p>
        </w:tc>
        <w:tc>
          <w:tcPr>
            <w:tcW w:w="520" w:type="dxa"/>
            <w:vAlign w:val="bottom"/>
          </w:tcPr>
          <w:p>
            <w:pPr>
              <w:spacing w:after="0"/>
              <w:rPr>
                <w:sz w:val="21"/>
                <w:szCs w:val="21"/>
                <w:color w:val="auto"/>
              </w:rPr>
            </w:pPr>
          </w:p>
        </w:tc>
      </w:tr>
      <w:tr>
        <w:trPr>
          <w:trHeight w:val="250"/>
        </w:trPr>
        <w:tc>
          <w:tcPr>
            <w:tcW w:w="1600" w:type="dxa"/>
            <w:vAlign w:val="bottom"/>
          </w:tcPr>
          <w:p>
            <w:pPr>
              <w:spacing w:after="0" w:line="250" w:lineRule="exact"/>
              <w:rPr>
                <w:sz w:val="20"/>
                <w:szCs w:val="20"/>
                <w:color w:val="auto"/>
              </w:rPr>
            </w:pPr>
            <w:r>
              <w:rPr>
                <w:rFonts w:ascii="Arial" w:cs="Arial" w:eastAsia="Arial" w:hAnsi="Arial"/>
                <w:sz w:val="22"/>
                <w:szCs w:val="22"/>
                <w:color w:val="auto"/>
              </w:rPr>
              <w:t>SECTION 5.03.</w:t>
            </w:r>
          </w:p>
        </w:tc>
        <w:tc>
          <w:tcPr>
            <w:tcW w:w="80" w:type="dxa"/>
            <w:vAlign w:val="bottom"/>
          </w:tcPr>
          <w:p>
            <w:pPr>
              <w:spacing w:after="0"/>
              <w:rPr>
                <w:sz w:val="21"/>
                <w:szCs w:val="21"/>
                <w:color w:val="auto"/>
              </w:rPr>
            </w:pPr>
          </w:p>
        </w:tc>
        <w:tc>
          <w:tcPr>
            <w:tcW w:w="8740" w:type="dxa"/>
            <w:vAlign w:val="bottom"/>
            <w:gridSpan w:val="31"/>
          </w:tcPr>
          <w:p>
            <w:pPr>
              <w:spacing w:after="0" w:line="250" w:lineRule="exact"/>
              <w:rPr>
                <w:sz w:val="20"/>
                <w:szCs w:val="20"/>
                <w:color w:val="auto"/>
              </w:rPr>
            </w:pPr>
            <w:r>
              <w:rPr>
                <w:rFonts w:ascii="Arial" w:cs="Arial" w:eastAsia="Arial" w:hAnsi="Arial"/>
                <w:sz w:val="22"/>
                <w:szCs w:val="22"/>
                <w:color w:val="auto"/>
              </w:rPr>
              <w:t>Financial Covenants</w:t>
            </w:r>
          </w:p>
        </w:tc>
        <w:tc>
          <w:tcPr>
            <w:tcW w:w="2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77</w:t>
              </w:r>
            </w:hyperlink>
          </w:p>
        </w:tc>
        <w:tc>
          <w:tcPr>
            <w:tcW w:w="520" w:type="dxa"/>
            <w:vAlign w:val="bottom"/>
          </w:tcPr>
          <w:p>
            <w:pPr>
              <w:spacing w:after="0"/>
              <w:rPr>
                <w:sz w:val="21"/>
                <w:szCs w:val="21"/>
                <w:color w:val="auto"/>
              </w:rPr>
            </w:pP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1700" w:type="dxa"/>
            <w:vAlign w:val="bottom"/>
            <w:gridSpan w:val="12"/>
            <w:shd w:val="clear" w:color="auto" w:fill="000000"/>
          </w:tcPr>
          <w:p>
            <w:pPr>
              <w:spacing w:after="0" w:line="20" w:lineRule="exact"/>
              <w:rPr>
                <w:sz w:val="1"/>
                <w:szCs w:val="1"/>
                <w:color w:val="auto"/>
              </w:rPr>
            </w:pPr>
          </w:p>
        </w:tc>
        <w:tc>
          <w:tcPr>
            <w:tcW w:w="7040" w:type="dxa"/>
            <w:vAlign w:val="bottom"/>
            <w:gridSpan w:val="19"/>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0420" w:type="dxa"/>
            <w:vAlign w:val="bottom"/>
            <w:gridSpan w:val="33"/>
          </w:tcPr>
          <w:p>
            <w:pPr>
              <w:spacing w:after="0" w:line="250" w:lineRule="exact"/>
              <w:rPr>
                <w:sz w:val="20"/>
                <w:szCs w:val="20"/>
                <w:color w:val="auto"/>
              </w:rPr>
            </w:pPr>
            <w:r>
              <w:rPr>
                <w:rFonts w:ascii="Arial" w:cs="Arial" w:eastAsia="Arial" w:hAnsi="Arial"/>
                <w:sz w:val="22"/>
                <w:szCs w:val="22"/>
                <w:color w:val="auto"/>
              </w:rPr>
              <w:t>ARTICLE VI EVENTS OF DEFAULT</w:t>
            </w: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78</w:t>
              </w:r>
            </w:hyperlink>
          </w:p>
        </w:tc>
        <w:tc>
          <w:tcPr>
            <w:tcW w:w="520" w:type="dxa"/>
            <w:vAlign w:val="bottom"/>
          </w:tcPr>
          <w:p>
            <w:pPr>
              <w:spacing w:after="0"/>
              <w:rPr>
                <w:sz w:val="21"/>
                <w:szCs w:val="21"/>
                <w:color w:val="auto"/>
              </w:rPr>
            </w:pPr>
          </w:p>
        </w:tc>
      </w:tr>
    </w:tbl>
    <w:p>
      <w:pPr>
        <w:sectPr>
          <w:pgSz w:w="11900" w:h="16838" w:orient="portrait"/>
          <w:cols w:equalWidth="0" w:num="1">
            <w:col w:w="11160"/>
          </w:cols>
          <w:pgMar w:left="400" w:top="1440"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Arial" w:cs="Arial" w:eastAsia="Arial" w:hAnsi="Arial"/>
                <w:sz w:val="22"/>
                <w:szCs w:val="22"/>
                <w:color w:val="auto"/>
              </w:rPr>
              <w:t>SECTION 6.01.</w:t>
            </w:r>
          </w:p>
        </w:tc>
        <w:tc>
          <w:tcPr>
            <w:tcW w:w="154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90"/>
              </w:rPr>
              <w:t>Events of Default</w:t>
            </w:r>
          </w:p>
        </w:tc>
        <w:tc>
          <w:tcPr>
            <w:tcW w:w="7260" w:type="dxa"/>
            <w:vAlign w:val="bottom"/>
            <w:gridSpan w:val="21"/>
          </w:tcPr>
          <w:p>
            <w:pPr>
              <w:spacing w:after="0"/>
              <w:rPr>
                <w:sz w:val="21"/>
                <w:szCs w:val="21"/>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137">
              <w:r>
                <w:rPr>
                  <w:rFonts w:ascii="Arial" w:cs="Arial" w:eastAsia="Arial" w:hAnsi="Arial"/>
                  <w:sz w:val="22"/>
                  <w:szCs w:val="22"/>
                  <w:color w:val="auto"/>
                  <w:w w:val="81"/>
                </w:rPr>
                <w:t>78</w:t>
              </w:r>
            </w:hyperlink>
          </w:p>
        </w:tc>
        <w:tc>
          <w:tcPr>
            <w:tcW w:w="100" w:type="dxa"/>
            <w:vAlign w:val="bottom"/>
          </w:tcPr>
          <w:p>
            <w:pPr>
              <w:spacing w:after="0"/>
              <w:rPr>
                <w:sz w:val="21"/>
                <w:szCs w:val="2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ARTICLE VII THE ADMINISTRATIVE AGENT</w:t>
            </w:r>
          </w:p>
        </w:tc>
        <w:tc>
          <w:tcPr>
            <w:tcW w:w="220" w:type="dxa"/>
            <w:vAlign w:val="bottom"/>
            <w:tcBorders>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80</w:t>
              </w:r>
            </w:hyperlink>
          </w:p>
        </w:tc>
        <w:tc>
          <w:tcPr>
            <w:tcW w:w="100" w:type="dxa"/>
            <w:vAlign w:val="bottom"/>
          </w:tcPr>
          <w:p>
            <w:pPr>
              <w:spacing w:after="0"/>
              <w:rPr>
                <w:sz w:val="21"/>
                <w:szCs w:val="2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7.01.  Appointment and Authority</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80</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7.02.</w:t>
            </w:r>
          </w:p>
        </w:tc>
        <w:tc>
          <w:tcPr>
            <w:tcW w:w="2400" w:type="dxa"/>
            <w:vAlign w:val="bottom"/>
            <w:tcBorders>
              <w:top w:val="single" w:sz="8" w:color="auto"/>
            </w:tcBorders>
            <w:gridSpan w:val="24"/>
          </w:tcPr>
          <w:p>
            <w:pPr>
              <w:spacing w:after="0" w:line="250" w:lineRule="exact"/>
              <w:rPr>
                <w:sz w:val="20"/>
                <w:szCs w:val="20"/>
                <w:color w:val="auto"/>
              </w:rPr>
            </w:pPr>
            <w:r>
              <w:rPr>
                <w:rFonts w:ascii="Arial" w:cs="Arial" w:eastAsia="Arial" w:hAnsi="Arial"/>
                <w:sz w:val="22"/>
                <w:szCs w:val="22"/>
                <w:color w:val="auto"/>
              </w:rPr>
              <w:t>Rights as a Lender</w:t>
            </w:r>
          </w:p>
        </w:tc>
        <w:tc>
          <w:tcPr>
            <w:tcW w:w="6400" w:type="dxa"/>
            <w:vAlign w:val="bottom"/>
            <w:gridSpan w:val="9"/>
          </w:tcPr>
          <w:p>
            <w:pPr>
              <w:spacing w:after="0"/>
              <w:rPr>
                <w:sz w:val="21"/>
                <w:szCs w:val="21"/>
                <w:color w:val="auto"/>
              </w:rPr>
            </w:pPr>
          </w:p>
        </w:tc>
        <w:tc>
          <w:tcPr>
            <w:tcW w:w="220" w:type="dxa"/>
            <w:vAlign w:val="bottom"/>
            <w:tcBorders>
              <w:top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81</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7.03.</w:t>
            </w:r>
          </w:p>
        </w:tc>
        <w:tc>
          <w:tcPr>
            <w:tcW w:w="2020" w:type="dxa"/>
            <w:vAlign w:val="bottom"/>
            <w:tcBorders>
              <w:bottom w:val="single" w:sz="8" w:color="auto"/>
            </w:tcBorders>
            <w:gridSpan w:val="19"/>
          </w:tcPr>
          <w:p>
            <w:pPr>
              <w:spacing w:after="0" w:line="250" w:lineRule="exact"/>
              <w:rPr>
                <w:sz w:val="20"/>
                <w:szCs w:val="20"/>
                <w:color w:val="auto"/>
              </w:rPr>
            </w:pPr>
            <w:r>
              <w:rPr>
                <w:rFonts w:ascii="Arial" w:cs="Arial" w:eastAsia="Arial" w:hAnsi="Arial"/>
                <w:sz w:val="22"/>
                <w:szCs w:val="22"/>
                <w:color w:val="auto"/>
                <w:w w:val="89"/>
              </w:rPr>
              <w:t>Exculpatory Provisions</w:t>
            </w:r>
          </w:p>
        </w:tc>
        <w:tc>
          <w:tcPr>
            <w:tcW w:w="6780" w:type="dxa"/>
            <w:vAlign w:val="bottom"/>
            <w:gridSpan w:val="14"/>
          </w:tcPr>
          <w:p>
            <w:pPr>
              <w:spacing w:after="0"/>
              <w:rPr>
                <w:sz w:val="21"/>
                <w:szCs w:val="21"/>
                <w:color w:val="auto"/>
              </w:rPr>
            </w:pPr>
          </w:p>
        </w:tc>
        <w:tc>
          <w:tcPr>
            <w:tcW w:w="220" w:type="dxa"/>
            <w:vAlign w:val="bottom"/>
            <w:tcBorders>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81</w:t>
              </w:r>
            </w:hyperlink>
          </w:p>
        </w:tc>
        <w:tc>
          <w:tcPr>
            <w:tcW w:w="100" w:type="dxa"/>
            <w:vAlign w:val="bottom"/>
          </w:tcPr>
          <w:p>
            <w:pPr>
              <w:spacing w:after="0"/>
              <w:rPr>
                <w:sz w:val="21"/>
                <w:szCs w:val="2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7.04.  Reliance by the Administrative Agent</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82</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7.05.</w:t>
            </w:r>
          </w:p>
        </w:tc>
        <w:tc>
          <w:tcPr>
            <w:tcW w:w="1380" w:type="dxa"/>
            <w:vAlign w:val="bottom"/>
            <w:tcBorders>
              <w:top w:val="single" w:sz="8" w:color="auto"/>
              <w:bottom w:val="single" w:sz="8" w:color="auto"/>
            </w:tcBorders>
            <w:gridSpan w:val="10"/>
          </w:tcPr>
          <w:p>
            <w:pPr>
              <w:spacing w:after="0" w:line="250" w:lineRule="exact"/>
              <w:rPr>
                <w:sz w:val="20"/>
                <w:szCs w:val="20"/>
                <w:color w:val="auto"/>
              </w:rPr>
            </w:pPr>
            <w:r>
              <w:rPr>
                <w:rFonts w:ascii="Arial" w:cs="Arial" w:eastAsia="Arial" w:hAnsi="Arial"/>
                <w:sz w:val="22"/>
                <w:szCs w:val="22"/>
                <w:color w:val="auto"/>
                <w:w w:val="91"/>
              </w:rPr>
              <w:t>Indemnification</w:t>
            </w:r>
          </w:p>
        </w:tc>
        <w:tc>
          <w:tcPr>
            <w:tcW w:w="1880" w:type="dxa"/>
            <w:vAlign w:val="bottom"/>
            <w:tcBorders>
              <w:top w:val="single" w:sz="8" w:color="auto"/>
            </w:tcBorders>
            <w:gridSpan w:val="19"/>
          </w:tcPr>
          <w:p>
            <w:pPr>
              <w:spacing w:after="0"/>
              <w:rPr>
                <w:sz w:val="21"/>
                <w:szCs w:val="21"/>
                <w:color w:val="auto"/>
              </w:rPr>
            </w:pPr>
          </w:p>
        </w:tc>
        <w:tc>
          <w:tcPr>
            <w:tcW w:w="5540" w:type="dxa"/>
            <w:vAlign w:val="bottom"/>
            <w:gridSpan w:val="4"/>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82</w:t>
              </w:r>
            </w:hyperlink>
          </w:p>
        </w:tc>
        <w:tc>
          <w:tcPr>
            <w:tcW w:w="100" w:type="dxa"/>
            <w:vAlign w:val="bottom"/>
          </w:tcPr>
          <w:p>
            <w:pPr>
              <w:spacing w:after="0"/>
              <w:rPr>
                <w:sz w:val="21"/>
                <w:szCs w:val="2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7.06.  Delegation of Duties</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82</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7.07.  Resignation of Administrative Agent</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83</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7.08.  Non-Reliance on Administrative Agent and Other Lenders</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84</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7.09.  No Other Duties, Etc</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84</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7.10.</w:t>
            </w:r>
          </w:p>
        </w:tc>
        <w:tc>
          <w:tcPr>
            <w:tcW w:w="1520" w:type="dxa"/>
            <w:vAlign w:val="bottom"/>
            <w:tcBorders>
              <w:top w:val="single" w:sz="8" w:color="auto"/>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88"/>
              </w:rPr>
              <w:t>Guaranty Matters</w:t>
            </w:r>
          </w:p>
        </w:tc>
        <w:tc>
          <w:tcPr>
            <w:tcW w:w="300" w:type="dxa"/>
            <w:vAlign w:val="bottom"/>
            <w:tcBorders>
              <w:top w:val="single" w:sz="8" w:color="auto"/>
            </w:tcBorders>
            <w:gridSpan w:val="6"/>
          </w:tcPr>
          <w:p>
            <w:pPr>
              <w:spacing w:after="0"/>
              <w:rPr>
                <w:sz w:val="21"/>
                <w:szCs w:val="21"/>
                <w:color w:val="auto"/>
              </w:rPr>
            </w:pPr>
          </w:p>
        </w:tc>
        <w:tc>
          <w:tcPr>
            <w:tcW w:w="6980" w:type="dxa"/>
            <w:vAlign w:val="bottom"/>
            <w:gridSpan w:val="16"/>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84</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7.11.</w:t>
            </w:r>
          </w:p>
        </w:tc>
        <w:tc>
          <w:tcPr>
            <w:tcW w:w="8800" w:type="dxa"/>
            <w:vAlign w:val="bottom"/>
            <w:gridSpan w:val="33"/>
          </w:tcPr>
          <w:p>
            <w:pPr>
              <w:spacing w:after="0" w:line="250" w:lineRule="exact"/>
              <w:rPr>
                <w:sz w:val="20"/>
                <w:szCs w:val="20"/>
                <w:color w:val="auto"/>
              </w:rPr>
            </w:pPr>
            <w:r>
              <w:rPr>
                <w:rFonts w:ascii="Arial" w:cs="Arial" w:eastAsia="Arial" w:hAnsi="Arial"/>
                <w:sz w:val="22"/>
                <w:szCs w:val="22"/>
                <w:color w:val="auto"/>
              </w:rPr>
              <w:t>Erroneous Payments</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84</w:t>
              </w:r>
            </w:hyperlink>
          </w:p>
        </w:tc>
        <w:tc>
          <w:tcPr>
            <w:tcW w:w="100" w:type="dxa"/>
            <w:vAlign w:val="bottom"/>
          </w:tcPr>
          <w:p>
            <w:pPr>
              <w:spacing w:after="0"/>
              <w:rPr>
                <w:sz w:val="21"/>
                <w:szCs w:val="2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7.12.  Certain ERISA Matters</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86</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ARTICLE VIII GUARANTY</w:t>
            </w:r>
          </w:p>
        </w:tc>
        <w:tc>
          <w:tcPr>
            <w:tcW w:w="220" w:type="dxa"/>
            <w:vAlign w:val="bottom"/>
            <w:tcBorders>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87</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8.01.</w:t>
            </w:r>
          </w:p>
        </w:tc>
        <w:tc>
          <w:tcPr>
            <w:tcW w:w="8800" w:type="dxa"/>
            <w:vAlign w:val="bottom"/>
            <w:gridSpan w:val="33"/>
          </w:tcPr>
          <w:p>
            <w:pPr>
              <w:spacing w:after="0" w:line="250" w:lineRule="exact"/>
              <w:rPr>
                <w:sz w:val="20"/>
                <w:szCs w:val="20"/>
                <w:color w:val="auto"/>
              </w:rPr>
            </w:pPr>
            <w:r>
              <w:rPr>
                <w:rFonts w:ascii="Arial" w:cs="Arial" w:eastAsia="Arial" w:hAnsi="Arial"/>
                <w:sz w:val="22"/>
                <w:szCs w:val="22"/>
                <w:color w:val="auto"/>
              </w:rPr>
              <w:t>The Guaranty</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87</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8.02.</w:t>
            </w:r>
          </w:p>
        </w:tc>
        <w:tc>
          <w:tcPr>
            <w:tcW w:w="1180" w:type="dxa"/>
            <w:vAlign w:val="bottom"/>
            <w:tcBorders>
              <w:top w:val="single" w:sz="8" w:color="auto"/>
            </w:tcBorders>
            <w:gridSpan w:val="5"/>
          </w:tcPr>
          <w:p>
            <w:pPr>
              <w:spacing w:after="0" w:line="250" w:lineRule="exact"/>
              <w:rPr>
                <w:sz w:val="20"/>
                <w:szCs w:val="20"/>
                <w:color w:val="auto"/>
              </w:rPr>
            </w:pPr>
            <w:r>
              <w:rPr>
                <w:rFonts w:ascii="Arial" w:cs="Arial" w:eastAsia="Arial" w:hAnsi="Arial"/>
                <w:sz w:val="22"/>
                <w:szCs w:val="22"/>
                <w:color w:val="auto"/>
              </w:rPr>
              <w:t>Bankruptcy</w:t>
            </w:r>
          </w:p>
        </w:tc>
        <w:tc>
          <w:tcPr>
            <w:tcW w:w="7620" w:type="dxa"/>
            <w:vAlign w:val="bottom"/>
            <w:gridSpan w:val="28"/>
          </w:tcPr>
          <w:p>
            <w:pPr>
              <w:spacing w:after="0"/>
              <w:rPr>
                <w:sz w:val="21"/>
                <w:szCs w:val="21"/>
                <w:color w:val="auto"/>
              </w:rPr>
            </w:pPr>
          </w:p>
        </w:tc>
        <w:tc>
          <w:tcPr>
            <w:tcW w:w="220" w:type="dxa"/>
            <w:vAlign w:val="bottom"/>
            <w:tcBorders>
              <w:top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88</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8.03.  Nature of Liability</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89</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8.04.</w:t>
            </w:r>
          </w:p>
        </w:tc>
        <w:tc>
          <w:tcPr>
            <w:tcW w:w="204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88"/>
              </w:rPr>
              <w:t>Independent Obligation</w:t>
            </w:r>
          </w:p>
        </w:tc>
        <w:tc>
          <w:tcPr>
            <w:tcW w:w="6760" w:type="dxa"/>
            <w:vAlign w:val="bottom"/>
            <w:gridSpan w:val="13"/>
          </w:tcPr>
          <w:p>
            <w:pPr>
              <w:spacing w:after="0"/>
              <w:rPr>
                <w:sz w:val="21"/>
                <w:szCs w:val="21"/>
                <w:color w:val="auto"/>
              </w:rPr>
            </w:pPr>
          </w:p>
        </w:tc>
        <w:tc>
          <w:tcPr>
            <w:tcW w:w="220" w:type="dxa"/>
            <w:vAlign w:val="bottom"/>
            <w:tcBorders>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89</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8.05.</w:t>
            </w:r>
          </w:p>
        </w:tc>
        <w:tc>
          <w:tcPr>
            <w:tcW w:w="1200" w:type="dxa"/>
            <w:vAlign w:val="bottom"/>
            <w:tcBorders>
              <w:bottom w:val="single" w:sz="8" w:color="auto"/>
            </w:tcBorders>
            <w:gridSpan w:val="6"/>
          </w:tcPr>
          <w:p>
            <w:pPr>
              <w:spacing w:after="0" w:line="250" w:lineRule="exact"/>
              <w:rPr>
                <w:sz w:val="20"/>
                <w:szCs w:val="20"/>
                <w:color w:val="auto"/>
              </w:rPr>
            </w:pPr>
            <w:r>
              <w:rPr>
                <w:rFonts w:ascii="Arial" w:cs="Arial" w:eastAsia="Arial" w:hAnsi="Arial"/>
                <w:sz w:val="22"/>
                <w:szCs w:val="22"/>
                <w:color w:val="auto"/>
                <w:w w:val="91"/>
              </w:rPr>
              <w:t>Authorization</w:t>
            </w:r>
          </w:p>
        </w:tc>
        <w:tc>
          <w:tcPr>
            <w:tcW w:w="7600" w:type="dxa"/>
            <w:vAlign w:val="bottom"/>
            <w:gridSpan w:val="27"/>
          </w:tcPr>
          <w:p>
            <w:pPr>
              <w:spacing w:after="0"/>
              <w:rPr>
                <w:sz w:val="21"/>
                <w:szCs w:val="21"/>
                <w:color w:val="auto"/>
              </w:rPr>
            </w:pPr>
          </w:p>
        </w:tc>
        <w:tc>
          <w:tcPr>
            <w:tcW w:w="220" w:type="dxa"/>
            <w:vAlign w:val="bottom"/>
            <w:tcBorders>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89</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8.06.</w:t>
            </w:r>
          </w:p>
        </w:tc>
        <w:tc>
          <w:tcPr>
            <w:tcW w:w="8800" w:type="dxa"/>
            <w:vAlign w:val="bottom"/>
            <w:gridSpan w:val="33"/>
          </w:tcPr>
          <w:p>
            <w:pPr>
              <w:spacing w:after="0" w:line="250" w:lineRule="exact"/>
              <w:rPr>
                <w:sz w:val="20"/>
                <w:szCs w:val="20"/>
                <w:color w:val="auto"/>
              </w:rPr>
            </w:pPr>
            <w:r>
              <w:rPr>
                <w:rFonts w:ascii="Arial" w:cs="Arial" w:eastAsia="Arial" w:hAnsi="Arial"/>
                <w:sz w:val="22"/>
                <w:szCs w:val="22"/>
                <w:color w:val="auto"/>
              </w:rPr>
              <w:t>Reliance</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89</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8.07.</w:t>
            </w:r>
          </w:p>
        </w:tc>
        <w:tc>
          <w:tcPr>
            <w:tcW w:w="62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87"/>
              </w:rPr>
              <w:t>Waiver</w:t>
            </w:r>
          </w:p>
        </w:tc>
        <w:tc>
          <w:tcPr>
            <w:tcW w:w="120" w:type="dxa"/>
            <w:vAlign w:val="bottom"/>
            <w:tcBorders>
              <w:top w:val="single" w:sz="8" w:color="auto"/>
            </w:tcBorders>
          </w:tcPr>
          <w:p>
            <w:pPr>
              <w:spacing w:after="0"/>
              <w:rPr>
                <w:sz w:val="21"/>
                <w:szCs w:val="21"/>
                <w:color w:val="auto"/>
              </w:rPr>
            </w:pPr>
          </w:p>
        </w:tc>
        <w:tc>
          <w:tcPr>
            <w:tcW w:w="8060" w:type="dxa"/>
            <w:vAlign w:val="bottom"/>
            <w:gridSpan w:val="31"/>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90</w:t>
              </w:r>
            </w:hyperlink>
          </w:p>
        </w:tc>
        <w:tc>
          <w:tcPr>
            <w:tcW w:w="100" w:type="dxa"/>
            <w:vAlign w:val="bottom"/>
          </w:tcPr>
          <w:p>
            <w:pPr>
              <w:spacing w:after="0"/>
              <w:rPr>
                <w:sz w:val="21"/>
                <w:szCs w:val="2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8.08.  Limitation on Enforcement</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91</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8.09.  Confirmation of Payment</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91</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ARTICLE IX MISCELLANEOUS</w:t>
            </w:r>
          </w:p>
        </w:tc>
        <w:tc>
          <w:tcPr>
            <w:tcW w:w="220" w:type="dxa"/>
            <w:vAlign w:val="bottom"/>
            <w:tcBorders>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91</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9.01.</w:t>
            </w:r>
          </w:p>
        </w:tc>
        <w:tc>
          <w:tcPr>
            <w:tcW w:w="8800" w:type="dxa"/>
            <w:vAlign w:val="bottom"/>
            <w:gridSpan w:val="33"/>
          </w:tcPr>
          <w:p>
            <w:pPr>
              <w:spacing w:after="0" w:line="250" w:lineRule="exact"/>
              <w:rPr>
                <w:sz w:val="20"/>
                <w:szCs w:val="20"/>
                <w:color w:val="auto"/>
              </w:rPr>
            </w:pPr>
            <w:r>
              <w:rPr>
                <w:rFonts w:ascii="Arial" w:cs="Arial" w:eastAsia="Arial" w:hAnsi="Arial"/>
                <w:sz w:val="22"/>
                <w:szCs w:val="22"/>
                <w:color w:val="auto"/>
              </w:rPr>
              <w:t>Amendments, Etc</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91</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9.02.</w:t>
            </w:r>
          </w:p>
        </w:tc>
        <w:tc>
          <w:tcPr>
            <w:tcW w:w="1540" w:type="dxa"/>
            <w:vAlign w:val="bottom"/>
            <w:tcBorders>
              <w:top w:val="single" w:sz="8" w:color="auto"/>
            </w:tcBorders>
            <w:gridSpan w:val="12"/>
          </w:tcPr>
          <w:p>
            <w:pPr>
              <w:spacing w:after="0" w:line="250" w:lineRule="exact"/>
              <w:rPr>
                <w:sz w:val="20"/>
                <w:szCs w:val="20"/>
                <w:color w:val="auto"/>
              </w:rPr>
            </w:pPr>
            <w:r>
              <w:rPr>
                <w:rFonts w:ascii="Arial" w:cs="Arial" w:eastAsia="Arial" w:hAnsi="Arial"/>
                <w:sz w:val="22"/>
                <w:szCs w:val="22"/>
                <w:color w:val="auto"/>
              </w:rPr>
              <w:t>Notices, Etc</w:t>
            </w:r>
          </w:p>
        </w:tc>
        <w:tc>
          <w:tcPr>
            <w:tcW w:w="7260" w:type="dxa"/>
            <w:vAlign w:val="bottom"/>
            <w:gridSpan w:val="21"/>
          </w:tcPr>
          <w:p>
            <w:pPr>
              <w:spacing w:after="0"/>
              <w:rPr>
                <w:sz w:val="21"/>
                <w:szCs w:val="21"/>
                <w:color w:val="auto"/>
              </w:rPr>
            </w:pPr>
          </w:p>
        </w:tc>
        <w:tc>
          <w:tcPr>
            <w:tcW w:w="220" w:type="dxa"/>
            <w:vAlign w:val="bottom"/>
            <w:tcBorders>
              <w:top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92</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9.03.  No Waiver; Remedies</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93</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9.04.  Costs and Expenses</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94</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9.05.</w:t>
            </w:r>
          </w:p>
        </w:tc>
        <w:tc>
          <w:tcPr>
            <w:tcW w:w="1380" w:type="dxa"/>
            <w:vAlign w:val="bottom"/>
            <w:tcBorders>
              <w:top w:val="single" w:sz="8" w:color="auto"/>
              <w:bottom w:val="single" w:sz="8" w:color="auto"/>
            </w:tcBorders>
            <w:gridSpan w:val="10"/>
          </w:tcPr>
          <w:p>
            <w:pPr>
              <w:spacing w:after="0" w:line="250" w:lineRule="exact"/>
              <w:rPr>
                <w:sz w:val="20"/>
                <w:szCs w:val="20"/>
                <w:color w:val="auto"/>
              </w:rPr>
            </w:pPr>
            <w:r>
              <w:rPr>
                <w:rFonts w:ascii="Arial" w:cs="Arial" w:eastAsia="Arial" w:hAnsi="Arial"/>
                <w:sz w:val="22"/>
                <w:szCs w:val="22"/>
                <w:color w:val="auto"/>
                <w:w w:val="92"/>
              </w:rPr>
              <w:t>Right of Set-off</w:t>
            </w:r>
          </w:p>
        </w:tc>
        <w:tc>
          <w:tcPr>
            <w:tcW w:w="340" w:type="dxa"/>
            <w:vAlign w:val="bottom"/>
            <w:tcBorders>
              <w:top w:val="single" w:sz="8" w:color="auto"/>
            </w:tcBorders>
            <w:gridSpan w:val="5"/>
          </w:tcPr>
          <w:p>
            <w:pPr>
              <w:spacing w:after="0"/>
              <w:rPr>
                <w:sz w:val="21"/>
                <w:szCs w:val="21"/>
                <w:color w:val="auto"/>
              </w:rPr>
            </w:pPr>
          </w:p>
        </w:tc>
        <w:tc>
          <w:tcPr>
            <w:tcW w:w="7080" w:type="dxa"/>
            <w:vAlign w:val="bottom"/>
            <w:gridSpan w:val="18"/>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95</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9.06.</w:t>
            </w:r>
          </w:p>
        </w:tc>
        <w:tc>
          <w:tcPr>
            <w:tcW w:w="8800" w:type="dxa"/>
            <w:vAlign w:val="bottom"/>
            <w:gridSpan w:val="33"/>
          </w:tcPr>
          <w:p>
            <w:pPr>
              <w:spacing w:after="0" w:line="250" w:lineRule="exact"/>
              <w:rPr>
                <w:sz w:val="20"/>
                <w:szCs w:val="20"/>
                <w:color w:val="auto"/>
              </w:rPr>
            </w:pPr>
            <w:r>
              <w:rPr>
                <w:rFonts w:ascii="Arial" w:cs="Arial" w:eastAsia="Arial" w:hAnsi="Arial"/>
                <w:sz w:val="22"/>
                <w:szCs w:val="22"/>
                <w:color w:val="auto"/>
              </w:rPr>
              <w:t>Binding Effect</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95</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9.07.  Assignments and Participations</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95</w:t>
              </w:r>
            </w:hyperlink>
          </w:p>
        </w:tc>
        <w:tc>
          <w:tcPr>
            <w:tcW w:w="100" w:type="dxa"/>
            <w:vAlign w:val="bottom"/>
          </w:tcPr>
          <w:p>
            <w:pPr>
              <w:spacing w:after="0"/>
              <w:rPr>
                <w:sz w:val="21"/>
                <w:szCs w:val="2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9.08.</w:t>
            </w:r>
          </w:p>
        </w:tc>
        <w:tc>
          <w:tcPr>
            <w:tcW w:w="2720" w:type="dxa"/>
            <w:vAlign w:val="bottom"/>
            <w:tcBorders>
              <w:top w:val="single" w:sz="8" w:color="auto"/>
            </w:tcBorders>
            <w:gridSpan w:val="27"/>
          </w:tcPr>
          <w:p>
            <w:pPr>
              <w:spacing w:after="0" w:line="250" w:lineRule="exact"/>
              <w:rPr>
                <w:sz w:val="20"/>
                <w:szCs w:val="20"/>
                <w:color w:val="auto"/>
              </w:rPr>
            </w:pPr>
            <w:r>
              <w:rPr>
                <w:rFonts w:ascii="Arial" w:cs="Arial" w:eastAsia="Arial" w:hAnsi="Arial"/>
                <w:sz w:val="22"/>
                <w:szCs w:val="22"/>
                <w:color w:val="auto"/>
              </w:rPr>
              <w:t>Confidentiality</w:t>
            </w:r>
          </w:p>
        </w:tc>
        <w:tc>
          <w:tcPr>
            <w:tcW w:w="6080" w:type="dxa"/>
            <w:vAlign w:val="bottom"/>
            <w:gridSpan w:val="6"/>
          </w:tcPr>
          <w:p>
            <w:pPr>
              <w:spacing w:after="0"/>
              <w:rPr>
                <w:sz w:val="21"/>
                <w:szCs w:val="21"/>
                <w:color w:val="auto"/>
              </w:rPr>
            </w:pPr>
          </w:p>
        </w:tc>
        <w:tc>
          <w:tcPr>
            <w:tcW w:w="220" w:type="dxa"/>
            <w:vAlign w:val="bottom"/>
            <w:tcBorders>
              <w:top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99</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1300" w:type="dxa"/>
            <w:vAlign w:val="bottom"/>
            <w:gridSpan w:val="8"/>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9.09.</w:t>
            </w:r>
          </w:p>
        </w:tc>
        <w:tc>
          <w:tcPr>
            <w:tcW w:w="1360" w:type="dxa"/>
            <w:vAlign w:val="bottom"/>
            <w:tcBorders>
              <w:bottom w:val="single" w:sz="8" w:color="auto"/>
            </w:tcBorders>
            <w:gridSpan w:val="9"/>
          </w:tcPr>
          <w:p>
            <w:pPr>
              <w:spacing w:after="0" w:line="250" w:lineRule="exact"/>
              <w:rPr>
                <w:sz w:val="20"/>
                <w:szCs w:val="20"/>
                <w:color w:val="auto"/>
              </w:rPr>
            </w:pPr>
            <w:r>
              <w:rPr>
                <w:rFonts w:ascii="Arial" w:cs="Arial" w:eastAsia="Arial" w:hAnsi="Arial"/>
                <w:sz w:val="22"/>
                <w:szCs w:val="22"/>
                <w:color w:val="auto"/>
                <w:w w:val="90"/>
              </w:rPr>
              <w:t>Governing Law</w:t>
            </w:r>
          </w:p>
        </w:tc>
        <w:tc>
          <w:tcPr>
            <w:tcW w:w="7440" w:type="dxa"/>
            <w:vAlign w:val="bottom"/>
            <w:gridSpan w:val="24"/>
          </w:tcPr>
          <w:p>
            <w:pPr>
              <w:spacing w:after="0"/>
              <w:rPr>
                <w:sz w:val="21"/>
                <w:szCs w:val="21"/>
                <w:color w:val="auto"/>
              </w:rPr>
            </w:pPr>
          </w:p>
        </w:tc>
        <w:tc>
          <w:tcPr>
            <w:tcW w:w="220" w:type="dxa"/>
            <w:vAlign w:val="bottom"/>
            <w:tcBorders>
              <w:bottom w:val="single" w:sz="8" w:color="auto"/>
            </w:tcBorders>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99</w:t>
              </w:r>
            </w:hyperlink>
          </w:p>
        </w:tc>
        <w:tc>
          <w:tcPr>
            <w:tcW w:w="100" w:type="dxa"/>
            <w:vAlign w:val="bottom"/>
          </w:tcPr>
          <w:p>
            <w:pPr>
              <w:spacing w:after="0"/>
              <w:rPr>
                <w:sz w:val="21"/>
                <w:szCs w:val="2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9.10.  Execution in Counterparts</w:t>
            </w:r>
          </w:p>
        </w:tc>
        <w:tc>
          <w:tcPr>
            <w:tcW w:w="220" w:type="dxa"/>
            <w:vAlign w:val="bottom"/>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99</w:t>
              </w:r>
            </w:hyperlink>
          </w:p>
        </w:tc>
        <w:tc>
          <w:tcPr>
            <w:tcW w:w="10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1380" w:type="dxa"/>
            <w:vAlign w:val="bottom"/>
            <w:gridSpan w:val="10"/>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9.11.</w:t>
            </w:r>
          </w:p>
        </w:tc>
        <w:tc>
          <w:tcPr>
            <w:tcW w:w="8800" w:type="dxa"/>
            <w:vAlign w:val="bottom"/>
            <w:gridSpan w:val="33"/>
          </w:tcPr>
          <w:p>
            <w:pPr>
              <w:spacing w:after="0" w:line="250" w:lineRule="exact"/>
              <w:rPr>
                <w:sz w:val="20"/>
                <w:szCs w:val="20"/>
                <w:color w:val="auto"/>
              </w:rPr>
            </w:pPr>
            <w:r>
              <w:rPr>
                <w:rFonts w:ascii="Arial" w:cs="Arial" w:eastAsia="Arial" w:hAnsi="Arial"/>
                <w:sz w:val="22"/>
                <w:szCs w:val="22"/>
                <w:color w:val="auto"/>
              </w:rPr>
              <w:t>Jurisdiction, Etc</w:t>
            </w:r>
          </w:p>
        </w:tc>
        <w:tc>
          <w:tcPr>
            <w:tcW w:w="3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100</w:t>
              </w:r>
            </w:hyperlink>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1380" w:type="dxa"/>
            <w:vAlign w:val="bottom"/>
            <w:gridSpan w:val="10"/>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9.12.</w:t>
            </w:r>
          </w:p>
        </w:tc>
        <w:tc>
          <w:tcPr>
            <w:tcW w:w="8800" w:type="dxa"/>
            <w:vAlign w:val="bottom"/>
            <w:gridSpan w:val="33"/>
          </w:tcPr>
          <w:p>
            <w:pPr>
              <w:spacing w:after="0" w:line="250" w:lineRule="exact"/>
              <w:rPr>
                <w:sz w:val="20"/>
                <w:szCs w:val="20"/>
                <w:color w:val="auto"/>
              </w:rPr>
            </w:pPr>
            <w:r>
              <w:rPr>
                <w:rFonts w:ascii="Arial" w:cs="Arial" w:eastAsia="Arial" w:hAnsi="Arial"/>
                <w:sz w:val="22"/>
                <w:szCs w:val="22"/>
                <w:color w:val="auto"/>
              </w:rPr>
              <w:t>Patriot Act Notice</w:t>
            </w:r>
          </w:p>
        </w:tc>
        <w:tc>
          <w:tcPr>
            <w:tcW w:w="3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100</w:t>
              </w:r>
            </w:hyperlink>
          </w:p>
        </w:tc>
      </w:tr>
      <w:tr>
        <w:trPr>
          <w:trHeight w:val="20"/>
        </w:trPr>
        <w:tc>
          <w:tcPr>
            <w:tcW w:w="1620" w:type="dxa"/>
            <w:vAlign w:val="bottom"/>
          </w:tcPr>
          <w:p>
            <w:pPr>
              <w:spacing w:after="0" w:line="20" w:lineRule="exact"/>
              <w:rPr>
                <w:sz w:val="1"/>
                <w:szCs w:val="1"/>
                <w:color w:val="auto"/>
              </w:rPr>
            </w:pPr>
          </w:p>
        </w:tc>
        <w:tc>
          <w:tcPr>
            <w:tcW w:w="1560" w:type="dxa"/>
            <w:vAlign w:val="bottom"/>
            <w:gridSpan w:val="1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9.13.  Waiver of Jury Trial</w:t>
            </w:r>
          </w:p>
        </w:tc>
        <w:tc>
          <w:tcPr>
            <w:tcW w:w="3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100</w:t>
              </w:r>
            </w:hyperlink>
          </w:p>
        </w:tc>
      </w:tr>
      <w:tr>
        <w:trPr>
          <w:trHeight w:val="20"/>
        </w:trPr>
        <w:tc>
          <w:tcPr>
            <w:tcW w:w="1620" w:type="dxa"/>
            <w:vAlign w:val="bottom"/>
          </w:tcPr>
          <w:p>
            <w:pPr>
              <w:spacing w:after="0" w:line="20" w:lineRule="exact"/>
              <w:rPr>
                <w:sz w:val="1"/>
                <w:szCs w:val="1"/>
                <w:color w:val="auto"/>
              </w:rPr>
            </w:pPr>
          </w:p>
        </w:tc>
        <w:tc>
          <w:tcPr>
            <w:tcW w:w="1700" w:type="dxa"/>
            <w:vAlign w:val="bottom"/>
            <w:gridSpan w:val="1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9.14.  Acknowledgement and Consent to Bail-In of Affected Financial Institutions</w:t>
            </w:r>
          </w:p>
        </w:tc>
        <w:tc>
          <w:tcPr>
            <w:tcW w:w="3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100</w:t>
              </w:r>
            </w:hyperlink>
          </w:p>
        </w:tc>
      </w:tr>
      <w:tr>
        <w:trPr>
          <w:trHeight w:val="20"/>
        </w:trPr>
        <w:tc>
          <w:tcPr>
            <w:tcW w:w="1620" w:type="dxa"/>
            <w:vAlign w:val="bottom"/>
          </w:tcPr>
          <w:p>
            <w:pPr>
              <w:spacing w:after="0" w:line="20" w:lineRule="exact"/>
              <w:rPr>
                <w:sz w:val="1"/>
                <w:szCs w:val="1"/>
                <w:color w:val="auto"/>
              </w:rPr>
            </w:pPr>
          </w:p>
        </w:tc>
        <w:tc>
          <w:tcPr>
            <w:tcW w:w="1700" w:type="dxa"/>
            <w:vAlign w:val="bottom"/>
            <w:gridSpan w:val="14"/>
            <w:shd w:val="clear" w:color="auto" w:fill="000000"/>
          </w:tcPr>
          <w:p>
            <w:pPr>
              <w:spacing w:after="0" w:line="20" w:lineRule="exact"/>
              <w:rPr>
                <w:sz w:val="1"/>
                <w:szCs w:val="1"/>
                <w:color w:val="auto"/>
              </w:rPr>
            </w:pPr>
          </w:p>
        </w:tc>
        <w:tc>
          <w:tcPr>
            <w:tcW w:w="640" w:type="dxa"/>
            <w:vAlign w:val="bottom"/>
            <w:gridSpan w:val="9"/>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320" w:type="dxa"/>
            <w:vAlign w:val="bottom"/>
            <w:tcBorders>
              <w:left w:val="single" w:sz="8" w:color="auto"/>
            </w:tcBorders>
            <w:gridSpan w:val="2"/>
            <w:shd w:val="clear" w:color="auto" w:fill="000000"/>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9.15.  Amendment and Restatement</w:t>
            </w:r>
          </w:p>
        </w:tc>
        <w:tc>
          <w:tcPr>
            <w:tcW w:w="3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101</w:t>
              </w:r>
            </w:hyperlink>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9.16.</w:t>
            </w:r>
          </w:p>
        </w:tc>
        <w:tc>
          <w:tcPr>
            <w:tcW w:w="1700" w:type="dxa"/>
            <w:vAlign w:val="bottom"/>
            <w:tcBorders>
              <w:top w:val="single" w:sz="8" w:color="auto"/>
              <w:bottom w:val="single" w:sz="8" w:color="auto"/>
            </w:tcBorders>
            <w:gridSpan w:val="14"/>
          </w:tcPr>
          <w:p>
            <w:pPr>
              <w:spacing w:after="0" w:line="250" w:lineRule="exact"/>
              <w:rPr>
                <w:sz w:val="20"/>
                <w:szCs w:val="20"/>
                <w:color w:val="auto"/>
              </w:rPr>
            </w:pPr>
            <w:r>
              <w:rPr>
                <w:rFonts w:ascii="Arial" w:cs="Arial" w:eastAsia="Arial" w:hAnsi="Arial"/>
                <w:sz w:val="22"/>
                <w:szCs w:val="22"/>
                <w:color w:val="auto"/>
                <w:w w:val="87"/>
              </w:rPr>
              <w:t>Judgment Currency</w:t>
            </w:r>
          </w:p>
        </w:tc>
        <w:tc>
          <w:tcPr>
            <w:tcW w:w="840" w:type="dxa"/>
            <w:vAlign w:val="bottom"/>
            <w:tcBorders>
              <w:top w:val="single" w:sz="8" w:color="auto"/>
            </w:tcBorders>
            <w:gridSpan w:val="11"/>
          </w:tcPr>
          <w:p>
            <w:pPr>
              <w:spacing w:after="0"/>
              <w:rPr>
                <w:sz w:val="21"/>
                <w:szCs w:val="21"/>
                <w:color w:val="auto"/>
              </w:rPr>
            </w:pPr>
          </w:p>
        </w:tc>
        <w:tc>
          <w:tcPr>
            <w:tcW w:w="6260" w:type="dxa"/>
            <w:vAlign w:val="bottom"/>
            <w:gridSpan w:val="8"/>
          </w:tcPr>
          <w:p>
            <w:pPr>
              <w:spacing w:after="0"/>
              <w:rPr>
                <w:sz w:val="21"/>
                <w:szCs w:val="21"/>
                <w:color w:val="auto"/>
              </w:rPr>
            </w:pPr>
          </w:p>
        </w:tc>
        <w:tc>
          <w:tcPr>
            <w:tcW w:w="320" w:type="dxa"/>
            <w:vAlign w:val="bottom"/>
            <w:tcBorders>
              <w:top w:val="single" w:sz="8" w:color="auto"/>
              <w:bottom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101</w:t>
              </w:r>
            </w:hyperlink>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9.17.  Appointment of the Company</w:t>
            </w:r>
          </w:p>
        </w:tc>
        <w:tc>
          <w:tcPr>
            <w:tcW w:w="3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102</w:t>
              </w:r>
            </w:hyperlink>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9.18.</w:t>
            </w:r>
          </w:p>
        </w:tc>
        <w:tc>
          <w:tcPr>
            <w:tcW w:w="2580" w:type="dxa"/>
            <w:vAlign w:val="bottom"/>
            <w:tcBorders>
              <w:top w:val="single" w:sz="8" w:color="auto"/>
            </w:tcBorders>
            <w:gridSpan w:val="26"/>
          </w:tcPr>
          <w:p>
            <w:pPr>
              <w:spacing w:after="0" w:line="250" w:lineRule="exact"/>
              <w:rPr>
                <w:sz w:val="20"/>
                <w:szCs w:val="20"/>
                <w:color w:val="auto"/>
              </w:rPr>
            </w:pPr>
            <w:r>
              <w:rPr>
                <w:rFonts w:ascii="Arial" w:cs="Arial" w:eastAsia="Arial" w:hAnsi="Arial"/>
                <w:sz w:val="22"/>
                <w:szCs w:val="22"/>
                <w:color w:val="auto"/>
                <w:w w:val="98"/>
              </w:rPr>
              <w:t>Lender-Specific Provisions</w:t>
            </w:r>
          </w:p>
        </w:tc>
        <w:tc>
          <w:tcPr>
            <w:tcW w:w="6220" w:type="dxa"/>
            <w:vAlign w:val="bottom"/>
            <w:gridSpan w:val="7"/>
          </w:tcPr>
          <w:p>
            <w:pPr>
              <w:spacing w:after="0"/>
              <w:rPr>
                <w:sz w:val="21"/>
                <w:szCs w:val="21"/>
                <w:color w:val="auto"/>
              </w:rPr>
            </w:pPr>
          </w:p>
        </w:tc>
        <w:tc>
          <w:tcPr>
            <w:tcW w:w="320" w:type="dxa"/>
            <w:vAlign w:val="bottom"/>
            <w:tcBorders>
              <w:top w:val="single" w:sz="8" w:color="auto"/>
            </w:tcBorders>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102</w:t>
              </w:r>
            </w:hyperlink>
          </w:p>
        </w:tc>
      </w:tr>
      <w:tr>
        <w:trPr>
          <w:trHeight w:val="20"/>
        </w:trPr>
        <w:tc>
          <w:tcPr>
            <w:tcW w:w="1620" w:type="dxa"/>
            <w:vAlign w:val="bottom"/>
          </w:tcPr>
          <w:p>
            <w:pPr>
              <w:spacing w:after="0" w:line="20" w:lineRule="exact"/>
              <w:rPr>
                <w:sz w:val="1"/>
                <w:szCs w:val="1"/>
                <w:color w:val="auto"/>
              </w:rPr>
            </w:pPr>
          </w:p>
        </w:tc>
        <w:tc>
          <w:tcPr>
            <w:tcW w:w="2340" w:type="dxa"/>
            <w:vAlign w:val="bottom"/>
            <w:gridSpan w:val="23"/>
            <w:shd w:val="clear" w:color="auto" w:fill="000000"/>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10420" w:type="dxa"/>
            <w:vAlign w:val="bottom"/>
            <w:gridSpan w:val="34"/>
          </w:tcPr>
          <w:p>
            <w:pPr>
              <w:spacing w:after="0" w:line="250" w:lineRule="exact"/>
              <w:rPr>
                <w:sz w:val="20"/>
                <w:szCs w:val="20"/>
                <w:color w:val="auto"/>
              </w:rPr>
            </w:pPr>
            <w:r>
              <w:rPr>
                <w:rFonts w:ascii="Arial" w:cs="Arial" w:eastAsia="Arial" w:hAnsi="Arial"/>
                <w:sz w:val="22"/>
                <w:szCs w:val="22"/>
                <w:color w:val="auto"/>
              </w:rPr>
              <w:t>SECTION 9.19.  Australian Code of Banking Practice</w:t>
            </w:r>
          </w:p>
        </w:tc>
        <w:tc>
          <w:tcPr>
            <w:tcW w:w="3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102</w:t>
              </w:r>
            </w:hyperlink>
          </w:p>
        </w:tc>
      </w:tr>
      <w:tr>
        <w:trPr>
          <w:trHeight w:val="20"/>
        </w:trPr>
        <w:tc>
          <w:tcPr>
            <w:tcW w:w="1620" w:type="dxa"/>
            <w:vAlign w:val="bottom"/>
          </w:tcPr>
          <w:p>
            <w:pPr>
              <w:spacing w:after="0" w:line="20" w:lineRule="exact"/>
              <w:rPr>
                <w:sz w:val="1"/>
                <w:szCs w:val="1"/>
                <w:color w:val="auto"/>
              </w:rPr>
            </w:pPr>
          </w:p>
        </w:tc>
        <w:tc>
          <w:tcPr>
            <w:tcW w:w="3180" w:type="dxa"/>
            <w:vAlign w:val="bottom"/>
            <w:gridSpan w:val="28"/>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1620" w:type="dxa"/>
            <w:vAlign w:val="bottom"/>
          </w:tcPr>
          <w:p>
            <w:pPr>
              <w:spacing w:after="0" w:line="250" w:lineRule="exact"/>
              <w:rPr>
                <w:sz w:val="20"/>
                <w:szCs w:val="20"/>
                <w:color w:val="auto"/>
              </w:rPr>
            </w:pPr>
            <w:r>
              <w:rPr>
                <w:rFonts w:ascii="Arial" w:cs="Arial" w:eastAsia="Arial" w:hAnsi="Arial"/>
                <w:sz w:val="22"/>
                <w:szCs w:val="22"/>
                <w:color w:val="auto"/>
              </w:rPr>
              <w:t>SECTION 9.20.</w:t>
            </w:r>
          </w:p>
        </w:tc>
        <w:tc>
          <w:tcPr>
            <w:tcW w:w="8800" w:type="dxa"/>
            <w:vAlign w:val="bottom"/>
            <w:gridSpan w:val="33"/>
          </w:tcPr>
          <w:p>
            <w:pPr>
              <w:spacing w:after="0" w:line="250" w:lineRule="exact"/>
              <w:rPr>
                <w:sz w:val="20"/>
                <w:szCs w:val="20"/>
                <w:color w:val="auto"/>
              </w:rPr>
            </w:pPr>
            <w:r>
              <w:rPr>
                <w:rFonts w:ascii="Arial" w:cs="Arial" w:eastAsia="Arial" w:hAnsi="Arial"/>
                <w:sz w:val="22"/>
                <w:szCs w:val="22"/>
                <w:color w:val="auto"/>
              </w:rPr>
              <w:t>Acknowledgement Regarding Any Supported QFCs</w:t>
            </w:r>
          </w:p>
        </w:tc>
        <w:tc>
          <w:tcPr>
            <w:tcW w:w="320" w:type="dxa"/>
            <w:vAlign w:val="bottom"/>
            <w:gridSpan w:val="2"/>
          </w:tcPr>
          <w:p>
            <w:pPr>
              <w:spacing w:after="0" w:line="250" w:lineRule="exact"/>
              <w:rPr>
                <w:rFonts w:ascii="Arial" w:cs="Arial" w:eastAsia="Arial" w:hAnsi="Arial"/>
                <w:sz w:val="22"/>
                <w:szCs w:val="22"/>
                <w:color w:val="auto"/>
                <w:w w:val="81"/>
              </w:rPr>
            </w:pPr>
            <w:hyperlink w:anchor="page137">
              <w:r>
                <w:rPr>
                  <w:rFonts w:ascii="Arial" w:cs="Arial" w:eastAsia="Arial" w:hAnsi="Arial"/>
                  <w:sz w:val="22"/>
                  <w:szCs w:val="22"/>
                  <w:color w:val="auto"/>
                  <w:w w:val="81"/>
                </w:rPr>
                <w:t>102</w:t>
              </w:r>
            </w:hyperlink>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ectPr>
          <w:pgSz w:w="11900" w:h="16838" w:orient="portrait"/>
          <w:cols w:equalWidth="0" w:num="1">
            <w:col w:w="10740"/>
          </w:cols>
          <w:pgMar w:left="400" w:top="1425" w:right="75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Schedules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Schedule I – Multicurrency Tranche Commitments</w:t>
      </w:r>
    </w:p>
    <w:p>
      <w:pPr>
        <w:spacing w:after="0" w:line="204" w:lineRule="auto"/>
        <w:rPr>
          <w:sz w:val="20"/>
          <w:szCs w:val="20"/>
          <w:color w:val="auto"/>
        </w:rPr>
      </w:pPr>
      <w:r>
        <w:rPr>
          <w:rFonts w:ascii="Arial" w:cs="Arial" w:eastAsia="Arial" w:hAnsi="Arial"/>
          <w:sz w:val="22"/>
          <w:szCs w:val="22"/>
          <w:color w:val="auto"/>
        </w:rPr>
        <w:t>Schedule II – US Tranche Commitments</w:t>
      </w:r>
    </w:p>
    <w:p>
      <w:pPr>
        <w:spacing w:after="0" w:line="205" w:lineRule="auto"/>
        <w:rPr>
          <w:sz w:val="20"/>
          <w:szCs w:val="20"/>
          <w:color w:val="auto"/>
        </w:rPr>
      </w:pPr>
      <w:r>
        <w:rPr>
          <w:rFonts w:ascii="Arial" w:cs="Arial" w:eastAsia="Arial" w:hAnsi="Arial"/>
          <w:sz w:val="22"/>
          <w:szCs w:val="22"/>
          <w:color w:val="auto"/>
        </w:rPr>
        <w:t>Schedule III – Effective Date Guarantors</w:t>
      </w:r>
    </w:p>
    <w:p>
      <w:pPr>
        <w:spacing w:after="0" w:line="205" w:lineRule="auto"/>
        <w:rPr>
          <w:sz w:val="20"/>
          <w:szCs w:val="20"/>
          <w:color w:val="auto"/>
        </w:rPr>
      </w:pPr>
      <w:r>
        <w:rPr>
          <w:rFonts w:ascii="Arial" w:cs="Arial" w:eastAsia="Arial" w:hAnsi="Arial"/>
          <w:sz w:val="22"/>
          <w:szCs w:val="22"/>
          <w:color w:val="auto"/>
        </w:rPr>
        <w:t>Schedule 5.02(a) – Existing Liens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Schedule 5.02(d) – Existing Debt and Investments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20" w:type="dxa"/>
            <w:vAlign w:val="bottom"/>
          </w:tcPr>
          <w:p>
            <w:pPr>
              <w:spacing w:after="0"/>
              <w:rPr>
                <w:sz w:val="20"/>
                <w:szCs w:val="20"/>
                <w:color w:val="auto"/>
              </w:rPr>
            </w:pPr>
            <w:r>
              <w:rPr>
                <w:rFonts w:ascii="Arial" w:cs="Arial" w:eastAsia="Arial" w:hAnsi="Arial"/>
                <w:sz w:val="22"/>
                <w:szCs w:val="22"/>
                <w:color w:val="auto"/>
              </w:rPr>
              <w:t>Exhibits</w:t>
            </w: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Exhibit A</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4060" w:type="dxa"/>
            <w:vAlign w:val="bottom"/>
          </w:tcPr>
          <w:p>
            <w:pPr>
              <w:ind w:left="20"/>
              <w:spacing w:after="0"/>
              <w:rPr>
                <w:sz w:val="20"/>
                <w:szCs w:val="20"/>
                <w:color w:val="auto"/>
              </w:rPr>
            </w:pPr>
            <w:r>
              <w:rPr>
                <w:rFonts w:ascii="Arial" w:cs="Arial" w:eastAsia="Arial" w:hAnsi="Arial"/>
                <w:sz w:val="22"/>
                <w:szCs w:val="22"/>
                <w:color w:val="auto"/>
              </w:rPr>
              <w:t>Form of Note</w:t>
            </w:r>
          </w:p>
        </w:tc>
      </w:tr>
      <w:tr>
        <w:trPr>
          <w:trHeight w:val="216"/>
        </w:trPr>
        <w:tc>
          <w:tcPr>
            <w:tcW w:w="1020" w:type="dxa"/>
            <w:vAlign w:val="bottom"/>
          </w:tcPr>
          <w:p>
            <w:pPr>
              <w:spacing w:after="0" w:line="216" w:lineRule="exact"/>
              <w:rPr>
                <w:sz w:val="20"/>
                <w:szCs w:val="20"/>
                <w:color w:val="auto"/>
              </w:rPr>
            </w:pPr>
            <w:r>
              <w:rPr>
                <w:rFonts w:ascii="Arial" w:cs="Arial" w:eastAsia="Arial" w:hAnsi="Arial"/>
                <w:sz w:val="22"/>
                <w:szCs w:val="22"/>
                <w:color w:val="auto"/>
                <w:w w:val="93"/>
              </w:rPr>
              <w:t>Exhibit B-1</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4060" w:type="dxa"/>
            <w:vAlign w:val="bottom"/>
          </w:tcPr>
          <w:p>
            <w:pPr>
              <w:jc w:val="right"/>
              <w:ind w:right="1192"/>
              <w:spacing w:after="0" w:line="216" w:lineRule="exact"/>
              <w:rPr>
                <w:sz w:val="20"/>
                <w:szCs w:val="20"/>
                <w:color w:val="auto"/>
              </w:rPr>
            </w:pPr>
            <w:r>
              <w:rPr>
                <w:rFonts w:ascii="Arial" w:cs="Arial" w:eastAsia="Arial" w:hAnsi="Arial"/>
                <w:sz w:val="22"/>
                <w:szCs w:val="22"/>
                <w:color w:val="auto"/>
              </w:rPr>
              <w:t>Form of Notice of Borrowing</w:t>
            </w:r>
          </w:p>
        </w:tc>
      </w:tr>
      <w:tr>
        <w:trPr>
          <w:trHeight w:val="216"/>
        </w:trPr>
        <w:tc>
          <w:tcPr>
            <w:tcW w:w="1020" w:type="dxa"/>
            <w:vAlign w:val="bottom"/>
          </w:tcPr>
          <w:p>
            <w:pPr>
              <w:spacing w:after="0" w:line="216" w:lineRule="exact"/>
              <w:rPr>
                <w:sz w:val="20"/>
                <w:szCs w:val="20"/>
                <w:color w:val="auto"/>
              </w:rPr>
            </w:pPr>
            <w:r>
              <w:rPr>
                <w:rFonts w:ascii="Arial" w:cs="Arial" w:eastAsia="Arial" w:hAnsi="Arial"/>
                <w:sz w:val="22"/>
                <w:szCs w:val="22"/>
                <w:color w:val="auto"/>
                <w:w w:val="93"/>
              </w:rPr>
              <w:t>Exhibit B-2</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4060" w:type="dxa"/>
            <w:vAlign w:val="bottom"/>
          </w:tcPr>
          <w:p>
            <w:pPr>
              <w:ind w:left="260"/>
              <w:spacing w:after="0" w:line="216" w:lineRule="exact"/>
              <w:rPr>
                <w:sz w:val="20"/>
                <w:szCs w:val="20"/>
                <w:color w:val="auto"/>
              </w:rPr>
            </w:pPr>
            <w:r>
              <w:rPr>
                <w:rFonts w:ascii="Arial" w:cs="Arial" w:eastAsia="Arial" w:hAnsi="Arial"/>
                <w:sz w:val="22"/>
                <w:szCs w:val="22"/>
                <w:color w:val="auto"/>
                <w:w w:val="90"/>
              </w:rPr>
              <w:t>Form of Notice of Continuation/Conversion</w:t>
            </w:r>
          </w:p>
        </w:tc>
      </w:tr>
      <w:tr>
        <w:trPr>
          <w:trHeight w:val="216"/>
        </w:trPr>
        <w:tc>
          <w:tcPr>
            <w:tcW w:w="1020" w:type="dxa"/>
            <w:vAlign w:val="bottom"/>
          </w:tcPr>
          <w:p>
            <w:pPr>
              <w:spacing w:after="0" w:line="216" w:lineRule="exact"/>
              <w:rPr>
                <w:sz w:val="20"/>
                <w:szCs w:val="20"/>
                <w:color w:val="auto"/>
              </w:rPr>
            </w:pPr>
            <w:r>
              <w:rPr>
                <w:rFonts w:ascii="Arial" w:cs="Arial" w:eastAsia="Arial" w:hAnsi="Arial"/>
                <w:sz w:val="22"/>
                <w:szCs w:val="22"/>
                <w:color w:val="auto"/>
              </w:rPr>
              <w:t>Exhibit C</w:t>
            </w:r>
          </w:p>
        </w:tc>
        <w:tc>
          <w:tcPr>
            <w:tcW w:w="300" w:type="dxa"/>
            <w:vAlign w:val="bottom"/>
          </w:tcPr>
          <w:p>
            <w:pPr>
              <w:jc w:val="right"/>
              <w:ind w:right="32"/>
              <w:spacing w:after="0" w:line="216" w:lineRule="exact"/>
              <w:rPr>
                <w:sz w:val="20"/>
                <w:szCs w:val="20"/>
                <w:color w:val="auto"/>
              </w:rPr>
            </w:pPr>
            <w:r>
              <w:rPr>
                <w:rFonts w:ascii="Arial" w:cs="Arial" w:eastAsia="Arial" w:hAnsi="Arial"/>
                <w:sz w:val="22"/>
                <w:szCs w:val="22"/>
                <w:color w:val="auto"/>
              </w:rPr>
              <w:t>-</w:t>
            </w:r>
          </w:p>
        </w:tc>
        <w:tc>
          <w:tcPr>
            <w:tcW w:w="4060" w:type="dxa"/>
            <w:vAlign w:val="bottom"/>
          </w:tcPr>
          <w:p>
            <w:pPr>
              <w:ind w:left="140"/>
              <w:spacing w:after="0" w:line="216" w:lineRule="exact"/>
              <w:rPr>
                <w:sz w:val="20"/>
                <w:szCs w:val="20"/>
                <w:color w:val="auto"/>
              </w:rPr>
            </w:pPr>
            <w:r>
              <w:rPr>
                <w:rFonts w:ascii="Arial" w:cs="Arial" w:eastAsia="Arial" w:hAnsi="Arial"/>
                <w:sz w:val="22"/>
                <w:szCs w:val="22"/>
                <w:color w:val="auto"/>
              </w:rPr>
              <w:t>Form of Assignment and Assumption</w:t>
            </w:r>
          </w:p>
        </w:tc>
      </w:tr>
      <w:tr>
        <w:trPr>
          <w:trHeight w:val="216"/>
        </w:trPr>
        <w:tc>
          <w:tcPr>
            <w:tcW w:w="1020" w:type="dxa"/>
            <w:vAlign w:val="bottom"/>
          </w:tcPr>
          <w:p>
            <w:pPr>
              <w:spacing w:after="0" w:line="216" w:lineRule="exact"/>
              <w:rPr>
                <w:sz w:val="20"/>
                <w:szCs w:val="20"/>
                <w:color w:val="auto"/>
              </w:rPr>
            </w:pPr>
            <w:r>
              <w:rPr>
                <w:rFonts w:ascii="Arial" w:cs="Arial" w:eastAsia="Arial" w:hAnsi="Arial"/>
                <w:sz w:val="22"/>
                <w:szCs w:val="22"/>
                <w:color w:val="auto"/>
              </w:rPr>
              <w:t>Exhibit D</w:t>
            </w:r>
          </w:p>
        </w:tc>
        <w:tc>
          <w:tcPr>
            <w:tcW w:w="300" w:type="dxa"/>
            <w:vAlign w:val="bottom"/>
          </w:tcPr>
          <w:p>
            <w:pPr>
              <w:jc w:val="right"/>
              <w:ind w:right="72"/>
              <w:spacing w:after="0" w:line="216" w:lineRule="exact"/>
              <w:rPr>
                <w:sz w:val="20"/>
                <w:szCs w:val="20"/>
                <w:color w:val="auto"/>
              </w:rPr>
            </w:pPr>
            <w:r>
              <w:rPr>
                <w:rFonts w:ascii="Arial" w:cs="Arial" w:eastAsia="Arial" w:hAnsi="Arial"/>
                <w:sz w:val="22"/>
                <w:szCs w:val="22"/>
                <w:color w:val="auto"/>
              </w:rPr>
              <w:t>-</w:t>
            </w:r>
          </w:p>
        </w:tc>
        <w:tc>
          <w:tcPr>
            <w:tcW w:w="4060" w:type="dxa"/>
            <w:vAlign w:val="bottom"/>
          </w:tcPr>
          <w:p>
            <w:pPr>
              <w:ind w:left="100"/>
              <w:spacing w:after="0" w:line="216" w:lineRule="exact"/>
              <w:rPr>
                <w:sz w:val="20"/>
                <w:szCs w:val="20"/>
                <w:color w:val="auto"/>
              </w:rPr>
            </w:pPr>
            <w:r>
              <w:rPr>
                <w:rFonts w:ascii="Arial" w:cs="Arial" w:eastAsia="Arial" w:hAnsi="Arial"/>
                <w:sz w:val="22"/>
                <w:szCs w:val="22"/>
                <w:color w:val="auto"/>
              </w:rPr>
              <w:t>Form of Assumption Agreement</w:t>
            </w:r>
          </w:p>
        </w:tc>
      </w:tr>
      <w:tr>
        <w:trPr>
          <w:trHeight w:val="216"/>
        </w:trPr>
        <w:tc>
          <w:tcPr>
            <w:tcW w:w="1020" w:type="dxa"/>
            <w:vAlign w:val="bottom"/>
          </w:tcPr>
          <w:p>
            <w:pPr>
              <w:spacing w:after="0" w:line="216" w:lineRule="exact"/>
              <w:rPr>
                <w:sz w:val="20"/>
                <w:szCs w:val="20"/>
                <w:color w:val="auto"/>
              </w:rPr>
            </w:pPr>
            <w:r>
              <w:rPr>
                <w:rFonts w:ascii="Arial" w:cs="Arial" w:eastAsia="Arial" w:hAnsi="Arial"/>
                <w:sz w:val="22"/>
                <w:szCs w:val="22"/>
                <w:color w:val="auto"/>
              </w:rPr>
              <w:t>Exhibit E</w:t>
            </w:r>
          </w:p>
        </w:tc>
        <w:tc>
          <w:tcPr>
            <w:tcW w:w="300" w:type="dxa"/>
            <w:vAlign w:val="bottom"/>
          </w:tcPr>
          <w:p>
            <w:pPr>
              <w:jc w:val="right"/>
              <w:ind w:right="92"/>
              <w:spacing w:after="0" w:line="216" w:lineRule="exact"/>
              <w:rPr>
                <w:sz w:val="20"/>
                <w:szCs w:val="20"/>
                <w:color w:val="auto"/>
              </w:rPr>
            </w:pPr>
            <w:r>
              <w:rPr>
                <w:rFonts w:ascii="Arial" w:cs="Arial" w:eastAsia="Arial" w:hAnsi="Arial"/>
                <w:sz w:val="22"/>
                <w:szCs w:val="22"/>
                <w:color w:val="auto"/>
              </w:rPr>
              <w:t>-</w:t>
            </w:r>
          </w:p>
        </w:tc>
        <w:tc>
          <w:tcPr>
            <w:tcW w:w="4060" w:type="dxa"/>
            <w:vAlign w:val="bottom"/>
          </w:tcPr>
          <w:p>
            <w:pPr>
              <w:jc w:val="right"/>
              <w:ind w:right="1192"/>
              <w:spacing w:after="0" w:line="216" w:lineRule="exact"/>
              <w:rPr>
                <w:sz w:val="20"/>
                <w:szCs w:val="20"/>
                <w:color w:val="auto"/>
              </w:rPr>
            </w:pPr>
            <w:r>
              <w:rPr>
                <w:rFonts w:ascii="Arial" w:cs="Arial" w:eastAsia="Arial" w:hAnsi="Arial"/>
                <w:sz w:val="22"/>
                <w:szCs w:val="22"/>
                <w:color w:val="auto"/>
                <w:w w:val="92"/>
              </w:rPr>
              <w:t>Notice of Account Designation</w:t>
            </w:r>
          </w:p>
        </w:tc>
      </w:tr>
      <w:tr>
        <w:trPr>
          <w:trHeight w:val="216"/>
        </w:trPr>
        <w:tc>
          <w:tcPr>
            <w:tcW w:w="1020" w:type="dxa"/>
            <w:vAlign w:val="bottom"/>
          </w:tcPr>
          <w:p>
            <w:pPr>
              <w:spacing w:after="0" w:line="216" w:lineRule="exact"/>
              <w:rPr>
                <w:sz w:val="20"/>
                <w:szCs w:val="20"/>
                <w:color w:val="auto"/>
              </w:rPr>
            </w:pPr>
            <w:r>
              <w:rPr>
                <w:rFonts w:ascii="Arial" w:cs="Arial" w:eastAsia="Arial" w:hAnsi="Arial"/>
                <w:sz w:val="22"/>
                <w:szCs w:val="22"/>
                <w:color w:val="auto"/>
              </w:rPr>
              <w:t>Exhibit F</w:t>
            </w:r>
          </w:p>
        </w:tc>
        <w:tc>
          <w:tcPr>
            <w:tcW w:w="300" w:type="dxa"/>
            <w:vAlign w:val="bottom"/>
          </w:tcPr>
          <w:p>
            <w:pPr>
              <w:jc w:val="right"/>
              <w:ind w:right="112"/>
              <w:spacing w:after="0" w:line="216" w:lineRule="exact"/>
              <w:rPr>
                <w:sz w:val="20"/>
                <w:szCs w:val="20"/>
                <w:color w:val="auto"/>
              </w:rPr>
            </w:pPr>
            <w:r>
              <w:rPr>
                <w:rFonts w:ascii="Arial" w:cs="Arial" w:eastAsia="Arial" w:hAnsi="Arial"/>
                <w:sz w:val="22"/>
                <w:szCs w:val="22"/>
                <w:color w:val="auto"/>
                <w:w w:val="81"/>
              </w:rPr>
              <w:t>-</w:t>
            </w:r>
          </w:p>
        </w:tc>
        <w:tc>
          <w:tcPr>
            <w:tcW w:w="4060" w:type="dxa"/>
            <w:vAlign w:val="bottom"/>
          </w:tcPr>
          <w:p>
            <w:pPr>
              <w:spacing w:after="0" w:line="216" w:lineRule="exact"/>
              <w:rPr>
                <w:sz w:val="20"/>
                <w:szCs w:val="20"/>
                <w:color w:val="auto"/>
              </w:rPr>
            </w:pPr>
            <w:r>
              <w:rPr>
                <w:rFonts w:ascii="Arial" w:cs="Arial" w:eastAsia="Arial" w:hAnsi="Arial"/>
                <w:sz w:val="22"/>
                <w:szCs w:val="22"/>
                <w:color w:val="auto"/>
              </w:rPr>
              <w:t>Notice of Prepayments</w:t>
            </w:r>
          </w:p>
        </w:tc>
      </w:tr>
      <w:tr>
        <w:trPr>
          <w:trHeight w:val="274"/>
        </w:trPr>
        <w:tc>
          <w:tcPr>
            <w:tcW w:w="1020" w:type="dxa"/>
            <w:vAlign w:val="bottom"/>
          </w:tcPr>
          <w:p>
            <w:pPr>
              <w:spacing w:after="0"/>
              <w:rPr>
                <w:sz w:val="20"/>
                <w:szCs w:val="20"/>
                <w:color w:val="auto"/>
              </w:rPr>
            </w:pPr>
            <w:r>
              <w:rPr>
                <w:rFonts w:ascii="Arial" w:cs="Arial" w:eastAsia="Arial" w:hAnsi="Arial"/>
                <w:sz w:val="22"/>
                <w:szCs w:val="22"/>
                <w:color w:val="auto"/>
              </w:rPr>
              <w:t>Exhibit G</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4060" w:type="dxa"/>
            <w:vAlign w:val="bottom"/>
          </w:tcPr>
          <w:p>
            <w:pPr>
              <w:ind w:left="40"/>
              <w:spacing w:after="0"/>
              <w:rPr>
                <w:sz w:val="20"/>
                <w:szCs w:val="20"/>
                <w:color w:val="auto"/>
              </w:rPr>
            </w:pPr>
            <w:r>
              <w:rPr>
                <w:rFonts w:ascii="Arial" w:cs="Arial" w:eastAsia="Arial" w:hAnsi="Arial"/>
                <w:sz w:val="22"/>
                <w:szCs w:val="22"/>
                <w:color w:val="auto"/>
              </w:rPr>
              <w:t>Form of Solvency Certificate</w:t>
            </w:r>
          </w:p>
        </w:tc>
      </w:tr>
    </w:tbl>
    <w:p>
      <w:pPr>
        <w:sectPr>
          <w:pgSz w:w="11900" w:h="16838" w:orient="portrait"/>
          <w:cols w:equalWidth="0" w:num="1">
            <w:col w:w="10139"/>
          </w:cols>
          <w:pgMar w:left="320" w:top="1440" w:right="1440" w:bottom="1440" w:gutter="0" w:footer="0" w:header="0"/>
        </w:sectPr>
      </w:pPr>
    </w:p>
    <w:bookmarkStart w:id="137" w:name="page138"/>
    <w:bookmarkEnd w:id="137"/>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FIVE YEAR CREDIT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May 30, 2018</w:t>
      </w:r>
    </w:p>
    <w:p>
      <w:pPr>
        <w:spacing w:after="0" w:line="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Graham Holdings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Foreign Borrowers from time to time party hereto, the Guarantors listed on the signature pages hereof, the banks, financial institutions and other institutional lenders (the “</w:t>
      </w:r>
      <w:r>
        <w:rPr>
          <w:rFonts w:ascii="Arial" w:cs="Arial" w:eastAsia="Arial" w:hAnsi="Arial"/>
          <w:sz w:val="19"/>
          <w:szCs w:val="19"/>
          <w:u w:val="single" w:color="auto"/>
          <w:color w:val="auto"/>
        </w:rPr>
        <w:t>Initial Lenders</w:t>
      </w:r>
      <w:r>
        <w:rPr>
          <w:rFonts w:ascii="Arial" w:cs="Arial" w:eastAsia="Arial" w:hAnsi="Arial"/>
          <w:sz w:val="19"/>
          <w:szCs w:val="19"/>
          <w:color w:val="auto"/>
        </w:rPr>
        <w:t>”) listed on the signature pages hereof, and Wells Fargo Bank, National Association (“</w:t>
      </w:r>
      <w:r>
        <w:rPr>
          <w:rFonts w:ascii="Arial" w:cs="Arial" w:eastAsia="Arial" w:hAnsi="Arial"/>
          <w:sz w:val="19"/>
          <w:szCs w:val="19"/>
          <w:u w:val="single" w:color="auto"/>
          <w:color w:val="auto"/>
        </w:rPr>
        <w:t>Wells Fargo Bank</w:t>
      </w:r>
      <w:r>
        <w:rPr>
          <w:rFonts w:ascii="Arial" w:cs="Arial" w:eastAsia="Arial" w:hAnsi="Arial"/>
          <w:sz w:val="19"/>
          <w:szCs w:val="19"/>
          <w:color w:val="auto"/>
        </w:rPr>
        <w:t>”),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Lenders (as hereinafter defined), agree as follows:</w:t>
      </w:r>
    </w:p>
    <w:p>
      <w:pPr>
        <w:spacing w:after="0" w:line="14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w:t>
      </w:r>
    </w:p>
    <w:p>
      <w:pPr>
        <w:spacing w:after="0" w:line="179"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DEFINITIONS AND ACCOUNTING TERMS</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2F5496"/>
        </w:rPr>
        <w:t xml:space="preserve">SECTION 1.01. </w:t>
      </w:r>
      <w:r>
        <w:rPr>
          <w:rFonts w:ascii="Arial" w:cs="Arial" w:eastAsia="Arial" w:hAnsi="Arial"/>
          <w:sz w:val="21"/>
          <w:szCs w:val="21"/>
          <w:u w:val="single" w:color="auto"/>
          <w:color w:val="000000"/>
        </w:rPr>
        <w:t>Certain Defined Terms</w:t>
      </w:r>
      <w:r>
        <w:rPr>
          <w:rFonts w:ascii="Arial" w:cs="Arial" w:eastAsia="Arial" w:hAnsi="Arial"/>
          <w:sz w:val="20"/>
          <w:szCs w:val="20"/>
          <w:color w:val="000000"/>
        </w:rPr>
        <w:t>. As used in this agreement (this “Agreement”), the following terms shall</w:t>
      </w:r>
      <w:r>
        <w:rPr>
          <w:rFonts w:ascii="Arial" w:cs="Arial" w:eastAsia="Arial" w:hAnsi="Arial"/>
          <w:sz w:val="20"/>
          <w:szCs w:val="20"/>
          <w:color w:val="2F5496"/>
        </w:rPr>
        <w:t xml:space="preserve"> </w:t>
      </w:r>
      <w:r>
        <w:rPr>
          <w:rFonts w:ascii="Arial" w:cs="Arial" w:eastAsia="Arial" w:hAnsi="Arial"/>
          <w:sz w:val="20"/>
          <w:szCs w:val="20"/>
          <w:color w:val="000000"/>
        </w:rPr>
        <w:t>have the following meanings (such meanings to be equally applicable to both the singular and plural forms of the terms defined):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w:t>
      </w:r>
      <w:r>
        <w:rPr>
          <w:rFonts w:ascii="Arial" w:cs="Arial" w:eastAsia="Arial" w:hAnsi="Arial"/>
          <w:sz w:val="22"/>
          <w:szCs w:val="22"/>
          <w:color w:val="auto"/>
        </w:rPr>
        <w:t>” means a Multicurrency Tranche Advance or a US Tranche Advance.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1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Daily Simple RFR</w:t>
      </w:r>
      <w:r>
        <w:rPr>
          <w:rFonts w:ascii="Arial" w:cs="Arial" w:eastAsia="Arial" w:hAnsi="Arial"/>
          <w:sz w:val="22"/>
          <w:szCs w:val="22"/>
          <w:color w:val="auto"/>
        </w:rPr>
        <w:t>” means, for any RFR Rate Day, a rate per annum equal to, for any Obligations, interest, fees, commissions or other amounts denominated in, or calculated with respect to:</w:t>
      </w:r>
    </w:p>
    <w:p>
      <w:pPr>
        <w:spacing w:after="0" w:line="159" w:lineRule="exact"/>
        <w:rPr>
          <w:sz w:val="20"/>
          <w:szCs w:val="20"/>
          <w:color w:val="auto"/>
        </w:rPr>
      </w:pPr>
    </w:p>
    <w:p>
      <w:pPr>
        <w:jc w:val="both"/>
        <w:ind w:firstLine="656"/>
        <w:spacing w:after="0" w:line="219" w:lineRule="auto"/>
        <w:tabs>
          <w:tab w:leader="none" w:pos="1293" w:val="left"/>
        </w:tabs>
        <w:numPr>
          <w:ilvl w:val="0"/>
          <w:numId w:val="88"/>
        </w:numPr>
        <w:rPr>
          <w:rFonts w:ascii="Arial" w:cs="Arial" w:eastAsia="Arial" w:hAnsi="Arial"/>
          <w:sz w:val="21"/>
          <w:szCs w:val="21"/>
          <w:color w:val="auto"/>
        </w:rPr>
      </w:pPr>
      <w:r>
        <w:rPr>
          <w:rFonts w:ascii="Arial" w:cs="Arial" w:eastAsia="Arial" w:hAnsi="Arial"/>
          <w:sz w:val="21"/>
          <w:szCs w:val="21"/>
          <w:color w:val="auto"/>
        </w:rPr>
        <w:t>US Dollars, on and after the USD LIBOR Transition Date, the greater of (i) the sum of (A) SOFR for the day (such day, a “</w:t>
      </w:r>
      <w:r>
        <w:rPr>
          <w:rFonts w:ascii="Arial" w:cs="Arial" w:eastAsia="Arial" w:hAnsi="Arial"/>
          <w:sz w:val="21"/>
          <w:szCs w:val="21"/>
          <w:u w:val="single" w:color="auto"/>
          <w:color w:val="auto"/>
        </w:rPr>
        <w:t>Dollar RFR Determination Day</w:t>
      </w:r>
      <w:r>
        <w:rPr>
          <w:rFonts w:ascii="Arial" w:cs="Arial" w:eastAsia="Arial" w:hAnsi="Arial"/>
          <w:sz w:val="21"/>
          <w:szCs w:val="21"/>
          <w:color w:val="auto"/>
        </w:rPr>
        <w:t xml:space="preserve">”) that is five (5) RFR Business Days prior to (I) if such RFR Rate Day is an RFR Business Day, such RFR Rate Day or (II) if such RFR Rate Day is not an RFR Business Day, the RFR Business Day immediately preceding such RFR Rate Day, in each case, as such SOFR is published by the SOFR Administrator on the SOFR Administrator’s Website;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by 5:00 p.m. (New York time) on the second RFR Business Day immediately following any Dollar RFR Determination Day, SOFR in respect of such Dollar RFR Determination Day has not been published on the SOFR Administrator’s Website and a Benchmark Replacement Date with respect to SOFR has not occurred, then SOFR for such Dollar RFR Determination Day will be SOFR as published in respect of the first preceding RFR Business Day for which such SOFR was published on the SOFR Administrator’s Website;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SOFR as determined pursuant to this proviso shall be utilized for purposes of calculation of Adjusted Daily Simple RFR for no more than three (3) consecutive RFR Rate Days and (B) the SOFR Adjustment and (ii) the Floor; and</w:t>
      </w:r>
    </w:p>
    <w:p>
      <w:pPr>
        <w:spacing w:after="0" w:line="168" w:lineRule="exact"/>
        <w:rPr>
          <w:rFonts w:ascii="Arial" w:cs="Arial" w:eastAsia="Arial" w:hAnsi="Arial"/>
          <w:sz w:val="21"/>
          <w:szCs w:val="21"/>
          <w:color w:val="auto"/>
        </w:rPr>
      </w:pPr>
    </w:p>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Any change in Adjusted Daily Simple RFR due to a change in the applicable RFR shall be effective from and including the effective date of such change in the RFR without notice to the Company.</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Eurocurrency Rate</w:t>
      </w:r>
      <w:r>
        <w:rPr>
          <w:rFonts w:ascii="Arial" w:cs="Arial" w:eastAsia="Arial" w:hAnsi="Arial"/>
          <w:sz w:val="22"/>
          <w:szCs w:val="22"/>
          <w:color w:val="auto"/>
        </w:rPr>
        <w:t>” means, as to any Advance denominated in any applicable Currency not bearing interest based on an RFR (which, as of the First Amendment Effective Date, is US Dollars and each Foreign Currency, other than Sterling and Singapore Dollars) for</w:t>
      </w:r>
    </w:p>
    <w:p>
      <w:pPr>
        <w:sectPr>
          <w:pgSz w:w="11900" w:h="16838" w:orient="portrait"/>
          <w:cols w:equalWidth="0" w:num="1">
            <w:col w:w="11240"/>
          </w:cols>
          <w:pgMar w:left="320" w:top="1440" w:right="339" w:bottom="1440" w:gutter="0" w:footer="0" w:header="0"/>
        </w:sectPr>
      </w:pPr>
    </w:p>
    <w:bookmarkStart w:id="138" w:name="page139"/>
    <w:bookmarkEnd w:id="138"/>
    <w:p>
      <w:pPr>
        <w:spacing w:after="0"/>
        <w:rPr>
          <w:sz w:val="20"/>
          <w:szCs w:val="20"/>
          <w:color w:val="auto"/>
        </w:rPr>
      </w:pPr>
      <w:r>
        <w:rPr>
          <w:rFonts w:ascii="Arial" w:cs="Arial" w:eastAsia="Arial" w:hAnsi="Arial"/>
          <w:sz w:val="21"/>
          <w:szCs w:val="21"/>
          <w:color w:val="auto"/>
        </w:rPr>
        <w:t>any Interest Period, a rate per annum (rounded upwards, if necessary, to the next 1/10,000 of 1%) determined by the</w:t>
      </w:r>
    </w:p>
    <w:p>
      <w:pPr>
        <w:spacing w:after="0"/>
        <w:rPr>
          <w:sz w:val="20"/>
          <w:szCs w:val="20"/>
          <w:color w:val="auto"/>
        </w:rPr>
      </w:pPr>
      <w:r>
        <w:rPr>
          <w:rFonts w:ascii="Arial" w:cs="Arial" w:eastAsia="Arial" w:hAnsi="Arial"/>
          <w:sz w:val="22"/>
          <w:szCs w:val="22"/>
          <w:color w:val="auto"/>
        </w:rPr>
        <w:t>Administrative Agent pursuant to the following formula:</w:t>
      </w:r>
    </w:p>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4060" w:val="left"/>
        </w:tabs>
        <w:rPr>
          <w:sz w:val="20"/>
          <w:szCs w:val="20"/>
          <w:color w:val="auto"/>
        </w:rPr>
      </w:pPr>
      <w:r>
        <w:rPr>
          <w:rFonts w:ascii="Arial" w:cs="Arial" w:eastAsia="Arial" w:hAnsi="Arial"/>
          <w:sz w:val="22"/>
          <w:szCs w:val="22"/>
          <w:color w:val="auto"/>
        </w:rPr>
        <w:t>Adjusted Eurocurrency Rate =</w:t>
      </w:r>
      <w:r>
        <w:rPr>
          <w:sz w:val="20"/>
          <w:szCs w:val="20"/>
          <w:color w:val="auto"/>
        </w:rPr>
        <w:tab/>
      </w:r>
      <w:r>
        <w:rPr>
          <w:rFonts w:ascii="Arial" w:cs="Arial" w:eastAsia="Arial" w:hAnsi="Arial"/>
          <w:sz w:val="19"/>
          <w:szCs w:val="19"/>
          <w:color w:val="auto"/>
        </w:rPr>
        <w:t>Eurocurrency Rate for such Currency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15875</wp:posOffset>
            </wp:positionV>
            <wp:extent cx="54349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jc w:val="center"/>
        <w:ind w:right="6340"/>
        <w:spacing w:after="0"/>
        <w:rPr>
          <w:sz w:val="20"/>
          <w:szCs w:val="20"/>
          <w:color w:val="auto"/>
        </w:rPr>
      </w:pPr>
      <w:r>
        <w:rPr>
          <w:rFonts w:ascii="Arial" w:cs="Arial" w:eastAsia="Arial" w:hAnsi="Arial"/>
          <w:sz w:val="22"/>
          <w:szCs w:val="22"/>
          <w:color w:val="auto"/>
        </w:rPr>
        <w:t>1.00-Eurocurrency Reserve</w:t>
      </w:r>
    </w:p>
    <w:p>
      <w:pPr>
        <w:jc w:val="center"/>
        <w:ind w:right="6340"/>
        <w:spacing w:after="0"/>
        <w:rPr>
          <w:sz w:val="20"/>
          <w:szCs w:val="20"/>
          <w:color w:val="auto"/>
        </w:rPr>
      </w:pPr>
      <w:r>
        <w:rPr>
          <w:rFonts w:ascii="Arial" w:cs="Arial" w:eastAsia="Arial" w:hAnsi="Arial"/>
          <w:sz w:val="22"/>
          <w:szCs w:val="22"/>
          <w:color w:val="auto"/>
        </w:rPr>
        <w:t>Percentage</w:t>
      </w:r>
    </w:p>
    <w:p>
      <w:pPr>
        <w:spacing w:after="0" w:line="6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Term SOFR</w:t>
      </w:r>
      <w:r>
        <w:rPr>
          <w:rFonts w:ascii="Arial" w:cs="Arial" w:eastAsia="Arial" w:hAnsi="Arial"/>
          <w:sz w:val="22"/>
          <w:szCs w:val="22"/>
          <w:color w:val="auto"/>
        </w:rPr>
        <w:t xml:space="preserve">” means, for purposes of any calculation, the rate per annum equal to (a) Term SOFR for such calculation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Term SOFR Adjustment;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Adjusted Term SOFR as so determined shall ever be less than the Floor, then Adjusted Term SOFR shall be deemed to be the Floor.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has the meaning specified in Section 9.02(d)(ii).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Announcements</w:t>
      </w:r>
      <w:r>
        <w:rPr>
          <w:rFonts w:ascii="Arial" w:cs="Arial" w:eastAsia="Arial" w:hAnsi="Arial"/>
          <w:sz w:val="22"/>
          <w:szCs w:val="22"/>
          <w:color w:val="auto"/>
        </w:rPr>
        <w:t>” has the meaning specified in Section 1.06.</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any law, rule or regulation of any jurisdiction applicable to the Company or any of its Subsidiaries from time to time concerning or relating to bribery or corruption.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all applicable provisions of constitutions, laws, statutes, ordinances, rules, treaties, regulations, permits, licenses, approvals, interpretations and orders of Governmental Authorities and all orders and decrees of all courts and arbitrators.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Lending Office</w:t>
      </w:r>
      <w:r>
        <w:rPr>
          <w:rFonts w:ascii="Arial" w:cs="Arial" w:eastAsia="Arial" w:hAnsi="Arial"/>
          <w:sz w:val="22"/>
          <w:szCs w:val="22"/>
          <w:color w:val="auto"/>
        </w:rPr>
        <w:t>” means, with respect to any Lender, the office(s) of such Lender maintaining such Lender’s Advances, which office(s) may include an office of any Affiliate of such Lender or any domestic or foreign branch of such Lender or Affiliate.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as of any date, a percentage per annum determined by reference to the Performance Level in effect on such date as set forth below:</w:t>
      </w:r>
    </w:p>
    <w:p>
      <w:pPr>
        <w:sectPr>
          <w:pgSz w:w="11900" w:h="16838" w:orient="portrait"/>
          <w:cols w:equalWidth="0" w:num="1">
            <w:col w:w="11240"/>
          </w:cols>
          <w:pgMar w:left="320" w:top="1393" w:right="339" w:bottom="1440" w:gutter="0" w:footer="0" w:header="0"/>
        </w:sectPr>
      </w:pPr>
    </w:p>
    <w:bookmarkStart w:id="139" w:name="page140"/>
    <w:bookmarkEnd w:id="139"/>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2800" w:type="dxa"/>
            <w:vAlign w:val="bottom"/>
          </w:tcPr>
          <w:p>
            <w:pPr>
              <w:jc w:val="center"/>
              <w:ind w:left="552"/>
              <w:spacing w:after="0"/>
              <w:rPr>
                <w:sz w:val="20"/>
                <w:szCs w:val="20"/>
                <w:color w:val="auto"/>
              </w:rPr>
            </w:pPr>
            <w:r>
              <w:rPr>
                <w:rFonts w:ascii="Arial" w:cs="Arial" w:eastAsia="Arial" w:hAnsi="Arial"/>
                <w:sz w:val="22"/>
                <w:szCs w:val="22"/>
                <w:color w:val="auto"/>
                <w:w w:val="93"/>
              </w:rPr>
              <w:t>Applicable Margin for</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800" w:type="dxa"/>
            <w:vAlign w:val="bottom"/>
          </w:tcPr>
          <w:p>
            <w:pPr>
              <w:jc w:val="center"/>
              <w:ind w:left="552"/>
              <w:spacing w:after="0" w:line="216" w:lineRule="exact"/>
              <w:rPr>
                <w:sz w:val="20"/>
                <w:szCs w:val="20"/>
                <w:color w:val="auto"/>
              </w:rPr>
            </w:pPr>
            <w:r>
              <w:rPr>
                <w:rFonts w:ascii="Arial" w:cs="Arial" w:eastAsia="Arial" w:hAnsi="Arial"/>
                <w:sz w:val="22"/>
                <w:szCs w:val="22"/>
                <w:color w:val="auto"/>
                <w:w w:val="88"/>
              </w:rPr>
              <w:t>Eurocurrency Rate</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1"/>
                <w:szCs w:val="21"/>
                <w:color w:val="auto"/>
              </w:rPr>
            </w:pPr>
          </w:p>
        </w:tc>
        <w:tc>
          <w:tcPr>
            <w:tcW w:w="2800" w:type="dxa"/>
            <w:vAlign w:val="bottom"/>
          </w:tcPr>
          <w:p>
            <w:pPr>
              <w:jc w:val="center"/>
              <w:ind w:left="532"/>
              <w:spacing w:after="0" w:line="251" w:lineRule="exact"/>
              <w:rPr>
                <w:sz w:val="20"/>
                <w:szCs w:val="20"/>
                <w:color w:val="auto"/>
              </w:rPr>
            </w:pPr>
            <w:r>
              <w:rPr>
                <w:rFonts w:ascii="Arial" w:cs="Arial" w:eastAsia="Arial" w:hAnsi="Arial"/>
                <w:sz w:val="22"/>
                <w:szCs w:val="22"/>
                <w:color w:val="auto"/>
                <w:w w:val="86"/>
              </w:rPr>
              <w:t>Advances</w:t>
            </w:r>
          </w:p>
        </w:tc>
        <w:tc>
          <w:tcPr>
            <w:tcW w:w="2060" w:type="dxa"/>
            <w:vAlign w:val="bottom"/>
          </w:tcPr>
          <w:p>
            <w:pPr>
              <w:jc w:val="center"/>
              <w:spacing w:after="0" w:line="251" w:lineRule="exact"/>
              <w:rPr>
                <w:sz w:val="20"/>
                <w:szCs w:val="20"/>
                <w:color w:val="auto"/>
              </w:rPr>
            </w:pPr>
            <w:r>
              <w:rPr>
                <w:rFonts w:ascii="Arial" w:cs="Arial" w:eastAsia="Arial" w:hAnsi="Arial"/>
                <w:sz w:val="22"/>
                <w:szCs w:val="22"/>
                <w:color w:val="auto"/>
                <w:w w:val="92"/>
              </w:rPr>
              <w:t>Applicable Margin</w:t>
            </w:r>
          </w:p>
        </w:tc>
        <w:tc>
          <w:tcPr>
            <w:tcW w:w="0" w:type="dxa"/>
            <w:vAlign w:val="bottom"/>
          </w:tcPr>
          <w:p>
            <w:pPr>
              <w:spacing w:after="0"/>
              <w:rPr>
                <w:sz w:val="1"/>
                <w:szCs w:val="1"/>
                <w:color w:val="auto"/>
              </w:rPr>
            </w:pPr>
          </w:p>
        </w:tc>
      </w:tr>
      <w:tr>
        <w:trPr>
          <w:trHeight w:val="222"/>
        </w:trPr>
        <w:tc>
          <w:tcPr>
            <w:tcW w:w="2380" w:type="dxa"/>
            <w:vAlign w:val="bottom"/>
            <w:vMerge w:val="restart"/>
          </w:tcPr>
          <w:p>
            <w:pPr>
              <w:ind w:left="60"/>
              <w:spacing w:after="0"/>
              <w:rPr>
                <w:sz w:val="20"/>
                <w:szCs w:val="20"/>
                <w:color w:val="auto"/>
              </w:rPr>
            </w:pPr>
            <w:r>
              <w:rPr>
                <w:rFonts w:ascii="Arial" w:cs="Arial" w:eastAsia="Arial" w:hAnsi="Arial"/>
                <w:sz w:val="22"/>
                <w:szCs w:val="22"/>
                <w:color w:val="auto"/>
              </w:rPr>
              <w:t>Performance Level</w:t>
            </w:r>
          </w:p>
        </w:tc>
        <w:tc>
          <w:tcPr>
            <w:tcW w:w="2800" w:type="dxa"/>
            <w:vAlign w:val="bottom"/>
          </w:tcPr>
          <w:p>
            <w:pPr>
              <w:jc w:val="center"/>
              <w:ind w:left="532"/>
              <w:spacing w:after="0" w:line="222" w:lineRule="exact"/>
              <w:rPr>
                <w:sz w:val="20"/>
                <w:szCs w:val="20"/>
                <w:color w:val="auto"/>
              </w:rPr>
            </w:pPr>
            <w:r>
              <w:rPr>
                <w:rFonts w:ascii="Arial" w:cs="Arial" w:eastAsia="Arial" w:hAnsi="Arial"/>
                <w:sz w:val="22"/>
                <w:szCs w:val="22"/>
                <w:color w:val="auto"/>
                <w:w w:val="88"/>
              </w:rPr>
              <w:t>and RFR Advances</w:t>
            </w:r>
          </w:p>
        </w:tc>
        <w:tc>
          <w:tcPr>
            <w:tcW w:w="2060" w:type="dxa"/>
            <w:vAlign w:val="bottom"/>
          </w:tcPr>
          <w:p>
            <w:pPr>
              <w:jc w:val="center"/>
              <w:spacing w:after="0" w:line="222" w:lineRule="exact"/>
              <w:rPr>
                <w:sz w:val="20"/>
                <w:szCs w:val="20"/>
                <w:color w:val="auto"/>
              </w:rPr>
            </w:pPr>
            <w:r>
              <w:rPr>
                <w:rFonts w:ascii="Arial" w:cs="Arial" w:eastAsia="Arial" w:hAnsi="Arial"/>
                <w:sz w:val="22"/>
                <w:szCs w:val="22"/>
                <w:color w:val="auto"/>
                <w:w w:val="87"/>
              </w:rPr>
              <w:t>for Base Rate</w:t>
            </w:r>
          </w:p>
        </w:tc>
        <w:tc>
          <w:tcPr>
            <w:tcW w:w="0" w:type="dxa"/>
            <w:vAlign w:val="bottom"/>
          </w:tcPr>
          <w:p>
            <w:pPr>
              <w:spacing w:after="0"/>
              <w:rPr>
                <w:sz w:val="1"/>
                <w:szCs w:val="1"/>
                <w:color w:val="auto"/>
              </w:rPr>
            </w:pPr>
          </w:p>
        </w:tc>
      </w:tr>
      <w:tr>
        <w:trPr>
          <w:trHeight w:val="276"/>
        </w:trPr>
        <w:tc>
          <w:tcPr>
            <w:tcW w:w="2380" w:type="dxa"/>
            <w:vAlign w:val="bottom"/>
            <w:tcBorders>
              <w:bottom w:val="single" w:sz="8" w:color="auto"/>
            </w:tcBorders>
            <w:vMerge w:val="continue"/>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Advances</w:t>
            </w:r>
          </w:p>
        </w:tc>
        <w:tc>
          <w:tcPr>
            <w:tcW w:w="0" w:type="dxa"/>
            <w:vAlign w:val="bottom"/>
          </w:tcPr>
          <w:p>
            <w:pPr>
              <w:spacing w:after="0"/>
              <w:rPr>
                <w:sz w:val="1"/>
                <w:szCs w:val="1"/>
                <w:color w:val="auto"/>
              </w:rPr>
            </w:pPr>
          </w:p>
        </w:tc>
      </w:tr>
      <w:tr>
        <w:trPr>
          <w:trHeight w:val="257"/>
        </w:trPr>
        <w:tc>
          <w:tcPr>
            <w:tcW w:w="2380" w:type="dxa"/>
            <w:vAlign w:val="bottom"/>
          </w:tcPr>
          <w:p>
            <w:pPr>
              <w:ind w:left="60"/>
              <w:spacing w:after="0"/>
              <w:rPr>
                <w:sz w:val="20"/>
                <w:szCs w:val="20"/>
                <w:color w:val="auto"/>
              </w:rPr>
            </w:pPr>
            <w:r>
              <w:rPr>
                <w:rFonts w:ascii="Arial" w:cs="Arial" w:eastAsia="Arial" w:hAnsi="Arial"/>
                <w:sz w:val="22"/>
                <w:szCs w:val="22"/>
                <w:color w:val="auto"/>
              </w:rPr>
              <w:t>I</w:t>
            </w:r>
          </w:p>
        </w:tc>
        <w:tc>
          <w:tcPr>
            <w:tcW w:w="2800" w:type="dxa"/>
            <w:vAlign w:val="bottom"/>
          </w:tcPr>
          <w:p>
            <w:pPr>
              <w:jc w:val="right"/>
              <w:ind w:right="1352"/>
              <w:spacing w:after="0"/>
              <w:rPr>
                <w:sz w:val="20"/>
                <w:szCs w:val="20"/>
                <w:color w:val="auto"/>
              </w:rPr>
            </w:pPr>
            <w:r>
              <w:rPr>
                <w:rFonts w:ascii="Arial" w:cs="Arial" w:eastAsia="Arial" w:hAnsi="Arial"/>
                <w:sz w:val="22"/>
                <w:szCs w:val="22"/>
                <w:color w:val="auto"/>
              </w:rPr>
              <w:t>1.250%</w:t>
            </w:r>
          </w:p>
        </w:tc>
        <w:tc>
          <w:tcPr>
            <w:tcW w:w="2060" w:type="dxa"/>
            <w:vAlign w:val="bottom"/>
          </w:tcPr>
          <w:p>
            <w:pPr>
              <w:jc w:val="right"/>
              <w:ind w:right="1172"/>
              <w:spacing w:after="0"/>
              <w:rPr>
                <w:sz w:val="20"/>
                <w:szCs w:val="20"/>
                <w:color w:val="auto"/>
              </w:rPr>
            </w:pPr>
            <w:r>
              <w:rPr>
                <w:rFonts w:ascii="Arial" w:cs="Arial" w:eastAsia="Arial" w:hAnsi="Arial"/>
                <w:sz w:val="22"/>
                <w:szCs w:val="22"/>
                <w:color w:val="auto"/>
              </w:rPr>
              <w:t>0.250%</w:t>
            </w:r>
          </w:p>
        </w:tc>
        <w:tc>
          <w:tcPr>
            <w:tcW w:w="0" w:type="dxa"/>
            <w:vAlign w:val="bottom"/>
          </w:tcPr>
          <w:p>
            <w:pPr>
              <w:spacing w:after="0"/>
              <w:rPr>
                <w:sz w:val="1"/>
                <w:szCs w:val="1"/>
                <w:color w:val="auto"/>
              </w:rPr>
            </w:pPr>
          </w:p>
        </w:tc>
      </w:tr>
      <w:tr>
        <w:trPr>
          <w:trHeight w:val="270"/>
        </w:trPr>
        <w:tc>
          <w:tcPr>
            <w:tcW w:w="2380" w:type="dxa"/>
            <w:vAlign w:val="bottom"/>
          </w:tcPr>
          <w:p>
            <w:pPr>
              <w:ind w:left="60"/>
              <w:spacing w:after="0"/>
              <w:rPr>
                <w:sz w:val="20"/>
                <w:szCs w:val="20"/>
                <w:color w:val="auto"/>
              </w:rPr>
            </w:pPr>
            <w:r>
              <w:rPr>
                <w:rFonts w:ascii="Arial" w:cs="Arial" w:eastAsia="Arial" w:hAnsi="Arial"/>
                <w:sz w:val="22"/>
                <w:szCs w:val="22"/>
                <w:color w:val="auto"/>
              </w:rPr>
              <w:t>II</w:t>
            </w:r>
          </w:p>
        </w:tc>
        <w:tc>
          <w:tcPr>
            <w:tcW w:w="2800" w:type="dxa"/>
            <w:vAlign w:val="bottom"/>
          </w:tcPr>
          <w:p>
            <w:pPr>
              <w:jc w:val="right"/>
              <w:ind w:right="1352"/>
              <w:spacing w:after="0"/>
              <w:rPr>
                <w:sz w:val="20"/>
                <w:szCs w:val="20"/>
                <w:color w:val="auto"/>
              </w:rPr>
            </w:pPr>
            <w:r>
              <w:rPr>
                <w:rFonts w:ascii="Arial" w:cs="Arial" w:eastAsia="Arial" w:hAnsi="Arial"/>
                <w:sz w:val="22"/>
                <w:szCs w:val="22"/>
                <w:color w:val="auto"/>
              </w:rPr>
              <w:t>1.500%</w:t>
            </w:r>
          </w:p>
        </w:tc>
        <w:tc>
          <w:tcPr>
            <w:tcW w:w="2060" w:type="dxa"/>
            <w:vAlign w:val="bottom"/>
          </w:tcPr>
          <w:p>
            <w:pPr>
              <w:jc w:val="right"/>
              <w:ind w:right="1172"/>
              <w:spacing w:after="0"/>
              <w:rPr>
                <w:sz w:val="20"/>
                <w:szCs w:val="20"/>
                <w:color w:val="auto"/>
              </w:rPr>
            </w:pPr>
            <w:r>
              <w:rPr>
                <w:rFonts w:ascii="Arial" w:cs="Arial" w:eastAsia="Arial" w:hAnsi="Arial"/>
                <w:sz w:val="22"/>
                <w:szCs w:val="22"/>
                <w:color w:val="auto"/>
              </w:rPr>
              <w:t>0.500%</w:t>
            </w:r>
          </w:p>
        </w:tc>
        <w:tc>
          <w:tcPr>
            <w:tcW w:w="0" w:type="dxa"/>
            <w:vAlign w:val="bottom"/>
          </w:tcPr>
          <w:p>
            <w:pPr>
              <w:spacing w:after="0"/>
              <w:rPr>
                <w:sz w:val="1"/>
                <w:szCs w:val="1"/>
                <w:color w:val="auto"/>
              </w:rPr>
            </w:pPr>
          </w:p>
        </w:tc>
      </w:tr>
      <w:tr>
        <w:trPr>
          <w:trHeight w:val="274"/>
        </w:trPr>
        <w:tc>
          <w:tcPr>
            <w:tcW w:w="2380" w:type="dxa"/>
            <w:vAlign w:val="bottom"/>
          </w:tcPr>
          <w:p>
            <w:pPr>
              <w:ind w:left="60"/>
              <w:spacing w:after="0"/>
              <w:rPr>
                <w:sz w:val="20"/>
                <w:szCs w:val="20"/>
                <w:color w:val="auto"/>
              </w:rPr>
            </w:pPr>
            <w:r>
              <w:rPr>
                <w:rFonts w:ascii="Arial" w:cs="Arial" w:eastAsia="Arial" w:hAnsi="Arial"/>
                <w:sz w:val="22"/>
                <w:szCs w:val="22"/>
                <w:color w:val="auto"/>
              </w:rPr>
              <w:t>III</w:t>
            </w:r>
          </w:p>
        </w:tc>
        <w:tc>
          <w:tcPr>
            <w:tcW w:w="2800" w:type="dxa"/>
            <w:vAlign w:val="bottom"/>
          </w:tcPr>
          <w:p>
            <w:pPr>
              <w:jc w:val="right"/>
              <w:ind w:right="1352"/>
              <w:spacing w:after="0"/>
              <w:rPr>
                <w:sz w:val="20"/>
                <w:szCs w:val="20"/>
                <w:color w:val="auto"/>
              </w:rPr>
            </w:pPr>
            <w:r>
              <w:rPr>
                <w:rFonts w:ascii="Arial" w:cs="Arial" w:eastAsia="Arial" w:hAnsi="Arial"/>
                <w:sz w:val="22"/>
                <w:szCs w:val="22"/>
                <w:color w:val="auto"/>
              </w:rPr>
              <w:t>1.750%</w:t>
            </w:r>
          </w:p>
        </w:tc>
        <w:tc>
          <w:tcPr>
            <w:tcW w:w="2060" w:type="dxa"/>
            <w:vAlign w:val="bottom"/>
          </w:tcPr>
          <w:p>
            <w:pPr>
              <w:jc w:val="right"/>
              <w:ind w:right="1172"/>
              <w:spacing w:after="0"/>
              <w:rPr>
                <w:sz w:val="20"/>
                <w:szCs w:val="20"/>
                <w:color w:val="auto"/>
              </w:rPr>
            </w:pPr>
            <w:r>
              <w:rPr>
                <w:rFonts w:ascii="Arial" w:cs="Arial" w:eastAsia="Arial" w:hAnsi="Arial"/>
                <w:sz w:val="22"/>
                <w:szCs w:val="22"/>
                <w:color w:val="auto"/>
              </w:rPr>
              <w:t>0.750%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Applicable Margin shall be determined and adjusted quarterly on the date that is five Business Days after the day on which the Company provides a compliance certificate pursuant to Section 5.01(i) for the most recently ended fiscal quarter of the Company (each such date, a “</w:t>
      </w:r>
      <w:r>
        <w:rPr>
          <w:rFonts w:ascii="Arial" w:cs="Arial" w:eastAsia="Arial" w:hAnsi="Arial"/>
          <w:sz w:val="19"/>
          <w:szCs w:val="19"/>
          <w:u w:val="single" w:color="auto"/>
          <w:color w:val="auto"/>
        </w:rPr>
        <w:t>Calculation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Applicable Margin shall be based on Performance Level II until the first Calculation Date occurring after the Effective Date and, thereafter the Performance Level shall be determined by reference to the Total Leverage Ratio as of the last day of the most recently ended fiscal quarter of the Company preceding the applicable Calculation Date, and (b) if the Company fails to provide a compliance certificate when due as required by Section 5.01(i) for the most recently ended fiscal quarter of the Company preceding the applicable Calculation Date, the Applicable Margin from the date on which such compliance certificate was required to have been delivered shall be based on Performance Level III until such time as such compliance certificate is delivered, at which time the Performance Level shall be determined by reference to the Total Leverage Ratio as of the last day of the most recently ended fiscal quarter of the Company preceding such Calculation Date. The applicable Performance Level shall be effective from one Calculation Date until the next Calculation Date. Any adjustment in the Performance Level shall be applicable to all Advances then existing or subsequently made or issued.</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Notwithstanding the foregoing, in the event that any financial statement or compliance certificate delivered pursuant to Section 5.01(i) is shown to be inaccurate (regardless of whether (i) this Agreement is in effect, (ii) any Commitments are in effect, or</w:t>
      </w:r>
    </w:p>
    <w:p>
      <w:pPr>
        <w:jc w:val="both"/>
        <w:ind w:firstLine="8"/>
        <w:spacing w:after="0" w:line="218" w:lineRule="auto"/>
        <w:tabs>
          <w:tab w:leader="none" w:pos="398" w:val="left"/>
        </w:tabs>
        <w:numPr>
          <w:ilvl w:val="0"/>
          <w:numId w:val="89"/>
        </w:numPr>
        <w:rPr>
          <w:rFonts w:ascii="Arial" w:cs="Arial" w:eastAsia="Arial" w:hAnsi="Arial"/>
          <w:sz w:val="21"/>
          <w:szCs w:val="21"/>
          <w:color w:val="auto"/>
        </w:rPr>
      </w:pPr>
      <w:r>
        <w:rPr>
          <w:rFonts w:ascii="Arial" w:cs="Arial" w:eastAsia="Arial" w:hAnsi="Arial"/>
          <w:sz w:val="21"/>
          <w:szCs w:val="21"/>
          <w:color w:val="auto"/>
        </w:rPr>
        <w:t>any Advance is outstanding when such inaccuracy is discovered or such financial statement or compliance certificate was delivered), and such inaccuracy, if corrected, would have led to the application of a higher Applicable Margin for any period (an “</w:t>
      </w:r>
      <w:r>
        <w:rPr>
          <w:rFonts w:ascii="Arial" w:cs="Arial" w:eastAsia="Arial" w:hAnsi="Arial"/>
          <w:sz w:val="21"/>
          <w:szCs w:val="21"/>
          <w:u w:val="single" w:color="auto"/>
          <w:color w:val="auto"/>
        </w:rPr>
        <w:t>Applicable Period</w:t>
      </w:r>
      <w:r>
        <w:rPr>
          <w:rFonts w:ascii="Arial" w:cs="Arial" w:eastAsia="Arial" w:hAnsi="Arial"/>
          <w:sz w:val="21"/>
          <w:szCs w:val="21"/>
          <w:color w:val="auto"/>
        </w:rPr>
        <w:t>”) than the Applicable Margin applied for such Applicable Period, then (A) the Company shall promptly deliver to the Administrative Agent a corrected compliance certificate for such Applicable Period, (B) the Applicable Margin for such Applicable Period shall be determined as if the Total Leverage Ratio in the corrected compliance certificate were applicable for such Applicable Period, and (C) the applicable Borrower shall promptly and retroactively be obligated to pay to the Administrative Agent the accrued additional interest owing as a result of such increased Applicable Margin for such Applicable Period, which payment shall be promptly applied by the Administrative Agent in accordance with 2.13. Nothing in this paragraph shall limit the rights of the Administrative Agent and Lenders with respect to Sections 2.07 and 6.01 nor any of their other rights under this Agreement or any other Loan Document. The Borrowers’ obligations under this paragraph shall survive the termination of the Commitments and the repayment of all other Borrower Obligations for one year after the date of such termination and repayment.</w:t>
      </w:r>
    </w:p>
    <w:p>
      <w:pPr>
        <w:spacing w:after="0" w:line="158"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means, as of any date, a percentage per annum determined by reference to the Performance Level in effect on such date as set forth below:</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 w:lineRule="exact"/>
        <w:rPr>
          <w:sz w:val="20"/>
          <w:szCs w:val="20"/>
          <w:color w:val="auto"/>
        </w:rPr>
      </w:pPr>
    </w:p>
    <w:tbl>
      <w:tblPr>
        <w:tblLayout w:type="fixed"/>
        <w:tblInd w:w="2040" w:type="dxa"/>
        <w:tblCellMar>
          <w:top w:w="0" w:type="dxa"/>
          <w:left w:w="0" w:type="dxa"/>
          <w:bottom w:w="0" w:type="dxa"/>
          <w:right w:w="0" w:type="dxa"/>
        </w:tblCellMar>
      </w:tblPr>
      <w:tr>
        <w:trPr>
          <w:trHeight w:val="276"/>
        </w:trPr>
        <w:tc>
          <w:tcPr>
            <w:tcW w:w="4500" w:type="dxa"/>
            <w:vAlign w:val="bottom"/>
            <w:gridSpan w:val="2"/>
          </w:tcPr>
          <w:p>
            <w:pPr>
              <w:ind w:left="80"/>
              <w:spacing w:after="0"/>
              <w:rPr>
                <w:sz w:val="20"/>
                <w:szCs w:val="20"/>
                <w:color w:val="auto"/>
              </w:rPr>
            </w:pPr>
            <w:r>
              <w:rPr>
                <w:rFonts w:ascii="Arial" w:cs="Arial" w:eastAsia="Arial" w:hAnsi="Arial"/>
                <w:sz w:val="22"/>
                <w:szCs w:val="22"/>
                <w:color w:val="auto"/>
              </w:rPr>
              <w:t>Performance Level</w:t>
            </w:r>
          </w:p>
        </w:tc>
        <w:tc>
          <w:tcPr>
            <w:tcW w:w="2400" w:type="dxa"/>
            <w:vAlign w:val="bottom"/>
          </w:tcPr>
          <w:p>
            <w:pPr>
              <w:ind w:left="80"/>
              <w:spacing w:after="0"/>
              <w:rPr>
                <w:sz w:val="20"/>
                <w:szCs w:val="20"/>
                <w:color w:val="auto"/>
              </w:rPr>
            </w:pPr>
            <w:r>
              <w:rPr>
                <w:rFonts w:ascii="Arial" w:cs="Arial" w:eastAsia="Arial" w:hAnsi="Arial"/>
                <w:sz w:val="22"/>
                <w:szCs w:val="22"/>
                <w:color w:val="auto"/>
              </w:rPr>
              <w:t>Applicable Percentage</w:t>
            </w:r>
          </w:p>
        </w:tc>
      </w:tr>
      <w:tr>
        <w:trPr>
          <w:trHeight w:val="257"/>
        </w:trPr>
        <w:tc>
          <w:tcPr>
            <w:tcW w:w="220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I</w:t>
            </w:r>
          </w:p>
        </w:tc>
        <w:tc>
          <w:tcPr>
            <w:tcW w:w="2300" w:type="dxa"/>
            <w:vAlign w:val="bottom"/>
          </w:tcPr>
          <w:p>
            <w:pPr>
              <w:spacing w:after="0"/>
              <w:rPr>
                <w:sz w:val="22"/>
                <w:szCs w:val="22"/>
                <w:color w:val="auto"/>
              </w:rPr>
            </w:pPr>
          </w:p>
        </w:tc>
        <w:tc>
          <w:tcPr>
            <w:tcW w:w="240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0.150%</w:t>
            </w:r>
          </w:p>
        </w:tc>
      </w:tr>
      <w:tr>
        <w:trPr>
          <w:trHeight w:val="270"/>
        </w:trPr>
        <w:tc>
          <w:tcPr>
            <w:tcW w:w="4500" w:type="dxa"/>
            <w:vAlign w:val="bottom"/>
            <w:gridSpan w:val="2"/>
          </w:tcPr>
          <w:p>
            <w:pPr>
              <w:ind w:left="80"/>
              <w:spacing w:after="0"/>
              <w:rPr>
                <w:sz w:val="20"/>
                <w:szCs w:val="20"/>
                <w:color w:val="auto"/>
              </w:rPr>
            </w:pPr>
            <w:r>
              <w:rPr>
                <w:rFonts w:ascii="Arial" w:cs="Arial" w:eastAsia="Arial" w:hAnsi="Arial"/>
                <w:sz w:val="22"/>
                <w:szCs w:val="22"/>
                <w:color w:val="auto"/>
              </w:rPr>
              <w:t>II</w:t>
            </w:r>
          </w:p>
        </w:tc>
        <w:tc>
          <w:tcPr>
            <w:tcW w:w="2400" w:type="dxa"/>
            <w:vAlign w:val="bottom"/>
          </w:tcPr>
          <w:p>
            <w:pPr>
              <w:ind w:left="80"/>
              <w:spacing w:after="0"/>
              <w:rPr>
                <w:sz w:val="20"/>
                <w:szCs w:val="20"/>
                <w:color w:val="auto"/>
              </w:rPr>
            </w:pPr>
            <w:r>
              <w:rPr>
                <w:rFonts w:ascii="Arial" w:cs="Arial" w:eastAsia="Arial" w:hAnsi="Arial"/>
                <w:sz w:val="22"/>
                <w:szCs w:val="22"/>
                <w:color w:val="auto"/>
              </w:rPr>
              <w:t>0.200%</w:t>
            </w:r>
          </w:p>
        </w:tc>
      </w:tr>
      <w:tr>
        <w:trPr>
          <w:trHeight w:val="274"/>
        </w:trPr>
        <w:tc>
          <w:tcPr>
            <w:tcW w:w="4500" w:type="dxa"/>
            <w:vAlign w:val="bottom"/>
            <w:gridSpan w:val="2"/>
          </w:tcPr>
          <w:p>
            <w:pPr>
              <w:ind w:left="80"/>
              <w:spacing w:after="0"/>
              <w:rPr>
                <w:sz w:val="20"/>
                <w:szCs w:val="20"/>
                <w:color w:val="auto"/>
              </w:rPr>
            </w:pPr>
            <w:r>
              <w:rPr>
                <w:rFonts w:ascii="Arial" w:cs="Arial" w:eastAsia="Arial" w:hAnsi="Arial"/>
                <w:sz w:val="22"/>
                <w:szCs w:val="22"/>
                <w:color w:val="auto"/>
              </w:rPr>
              <w:t>III</w:t>
            </w:r>
          </w:p>
        </w:tc>
        <w:tc>
          <w:tcPr>
            <w:tcW w:w="2400" w:type="dxa"/>
            <w:vAlign w:val="bottom"/>
          </w:tcPr>
          <w:p>
            <w:pPr>
              <w:ind w:left="80"/>
              <w:spacing w:after="0"/>
              <w:rPr>
                <w:sz w:val="20"/>
                <w:szCs w:val="20"/>
                <w:color w:val="auto"/>
              </w:rPr>
            </w:pPr>
            <w:r>
              <w:rPr>
                <w:rFonts w:ascii="Arial" w:cs="Arial" w:eastAsia="Arial" w:hAnsi="Arial"/>
                <w:sz w:val="22"/>
                <w:szCs w:val="22"/>
                <w:color w:val="auto"/>
              </w:rPr>
              <w:t>0.250%</w:t>
            </w:r>
          </w:p>
        </w:tc>
      </w:tr>
    </w:tbl>
    <w:p>
      <w:pPr>
        <w:spacing w:after="0" w:line="3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Time</w:t>
      </w:r>
      <w:r>
        <w:rPr>
          <w:rFonts w:ascii="Arial" w:cs="Arial" w:eastAsia="Arial" w:hAnsi="Arial"/>
          <w:sz w:val="21"/>
          <w:szCs w:val="21"/>
          <w:color w:val="auto"/>
        </w:rPr>
        <w:t>” means, with respect to any Advance and payments in any Foreign Currency, the local time in the place of settlement for such Foreign Currency as may be determined by the Administrative Agent to be necessary for timely settlement on the relevant date in accordance with normal banking procedures in the place of payment.</w:t>
      </w:r>
    </w:p>
    <w:p>
      <w:pPr>
        <w:spacing w:after="0" w:line="15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means an assignment and assumption entered into by a Lender and an Eligible Assignee (with the consent of any party whose consent is required by Section 8.07 (b)(iii)), and accepted by the Administrative Agent, in substantially the form of Exhibit C or any other form approved by the Administrative Agent.</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Assuming Lender</w:t>
      </w:r>
      <w:r>
        <w:rPr>
          <w:rFonts w:ascii="Arial" w:cs="Arial" w:eastAsia="Arial" w:hAnsi="Arial"/>
          <w:sz w:val="22"/>
          <w:szCs w:val="22"/>
          <w:color w:val="auto"/>
        </w:rPr>
        <w:t>” means an Eligible Assignee not previously a Lender that becomes a Lender hereunder pursuant to either Section 2.05(b) or Section 2.17.</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Assumption Agreement</w:t>
      </w:r>
      <w:r>
        <w:rPr>
          <w:rFonts w:ascii="Arial" w:cs="Arial" w:eastAsia="Arial" w:hAnsi="Arial"/>
          <w:sz w:val="22"/>
          <w:szCs w:val="22"/>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Australian Dollar</w:t>
      </w:r>
      <w:r>
        <w:rPr>
          <w:rFonts w:ascii="Arial" w:cs="Arial" w:eastAsia="Arial" w:hAnsi="Arial"/>
          <w:sz w:val="22"/>
          <w:szCs w:val="22"/>
          <w:color w:val="auto"/>
        </w:rPr>
        <w:t>” means Australian dollar, the lawful currency of Australia.</w:t>
      </w:r>
    </w:p>
    <w:p>
      <w:pPr>
        <w:spacing w:after="0" w:line="17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22"/>
          <w:szCs w:val="22"/>
          <w:u w:val="single" w:color="auto"/>
          <w:color w:val="auto"/>
        </w:rPr>
        <w:t>Section 2.20(c)(iv)</w:t>
      </w:r>
      <w:r>
        <w:rPr>
          <w:rFonts w:ascii="Arial" w:cs="Arial" w:eastAsia="Arial" w:hAnsi="Arial"/>
          <w:sz w:val="22"/>
          <w:szCs w:val="22"/>
          <w:color w:val="auto"/>
        </w:rPr>
        <w:t>.</w:t>
      </w:r>
    </w:p>
    <w:p>
      <w:pPr>
        <w:spacing w:after="0" w:line="16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w:t>
      </w:r>
      <w:r>
        <w:rPr>
          <w:rFonts w:ascii="Arial" w:cs="Arial" w:eastAsia="Arial" w:hAnsi="Arial"/>
          <w:sz w:val="22"/>
          <w:szCs w:val="22"/>
          <w:color w:val="auto"/>
        </w:rPr>
        <w:t xml:space="preserve">” means, at any time, the highest of (a) the Prime Rate, (b) the Federal Funds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0.50% and (c)(i) prior to the USD LIBOR Transition Date, the Adjusted Eurocurrency Rate for US Dollars for a one-month tenor in effect on such day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1.00% and (ii) on and after</w:t>
      </w:r>
    </w:p>
    <w:p>
      <w:pPr>
        <w:sectPr>
          <w:pgSz w:w="11900" w:h="16838" w:orient="portrait"/>
          <w:cols w:equalWidth="0" w:num="1">
            <w:col w:w="11240"/>
          </w:cols>
          <w:pgMar w:left="320" w:top="1440" w:right="339" w:bottom="1440" w:gutter="0" w:footer="0" w:header="0"/>
        </w:sectPr>
      </w:pPr>
    </w:p>
    <w:bookmarkStart w:id="141" w:name="page142"/>
    <w:bookmarkEnd w:id="141"/>
    <w:p>
      <w:pPr>
        <w:jc w:val="both"/>
        <w:spacing w:after="0" w:line="244" w:lineRule="auto"/>
        <w:rPr>
          <w:sz w:val="20"/>
          <w:szCs w:val="20"/>
          <w:color w:val="auto"/>
        </w:rPr>
      </w:pPr>
      <w:r>
        <w:rPr>
          <w:rFonts w:ascii="Arial" w:cs="Arial" w:eastAsia="Arial" w:hAnsi="Arial"/>
          <w:sz w:val="19"/>
          <w:szCs w:val="19"/>
          <w:color w:val="auto"/>
        </w:rPr>
        <w:t xml:space="preserve">the USD LIBOR Transition Date, the sum of (A) either (1) Adjusted Term SOFR (if a Benchmark Replacement is determined in accordance with clause (b)(1) of the definition of “Benchmark Replacement” for the USD LIBOR Transition Date) for a one-month tenor in effect on such day or (2) Adjusted Daily Simple RFR for US Dollars (if a Benchmark Replacement is determined in accordance with clause (b)(2) of the definition of “Benchmark Replacement” for the USD LIBOR Transition Date) in effect on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1.00%; each change in the Base Rate shall take effect simultaneously with the corresponding change or changes in the Prime Rate, the Federal Funds Rate, the Adjusted Eurocurrency Rate for US Dollars, Adjusted Term SOFR or Adjusted Daily Simple RFR for US Dollars,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not be applicable during any period in which the Adjusted Eurocurrency Rate, Adjusted Term SOFR or Adjusted Daily Simple RFR, as applicable, is unavailable or unascertainable). Notwithstanding the foregoing, in no event shall the Base Rate be less than 0%.</w:t>
      </w:r>
    </w:p>
    <w:p>
      <w:pPr>
        <w:spacing w:after="0" w:line="161" w:lineRule="exact"/>
        <w:rPr>
          <w:sz w:val="20"/>
          <w:szCs w:val="20"/>
          <w:color w:val="auto"/>
        </w:rPr>
      </w:pPr>
    </w:p>
    <w:p>
      <w:pPr>
        <w:ind w:right="360" w:firstLine="648"/>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Advance</w:t>
      </w:r>
      <w:r>
        <w:rPr>
          <w:rFonts w:ascii="Arial" w:cs="Arial" w:eastAsia="Arial" w:hAnsi="Arial"/>
          <w:sz w:val="22"/>
          <w:szCs w:val="22"/>
          <w:color w:val="auto"/>
        </w:rPr>
        <w:t>” means an Advance that bears interest as provided in Section 2.07(a)(i). All Base Rate Advances shall be denominated in US Dollars.</w:t>
      </w:r>
    </w:p>
    <w:p>
      <w:pPr>
        <w:spacing w:after="0" w:line="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the Bankruptcy Code in Title 11 of the United States Code, as amended, modified, succeeded or replaced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BBSY</w:t>
      </w:r>
      <w:r>
        <w:rPr>
          <w:rFonts w:ascii="Arial" w:cs="Arial" w:eastAsia="Arial" w:hAnsi="Arial"/>
          <w:sz w:val="22"/>
          <w:szCs w:val="22"/>
          <w:color w:val="auto"/>
        </w:rPr>
        <w:t>” has the meaning assigned thereto in the definition of “Eurocurrency 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BBSY Rate</w:t>
      </w:r>
      <w:r>
        <w:rPr>
          <w:rFonts w:ascii="Arial" w:cs="Arial" w:eastAsia="Arial" w:hAnsi="Arial"/>
          <w:sz w:val="22"/>
          <w:szCs w:val="22"/>
          <w:color w:val="auto"/>
        </w:rPr>
        <w:t>” has the meaning assigned thereto in the definition of “Eurocurrency Rate”.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with respect to any (a) Borrower Obligations, interest, fees, commissions or other amounts denominated in, or calculated with respect to, US Dollars, USD LIBOR;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(i) the USD LIBOR Transition Date has occurred or (ii) a Benchmark Transition Event, a Term RFR Transition Event or an Other Benchmark Rate Election, as applicable, has occurred with respect to the then-current Benchmark for US Dollars, then “Benchmark” means, with respect to such Borrower Obligations, interest, fees, commissions or other amounts, the applicable Benchmark Replacement to the extent that such Benchmark Replacement has replaced such prior benchmark rate pursuant to Section 2.20(c)(i), (b) Borrower Obligations, interest, fees, commissions or other amounts denominated in, or calculated with respect to, Sterling, the Daily Simple RFR applicable for such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has occurred with respect to such Daily Simple RFR or the then-current Benchmark for such Currency, then “Benchmark” means, with respect to such Borrower Obligations, interest, fees, commissions or other amounts, the applicable Benchmark Replacement to the extent that such Benchmark Replacement has replaced such prior benchmark rate pursuant to Section 2.20(c)(i), (c) Borrower Obligations, interest, fees, commissions or other amounts denominated in, or calculated with respect to, Singapore Dollars, the Daily Simple RFR applicable for such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has occurred with respect to such Daily Simple RFR or the then-current Benchmark for such Currency, then “Benchmark” means, with respect to such Borrower Obligations, interest, fees, commissions or other amounts, the applicable Benchmark Replacement to the extent that such Benchmark Replacement has replaced such prior benchmark rate pursuant to Section 2.20(c)(i) and (d) Borrower Obligations, interest, fees, commissions or other amounts denominated in, or calculated with respect to, Euros, Australian Dollars, Canadian Dollars or any other Foreign Currency (other than Sterling and Singapore Dollars), EURIBOR, BBSY, CDOR or the Adjusted Eurocurrency Rate applicable for such Currency,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has occurred with respect to EURIBOR, BBSY, CDOR or such other Adjusted Eurocurrency Rate or the then-current Benchmark for such Currency, then “Benchmark” means, with respect to such Borrower Obligations, interest, fees, commissions or other amounts, the applicable Benchmark Replacement to the extent that such Benchmark Replacement has replaced such prior benchmark rate pursuant to </w:t>
      </w:r>
      <w:r>
        <w:rPr>
          <w:rFonts w:ascii="Arial" w:cs="Arial" w:eastAsia="Arial" w:hAnsi="Arial"/>
          <w:sz w:val="19"/>
          <w:szCs w:val="19"/>
          <w:u w:val="single" w:color="auto"/>
          <w:color w:val="auto"/>
        </w:rPr>
        <w:t>Section 2.20(c)(i)</w:t>
      </w:r>
      <w:r>
        <w:rPr>
          <w:rFonts w:ascii="Arial" w:cs="Arial" w:eastAsia="Arial" w:hAnsi="Arial"/>
          <w:sz w:val="19"/>
          <w:szCs w:val="19"/>
          <w:color w:val="auto"/>
        </w:rPr>
        <w:t>.</w:t>
      </w:r>
    </w:p>
    <w:p>
      <w:pPr>
        <w:spacing w:after="0" w:line="3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means,</w:t>
      </w:r>
    </w:p>
    <w:p>
      <w:pPr>
        <w:sectPr>
          <w:pgSz w:w="11900" w:h="16838" w:orient="portrait"/>
          <w:cols w:equalWidth="0" w:num="1">
            <w:col w:w="11240"/>
          </w:cols>
          <w:pgMar w:left="320" w:top="1400" w:right="339" w:bottom="1440" w:gutter="0" w:footer="0" w:header="0"/>
        </w:sectPr>
      </w:pPr>
    </w:p>
    <w:bookmarkStart w:id="142" w:name="page143"/>
    <w:bookmarkEnd w:id="142"/>
    <w:p>
      <w:pPr>
        <w:jc w:val="both"/>
        <w:ind w:firstLine="656"/>
        <w:spacing w:after="0" w:line="221" w:lineRule="auto"/>
        <w:tabs>
          <w:tab w:leader="none" w:pos="990"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with respect to any Benchmark Transition Event for any then-current Benchmark, the sum of: (i) the alternate benchmark rate that has been selected by the Administrative Agent and the Company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 (ii) the related Benchmark Replacement Adjustment;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Benchmark Replacement as so determined would be less than the Floor, such Benchmark Replacement will be deemed to be the Floor for the purposes of this Agreement and the other Loan Documents; or</w:t>
      </w:r>
    </w:p>
    <w:p>
      <w:pPr>
        <w:spacing w:after="0" w:line="165" w:lineRule="exact"/>
        <w:rPr>
          <w:rFonts w:ascii="Arial" w:cs="Arial" w:eastAsia="Arial" w:hAnsi="Arial"/>
          <w:sz w:val="21"/>
          <w:szCs w:val="21"/>
          <w:color w:val="auto"/>
        </w:rPr>
      </w:pPr>
    </w:p>
    <w:p>
      <w:pPr>
        <w:jc w:val="both"/>
        <w:ind w:firstLine="656"/>
        <w:spacing w:after="0" w:line="223" w:lineRule="auto"/>
        <w:tabs>
          <w:tab w:leader="none" w:pos="967"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the USD LIBOR Transition Date, for any Available Tenor of the Adjusted Eurocurrency Rate for US Dollars, the first alternative set forth in the order below that can be determined by the Administrative Agent for the USD LIBOR Transition Date:</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Adjusted Term SOFR;</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Adjusted Daily Simple RFR for US Dollars; or</w:t>
      </w:r>
    </w:p>
    <w:p>
      <w:pPr>
        <w:spacing w:after="0" w:line="179" w:lineRule="exact"/>
        <w:rPr>
          <w:rFonts w:ascii="Arial" w:cs="Arial" w:eastAsia="Arial" w:hAnsi="Arial"/>
          <w:sz w:val="22"/>
          <w:szCs w:val="22"/>
          <w:color w:val="auto"/>
        </w:rPr>
      </w:pPr>
    </w:p>
    <w:p>
      <w:pPr>
        <w:jc w:val="both"/>
        <w:ind w:left="660" w:firstLine="644"/>
        <w:spacing w:after="0" w:line="246" w:lineRule="auto"/>
        <w:tabs>
          <w:tab w:leader="none" w:pos="1871"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Company as the replacement for the Adjusted Eurocurrency Rate for US Dollars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Adjusted Eurocurrency Rate for US Dollars for syndicated credit facilities denominated in US Dollars at such time and (B) the related Benchmark Replacement Adjustment; provided that, if such Benchmark Replacement as so determined would be less than the Floor, such Benchmark Replacement will be deemed to be the Floor for the purposes of this Agreement and the other Loan Documents; or</w:t>
      </w:r>
    </w:p>
    <w:p>
      <w:pPr>
        <w:spacing w:after="0" w:line="152" w:lineRule="exact"/>
        <w:rPr>
          <w:rFonts w:ascii="Arial" w:cs="Arial" w:eastAsia="Arial" w:hAnsi="Arial"/>
          <w:sz w:val="19"/>
          <w:szCs w:val="19"/>
          <w:color w:val="auto"/>
        </w:rPr>
      </w:pPr>
    </w:p>
    <w:p>
      <w:pPr>
        <w:ind w:left="940" w:hanging="284"/>
        <w:spacing w:after="0"/>
        <w:tabs>
          <w:tab w:leader="none" w:pos="9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any Term RFR Transition Event for any Currency, the Term RFR for such Currency; or</w:t>
      </w:r>
    </w:p>
    <w:p>
      <w:pPr>
        <w:spacing w:after="0" w:line="179" w:lineRule="exact"/>
        <w:rPr>
          <w:rFonts w:ascii="Arial" w:cs="Arial" w:eastAsia="Arial" w:hAnsi="Arial"/>
          <w:sz w:val="22"/>
          <w:szCs w:val="22"/>
          <w:color w:val="auto"/>
        </w:rPr>
      </w:pPr>
    </w:p>
    <w:p>
      <w:pPr>
        <w:jc w:val="both"/>
        <w:ind w:firstLine="656"/>
        <w:spacing w:after="0" w:line="216" w:lineRule="auto"/>
        <w:tabs>
          <w:tab w:leader="none" w:pos="99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any Other Benchmark Rate Election, the sum of: (A) the alternate benchmark rate that has been selected by the Administrative Agent and the Company as the replacement for the Adjusted Eurocurrency Rate for US Dollars giving due consideration to any evolving or then-prevailing market convention for determining a benchmark rate as a replacement for such Benchmark for US Dollar-denominated syndicated credit facilities at such time and (B) the related Benchmark Replacement Adjustment;</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in the case of clause (b)(1), if the Administrative Agent decides that Adjusted Term SOFR is not administratively feasible for the Administrative Agent, then Adjusted Term SOFR will be deemed unable to be determined for purposes of this definition.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for purposes of:</w:t>
      </w:r>
    </w:p>
    <w:p>
      <w:pPr>
        <w:spacing w:after="0" w:line="179" w:lineRule="exact"/>
        <w:rPr>
          <w:sz w:val="20"/>
          <w:szCs w:val="20"/>
          <w:color w:val="auto"/>
        </w:rPr>
      </w:pPr>
    </w:p>
    <w:p>
      <w:pPr>
        <w:jc w:val="both"/>
        <w:ind w:firstLine="656"/>
        <w:spacing w:after="0" w:line="223" w:lineRule="auto"/>
        <w:tabs>
          <w:tab w:leader="none" w:pos="1293" w:val="left"/>
        </w:tabs>
        <w:numPr>
          <w:ilvl w:val="0"/>
          <w:numId w:val="91"/>
        </w:numPr>
        <w:rPr>
          <w:rFonts w:ascii="Arial" w:cs="Arial" w:eastAsia="Arial" w:hAnsi="Arial"/>
          <w:sz w:val="22"/>
          <w:szCs w:val="22"/>
          <w:color w:val="1F3763"/>
        </w:rPr>
      </w:pPr>
      <w:r>
        <w:rPr>
          <w:rFonts w:ascii="Arial" w:cs="Arial" w:eastAsia="Arial" w:hAnsi="Arial"/>
          <w:sz w:val="22"/>
          <w:szCs w:val="22"/>
          <w:color w:val="auto"/>
        </w:rPr>
        <w:t>clauses (a) and (b)(3) of the definition of “Benchmark Replacement”, with respect to any replacement of any then-current Benchmark with an Unadjusted Benchmark Replacement for any applicable Available Tenor, the spread adjustment, or method for calculating or</w:t>
      </w:r>
    </w:p>
    <w:p>
      <w:pPr>
        <w:sectPr>
          <w:pgSz w:w="11900" w:h="16838" w:orient="portrait"/>
          <w:cols w:equalWidth="0" w:num="1">
            <w:col w:w="11240"/>
          </w:cols>
          <w:pgMar w:left="320" w:top="1400" w:right="339" w:bottom="1440" w:gutter="0" w:footer="0" w:header="0"/>
        </w:sectPr>
      </w:pPr>
    </w:p>
    <w:bookmarkStart w:id="143" w:name="page144"/>
    <w:bookmarkEnd w:id="143"/>
    <w:p>
      <w:pPr>
        <w:jc w:val="both"/>
        <w:spacing w:after="0" w:line="212" w:lineRule="auto"/>
        <w:rPr>
          <w:sz w:val="20"/>
          <w:szCs w:val="20"/>
          <w:color w:val="auto"/>
        </w:rPr>
      </w:pPr>
      <w:r>
        <w:rPr>
          <w:rFonts w:ascii="Arial" w:cs="Arial" w:eastAsia="Arial" w:hAnsi="Arial"/>
          <w:sz w:val="22"/>
          <w:szCs w:val="22"/>
          <w:color w:val="auto"/>
        </w:rPr>
        <w:t>determining such spread adjustment, (which may be a positive or negative value or zero) that has been selected by the Administrative Agent and the Company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and</w:t>
      </w:r>
    </w:p>
    <w:p>
      <w:pPr>
        <w:spacing w:after="0" w:line="164" w:lineRule="exact"/>
        <w:rPr>
          <w:sz w:val="20"/>
          <w:szCs w:val="20"/>
          <w:color w:val="auto"/>
        </w:rPr>
      </w:pPr>
    </w:p>
    <w:p>
      <w:pPr>
        <w:jc w:val="both"/>
        <w:ind w:firstLine="656"/>
        <w:spacing w:after="0" w:line="222" w:lineRule="auto"/>
        <w:tabs>
          <w:tab w:leader="none" w:pos="1291" w:val="left"/>
        </w:tabs>
        <w:numPr>
          <w:ilvl w:val="0"/>
          <w:numId w:val="92"/>
        </w:numPr>
        <w:rPr>
          <w:rFonts w:ascii="Arial" w:cs="Arial" w:eastAsia="Arial" w:hAnsi="Arial"/>
          <w:sz w:val="21"/>
          <w:szCs w:val="21"/>
          <w:color w:val="1F3763"/>
        </w:rPr>
      </w:pPr>
      <w:r>
        <w:rPr>
          <w:rFonts w:ascii="Arial" w:cs="Arial" w:eastAsia="Arial" w:hAnsi="Arial"/>
          <w:sz w:val="21"/>
          <w:szCs w:val="21"/>
          <w:color w:val="auto"/>
        </w:rPr>
        <w:t>clause (d) of the definition of “Benchmark Replacement”, with respect to any replacement of the Adjusted Eurocurrency Rate for US Dollars with an Unadjusted Benchmark Replacement for any applicable Available Tenor, the spread adjustment, or method for calculating or determining such spread adjustment (which may be a positive or negative value or zero), that has been selected by the Administrative Agent and the Company giving due consideration to any evolving or then-prevailing market convention for determining a spread adjustment, or method for calculating or determining such spread adjustment, for the replacement of the Adjusted Eurocurrency Rate for US Dollars with the applicable Unadjusted Benchmark Replacement for US Dollar-denominated syndicated credit facilities.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Benchmark for any Currency:</w:t>
      </w:r>
    </w:p>
    <w:p>
      <w:pPr>
        <w:spacing w:after="0" w:line="161" w:lineRule="exact"/>
        <w:rPr>
          <w:sz w:val="20"/>
          <w:szCs w:val="20"/>
          <w:color w:val="auto"/>
        </w:rPr>
      </w:pPr>
    </w:p>
    <w:p>
      <w:pPr>
        <w:jc w:val="both"/>
        <w:ind w:firstLine="656"/>
        <w:spacing w:after="0" w:line="218" w:lineRule="auto"/>
        <w:tabs>
          <w:tab w:leader="none" w:pos="1189"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52" w:lineRule="exact"/>
        <w:rPr>
          <w:rFonts w:ascii="Arial" w:cs="Arial" w:eastAsia="Arial" w:hAnsi="Arial"/>
          <w:sz w:val="22"/>
          <w:szCs w:val="22"/>
          <w:color w:val="auto"/>
        </w:rPr>
      </w:pPr>
    </w:p>
    <w:p>
      <w:pPr>
        <w:jc w:val="both"/>
        <w:ind w:firstLine="656"/>
        <w:spacing w:after="0" w:line="252" w:lineRule="auto"/>
        <w:tabs>
          <w:tab w:leader="none" w:pos="1137"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40" w:lineRule="exact"/>
        <w:rPr>
          <w:rFonts w:ascii="Arial" w:cs="Arial" w:eastAsia="Arial" w:hAnsi="Arial"/>
          <w:sz w:val="19"/>
          <w:szCs w:val="19"/>
          <w:color w:val="auto"/>
        </w:rPr>
      </w:pPr>
    </w:p>
    <w:p>
      <w:pPr>
        <w:ind w:left="1120" w:hanging="464"/>
        <w:spacing w:after="0"/>
        <w:tabs>
          <w:tab w:leader="none" w:pos="11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the case of a Term RFR Transition Event for such Currency, the Term RFR Transition Date applicable thereto; or</w:t>
      </w:r>
    </w:p>
    <w:p>
      <w:pPr>
        <w:spacing w:after="0" w:line="105" w:lineRule="exact"/>
        <w:rPr>
          <w:rFonts w:ascii="Arial" w:cs="Arial" w:eastAsia="Arial" w:hAnsi="Arial"/>
          <w:sz w:val="19"/>
          <w:szCs w:val="19"/>
          <w:color w:val="auto"/>
        </w:rPr>
      </w:pPr>
    </w:p>
    <w:p>
      <w:pPr>
        <w:jc w:val="both"/>
        <w:ind w:firstLine="656"/>
        <w:spacing w:after="0" w:line="257" w:lineRule="auto"/>
        <w:tabs>
          <w:tab w:leader="none" w:pos="1257"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the case of an Other Benchmark Rate Election, the sixth Business Day after the date notice of such Other Benchmark Rate Election is provided to the Lenders, so long as the Administrative Agent has not received, by 5:00 p.m. (New York City time) on the fifth Business Day after the date notice of such Other Benchmark Rate Election is provided to the Lenders, written notice of objection to such Other Benchmark Rate Election from Lenders comprising the Required Lenders.</w:t>
      </w:r>
    </w:p>
    <w:p>
      <w:pPr>
        <w:spacing w:after="0" w:line="36"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For the avoidance of doubt, (A) if the Reference Time for the applicable Benchmark refers to a specific time of day and the event giving rise to the Benchmark Replacement Date for any Benchmark occurs on the same day as, but earlier than, the Reference Time in respect of any determination, the Benchmark Replacement Date will be deemed to have occurred prior to the Reference Time for such Benchmark and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ectPr>
          <w:pgSz w:w="11900" w:h="16838" w:orient="portrait"/>
          <w:cols w:equalWidth="0" w:num="1">
            <w:col w:w="11240"/>
          </w:cols>
          <w:pgMar w:left="320" w:top="1400" w:right="339" w:bottom="1440" w:gutter="0" w:footer="0" w:header="0"/>
        </w:sectPr>
      </w:pPr>
    </w:p>
    <w:bookmarkStart w:id="144" w:name="page145"/>
    <w:bookmarkEnd w:id="144"/>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the then-current Benchmark for any Currency, the occurrence of one or more of the following events with respect to such Benchmark:</w:t>
      </w:r>
    </w:p>
    <w:p>
      <w:pPr>
        <w:spacing w:after="0" w:line="159" w:lineRule="exact"/>
        <w:rPr>
          <w:sz w:val="20"/>
          <w:szCs w:val="20"/>
          <w:color w:val="auto"/>
        </w:rPr>
      </w:pPr>
    </w:p>
    <w:p>
      <w:pPr>
        <w:jc w:val="both"/>
        <w:ind w:firstLine="656"/>
        <w:spacing w:after="0" w:line="216" w:lineRule="auto"/>
        <w:tabs>
          <w:tab w:leader="none" w:pos="1195"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49" w:lineRule="exact"/>
        <w:rPr>
          <w:rFonts w:ascii="Arial" w:cs="Arial" w:eastAsia="Arial" w:hAnsi="Arial"/>
          <w:sz w:val="22"/>
          <w:szCs w:val="22"/>
          <w:color w:val="auto"/>
        </w:rPr>
      </w:pPr>
    </w:p>
    <w:p>
      <w:pPr>
        <w:jc w:val="both"/>
        <w:ind w:firstLine="656"/>
        <w:spacing w:after="0" w:line="221" w:lineRule="auto"/>
        <w:tabs>
          <w:tab w:leader="none" w:pos="1320"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50" w:lineRule="exact"/>
        <w:rPr>
          <w:rFonts w:ascii="Arial" w:cs="Arial" w:eastAsia="Arial" w:hAnsi="Arial"/>
          <w:sz w:val="21"/>
          <w:szCs w:val="21"/>
          <w:color w:val="auto"/>
        </w:rPr>
      </w:pPr>
    </w:p>
    <w:p>
      <w:pPr>
        <w:jc w:val="both"/>
        <w:ind w:firstLine="656"/>
        <w:spacing w:after="0" w:line="223" w:lineRule="auto"/>
        <w:tabs>
          <w:tab w:leader="none" w:pos="1311"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5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Start Date</w:t>
      </w:r>
      <w:r>
        <w:rPr>
          <w:rFonts w:ascii="Arial" w:cs="Arial" w:eastAsia="Arial" w:hAnsi="Arial"/>
          <w:sz w:val="21"/>
          <w:szCs w:val="21"/>
          <w:color w:val="auto"/>
        </w:rPr>
        <w:t>” means, with respect to any Benchmark for any Currency,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or (b) in the case of an Other Benchmark Rate Election, the applicable Benchmark Replacement Date.</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 with respect to (a) the Adjusted Eurocurrency Rate for US Dollars, the period (if any) (i) beginning at the time that the USD LIBOR Transition Date has occurred pursuant to clause (a) of that definition if, at such time, no Benchmark Replacement has replaced the Adjusted Eurocurrency Rate for US Dollars for all purposes hereunder and under any Loan Document in accordance with Section 2.20(c)(i) and (ii) ending at the time that a Benchmark Replacement has replaced the Adjusted Eurocurrency Rate for US Dollars for all purposes hereunder and under any Loan Document in accordance with Section 2.20(c)(i) and (b) any then-current Benchmark for any Currency other than the Adjusted Eurocurrency Rate for US Dollars,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w:t>
      </w:r>
    </w:p>
    <w:p>
      <w:pPr>
        <w:sectPr>
          <w:pgSz w:w="11900" w:h="16838" w:orient="portrait"/>
          <w:cols w:equalWidth="0" w:num="1">
            <w:col w:w="11240"/>
          </w:cols>
          <w:pgMar w:left="320" w:top="1400" w:right="339" w:bottom="1440" w:gutter="0" w:footer="0" w:header="0"/>
        </w:sectPr>
      </w:pPr>
    </w:p>
    <w:bookmarkStart w:id="145" w:name="page146"/>
    <w:bookmarkEnd w:id="145"/>
    <w:p>
      <w:pPr>
        <w:jc w:val="both"/>
        <w:ind w:right="20"/>
        <w:spacing w:after="0" w:line="232" w:lineRule="auto"/>
        <w:rPr>
          <w:sz w:val="20"/>
          <w:szCs w:val="20"/>
          <w:color w:val="auto"/>
        </w:rPr>
      </w:pPr>
      <w:r>
        <w:rPr>
          <w:rFonts w:ascii="Arial" w:cs="Arial" w:eastAsia="Arial" w:hAnsi="Arial"/>
          <w:sz w:val="22"/>
          <w:szCs w:val="22"/>
          <w:color w:val="auto"/>
        </w:rPr>
        <w:t>2.20(c)(i) and (ii) ending at the time that a Benchmark Replacement has replaced such Benchmark for all purposes hereunder and under any Loan Document in accordance with Section 2.20(c)(i).</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has the meaning specified in Section 9.20(b).</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Obligations</w:t>
      </w:r>
      <w:r>
        <w:rPr>
          <w:rFonts w:ascii="Arial" w:cs="Arial" w:eastAsia="Arial" w:hAnsi="Arial"/>
          <w:sz w:val="22"/>
          <w:szCs w:val="22"/>
          <w:color w:val="auto"/>
        </w:rPr>
        <w:t>” and “</w:t>
      </w:r>
      <w:r>
        <w:rPr>
          <w:rFonts w:ascii="Arial" w:cs="Arial" w:eastAsia="Arial" w:hAnsi="Arial"/>
          <w:sz w:val="22"/>
          <w:szCs w:val="22"/>
          <w:u w:val="single" w:color="auto"/>
          <w:color w:val="auto"/>
        </w:rPr>
        <w:t>Obligations</w:t>
      </w:r>
      <w:r>
        <w:rPr>
          <w:rFonts w:ascii="Arial" w:cs="Arial" w:eastAsia="Arial" w:hAnsi="Arial"/>
          <w:sz w:val="22"/>
          <w:szCs w:val="22"/>
          <w:color w:val="auto"/>
        </w:rPr>
        <w:t>” means the obligations of each Borrower hereunder and under the other Loan Documents.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means, collectively, the Foreign Borrowers and the Company.</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 means a borrowing consisting of simultaneous Advances of the same Type made by each of the Lenders pursuant to Section 2.01.</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means a day of the year on which banks are not required or authorized by law to close in New York City, and if the applicable Business Day relates to any Eurocurrency Rate Advances, on which dealings are carried on in New York City and the London interbank market;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with respect to any Advance denominated in a Foreign Currency, the term “Business Day” shall also exclude (i) any day that is not a TARGET Day and (ii) any day on which banks (A) are not open for dealings in deposits denominated in such Foreign Currency in the London interbank market and (B) are not open for foreign exchange business in the principal financial center of the country of such Foreign Currency and (b) with respect to any Advance to a Foreign Borrower, the term “Business Day” shall also exclude any day on which banks are not open for dealings in the jurisdiction of organization of such Foreign Borrower.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Dollars</w:t>
      </w:r>
      <w:r>
        <w:rPr>
          <w:rFonts w:ascii="Arial" w:cs="Arial" w:eastAsia="Arial" w:hAnsi="Arial"/>
          <w:sz w:val="22"/>
          <w:szCs w:val="22"/>
          <w:color w:val="auto"/>
        </w:rPr>
        <w:t>” means Canadian Dollars, the lawful currency of Canada.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CDOR</w:t>
      </w:r>
      <w:r>
        <w:rPr>
          <w:rFonts w:ascii="Arial" w:cs="Arial" w:eastAsia="Arial" w:hAnsi="Arial"/>
          <w:sz w:val="22"/>
          <w:szCs w:val="22"/>
          <w:color w:val="auto"/>
        </w:rPr>
        <w:t>” has the meaning assigned thereto in the definition of “Eurocurrency 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CDOR Rate</w:t>
      </w:r>
      <w:r>
        <w:rPr>
          <w:rFonts w:ascii="Arial" w:cs="Arial" w:eastAsia="Arial" w:hAnsi="Arial"/>
          <w:sz w:val="22"/>
          <w:szCs w:val="22"/>
          <w:color w:val="auto"/>
        </w:rPr>
        <w:t>” has the meaning assigned thereto in the definition of “Eurocurrency Rate”.</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means a Person that is a “controlled foreign corporation” as defined in Section 957 of the Internal Revenue Code, but only if a “United States person” (within the meaning of Section 7701(a)(3) of the Internal Revenue Code) that is a Credit Party or an Affiliate of a Credit Party is, with respect to such Person, a “United States shareholder” (within the meaning of Section 951(b) of the Internal Revenue Code) as described in Section 951(a)(1) of the Internal Revenue Code.</w:t>
      </w:r>
    </w:p>
    <w:p>
      <w:pPr>
        <w:sectPr>
          <w:pgSz w:w="11900" w:h="16838" w:orient="portrait"/>
          <w:cols w:equalWidth="0" w:num="1">
            <w:col w:w="11240"/>
          </w:cols>
          <w:pgMar w:left="320" w:top="1400" w:right="339" w:bottom="1440" w:gutter="0" w:footer="0" w:header="0"/>
        </w:sectPr>
      </w:pPr>
    </w:p>
    <w:bookmarkStart w:id="146" w:name="page147"/>
    <w:bookmarkEnd w:id="146"/>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 Holdco</w:t>
      </w:r>
      <w:r>
        <w:rPr>
          <w:rFonts w:ascii="Arial" w:cs="Arial" w:eastAsia="Arial" w:hAnsi="Arial"/>
          <w:sz w:val="22"/>
          <w:szCs w:val="22"/>
          <w:color w:val="auto"/>
        </w:rPr>
        <w:t>” means any Subsidiary all or substantially all of the assets of which consist of the Equity Interest or indebtedness of one or more CFCs (either directly or indirectly through other such Subsidiaries).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a Multicurrency Tranche Commitment or a US Tranche Commitment.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Date</w:t>
      </w:r>
      <w:r>
        <w:rPr>
          <w:rFonts w:ascii="Arial" w:cs="Arial" w:eastAsia="Arial" w:hAnsi="Arial"/>
          <w:sz w:val="22"/>
          <w:szCs w:val="22"/>
          <w:color w:val="auto"/>
        </w:rPr>
        <w:t>” has the meaning specified in Section 2.05(b)(i).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has the meaning specified in Section 2.04(a).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has the meaning specified in Section 2.05(b)(i).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has the meaning specified in Section 9.02(d)(ii).</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information that is furnished by or on behalf of the Company to the Administrative Agent or any Lender in a writing designated as confidential, but does not include any such information that is or becomes generally available to the public or that is or becomes available to the Administrative Agent or such Lender from a source other than the Company that is not, to the best of the Administrative Agent’s or such Lender’s knowledge, acting in violation of a confidentiality agreement with or for the benefit of the Company.</w:t>
      </w:r>
    </w:p>
    <w:p>
      <w:pPr>
        <w:spacing w:after="0" w:line="15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Conforming Changes</w:t>
      </w:r>
      <w:r>
        <w:rPr>
          <w:rFonts w:ascii="Arial" w:cs="Arial" w:eastAsia="Arial" w:hAnsi="Arial"/>
          <w:sz w:val="19"/>
          <w:szCs w:val="19"/>
          <w:color w:val="auto"/>
        </w:rPr>
        <w:t>” means, with respect to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2.20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Consenting Lender</w:t>
      </w:r>
      <w:r>
        <w:rPr>
          <w:rFonts w:ascii="Arial" w:cs="Arial" w:eastAsia="Arial" w:hAnsi="Arial"/>
          <w:sz w:val="22"/>
          <w:szCs w:val="22"/>
          <w:color w:val="auto"/>
        </w:rPr>
        <w:t>” has the meaning specified in Section 2.17(b).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w:t>
      </w:r>
      <w:r>
        <w:rPr>
          <w:rFonts w:ascii="Arial" w:cs="Arial" w:eastAsia="Arial" w:hAnsi="Arial"/>
          <w:sz w:val="22"/>
          <w:szCs w:val="22"/>
          <w:color w:val="auto"/>
        </w:rPr>
        <w:t>” refers to the consolidation of accounts in accordance with GAAP.</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Assets</w:t>
      </w:r>
      <w:r>
        <w:rPr>
          <w:rFonts w:ascii="Arial" w:cs="Arial" w:eastAsia="Arial" w:hAnsi="Arial"/>
          <w:sz w:val="22"/>
          <w:szCs w:val="22"/>
          <w:color w:val="auto"/>
        </w:rPr>
        <w:t>” means, as of any date of determination, the total consolidated assets of the Company and its Subsidiaries at such date, as determined in accordance with GAAP on a Consolidated basis.</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Debt</w:t>
      </w:r>
      <w:r>
        <w:rPr>
          <w:rFonts w:ascii="Arial" w:cs="Arial" w:eastAsia="Arial" w:hAnsi="Arial"/>
          <w:sz w:val="22"/>
          <w:szCs w:val="22"/>
          <w:color w:val="auto"/>
        </w:rPr>
        <w:t>” means, as of any date of determination, the aggregate principal amount of Debt of the Company and its Subsidiaries outstanding as of such date, in the amount that would be required to be reflected on a balance sheet prepared as of such date on a Consolidated basis in accordance with GAAP. Notwithstanding anything to the contrary herein, Consolidated Debt will exclude any Debt (“</w:t>
      </w:r>
      <w:r>
        <w:rPr>
          <w:rFonts w:ascii="Arial" w:cs="Arial" w:eastAsia="Arial" w:hAnsi="Arial"/>
          <w:sz w:val="22"/>
          <w:szCs w:val="22"/>
          <w:u w:val="single" w:color="auto"/>
          <w:color w:val="auto"/>
        </w:rPr>
        <w:t>Refinanced Debt</w:t>
      </w:r>
      <w:r>
        <w:rPr>
          <w:rFonts w:ascii="Arial" w:cs="Arial" w:eastAsia="Arial" w:hAnsi="Arial"/>
          <w:sz w:val="22"/>
          <w:szCs w:val="22"/>
          <w:color w:val="auto"/>
        </w:rPr>
        <w:t>”) outstanding on any determination date which is to be refinanced pursuant to a refinancing permitted under this Agreement with the proceeds (the “</w:t>
      </w:r>
      <w:r>
        <w:rPr>
          <w:rFonts w:ascii="Arial" w:cs="Arial" w:eastAsia="Arial" w:hAnsi="Arial"/>
          <w:sz w:val="22"/>
          <w:szCs w:val="22"/>
          <w:u w:val="single" w:color="auto"/>
          <w:color w:val="auto"/>
        </w:rPr>
        <w:t>Refinancing Proceeds</w:t>
      </w:r>
      <w:r>
        <w:rPr>
          <w:rFonts w:ascii="Arial" w:cs="Arial" w:eastAsia="Arial" w:hAnsi="Arial"/>
          <w:sz w:val="22"/>
          <w:szCs w:val="22"/>
          <w:color w:val="auto"/>
        </w:rPr>
        <w:t>”) of previously incurred refinancing Debt that is included</w:t>
      </w:r>
    </w:p>
    <w:p>
      <w:pPr>
        <w:sectPr>
          <w:pgSz w:w="11900" w:h="16838" w:orient="portrait"/>
          <w:cols w:equalWidth="0" w:num="1">
            <w:col w:w="11240"/>
          </w:cols>
          <w:pgMar w:left="320" w:top="1400" w:right="339" w:bottom="1440" w:gutter="0" w:footer="0" w:header="0"/>
        </w:sectPr>
      </w:pPr>
    </w:p>
    <w:bookmarkStart w:id="147" w:name="page148"/>
    <w:bookmarkEnd w:id="147"/>
    <w:p>
      <w:pPr>
        <w:jc w:val="both"/>
        <w:spacing w:after="0" w:line="223" w:lineRule="auto"/>
        <w:rPr>
          <w:sz w:val="20"/>
          <w:szCs w:val="20"/>
          <w:color w:val="auto"/>
        </w:rPr>
      </w:pPr>
      <w:r>
        <w:rPr>
          <w:rFonts w:ascii="Arial" w:cs="Arial" w:eastAsia="Arial" w:hAnsi="Arial"/>
          <w:sz w:val="22"/>
          <w:szCs w:val="22"/>
          <w:color w:val="auto"/>
        </w:rPr>
        <w:t xml:space="preserve">in Consolidated Debt on such date (and such Refinancing Proceeds shall not be included as unrestricted cash for purposes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notice of redemption of, or an offer to purchase, such Refinanced Debt has been given or made (and, in the case of an offer to purchase, not withdrawn) on or prior to such date.</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as of any date of determination, calculated on a Pro Forma Basis for the most recent four consecutive fiscal quarter period ending on or prior to such date, without duplication, (a) 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sum of the following to the extent deducted in calculating Consolidated Net Income for such period:</w:t>
      </w:r>
    </w:p>
    <w:p>
      <w:pPr>
        <w:spacing w:after="0" w:line="2" w:lineRule="exact"/>
        <w:rPr>
          <w:sz w:val="20"/>
          <w:szCs w:val="20"/>
          <w:color w:val="auto"/>
        </w:rPr>
      </w:pPr>
    </w:p>
    <w:p>
      <w:pPr>
        <w:jc w:val="both"/>
        <w:ind w:firstLine="8"/>
        <w:spacing w:after="0" w:line="239" w:lineRule="auto"/>
        <w:tabs>
          <w:tab w:leader="none" w:pos="270"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Consolidated Interest Expense of the Company and its Subsidiaries for such period, (ii) consolidated tax expense (including, without limitation, any federal, state, local and foreign income and similar taxes) of the Company and its Subsidiaries for such period, (iii) depreciation and amortization expense of the Company and its Subsidiaries for such period, (iv) any extraordinary losses or charges of the Company and its Subsidiaries for such period, (v) non-cash charges of the Company and its Subsidiaries for such period (excluding pension plan credits and any pension charges), (vi) non-recurring losses, expenses or charges of the Company and its Subsidiaries for such period, (vii) losses attributable to the early extinguishment of Debt of the Company and its Subsidiaries for such period, (viii) any unrealized losses of the Company and its Subsidiaries for such period attributable to the application of “mark to market” accounting in respect of marketable equity securities and hedging agreements, (ix) losses of the Company and its Subsidiaries from the sale or exchange of assets and (x) the cumulative effect for such period of a change in accounting principles,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the sum of the following to the extent included in calculating Consolidated Net Income for such period: (i) non-cash charges of the Company and its Subsidiaries for such period previously added back in determining Consolidated EBITDA to the extent such non-cash charges have become cash charges during such period, (ii) any extraordinary gains of the Company and its Subsidiaries for such period, (iii) any non-recurring gains of the Company and its Subsidiaries for such period (including, without limitation, (A) gains from the sale or exchange of assets, (B) gains from early extinguishment of Debt of the Company and its Subsidiaries and (C) income received from joint venture investments to the extent not received in cash of the Company and its Subsidiaries for such period, but excluding pension plan credits and any pension charges), (iv) interest income of the Company and its Subsidiaries for such period, (v) any unrealized gains of the Company and its Subsidiaries for such period attributable to the application of “mark to market” accounting in respect of marketable equity securities and hedging agreements and (vi) the cumulative effect for such period of a change in accounting principles.</w:t>
      </w:r>
    </w:p>
    <w:p>
      <w:pPr>
        <w:spacing w:after="0" w:line="16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Coverage Ratio</w:t>
      </w:r>
      <w:r>
        <w:rPr>
          <w:rFonts w:ascii="Arial" w:cs="Arial" w:eastAsia="Arial" w:hAnsi="Arial"/>
          <w:sz w:val="22"/>
          <w:szCs w:val="22"/>
          <w:color w:val="auto"/>
        </w:rPr>
        <w:t>” means, as of any date of determination, for the Company and its Subsidiaries on a Consolidated basis, the ratio of (a) Consolidated EBITDA for the most recent four consecutive fiscal quarter period ending on or prior to such date, to (b) Consolidated Interest Expense for the most recent four consecutive fiscal quarter period ending on or prior to such date.</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means, as of any date of determination, for the Company and its Subsidiaries on a Consolidated basis and for the most recent four consecutive fiscal quarter period ending on or prior to such date, all interest expense (excluding amortization of debt discount and premium and financing fees and expenses, but including the interest component under capital leases and synthetic leases).</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as of any date of determination for the most recent four consecutive fiscal quarter period ending on or prior to such date, the net income of the Company and its Subsidiaries on a Consolidated basis for such period, all as determined in accordance with GAAP.</w:t>
      </w:r>
    </w:p>
    <w:p>
      <w:pPr>
        <w:sectPr>
          <w:pgSz w:w="11900" w:h="16838" w:orient="portrait"/>
          <w:cols w:equalWidth="0" w:num="1">
            <w:col w:w="11240"/>
          </w:cols>
          <w:pgMar w:left="320" w:top="1400" w:right="339" w:bottom="1440" w:gutter="0" w:footer="0" w:header="0"/>
        </w:sectPr>
      </w:pPr>
    </w:p>
    <w:bookmarkStart w:id="148" w:name="page149"/>
    <w:bookmarkEnd w:id="148"/>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w:t>
      </w:r>
      <w:r>
        <w:rPr>
          <w:rFonts w:ascii="Arial" w:cs="Arial" w:eastAsia="Arial" w:hAnsi="Arial"/>
          <w:sz w:val="22"/>
          <w:szCs w:val="22"/>
          <w:color w:val="auto"/>
        </w:rPr>
        <w:t>”, “</w:t>
      </w:r>
      <w:r>
        <w:rPr>
          <w:rFonts w:ascii="Arial" w:cs="Arial" w:eastAsia="Arial" w:hAnsi="Arial"/>
          <w:sz w:val="22"/>
          <w:szCs w:val="22"/>
          <w:u w:val="single" w:color="auto"/>
          <w:color w:val="auto"/>
        </w:rPr>
        <w:t>Conversion</w:t>
      </w:r>
      <w:r>
        <w:rPr>
          <w:rFonts w:ascii="Arial" w:cs="Arial" w:eastAsia="Arial" w:hAnsi="Arial"/>
          <w:sz w:val="22"/>
          <w:szCs w:val="22"/>
          <w:color w:val="auto"/>
        </w:rPr>
        <w:t>” and “</w:t>
      </w:r>
      <w:r>
        <w:rPr>
          <w:rFonts w:ascii="Arial" w:cs="Arial" w:eastAsia="Arial" w:hAnsi="Arial"/>
          <w:sz w:val="22"/>
          <w:szCs w:val="22"/>
          <w:u w:val="single" w:color="auto"/>
          <w:color w:val="auto"/>
        </w:rPr>
        <w:t>Converted</w:t>
      </w:r>
      <w:r>
        <w:rPr>
          <w:rFonts w:ascii="Arial" w:cs="Arial" w:eastAsia="Arial" w:hAnsi="Arial"/>
          <w:sz w:val="22"/>
          <w:szCs w:val="22"/>
          <w:color w:val="auto"/>
        </w:rPr>
        <w:t>” each refers to a conversion of Advances of one Type into Advances of the other Type pursuant to Section 2.09.</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has the meaning specified in Section 9.20(b).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has the meaning specified in Section 9.20(b).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Parties</w:t>
      </w:r>
      <w:r>
        <w:rPr>
          <w:rFonts w:ascii="Arial" w:cs="Arial" w:eastAsia="Arial" w:hAnsi="Arial"/>
          <w:sz w:val="22"/>
          <w:szCs w:val="22"/>
          <w:color w:val="auto"/>
        </w:rPr>
        <w:t>” means, collectively, the Borrowers and the Guarantors.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Currencies</w:t>
      </w:r>
      <w:r>
        <w:rPr>
          <w:rFonts w:ascii="Arial" w:cs="Arial" w:eastAsia="Arial" w:hAnsi="Arial"/>
          <w:sz w:val="22"/>
          <w:szCs w:val="22"/>
          <w:color w:val="auto"/>
        </w:rPr>
        <w:t>” means US Dollars and each Foreign Currency, and “</w:t>
      </w:r>
      <w:r>
        <w:rPr>
          <w:rFonts w:ascii="Arial" w:cs="Arial" w:eastAsia="Arial" w:hAnsi="Arial"/>
          <w:sz w:val="22"/>
          <w:szCs w:val="22"/>
          <w:u w:val="single" w:color="auto"/>
          <w:color w:val="auto"/>
        </w:rPr>
        <w:t>Currency</w:t>
      </w:r>
      <w:r>
        <w:rPr>
          <w:rFonts w:ascii="Arial" w:cs="Arial" w:eastAsia="Arial" w:hAnsi="Arial"/>
          <w:sz w:val="22"/>
          <w:szCs w:val="22"/>
          <w:color w:val="auto"/>
        </w:rPr>
        <w:t>” means any of such Currencies.</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RFR</w:t>
      </w:r>
      <w:r>
        <w:rPr>
          <w:rFonts w:ascii="Arial" w:cs="Arial" w:eastAsia="Arial" w:hAnsi="Arial"/>
          <w:sz w:val="22"/>
          <w:szCs w:val="22"/>
          <w:color w:val="auto"/>
        </w:rPr>
        <w:t>” means, for any RFR Rate Day, a rate per annum equal to, for any Borrower Obligations, interest, fees, commissions or other amounts denominated in, or calculated with respect to</w:t>
      </w:r>
    </w:p>
    <w:p>
      <w:pPr>
        <w:spacing w:after="0" w:line="159" w:lineRule="exact"/>
        <w:rPr>
          <w:sz w:val="20"/>
          <w:szCs w:val="20"/>
          <w:color w:val="auto"/>
        </w:rPr>
      </w:pPr>
    </w:p>
    <w:p>
      <w:pPr>
        <w:jc w:val="both"/>
        <w:ind w:firstLine="656"/>
        <w:spacing w:after="0" w:line="244" w:lineRule="auto"/>
        <w:tabs>
          <w:tab w:leader="none" w:pos="942" w:val="left"/>
        </w:tabs>
        <w:numPr>
          <w:ilvl w:val="0"/>
          <w:numId w:val="96"/>
        </w:numPr>
        <w:rPr>
          <w:rFonts w:ascii="Arial" w:cs="Arial" w:eastAsia="Arial" w:hAnsi="Arial"/>
          <w:sz w:val="19"/>
          <w:szCs w:val="19"/>
          <w:color w:val="auto"/>
        </w:rPr>
      </w:pPr>
      <w:r>
        <w:rPr>
          <w:rFonts w:ascii="Arial" w:cs="Arial" w:eastAsia="Arial" w:hAnsi="Arial"/>
          <w:sz w:val="19"/>
          <w:szCs w:val="19"/>
          <w:color w:val="auto"/>
        </w:rPr>
        <w:t>Singapore Dollars, the greater of (i) SORA for the day (such day, a “</w:t>
      </w:r>
      <w:r>
        <w:rPr>
          <w:rFonts w:ascii="Arial" w:cs="Arial" w:eastAsia="Arial" w:hAnsi="Arial"/>
          <w:sz w:val="19"/>
          <w:szCs w:val="19"/>
          <w:u w:val="single" w:color="auto"/>
          <w:color w:val="auto"/>
        </w:rPr>
        <w:t>Singapore Dollar RFR Determination Day</w:t>
      </w:r>
      <w:r>
        <w:rPr>
          <w:rFonts w:ascii="Arial" w:cs="Arial" w:eastAsia="Arial" w:hAnsi="Arial"/>
          <w:sz w:val="19"/>
          <w:szCs w:val="19"/>
          <w:color w:val="auto"/>
        </w:rPr>
        <w:t xml:space="preserve">”) that is five RFR Business Days prior to (A) if such RFR Rate Day is an RFR Business Day, such RFR Rate Day or (B) if such RFR Rate Day is not an RFR Business Day, the RFR Business Day immediately preceding such RFR Rate Day, in each case, as such SORA is published by the SORA Administrator on the SORA Administrator’s Website;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by 5:00 p.m. (Singapore time) on the second RFR Business Day immediately following any Singapore Dollar RFR Determination Day, SORA in respect of such Singapore Dollar RFR Determination Day has not been published on the SORA Administrator’s Website and a Benchmark Replacement Date with respect to SORA has not occurred, then SORA for such Singapore Dollar RFR Determination Day will be SORA as published in respect of the first preceding RFR Business Day for which such SORA was published on the SORA Administrator’s Website;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SORA as determined pursuant to this proviso shall be utilized for purposes of calculation of Daily Simple RFR for no more than three consecutive RFR Rate Days and (ii) the Floor.</w:t>
      </w:r>
    </w:p>
    <w:p>
      <w:pPr>
        <w:spacing w:after="0" w:line="155" w:lineRule="exact"/>
        <w:rPr>
          <w:sz w:val="20"/>
          <w:szCs w:val="20"/>
          <w:color w:val="auto"/>
        </w:rPr>
      </w:pPr>
    </w:p>
    <w:p>
      <w:pPr>
        <w:jc w:val="both"/>
        <w:ind w:firstLine="656"/>
        <w:spacing w:after="0" w:line="224" w:lineRule="auto"/>
        <w:tabs>
          <w:tab w:leader="none" w:pos="1293" w:val="left"/>
        </w:tabs>
        <w:numPr>
          <w:ilvl w:val="0"/>
          <w:numId w:val="97"/>
        </w:numPr>
        <w:rPr>
          <w:rFonts w:ascii="Arial" w:cs="Arial" w:eastAsia="Arial" w:hAnsi="Arial"/>
          <w:sz w:val="20"/>
          <w:szCs w:val="20"/>
          <w:color w:val="auto"/>
        </w:rPr>
      </w:pPr>
      <w:r>
        <w:rPr>
          <w:rFonts w:ascii="Arial" w:cs="Arial" w:eastAsia="Arial" w:hAnsi="Arial"/>
          <w:sz w:val="20"/>
          <w:szCs w:val="20"/>
          <w:color w:val="auto"/>
        </w:rPr>
        <w:t>Sterling, the greater of (i) SONIA for the day (such day, a “</w:t>
      </w:r>
      <w:r>
        <w:rPr>
          <w:rFonts w:ascii="Arial" w:cs="Arial" w:eastAsia="Arial" w:hAnsi="Arial"/>
          <w:sz w:val="20"/>
          <w:szCs w:val="20"/>
          <w:u w:val="single" w:color="auto"/>
          <w:color w:val="auto"/>
        </w:rPr>
        <w:t>Sterling RFR Determination Day</w:t>
      </w:r>
      <w:r>
        <w:rPr>
          <w:rFonts w:ascii="Arial" w:cs="Arial" w:eastAsia="Arial" w:hAnsi="Arial"/>
          <w:sz w:val="20"/>
          <w:szCs w:val="20"/>
          <w:color w:val="auto"/>
        </w:rPr>
        <w:t xml:space="preserve">”)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by 5:00 p.m. (London time) on the second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RFR Business Day immediately following any Sterling RFR Determination Day, SONIA in respect of such Sterling RFR Determination Day has not been published on the SONIA Administrator’s Website and a Benchmark Replacement Date with respect to SONIA has not occurred, then SONIA for such Sterling RFR Determination Day will be SONIA as published in respect of the first preceding RFR Business Day for which such SONIA was published on the SONIA Administrator’s Website;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SONIA as determined pursuant to this proviso shall be utilized for purposes of calculation of Daily Simple RFR for no more than three (3) consecutive RFR Rate Days and (ii) the Floor.</w:t>
      </w:r>
    </w:p>
    <w:p>
      <w:pPr>
        <w:spacing w:after="0" w:line="16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Any change in Daily Simple RFR due to a change in the applicable RFR shall be effective from and including the effective date of such change in the RFR without notice to the Borrower.</w:t>
      </w:r>
    </w:p>
    <w:p>
      <w:pPr>
        <w:spacing w:after="0" w:line="186"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RFR Advance</w:t>
      </w:r>
      <w:r>
        <w:rPr>
          <w:rFonts w:ascii="Arial" w:cs="Arial" w:eastAsia="Arial" w:hAnsi="Arial"/>
          <w:sz w:val="22"/>
          <w:szCs w:val="22"/>
          <w:color w:val="auto"/>
        </w:rPr>
        <w:t>” means an Advance that bears interest at a rate based on Daily Simple RFR or Adjusted Daily Simple RFR other than pursuant to clause (c) of the definition of “Base Rate”.</w:t>
      </w:r>
    </w:p>
    <w:p>
      <w:pPr>
        <w:sectPr>
          <w:pgSz w:w="11900" w:h="16838" w:orient="portrait"/>
          <w:cols w:equalWidth="0" w:num="1">
            <w:col w:w="11240"/>
          </w:cols>
          <w:pgMar w:left="320" w:top="1400" w:right="339" w:bottom="1440" w:gutter="0" w:footer="0" w:header="0"/>
        </w:sectPr>
      </w:pPr>
    </w:p>
    <w:bookmarkStart w:id="149" w:name="page150"/>
    <w:bookmarkEnd w:id="149"/>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(e)subject to Section 1.03,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39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means the Bankruptcy Code, and all other laws relating to liquidation, conservatorship, bankruptcy, assignment for the benefit of creditors, moratorium, rearrangement, receivership, insolvency, reorganization, administration, deed of company arrangement, scheme of arrangement or similar debtor relief laws of the United States or other applicable jurisdictions from time to time in effect.</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of Default or any event that would constitute an Event of Default but for the requirement that notice be given or time elapse or both.</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subject to Section 2.18(b), any Lender that (a) has failed to (i) fund all or any portion of its Advances within two Business Days of the date such Advances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Business Days of the date when due, (b) has notified the Company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Laws, (ii) had appointed for it a receiver,</w:t>
      </w:r>
    </w:p>
    <w:p>
      <w:pPr>
        <w:sectPr>
          <w:pgSz w:w="11900" w:h="16838" w:orient="portrait"/>
          <w:cols w:equalWidth="0" w:num="1">
            <w:col w:w="11240"/>
          </w:cols>
          <w:pgMar w:left="320" w:top="1400" w:right="339" w:bottom="1440" w:gutter="0" w:footer="0" w:header="0"/>
        </w:sectPr>
      </w:pPr>
    </w:p>
    <w:bookmarkStart w:id="150" w:name="page151"/>
    <w:bookmarkEnd w:id="150"/>
    <w:p>
      <w:pPr>
        <w:jc w:val="both"/>
        <w:spacing w:after="0" w:line="219" w:lineRule="auto"/>
        <w:rPr>
          <w:sz w:val="20"/>
          <w:szCs w:val="20"/>
          <w:color w:val="auto"/>
        </w:rPr>
      </w:pPr>
      <w:r>
        <w:rPr>
          <w:rFonts w:ascii="Arial" w:cs="Arial" w:eastAsia="Arial" w:hAnsi="Arial"/>
          <w:sz w:val="21"/>
          <w:szCs w:val="21"/>
          <w:color w:val="auto"/>
        </w:rPr>
        <w:t xml:space="preserve">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demonstrable error, and such Lender shall be deemed to be a Defaulting Lender (subject to Section 2.18(b)) upon delivery of written notice of such determination to the Company and each Lender.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Interest</w:t>
      </w:r>
      <w:r>
        <w:rPr>
          <w:rFonts w:ascii="Arial" w:cs="Arial" w:eastAsia="Arial" w:hAnsi="Arial"/>
          <w:sz w:val="22"/>
          <w:szCs w:val="22"/>
          <w:color w:val="auto"/>
        </w:rPr>
        <w:t>” has the meaning specified in Section 2.07(b).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specified in Section 9.20(b).</w:t>
      </w:r>
    </w:p>
    <w:p>
      <w:pPr>
        <w:spacing w:after="0" w:line="20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Equivalent</w:t>
      </w:r>
      <w:r>
        <w:rPr>
          <w:rFonts w:ascii="Arial" w:cs="Arial" w:eastAsia="Arial" w:hAnsi="Arial"/>
          <w:sz w:val="21"/>
          <w:szCs w:val="21"/>
          <w:color w:val="auto"/>
        </w:rPr>
        <w:t>” means, at any time, (a) with respect to any amount denominated in US Dollars, such amount, and (b) with respect to any amount denominated in a Foreign Currency, the equivalent amount thereof in US Dollars as reasonably determined by the Administrative Agent at such time on the basis of the Spot Rate (as determined in respect of the most recent Revaluation Date) for the purchase of US Dollars with such Foreign Currency.</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organized and existing under the laws of the United States or any state thereof or under the laws of the District of Columbia.</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Downgrade</w:t>
      </w:r>
      <w:r>
        <w:rPr>
          <w:rFonts w:ascii="Arial" w:cs="Arial" w:eastAsia="Arial" w:hAnsi="Arial"/>
          <w:sz w:val="19"/>
          <w:szCs w:val="19"/>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Opt-in Effective Date</w:t>
      </w:r>
      <w:r>
        <w:rPr>
          <w:rFonts w:ascii="Arial" w:cs="Arial" w:eastAsia="Arial" w:hAnsi="Arial"/>
          <w:sz w:val="21"/>
          <w:szCs w:val="21"/>
          <w:color w:val="auto"/>
        </w:rPr>
        <w:t>” means, with respect to any Early Opt-in Election, the sixth (6</w:t>
      </w:r>
      <w:r>
        <w:rPr>
          <w:rFonts w:ascii="Arial" w:cs="Arial" w:eastAsia="Arial" w:hAnsi="Arial"/>
          <w:sz w:val="27"/>
          <w:szCs w:val="27"/>
          <w:color w:val="auto"/>
          <w:vertAlign w:val="superscript"/>
        </w:rPr>
        <w:t>th</w:t>
      </w:r>
      <w:r>
        <w:rPr>
          <w:rFonts w:ascii="Arial" w:cs="Arial" w:eastAsia="Arial" w:hAnsi="Arial"/>
          <w:sz w:val="21"/>
          <w:szCs w:val="21"/>
          <w:color w:val="auto"/>
        </w:rPr>
        <w:t>) Business Day after the date notice of such Early Opt-in Election is provided to the Lenders, so long as the Administrative Agent has not received, by 5:00 p.m. on the fifth Business Day after the date notice of such Early Opt-in Election is provided to the Lenders, written notice of objection to such Early Opt-in Election from Lenders comprising the Required Lenders.</w:t>
      </w:r>
    </w:p>
    <w:p>
      <w:pPr>
        <w:spacing w:after="0" w:line="16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Opt-in Election</w:t>
      </w:r>
      <w:r>
        <w:rPr>
          <w:rFonts w:ascii="Arial" w:cs="Arial" w:eastAsia="Arial" w:hAnsi="Arial"/>
          <w:sz w:val="21"/>
          <w:szCs w:val="21"/>
          <w:color w:val="auto"/>
        </w:rPr>
        <w:t>” means the occurrence of: (a) a notification by the Administrative Agent to (or the request by the Company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 (b) the joint election by the Administrative Agent and the Company to trigger a fallback from the Adjusted Eurocurrency Rate for US Dollars and the provision by the Administrative Agent of written notice of such election to the Lenders.</w:t>
      </w:r>
    </w:p>
    <w:p>
      <w:pPr>
        <w:spacing w:after="0" w:line="16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ectPr>
          <w:pgSz w:w="11900" w:h="16838" w:orient="portrait"/>
          <w:cols w:equalWidth="0" w:num="1">
            <w:col w:w="11240"/>
          </w:cols>
          <w:pgMar w:left="320" w:top="1400" w:right="3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1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specified in Section 3.01.</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 a Lender and any Affiliate of a Lender organized in the United States; (b) a commercial bank organized under the laws of the United States, or any State thereof, and having total assets in excess of $5,000,000,000; (c) a savings and loan association or savings bank organized under the laws of the United States, or any State thereof, and having total assets in excess of $5,000,000,000; (d)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(d); (e) the central bank of any country that is a member of the Organization for Economic Cooperation and Development; and (f) any other Person approved by the Administrative Agent and the Company, on behalf of the Borrowers, such approval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Borrower nor an Affiliate of any Borrower nor any natural person shall qualify as an Eligible Assignee.</w:t>
      </w:r>
    </w:p>
    <w:p>
      <w:pPr>
        <w:spacing w:after="0" w:line="3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EMU</w:t>
      </w:r>
      <w:r>
        <w:rPr>
          <w:rFonts w:ascii="Arial" w:cs="Arial" w:eastAsia="Arial" w:hAnsi="Arial"/>
          <w:sz w:val="22"/>
          <w:szCs w:val="22"/>
          <w:color w:val="auto"/>
        </w:rPr>
        <w:t>” means the economic and monetary union as contemplated in the Treaty on European Union (Official Journal C 191, July 29, 1992).</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EMU Legislation</w:t>
      </w:r>
      <w:r>
        <w:rPr>
          <w:rFonts w:ascii="Arial" w:cs="Arial" w:eastAsia="Arial" w:hAnsi="Arial"/>
          <w:sz w:val="22"/>
          <w:szCs w:val="22"/>
          <w:color w:val="auto"/>
        </w:rPr>
        <w:t>” means legislative measures of the European Council (including, without limitation, European Council regulations) for the introduction of, changeover to or operation of a single or unified European currency (whether known as the Euro or otherwise), being in part the implementation of the third stage of EMU.</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Engagement Letter</w:t>
      </w:r>
      <w:r>
        <w:rPr>
          <w:rFonts w:ascii="Arial" w:cs="Arial" w:eastAsia="Arial" w:hAnsi="Arial"/>
          <w:sz w:val="22"/>
          <w:szCs w:val="22"/>
          <w:color w:val="auto"/>
        </w:rPr>
        <w:t>” means that certain Engagement Letter, dated as of May 7, 2018, by and among the Company, on behalf of the Borrowers, Wells Fargo Securities, LLC and JPMorgan Chase Bank, N.A..</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Action</w:t>
      </w:r>
      <w:r>
        <w:rPr>
          <w:rFonts w:ascii="Arial" w:cs="Arial" w:eastAsia="Arial" w:hAnsi="Arial"/>
          <w:sz w:val="19"/>
          <w:szCs w:val="19"/>
          <w:color w:val="auto"/>
        </w:rPr>
        <w:t>”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applicable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ectPr>
          <w:pgSz w:w="11900" w:h="16838" w:orient="portrait"/>
          <w:cols w:equalWidth="0" w:num="1">
            <w:col w:w="11240"/>
          </w:cols>
          <w:pgMar w:left="320" w:top="1400" w:right="339" w:bottom="1440" w:gutter="0" w:footer="0" w:header="0"/>
        </w:sectPr>
      </w:pPr>
    </w:p>
    <w:bookmarkStart w:id="152" w:name="page153"/>
    <w:bookmarkEnd w:id="152"/>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and all warrants, rights or options entitling the holder thereof to purchase any of the foregoing.</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regulations promulgated and rulings issued thereunder.</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any Person that for purposes of Title IV of ERISA is a member of any Borrower’s controlled group, or under common control with any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5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any Borrower or any ERISA Affiliate in the circumstances described in Section 4062(e) of ERISA; (e) the withdrawal by any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has the meaning assigned to such term in Section 7.11(a).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Deficiency Assignment</w:t>
      </w:r>
      <w:r>
        <w:rPr>
          <w:rFonts w:ascii="Arial" w:cs="Arial" w:eastAsia="Arial" w:hAnsi="Arial"/>
          <w:sz w:val="22"/>
          <w:szCs w:val="22"/>
          <w:color w:val="auto"/>
        </w:rPr>
        <w:t>” has the meaning assigned to such term in Section 7.11(d).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Impacted Class</w:t>
      </w:r>
      <w:r>
        <w:rPr>
          <w:rFonts w:ascii="Arial" w:cs="Arial" w:eastAsia="Arial" w:hAnsi="Arial"/>
          <w:sz w:val="22"/>
          <w:szCs w:val="22"/>
          <w:color w:val="auto"/>
        </w:rPr>
        <w:t>” has the meaning assigned to such term in Section 7.11(d).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has the meaning assigned to such term in Section 7.11(d).</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thereto), as in effect from time to time.</w:t>
      </w:r>
    </w:p>
    <w:p>
      <w:pPr>
        <w:sectPr>
          <w:pgSz w:w="11900" w:h="16838" w:orient="portrait"/>
          <w:cols w:equalWidth="0" w:num="1">
            <w:col w:w="11240"/>
          </w:cols>
          <w:pgMar w:left="320" w:top="1401"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means the single currency of Participating Member States of the European Union.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 Unit</w:t>
      </w:r>
      <w:r>
        <w:rPr>
          <w:rFonts w:ascii="Arial" w:cs="Arial" w:eastAsia="Arial" w:hAnsi="Arial"/>
          <w:sz w:val="22"/>
          <w:szCs w:val="22"/>
          <w:color w:val="auto"/>
        </w:rPr>
        <w:t>” means the currency unit of the Euro.</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Banking Day</w:t>
      </w:r>
      <w:r>
        <w:rPr>
          <w:rFonts w:ascii="Arial" w:cs="Arial" w:eastAsia="Arial" w:hAnsi="Arial"/>
          <w:sz w:val="19"/>
          <w:szCs w:val="19"/>
          <w:color w:val="auto"/>
        </w:rPr>
        <w:t xml:space="preserve">” means (i) for Borrower Obligations, interest, fees, commissions or other amounts denominated in, or calculated with respect to, US Dollars, a London Banking Day, (ii) for Borrower Obligations, interest, fees, commissions or other amounts denominated in, or calculated with respect to, Euros, a TARGET Day; (iii) for Borrower Obligations, interest, fees, commissions or other amounts denominated in, or calculated with respect to, Canadian Dollars, any day (other than a Saturday or Sunday) on which banks are open for business in Toronto and (iv) for Borrower Obligations, interest, fees, commissions or other amounts denominated in, or calculated with respect to, Australian Dollars, any day (other than a Saturday or Sunday) on which banks are open for business in Melbourne;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notice requirements in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 in each case, such day is also a Business Day.</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Liabilities</w:t>
      </w:r>
      <w:r>
        <w:rPr>
          <w:rFonts w:ascii="Arial" w:cs="Arial" w:eastAsia="Arial" w:hAnsi="Arial"/>
          <w:sz w:val="22"/>
          <w:szCs w:val="22"/>
          <w:color w:val="auto"/>
        </w:rPr>
        <w:t>” has the meaning assigned to that term in Regulation D of the Board of Governors of the Federal Reserve System, as in effect from time to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w:t>
      </w:r>
      <w:r>
        <w:rPr>
          <w:rFonts w:ascii="Arial" w:cs="Arial" w:eastAsia="Arial" w:hAnsi="Arial"/>
          <w:sz w:val="22"/>
          <w:szCs w:val="22"/>
          <w:color w:val="auto"/>
        </w:rPr>
        <w:t>” means,</w:t>
      </w:r>
    </w:p>
    <w:p>
      <w:pPr>
        <w:spacing w:after="0" w:line="179" w:lineRule="exact"/>
        <w:rPr>
          <w:sz w:val="20"/>
          <w:szCs w:val="20"/>
          <w:color w:val="auto"/>
        </w:rPr>
      </w:pPr>
    </w:p>
    <w:p>
      <w:pPr>
        <w:ind w:left="1120" w:hanging="464"/>
        <w:spacing w:after="0"/>
        <w:tabs>
          <w:tab w:leader="none" w:pos="11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for any Eurocurrency Rate Advance for any Interest Period:</w:t>
      </w:r>
    </w:p>
    <w:p>
      <w:pPr>
        <w:spacing w:after="0" w:line="179" w:lineRule="exact"/>
        <w:rPr>
          <w:rFonts w:ascii="Arial" w:cs="Arial" w:eastAsia="Arial" w:hAnsi="Arial"/>
          <w:sz w:val="22"/>
          <w:szCs w:val="22"/>
          <w:color w:val="auto"/>
        </w:rPr>
      </w:pPr>
    </w:p>
    <w:p>
      <w:pPr>
        <w:jc w:val="both"/>
        <w:ind w:left="660" w:firstLine="644"/>
        <w:spacing w:after="0" w:line="216" w:lineRule="auto"/>
        <w:tabs>
          <w:tab w:leader="none" w:pos="1782" w:val="left"/>
        </w:tabs>
        <w:numPr>
          <w:ilvl w:val="1"/>
          <w:numId w:val="98"/>
        </w:numPr>
        <w:rPr>
          <w:rFonts w:ascii="Arial" w:cs="Arial" w:eastAsia="Arial" w:hAnsi="Arial"/>
          <w:sz w:val="22"/>
          <w:szCs w:val="22"/>
          <w:color w:val="auto"/>
        </w:rPr>
      </w:pPr>
      <w:r>
        <w:rPr>
          <w:rFonts w:ascii="Arial" w:cs="Arial" w:eastAsia="Arial" w:hAnsi="Arial"/>
          <w:sz w:val="22"/>
          <w:szCs w:val="22"/>
          <w:color w:val="auto"/>
        </w:rPr>
        <w:t>denominated in US Dollars, the greater of (A) the rate of interest per annum equal to the London interbank offered rate for deposits in US Dollars (“</w:t>
      </w:r>
      <w:r>
        <w:rPr>
          <w:rFonts w:ascii="Arial" w:cs="Arial" w:eastAsia="Arial" w:hAnsi="Arial"/>
          <w:sz w:val="22"/>
          <w:szCs w:val="22"/>
          <w:u w:val="single" w:color="auto"/>
          <w:color w:val="auto"/>
        </w:rPr>
        <w:t>USD LIBOR</w:t>
      </w:r>
      <w:r>
        <w:rPr>
          <w:rFonts w:ascii="Arial" w:cs="Arial" w:eastAsia="Arial" w:hAnsi="Arial"/>
          <w:sz w:val="22"/>
          <w:szCs w:val="22"/>
          <w:color w:val="auto"/>
        </w:rPr>
        <w:t>”) as administered by the IBA, or a comparable or successor administrator approved by the Administrative Agent, for a period comparable to the applicable Interest Period (in each case, the “</w:t>
      </w:r>
      <w:r>
        <w:rPr>
          <w:rFonts w:ascii="Arial" w:cs="Arial" w:eastAsia="Arial" w:hAnsi="Arial"/>
          <w:sz w:val="22"/>
          <w:szCs w:val="22"/>
          <w:u w:val="single" w:color="auto"/>
          <w:color w:val="auto"/>
        </w:rPr>
        <w:t>USD LIBOR Rate</w:t>
      </w:r>
      <w:r>
        <w:rPr>
          <w:rFonts w:ascii="Arial" w:cs="Arial" w:eastAsia="Arial" w:hAnsi="Arial"/>
          <w:sz w:val="22"/>
          <w:szCs w:val="22"/>
          <w:color w:val="auto"/>
        </w:rPr>
        <w:t>”), at approximately 11:00 a.m. (London time) on the applicable Rate Determination Date; and (B) the Floor;</w:t>
      </w:r>
    </w:p>
    <w:p>
      <w:pPr>
        <w:spacing w:after="0" w:line="157" w:lineRule="exact"/>
        <w:rPr>
          <w:rFonts w:ascii="Arial" w:cs="Arial" w:eastAsia="Arial" w:hAnsi="Arial"/>
          <w:sz w:val="22"/>
          <w:szCs w:val="22"/>
          <w:color w:val="auto"/>
        </w:rPr>
      </w:pPr>
    </w:p>
    <w:p>
      <w:pPr>
        <w:jc w:val="both"/>
        <w:ind w:left="660" w:firstLine="644"/>
        <w:spacing w:after="0" w:line="242" w:lineRule="auto"/>
        <w:tabs>
          <w:tab w:leader="none" w:pos="1827" w:val="left"/>
        </w:tabs>
        <w:numPr>
          <w:ilvl w:val="1"/>
          <w:numId w:val="98"/>
        </w:numPr>
        <w:rPr>
          <w:rFonts w:ascii="Arial" w:cs="Arial" w:eastAsia="Arial" w:hAnsi="Arial"/>
          <w:sz w:val="19"/>
          <w:szCs w:val="19"/>
          <w:color w:val="auto"/>
        </w:rPr>
      </w:pPr>
      <w:r>
        <w:rPr>
          <w:rFonts w:ascii="Arial" w:cs="Arial" w:eastAsia="Arial" w:hAnsi="Arial"/>
          <w:sz w:val="19"/>
          <w:szCs w:val="19"/>
          <w:color w:val="auto"/>
        </w:rPr>
        <w:t>denominated in Euros, the greater of (A) the rate of interest per annum equal to the Euro Interbank Offered Rate (“EURIBOR”) as administered by the European Money Markets Institute, or a comparable or successor administrator approved by the Administrative Agent, for a period comparable to the applicable Interest Period (in each case, the “EURIBOR Rate”), at approximately 11:00 a.m. (Brussels time) on the applicable Rate Determination Date and</w:t>
      </w:r>
    </w:p>
    <w:p>
      <w:pPr>
        <w:ind w:left="660"/>
        <w:spacing w:after="0"/>
        <w:rPr>
          <w:rFonts w:ascii="Arial" w:cs="Arial" w:eastAsia="Arial" w:hAnsi="Arial"/>
          <w:sz w:val="19"/>
          <w:szCs w:val="19"/>
          <w:color w:val="auto"/>
        </w:rPr>
      </w:pPr>
      <w:r>
        <w:rPr>
          <w:rFonts w:ascii="Arial" w:cs="Arial" w:eastAsia="Arial" w:hAnsi="Arial"/>
          <w:sz w:val="22"/>
          <w:szCs w:val="22"/>
          <w:color w:val="auto"/>
        </w:rPr>
        <w:t>(B) the Floor;</w:t>
      </w:r>
    </w:p>
    <w:p>
      <w:pPr>
        <w:spacing w:after="0" w:line="161" w:lineRule="exact"/>
        <w:rPr>
          <w:rFonts w:ascii="Arial" w:cs="Arial" w:eastAsia="Arial" w:hAnsi="Arial"/>
          <w:sz w:val="19"/>
          <w:szCs w:val="19"/>
          <w:color w:val="auto"/>
        </w:rPr>
      </w:pPr>
    </w:p>
    <w:p>
      <w:pPr>
        <w:jc w:val="both"/>
        <w:ind w:left="660" w:firstLine="644"/>
        <w:spacing w:after="0" w:line="252" w:lineRule="auto"/>
        <w:tabs>
          <w:tab w:leader="none" w:pos="1877" w:val="left"/>
        </w:tabs>
        <w:numPr>
          <w:ilvl w:val="1"/>
          <w:numId w:val="98"/>
        </w:numPr>
        <w:rPr>
          <w:rFonts w:ascii="Arial" w:cs="Arial" w:eastAsia="Arial" w:hAnsi="Arial"/>
          <w:sz w:val="19"/>
          <w:szCs w:val="19"/>
          <w:color w:val="auto"/>
        </w:rPr>
      </w:pPr>
      <w:r>
        <w:rPr>
          <w:rFonts w:ascii="Arial" w:cs="Arial" w:eastAsia="Arial" w:hAnsi="Arial"/>
          <w:sz w:val="19"/>
          <w:szCs w:val="19"/>
          <w:color w:val="auto"/>
        </w:rPr>
        <w:t>denominated in Canadian Dollars, the greater of (A) the rate per annum equal to the rate determined by the Administrative Agent on the basis of the rate applicable to Canadian Dollar bankers’ acceptances (“</w:t>
      </w:r>
      <w:r>
        <w:rPr>
          <w:rFonts w:ascii="Arial" w:cs="Arial" w:eastAsia="Arial" w:hAnsi="Arial"/>
          <w:sz w:val="19"/>
          <w:szCs w:val="19"/>
          <w:u w:val="single" w:color="auto"/>
          <w:color w:val="auto"/>
        </w:rPr>
        <w:t>CDOR</w:t>
      </w:r>
      <w:r>
        <w:rPr>
          <w:rFonts w:ascii="Arial" w:cs="Arial" w:eastAsia="Arial" w:hAnsi="Arial"/>
          <w:sz w:val="19"/>
          <w:szCs w:val="19"/>
          <w:color w:val="auto"/>
        </w:rPr>
        <w:t>”) as administered by Refinitiv Benchmarks Services (UK) Limited, or a comparable or successor administrator approved by the Administrative Agent, for a period comparable to the applicable Interest Period (in each case, the “</w:t>
      </w:r>
      <w:r>
        <w:rPr>
          <w:rFonts w:ascii="Arial" w:cs="Arial" w:eastAsia="Arial" w:hAnsi="Arial"/>
          <w:sz w:val="19"/>
          <w:szCs w:val="19"/>
          <w:u w:val="single" w:color="auto"/>
          <w:color w:val="auto"/>
        </w:rPr>
        <w:t>CDOR Rate</w:t>
      </w:r>
      <w:r>
        <w:rPr>
          <w:rFonts w:ascii="Arial" w:cs="Arial" w:eastAsia="Arial" w:hAnsi="Arial"/>
          <w:sz w:val="19"/>
          <w:szCs w:val="19"/>
          <w:color w:val="auto"/>
        </w:rPr>
        <w:t>”), at approximately 10:00 a.m. (Toronto time) on the applicable Rate Determination Date and (B) the Floor;</w:t>
      </w:r>
    </w:p>
    <w:p>
      <w:pPr>
        <w:spacing w:after="0" w:line="148" w:lineRule="exact"/>
        <w:rPr>
          <w:rFonts w:ascii="Arial" w:cs="Arial" w:eastAsia="Arial" w:hAnsi="Arial"/>
          <w:sz w:val="19"/>
          <w:szCs w:val="19"/>
          <w:color w:val="auto"/>
        </w:rPr>
      </w:pPr>
    </w:p>
    <w:p>
      <w:pPr>
        <w:jc w:val="both"/>
        <w:ind w:left="660" w:firstLine="644"/>
        <w:spacing w:after="0" w:line="226" w:lineRule="auto"/>
        <w:tabs>
          <w:tab w:leader="none" w:pos="1962" w:val="left"/>
        </w:tabs>
        <w:numPr>
          <w:ilvl w:val="1"/>
          <w:numId w:val="98"/>
        </w:numPr>
        <w:rPr>
          <w:rFonts w:ascii="Arial" w:cs="Arial" w:eastAsia="Arial" w:hAnsi="Arial"/>
          <w:sz w:val="21"/>
          <w:szCs w:val="21"/>
          <w:color w:val="auto"/>
        </w:rPr>
      </w:pPr>
      <w:r>
        <w:rPr>
          <w:rFonts w:ascii="Arial" w:cs="Arial" w:eastAsia="Arial" w:hAnsi="Arial"/>
          <w:sz w:val="21"/>
          <w:szCs w:val="21"/>
          <w:color w:val="auto"/>
        </w:rPr>
        <w:t>denominated in Australian Dollars, the greater of (A) the rate per annum equal to the Bank Bill Swap Reference Bid Rate (“</w:t>
      </w:r>
      <w:r>
        <w:rPr>
          <w:rFonts w:ascii="Arial" w:cs="Arial" w:eastAsia="Arial" w:hAnsi="Arial"/>
          <w:sz w:val="21"/>
          <w:szCs w:val="21"/>
          <w:u w:val="single" w:color="auto"/>
          <w:color w:val="auto"/>
        </w:rPr>
        <w:t>BBSY</w:t>
      </w:r>
      <w:r>
        <w:rPr>
          <w:rFonts w:ascii="Arial" w:cs="Arial" w:eastAsia="Arial" w:hAnsi="Arial"/>
          <w:sz w:val="21"/>
          <w:szCs w:val="21"/>
          <w:color w:val="auto"/>
        </w:rPr>
        <w:t>”) as published on the applicable Reuters screen page (or such other commercially available source providing such quotations as may be designated by the Administrative Agent from time to time), for a period comparable to the applicable Interest Period (in each case, the “</w:t>
      </w:r>
      <w:r>
        <w:rPr>
          <w:rFonts w:ascii="Arial" w:cs="Arial" w:eastAsia="Arial" w:hAnsi="Arial"/>
          <w:sz w:val="21"/>
          <w:szCs w:val="21"/>
          <w:u w:val="single" w:color="auto"/>
          <w:color w:val="auto"/>
        </w:rPr>
        <w:t>BBSY Rate</w:t>
      </w:r>
      <w:r>
        <w:rPr>
          <w:rFonts w:ascii="Arial" w:cs="Arial" w:eastAsia="Arial" w:hAnsi="Arial"/>
          <w:sz w:val="21"/>
          <w:szCs w:val="21"/>
          <w:color w:val="auto"/>
        </w:rPr>
        <w:t>”), at approximately 10:30 a.m. (Melbourne time) on the applicable Rate Determination Date and (B) the Floor; and</w:t>
      </w:r>
    </w:p>
    <w:p>
      <w:pPr>
        <w:sectPr>
          <w:pgSz w:w="11900" w:h="16838" w:orient="portrait"/>
          <w:cols w:equalWidth="0" w:num="1">
            <w:col w:w="11240"/>
          </w:cols>
          <w:pgMar w:left="320" w:top="1401" w:right="339" w:bottom="1440" w:gutter="0" w:footer="0" w:header="0"/>
        </w:sectPr>
      </w:pPr>
    </w:p>
    <w:bookmarkStart w:id="154" w:name="page155"/>
    <w:bookmarkEnd w:id="154"/>
    <w:p>
      <w:pPr>
        <w:jc w:val="both"/>
        <w:ind w:left="660" w:firstLine="644"/>
        <w:spacing w:after="0" w:line="249" w:lineRule="auto"/>
        <w:tabs>
          <w:tab w:leader="none" w:pos="1958" w:val="left"/>
        </w:tabs>
        <w:numPr>
          <w:ilvl w:val="1"/>
          <w:numId w:val="99"/>
        </w:numPr>
        <w:rPr>
          <w:rFonts w:ascii="Arial" w:cs="Arial" w:eastAsia="Arial" w:hAnsi="Arial"/>
          <w:sz w:val="19"/>
          <w:szCs w:val="19"/>
          <w:color w:val="auto"/>
        </w:rPr>
      </w:pPr>
      <w:r>
        <w:rPr>
          <w:rFonts w:ascii="Arial" w:cs="Arial" w:eastAsia="Arial" w:hAnsi="Arial"/>
          <w:sz w:val="19"/>
          <w:szCs w:val="19"/>
          <w:color w:val="auto"/>
        </w:rPr>
        <w:t>denominated in any other Currency (other than a Currency referenced in clauses (i) through (iv) above, Sterling or Singapore Dollars) approved by all Lenders, the applicable floating interest rate quotation as published by Reuters (or other commercially available source providing such interest rate quotations as designated by the Administrative Agent from time to time) at a quotation time and date specified in writing and approved by all Lenders, for deposits in the relevant currency with a term equivalent to such Interest Period, or the rate otherwise designated with respect to such Currency at the time such currency is approved by the Administrative Agent and the Lenders.</w:t>
      </w:r>
    </w:p>
    <w:p>
      <w:pPr>
        <w:spacing w:after="0" w:line="151" w:lineRule="exact"/>
        <w:rPr>
          <w:rFonts w:ascii="Arial" w:cs="Arial" w:eastAsia="Arial" w:hAnsi="Arial"/>
          <w:sz w:val="19"/>
          <w:szCs w:val="19"/>
          <w:color w:val="auto"/>
        </w:rPr>
      </w:pPr>
    </w:p>
    <w:p>
      <w:pPr>
        <w:jc w:val="both"/>
        <w:ind w:firstLine="656"/>
        <w:spacing w:after="0" w:line="218" w:lineRule="auto"/>
        <w:tabs>
          <w:tab w:leader="none" w:pos="1291" w:val="left"/>
        </w:tabs>
        <w:numPr>
          <w:ilvl w:val="0"/>
          <w:numId w:val="100"/>
        </w:numPr>
        <w:rPr>
          <w:rFonts w:ascii="Arial" w:cs="Arial" w:eastAsia="Arial" w:hAnsi="Arial"/>
          <w:sz w:val="22"/>
          <w:szCs w:val="22"/>
          <w:color w:val="1F3763"/>
        </w:rPr>
      </w:pPr>
      <w:r>
        <w:rPr>
          <w:rFonts w:ascii="Arial" w:cs="Arial" w:eastAsia="Arial" w:hAnsi="Arial"/>
          <w:sz w:val="22"/>
          <w:szCs w:val="22"/>
          <w:color w:val="auto"/>
        </w:rPr>
        <w:t>for any rate calculation with respect to a Base Rate Loan on any date, the rate of interest per annum equal to USD LIBOR as administered by the IBA, or a comparable or successor administrator approved by the Administrative Agent, for a period comparable to one month, at approximately 11:00 a.m. (London time) two (2) Eurocurrency Banking Days prior to the date of such calculation.</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 Advance</w:t>
      </w:r>
      <w:r>
        <w:rPr>
          <w:rFonts w:ascii="Arial" w:cs="Arial" w:eastAsia="Arial" w:hAnsi="Arial"/>
          <w:sz w:val="22"/>
          <w:szCs w:val="22"/>
          <w:color w:val="auto"/>
        </w:rPr>
        <w:t>” means any Advance bearing interest at a rate based on the Adjusted Eurocurrency Rate other than pursuant to clause (c) of the definition of “Base Rate”.</w:t>
      </w:r>
    </w:p>
    <w:p>
      <w:pPr>
        <w:spacing w:after="0" w:line="15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Reserve Percentage</w:t>
      </w:r>
      <w:r>
        <w:rPr>
          <w:rFonts w:ascii="Arial" w:cs="Arial" w:eastAsia="Arial" w:hAnsi="Arial"/>
          <w:sz w:val="22"/>
          <w:szCs w:val="22"/>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Advances. The Adjusted Eurocurrency Rate for each outstanding Advance shall be adjusted automatically as of the effective date of any change in the Eurocurrency Reserve Percentage.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Events of Default</w:t>
      </w:r>
      <w:r>
        <w:rPr>
          <w:rFonts w:ascii="Arial" w:cs="Arial" w:eastAsia="Arial" w:hAnsi="Arial"/>
          <w:sz w:val="22"/>
          <w:szCs w:val="22"/>
          <w:color w:val="auto"/>
        </w:rPr>
        <w:t>” has the meaning specified in Section 6.01.</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and, with respect to any applicable Foreign Borrower, withholding Taxes of the United Kingdom, Canada, Australia, Singapore or any other foreign jurisdiction under the laws of which such Foreign Borrower is organized,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Company under Section 2.19(b)) or (ii) such Lender changes its lending office, except in each case to the extent that, pursuant to Section 2.14, amounts with respect to such Taxes were payable either to such Lender’s assignor immediately before such Lender acquired the applicable interest in such Advance or Commitment or to such Lender immediately before it changed its lending office, (c) Taxes attributable to such Recipient’s failure to comply with Section 2.14(e),</w:t>
      </w:r>
    </w:p>
    <w:p>
      <w:pPr>
        <w:spacing w:after="0" w:line="9" w:lineRule="exact"/>
        <w:rPr>
          <w:sz w:val="20"/>
          <w:szCs w:val="20"/>
          <w:color w:val="auto"/>
        </w:rPr>
      </w:pPr>
    </w:p>
    <w:p>
      <w:pPr>
        <w:jc w:val="both"/>
        <w:ind w:firstLine="8"/>
        <w:spacing w:after="0" w:line="222" w:lineRule="auto"/>
        <w:tabs>
          <w:tab w:leader="none" w:pos="319"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any Lender is found as the result of a determination (as defined in Section 1313(a) of the Internal Revenue Code) to be a conduit entity participating in a conduit financing arrangement as defined in Treasury Regulations promulgated under Section 7701(l) of the Internal Revenue Code, the excess of the United States Taxes imposed with respect to such Lender over the amount of United States Taxes that would have been imposed with respect to such Lender if such determination had not been made with respect to such Lender and (e) any withholding Taxes imposed under FATCA.</w:t>
      </w:r>
    </w:p>
    <w:p>
      <w:pPr>
        <w:sectPr>
          <w:pgSz w:w="11900" w:h="16838" w:orient="portrait"/>
          <w:cols w:equalWidth="0" w:num="1">
            <w:col w:w="11240"/>
          </w:cols>
          <w:pgMar w:left="320" w:top="1401" w:right="339" w:bottom="1440" w:gutter="0" w:footer="0" w:header="0"/>
        </w:sectPr>
      </w:pPr>
    </w:p>
    <w:bookmarkStart w:id="155" w:name="page156"/>
    <w:bookmarkEnd w:id="15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means this Agreement as in effect immediately prior to the Effective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Date</w:t>
      </w:r>
      <w:r>
        <w:rPr>
          <w:rFonts w:ascii="Arial" w:cs="Arial" w:eastAsia="Arial" w:hAnsi="Arial"/>
          <w:sz w:val="22"/>
          <w:szCs w:val="22"/>
          <w:color w:val="auto"/>
        </w:rPr>
        <w:t>” has the meaning specified in Section 2.17(b).</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Internal Revenue Code, as of the date of this Agreement (including any amended or successor provisions thereto to the extent substantially comparable thereto), any current or future regulations or official interpretations thereof, any agreements entered into pursuant to Section 1471(b)(1) of the Internal Revenue Code (or any amended or successor provisions as described above), and any fiscal or regulatory legislation, rules or practices adopted pursuant to any intergovernmental agreement, treaty or convention among Governmental Authorities entered into in connection with the implementation of the foregoing.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FCA</w:t>
      </w:r>
      <w:r>
        <w:rPr>
          <w:rFonts w:ascii="Arial" w:cs="Arial" w:eastAsia="Arial" w:hAnsi="Arial"/>
          <w:sz w:val="22"/>
          <w:szCs w:val="22"/>
          <w:color w:val="auto"/>
        </w:rPr>
        <w:t>” means the Financial Conduct Authority, the regulatory supervisor of “</w:t>
      </w:r>
      <w:r>
        <w:rPr>
          <w:rFonts w:ascii="Arial" w:cs="Arial" w:eastAsia="Arial" w:hAnsi="Arial"/>
          <w:sz w:val="22"/>
          <w:szCs w:val="22"/>
          <w:u w:val="single" w:color="auto"/>
          <w:color w:val="auto"/>
        </w:rPr>
        <w:t>IBA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means the Foreign Corrupt Practices Act, 15 U.S.C. §§ 78dd-1, et seq., as of the date of this Agreement (including any amended or successor provisions thereto to the extent substantially comparable thereto) and any current or future regulations or official interpretations thereof.</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Rate</w:t>
      </w:r>
      <w:r>
        <w:rPr>
          <w:rFonts w:ascii="Arial" w:cs="Arial" w:eastAsia="Arial" w:hAnsi="Arial"/>
          <w:sz w:val="21"/>
          <w:szCs w:val="21"/>
          <w:color w:val="auto"/>
        </w:rPr>
        <w:t>” means, for any day, an interest rate per annum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Administrative Agent from three Federal funds brokers of recognized standing selected by it with the consent of the Company, on behalf of the Borrowers.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shall mean November 23, 2021.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a rate of interest equal to 0%.</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Borrower Obligations</w:t>
      </w:r>
      <w:r>
        <w:rPr>
          <w:rFonts w:ascii="Arial" w:cs="Arial" w:eastAsia="Arial" w:hAnsi="Arial"/>
          <w:sz w:val="22"/>
          <w:szCs w:val="22"/>
          <w:color w:val="auto"/>
        </w:rPr>
        <w:t>” means the obligations of each Foreign Borrower hereunder and under the other Loan Documents.</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Borrowers</w:t>
      </w:r>
      <w:r>
        <w:rPr>
          <w:rFonts w:ascii="Arial" w:cs="Arial" w:eastAsia="Arial" w:hAnsi="Arial"/>
          <w:sz w:val="22"/>
          <w:szCs w:val="22"/>
          <w:color w:val="auto"/>
        </w:rPr>
        <w:t xml:space="preserve">” means any Subsidiary of the Company organized under the laws of England, Wales, Scotland, Northern Ireland, Canada, Australia, Singapore or any other foreign jurisdiction as approved by each of the Lenders that is joined as a Foreign Borrower pursuant to Section 5.01(j)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election of the Company, any Foreign Borrower may be removed as a Foreign Borrower so long as on the date of such removal, such Foreign Borrower has no outstanding Advances.</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 Euros, (b) Sterling, (c) Canadian Dollars, (d) Australian Dollars, (e) Singapore Dollars and (f) such other currencies approved by each of the Lenders.</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Currency Equivalent</w:t>
      </w:r>
      <w:r>
        <w:rPr>
          <w:rFonts w:ascii="Arial" w:cs="Arial" w:eastAsia="Arial" w:hAnsi="Arial"/>
          <w:sz w:val="19"/>
          <w:szCs w:val="19"/>
          <w:color w:val="auto"/>
        </w:rPr>
        <w:t>” means, at any time, with respect to any amount denominated in US Dollars, the equivalent amount thereof in a Foreign Currency as reasonably determined by the Administrative Agent at such time on the basis of the Spot Rate (determined in respect of the most recent Revaluation Date) for the purchase of such Foreign Currency with US Dollars.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has the meaning specified in Section 2.14(e)(i).</w:t>
      </w:r>
    </w:p>
    <w:p>
      <w:pPr>
        <w:sectPr>
          <w:pgSz w:w="11900" w:h="16838" w:orient="portrait"/>
          <w:cols w:equalWidth="0" w:num="1">
            <w:col w:w="11240"/>
          </w:cols>
          <w:pgMar w:left="320" w:top="1401"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w:t>
      </w:r>
      <w:r>
        <w:rPr>
          <w:rFonts w:ascii="Arial" w:cs="Arial" w:eastAsia="Arial" w:hAnsi="Arial"/>
          <w:sz w:val="21"/>
          <w:szCs w:val="21"/>
          <w:color w:val="auto"/>
        </w:rPr>
        <w:t>” means any direct or indirect Subsidiary of the Company that is not a Domestic Subsidiary.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FRB</w:t>
      </w:r>
      <w:r>
        <w:rPr>
          <w:rFonts w:ascii="Arial" w:cs="Arial" w:eastAsia="Arial" w:hAnsi="Arial"/>
          <w:sz w:val="22"/>
          <w:szCs w:val="22"/>
          <w:color w:val="auto"/>
        </w:rPr>
        <w:t>” means the Board of Governors of the Federal Reserve System of the United States.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has the meaning specified in Section 1.03.</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Graham Interests</w:t>
      </w:r>
      <w:r>
        <w:rPr>
          <w:rFonts w:ascii="Arial" w:cs="Arial" w:eastAsia="Arial" w:hAnsi="Arial"/>
          <w:sz w:val="21"/>
          <w:szCs w:val="21"/>
          <w:color w:val="auto"/>
        </w:rPr>
        <w:t>” means Donald E. Graham and his siblings, their descendants and any relative by marriage of the foregoing, and any trust for the benefit of any of the foregoing whether as an income or residual beneficiary.</w:t>
      </w:r>
    </w:p>
    <w:p>
      <w:pPr>
        <w:spacing w:after="0" w:line="15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Debt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Debt or to purchase (or to advance or supply funds for the purchase of) any security for the payment thereof, (b) to purchase or lease property, securities or services for the purpose of assuring the owner of such Debt of the payment thereof, (c) to maintain working capital, equity capital or any other financial statement condition or liquidity of the primary obligor so as to enable the primary obligor to pay such Debt or (d) as an account party in respect of any letter of credit or letter of guaranty issued to support such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w:t>
      </w:r>
    </w:p>
    <w:p>
      <w:pPr>
        <w:spacing w:after="0" w:line="16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means the entities listed on Schedule III attached hereto and each Material Domestic Subsidiary (other than any Subsidiary of a Foreign Subsidiary or any CFC Holdco) as is, or may from time to time become, party to this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means the guaranty of the Guarantors set forth in Article VIII.</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IBA</w:t>
      </w:r>
      <w:r>
        <w:rPr>
          <w:rFonts w:ascii="Arial" w:cs="Arial" w:eastAsia="Arial" w:hAnsi="Arial"/>
          <w:sz w:val="22"/>
          <w:szCs w:val="22"/>
          <w:color w:val="auto"/>
        </w:rPr>
        <w:t>” means the ICE Benchmark Administration, the administrator of the London interbank offer 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Date</w:t>
      </w:r>
      <w:r>
        <w:rPr>
          <w:rFonts w:ascii="Arial" w:cs="Arial" w:eastAsia="Arial" w:hAnsi="Arial"/>
          <w:sz w:val="22"/>
          <w:szCs w:val="22"/>
          <w:color w:val="auto"/>
        </w:rPr>
        <w:t>” has the meaning specified in Section 2.05(b)(i).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has the meaning specified in Section 2.05(b)(i).</w:t>
      </w:r>
    </w:p>
    <w:p>
      <w:pPr>
        <w:sectPr>
          <w:pgSz w:w="11900" w:h="16838" w:orient="portrait"/>
          <w:cols w:equalWidth="0" w:num="1">
            <w:col w:w="11240"/>
          </w:cols>
          <w:pgMar w:left="320" w:top="1401" w:right="339" w:bottom="1440" w:gutter="0" w:footer="0" w:header="0"/>
        </w:sectPr>
      </w:pPr>
    </w:p>
    <w:bookmarkStart w:id="157" w:name="page158"/>
    <w:bookmarkEnd w:id="157"/>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 Credit Party under any Loan Document and (b) to the extent not otherwise described in (a), Other Taxes.</w:t>
      </w:r>
    </w:p>
    <w:p>
      <w:pPr>
        <w:spacing w:after="0" w:line="15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means (a) as to any Base Rate Advance or Daily Simple RFR Advance, the last Business Day of each March, June, September and December and the Termination Date and (b) as to any Eurocurrency Rate Advance or Term RFR Advance, the last day of each Interest Period therefor and, in the case of any Interest Period of more than three months’ duration, each day prior to the last day of such Interest Period that occurs at three-month intervals after the first day of such Interest Period; </w:t>
      </w:r>
      <w:r>
        <w:rPr>
          <w:rFonts w:ascii="Arial" w:cs="Arial" w:eastAsia="Arial" w:hAnsi="Arial"/>
          <w:sz w:val="22"/>
          <w:szCs w:val="22"/>
          <w:u w:val="single" w:color="auto"/>
          <w:color w:val="auto"/>
        </w:rPr>
        <w:t>provided</w:t>
      </w:r>
      <w:r>
        <w:rPr>
          <w:rFonts w:ascii="Arial" w:cs="Arial" w:eastAsia="Arial" w:hAnsi="Arial"/>
          <w:sz w:val="22"/>
          <w:szCs w:val="22"/>
          <w:color w:val="auto"/>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Termination Date.</w:t>
      </w:r>
    </w:p>
    <w:p>
      <w:pPr>
        <w:spacing w:after="0" w:line="16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as to any Advance, the period commencing on the date such Advance is disbursed or converted to or, with respect to any Eurocurrency Rate Advance or Term RFR Advance, continued as a Eurocurrency Rate Advance or Term RFR Advance, as applicable, and ending on the date one, three or (except with respect to any Advance bearing interest based on the CDOR Rate) six months thereafter, in each case as selected by the applicable Borrower in its Notice of Borrowing or notice of Conversion and subject to availability;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59" w:lineRule="exact"/>
        <w:rPr>
          <w:sz w:val="20"/>
          <w:szCs w:val="20"/>
          <w:color w:val="auto"/>
        </w:rPr>
      </w:pPr>
    </w:p>
    <w:p>
      <w:pPr>
        <w:jc w:val="both"/>
        <w:ind w:firstLine="656"/>
        <w:spacing w:after="0" w:line="234" w:lineRule="auto"/>
        <w:tabs>
          <w:tab w:leader="none" w:pos="129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Interest Period shall commence on the date of advance of or conversion to any Eurocurrency Rate Advance or Term RFR Advance, as applicable, and, in the case of immediately successive Interest Periods, each successive Interest Period shall commence on the date on which the immediately preceding Interest Period expires;</w:t>
      </w:r>
    </w:p>
    <w:p>
      <w:pPr>
        <w:spacing w:after="0" w:line="157" w:lineRule="exact"/>
        <w:rPr>
          <w:rFonts w:ascii="Arial" w:cs="Arial" w:eastAsia="Arial" w:hAnsi="Arial"/>
          <w:sz w:val="21"/>
          <w:szCs w:val="21"/>
          <w:color w:val="auto"/>
        </w:rPr>
      </w:pPr>
    </w:p>
    <w:p>
      <w:pPr>
        <w:jc w:val="both"/>
        <w:ind w:firstLine="656"/>
        <w:spacing w:after="0" w:line="218" w:lineRule="auto"/>
        <w:tabs>
          <w:tab w:leader="none" w:pos="129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if any Interest Period would otherwise expire on a day that is not a Business Day, such Interest Period shall expire on the next succeeding Business Day;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9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applicable Borrower may not select any Interest Period that ends after any Termination Date if, after giving effect thereto, the amount of such Borrowing would exceed the Commitments of Lenders for which a Termination Date prior to the last day of such Interest Period applies; and</w:t>
      </w:r>
    </w:p>
    <w:p>
      <w:pPr>
        <w:spacing w:after="0" w:line="158" w:lineRule="exact"/>
        <w:rPr>
          <w:rFonts w:ascii="Arial" w:cs="Arial" w:eastAsia="Arial" w:hAnsi="Arial"/>
          <w:sz w:val="22"/>
          <w:szCs w:val="22"/>
          <w:color w:val="auto"/>
        </w:rPr>
      </w:pPr>
    </w:p>
    <w:p>
      <w:pPr>
        <w:ind w:firstLine="656"/>
        <w:spacing w:after="0" w:line="232" w:lineRule="auto"/>
        <w:tabs>
          <w:tab w:leader="none" w:pos="129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no tenor that has been removed from this definition pursuant to </w:t>
      </w:r>
      <w:r>
        <w:rPr>
          <w:rFonts w:ascii="Arial" w:cs="Arial" w:eastAsia="Arial" w:hAnsi="Arial"/>
          <w:sz w:val="22"/>
          <w:szCs w:val="22"/>
          <w:u w:val="single" w:color="auto"/>
          <w:color w:val="auto"/>
        </w:rPr>
        <w:t>Section 2.20(c)(iv)</w:t>
      </w:r>
      <w:r>
        <w:rPr>
          <w:rFonts w:ascii="Arial" w:cs="Arial" w:eastAsia="Arial" w:hAnsi="Arial"/>
          <w:sz w:val="22"/>
          <w:szCs w:val="22"/>
          <w:color w:val="auto"/>
        </w:rPr>
        <w:t xml:space="preserve"> shall be available for specification in any Notice of Borrowing or notice of Conversion.</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Revenue Code</w:t>
      </w:r>
      <w:r>
        <w:rPr>
          <w:rFonts w:ascii="Arial" w:cs="Arial" w:eastAsia="Arial" w:hAnsi="Arial"/>
          <w:sz w:val="22"/>
          <w:szCs w:val="22"/>
          <w:color w:val="auto"/>
        </w:rPr>
        <w:t>” means the Internal Revenue Code of 1986, as amended from time to time, and the regulations promulgated and rulings issued thereunder.</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means (a) the purchase or acquisition of Equity Interests in or evidences of indebtedness of or other securities of, or all or substantially all of the assets of, any Person (whether for cash, property, services, assumption of Debt, securities or otherwise), (b) any</w:t>
      </w:r>
    </w:p>
    <w:p>
      <w:pPr>
        <w:sectPr>
          <w:pgSz w:w="11900" w:h="16838" w:orient="portrait"/>
          <w:cols w:equalWidth="0" w:num="1">
            <w:col w:w="11240"/>
          </w:cols>
          <w:pgMar w:left="320" w:top="1401" w:right="339" w:bottom="1440" w:gutter="0" w:footer="0" w:header="0"/>
        </w:sectPr>
      </w:pPr>
    </w:p>
    <w:bookmarkStart w:id="158" w:name="page159"/>
    <w:bookmarkEnd w:id="158"/>
    <w:p>
      <w:pPr>
        <w:jc w:val="both"/>
        <w:spacing w:after="0" w:line="232" w:lineRule="auto"/>
        <w:rPr>
          <w:sz w:val="20"/>
          <w:szCs w:val="20"/>
          <w:color w:val="auto"/>
        </w:rPr>
      </w:pPr>
      <w:r>
        <w:rPr>
          <w:rFonts w:ascii="Arial" w:cs="Arial" w:eastAsia="Arial" w:hAnsi="Arial"/>
          <w:sz w:val="22"/>
          <w:szCs w:val="22"/>
          <w:color w:val="auto"/>
        </w:rPr>
        <w:t>advance or loan to, any Person or (c) any other capital contribution to or investment in any Person, including, without limitation, any Guarantee of any obligations of such Person.</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means the Initial Lenders, each Assuming Lender that shall become a party hereto pursuant to either Section 2.05(b) or Section 2.17 and each Person that shall become a party hereto pursuant to Section 2.19(b) or Section 9.07.</w:t>
      </w:r>
    </w:p>
    <w:p>
      <w:pPr>
        <w:spacing w:after="0" w:line="10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and the Notes.</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Banking Day</w:t>
      </w:r>
      <w:r>
        <w:rPr>
          <w:rFonts w:ascii="Arial" w:cs="Arial" w:eastAsia="Arial" w:hAnsi="Arial"/>
          <w:sz w:val="22"/>
          <w:szCs w:val="22"/>
          <w:color w:val="auto"/>
        </w:rPr>
        <w:t>” means any day on which dealings in US Dollar deposits are conducted by and between banks in the London interbank market.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material adverse effect on (a) the business, financial condition or results of operations of the Company and its Subsidiaries taken as a whole, (b) the rights and remedies of the Administrative Agent or any Lender under this Agreement or any other Loan Document or (c) the ability of any Credit Party to perform its obligations under this Agreement or any other Loan Document; provided, however, in no event shall the Purdue Transaction or any event, condition or circumstance resulting directly therefrom constitute a Material Adverse Effect.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means any contract or other arrangement to which the Company or any of its Subsidiaries is a party that is required to be filed with the Securities and Exchange Commission (other than any such contract or other arrangement that is related to employee benefits or compensation).</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Domestic Subsidiary</w:t>
      </w:r>
      <w:r>
        <w:rPr>
          <w:rFonts w:ascii="Arial" w:cs="Arial" w:eastAsia="Arial" w:hAnsi="Arial"/>
          <w:sz w:val="21"/>
          <w:szCs w:val="21"/>
          <w:color w:val="auto"/>
        </w:rPr>
        <w:t>” means, as of any date of determination, any Wholly-Owned Domestic Subsidiary of the Company that, together with its Subsidiaries, (a) generated more than 5% of the Consolidated revenues of the Company and its Subsidiaries for the four fiscal quarter period most recently ended on or prior to such date or (b) owns more than 5% of the Consolidated Assets as of the last day of the most recently ended fiscal quarter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Tranche Advance</w:t>
      </w:r>
      <w:r>
        <w:rPr>
          <w:rFonts w:ascii="Arial" w:cs="Arial" w:eastAsia="Arial" w:hAnsi="Arial"/>
          <w:sz w:val="22"/>
          <w:szCs w:val="22"/>
          <w:color w:val="auto"/>
        </w:rPr>
        <w:t>” means an advance made by a Multicurrency Tranche Lender to a Borrower in US Dollars or any Foreign Currency as part of a Borrowing pursuant to Section 2.01(a).</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Tranche Commitment</w:t>
      </w:r>
      <w:r>
        <w:rPr>
          <w:rFonts w:ascii="Arial" w:cs="Arial" w:eastAsia="Arial" w:hAnsi="Arial"/>
          <w:sz w:val="22"/>
          <w:szCs w:val="22"/>
          <w:color w:val="auto"/>
        </w:rPr>
        <w:t>” means, with respect to each Multicurrency Tranche Lender at any time, (i) the US Dollar amount set forth opposite such Multicurrency Tranche Lender’s name on Schedule I attached hereto and identified as such, (ii) if such Multicurrency Tranche Lender has become a Multicurrency Tranche Lender hereunder pursuant to an Assumption Agreement, the amount set forth as its Multicurrency Tranche Commitment in such Assumption Agreement or (iii) if such Multicurrency Tranche Lender has entered into one or more Assignment and Assumptions, the amount set forth for such Multicurrency Tranche</w:t>
      </w:r>
    </w:p>
    <w:p>
      <w:pPr>
        <w:sectPr>
          <w:pgSz w:w="11900" w:h="16838" w:orient="portrait"/>
          <w:cols w:equalWidth="0" w:num="1">
            <w:col w:w="11240"/>
          </w:cols>
          <w:pgMar w:left="320" w:top="1401" w:right="339" w:bottom="1440" w:gutter="0" w:footer="0" w:header="0"/>
        </w:sectPr>
      </w:pPr>
    </w:p>
    <w:bookmarkStart w:id="159" w:name="page160"/>
    <w:bookmarkEnd w:id="159"/>
    <w:p>
      <w:pPr>
        <w:jc w:val="both"/>
        <w:spacing w:after="0" w:line="223" w:lineRule="auto"/>
        <w:rPr>
          <w:sz w:val="20"/>
          <w:szCs w:val="20"/>
          <w:color w:val="auto"/>
        </w:rPr>
      </w:pPr>
      <w:r>
        <w:rPr>
          <w:rFonts w:ascii="Arial" w:cs="Arial" w:eastAsia="Arial" w:hAnsi="Arial"/>
          <w:sz w:val="22"/>
          <w:szCs w:val="22"/>
          <w:color w:val="auto"/>
        </w:rPr>
        <w:t>Lender in the Register maintained by the Administrative Agent pursuant to Section 9.07(c), as such amount may be increased, terminated or reduced, as the case may be, at or prior to such time pursuant to Section 2.05. The aggregate amount of the Multicurrency Tranche Commitments on the Effective Date is $100,000,000.</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Tranche Lender</w:t>
      </w:r>
      <w:r>
        <w:rPr>
          <w:rFonts w:ascii="Arial" w:cs="Arial" w:eastAsia="Arial" w:hAnsi="Arial"/>
          <w:sz w:val="22"/>
          <w:szCs w:val="22"/>
          <w:color w:val="auto"/>
        </w:rPr>
        <w:t>” means each of the Lenders with Multicurrency Tranche Commitments or with outstanding Multicurrency Tranche Advances.</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Tranche Unused Commitment</w:t>
      </w:r>
      <w:r>
        <w:rPr>
          <w:rFonts w:ascii="Arial" w:cs="Arial" w:eastAsia="Arial" w:hAnsi="Arial"/>
          <w:sz w:val="22"/>
          <w:szCs w:val="22"/>
          <w:color w:val="auto"/>
        </w:rPr>
        <w:t>” means, with respect to any Multicurrency Tranche Lender at any time, (a) such Multicurrency Tranche Lender’s Multicurrency Tranche Commitment in US Dollars at such time minus (b) the Dollar Equivalent of the aggregate principal amount of all Multicurrency Tranche Advances made by such Multicurrency Tranche Lender and outstanding at such time.</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 to which any Credit Party or any ERISA Affiliate is making or accruing an obligation to make contributions, or has within any of the preceding five plan years made or accrued an obligation to make contributions.</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Multiple Employer Plan</w:t>
      </w:r>
      <w:r>
        <w:rPr>
          <w:rFonts w:ascii="Arial" w:cs="Arial" w:eastAsia="Arial" w:hAnsi="Arial"/>
          <w:sz w:val="21"/>
          <w:szCs w:val="21"/>
          <w:color w:val="auto"/>
        </w:rPr>
        <w:t>” means a single employer plan, as defined in Section 4001(a)(15) of ERISA, that (a) is maintained for employees of any Credit Party or any ERISA Affiliate and at least one Person other than such Credit Party or such ERISA Affiliate or (b) was so maintained and in respect of which such Credit Party or such ERISA Affiliate could have liability under Section 4064 or 4069 of ERISA in the event such plan has been or were to be terminated.</w:t>
      </w:r>
    </w:p>
    <w:p>
      <w:pPr>
        <w:spacing w:after="0" w:line="15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National Currency Unit</w:t>
      </w:r>
      <w:r>
        <w:rPr>
          <w:rFonts w:ascii="Arial" w:cs="Arial" w:eastAsia="Arial" w:hAnsi="Arial"/>
          <w:sz w:val="22"/>
          <w:szCs w:val="22"/>
          <w:color w:val="auto"/>
        </w:rPr>
        <w:t>” means a fraction or multiple of one Euro Unit expressed in units of the former national currency of a Participating Member State.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has the meaning specified in Section 2.17(b).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each Lender that is not a Defaulting Lender at such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Non-Guarantor Subsidiary</w:t>
      </w:r>
      <w:r>
        <w:rPr>
          <w:rFonts w:ascii="Arial" w:cs="Arial" w:eastAsia="Arial" w:hAnsi="Arial"/>
          <w:sz w:val="22"/>
          <w:szCs w:val="22"/>
          <w:color w:val="auto"/>
        </w:rPr>
        <w:t>” means any Subsidiary of the Company that is not a Guarantor.</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Debt</w:t>
      </w:r>
      <w:r>
        <w:rPr>
          <w:rFonts w:ascii="Arial" w:cs="Arial" w:eastAsia="Arial" w:hAnsi="Arial"/>
          <w:sz w:val="19"/>
          <w:szCs w:val="19"/>
          <w:color w:val="auto"/>
        </w:rPr>
        <w:t>” means Debt of the Company or its Subsidiaries incurred (a) as to which neither the Company nor any of its Subsidiaries (i) provides credit support (including any undertaking, agreement or instrument which would constitute Debt), other than as described in clause (b) below,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5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w:t>
      </w:r>
      <w:r>
        <w:rPr>
          <w:rFonts w:ascii="Arial" w:cs="Arial" w:eastAsia="Arial" w:hAnsi="Arial"/>
          <w:sz w:val="21"/>
          <w:szCs w:val="21"/>
          <w:color w:val="auto"/>
        </w:rPr>
        <w:t>” means a promissory note of the applicable Borrower (bearing an original or facsimile signature) payable to any Lender, delivered pursuant to a request by any Lender, in substantially the form of Exhibit A hereto, evidencing the aggregate indebtedness of the applicable Borrower to such Lender resulting from the Advances made by such Lender.</w:t>
      </w:r>
    </w:p>
    <w:p>
      <w:pPr>
        <w:sectPr>
          <w:pgSz w:w="11900" w:h="16838" w:orient="portrait"/>
          <w:cols w:equalWidth="0" w:num="1">
            <w:col w:w="11240"/>
          </w:cols>
          <w:pgMar w:left="320" w:top="1401" w:right="339" w:bottom="1440" w:gutter="0" w:footer="0" w:header="0"/>
        </w:sectPr>
      </w:pPr>
    </w:p>
    <w:bookmarkStart w:id="160" w:name="page161"/>
    <w:bookmarkEnd w:id="16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Borrowing</w:t>
      </w:r>
      <w:r>
        <w:rPr>
          <w:rFonts w:ascii="Arial" w:cs="Arial" w:eastAsia="Arial" w:hAnsi="Arial"/>
          <w:sz w:val="22"/>
          <w:szCs w:val="22"/>
          <w:color w:val="auto"/>
        </w:rPr>
        <w:t>” has the meaning specified in Section 2.02(a)(i).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Continuation/Conversion</w:t>
      </w:r>
      <w:r>
        <w:rPr>
          <w:rFonts w:ascii="Arial" w:cs="Arial" w:eastAsia="Arial" w:hAnsi="Arial"/>
          <w:sz w:val="22"/>
          <w:szCs w:val="22"/>
          <w:color w:val="auto"/>
        </w:rPr>
        <w:t>” has the meaning specified in Section 2.09.</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U.S. Department of the Treasury’s Office of Foreign Assets Control.</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Benchmark Rate Election</w:t>
      </w:r>
      <w:r>
        <w:rPr>
          <w:rFonts w:ascii="Arial" w:cs="Arial" w:eastAsia="Arial" w:hAnsi="Arial"/>
          <w:sz w:val="21"/>
          <w:szCs w:val="21"/>
          <w:color w:val="auto"/>
        </w:rPr>
        <w:t>” means, if the then-current Benchmark for Borrower Obligations, interest, fees, commissions or other amounts denominated in, or calculated with respect to, US Dollars, is the Adjusted Eurocurrency Rate for US Dollars, the occurrence of: (a) a notification by the Administrative Agent to (or the request by the Company to the Administrative Agent to notify) each of the other parties hereto that at least five currently outstanding US Dollar-denominated syndicated credit facilities at such time contain (as a result of amendment or as originally executed), in lieu of a USD LIBOR-based rate, a term benchmark rate that is not a SOFR-based rate as a benchmark rate (and such syndicated credit facilities are identified in such notice and are publicly available for review), and (b) the joint election by the Administrative Agent and the Company to trigger a fallback from the Adjusted Eurocurrency Rate for US Dollars and the provision by the Administrative Agent of written notice of such election to the Lenders.</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Parties</w:t>
      </w:r>
      <w:r>
        <w:rPr>
          <w:rFonts w:ascii="Arial" w:cs="Arial" w:eastAsia="Arial" w:hAnsi="Arial"/>
          <w:sz w:val="22"/>
          <w:szCs w:val="22"/>
          <w:color w:val="auto"/>
        </w:rPr>
        <w:t>” has the meaning assigned to such term in clause (c) of Section 8.07</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or documentary Taxes or any other excise or property Taxes, charges or similar levies that arise from any payment made hereunder or from the execution, delivery or registration of, performing under, or otherwise with respect to, this Agreement, except any such Taxes that are Other Connection Taxes imposed with respect to an assignment (other than an assignment requested by the Company pursuant to Section 2.19(b)).</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Rate</w:t>
      </w:r>
      <w:r>
        <w:rPr>
          <w:rFonts w:ascii="Arial" w:cs="Arial" w:eastAsia="Arial" w:hAnsi="Arial"/>
          <w:sz w:val="22"/>
          <w:szCs w:val="22"/>
          <w:color w:val="auto"/>
        </w:rPr>
        <w:t>” means, for any day, (a) with respect to any amount denominated in US Dollars, the greater of (i) the Federal Funds Rate and (ii) an overnight rate determined by the Administrative Agent to be customary in the place of disbursement or payment for the settlement of international banking transactions, and (b) with respect to any amount denominated in a Foreign Currency, an overnight rate determined by the Administrative Agent to be customary in the place of disbursement or payment for the settlement of international banking transactions.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has the meaning assigned to such term in clause (d) of Section 9.07.</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assigned to such term in clause (d) of Section 9.07.</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Member State</w:t>
      </w:r>
      <w:r>
        <w:rPr>
          <w:rFonts w:ascii="Arial" w:cs="Arial" w:eastAsia="Arial" w:hAnsi="Arial"/>
          <w:sz w:val="22"/>
          <w:szCs w:val="22"/>
          <w:color w:val="auto"/>
        </w:rPr>
        <w:t>” means each country so described in any EMU Legislation.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has the meaning assigned to such term in Section 7.11(a).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successor).</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Level</w:t>
      </w:r>
      <w:r>
        <w:rPr>
          <w:rFonts w:ascii="Arial" w:cs="Arial" w:eastAsia="Arial" w:hAnsi="Arial"/>
          <w:sz w:val="22"/>
          <w:szCs w:val="22"/>
          <w:color w:val="auto"/>
        </w:rPr>
        <w:t>” means, as of any date of the determination, the level set forth below as then in effect, as determined in accordance with the following provisions of this definition:</w:t>
      </w:r>
    </w:p>
    <w:p>
      <w:pPr>
        <w:sectPr>
          <w:pgSz w:w="11900" w:h="16838" w:orient="portrait"/>
          <w:cols w:equalWidth="0" w:num="1">
            <w:col w:w="11240"/>
          </w:cols>
          <w:pgMar w:left="320" w:top="1401" w:right="339" w:bottom="1440" w:gutter="0" w:footer="0" w:header="0"/>
        </w:sectPr>
      </w:pPr>
    </w:p>
    <w:bookmarkStart w:id="161" w:name="page162"/>
    <w:bookmarkEnd w:id="161"/>
    <w:p>
      <w:pPr>
        <w:ind w:left="4"/>
        <w:spacing w:after="0"/>
        <w:tabs>
          <w:tab w:leader="none" w:pos="924" w:val="left"/>
        </w:tabs>
        <w:rPr>
          <w:sz w:val="20"/>
          <w:szCs w:val="20"/>
          <w:color w:val="auto"/>
        </w:rPr>
      </w:pPr>
      <w:r>
        <w:rPr>
          <w:rFonts w:ascii="Arial" w:cs="Arial" w:eastAsia="Arial" w:hAnsi="Arial"/>
          <w:sz w:val="22"/>
          <w:szCs w:val="22"/>
          <w:color w:val="auto"/>
        </w:rPr>
        <w:t>Level I:</w:t>
      </w:r>
      <w:r>
        <w:rPr>
          <w:sz w:val="20"/>
          <w:szCs w:val="20"/>
          <w:color w:val="auto"/>
        </w:rPr>
        <w:tab/>
      </w:r>
      <w:r>
        <w:rPr>
          <w:rFonts w:ascii="Arial" w:cs="Arial" w:eastAsia="Arial" w:hAnsi="Arial"/>
          <w:sz w:val="19"/>
          <w:szCs w:val="19"/>
          <w:color w:val="auto"/>
        </w:rPr>
        <w:t>Total Leverage Ratio of less than 1.00 to 1.00.</w:t>
      </w:r>
    </w:p>
    <w:p>
      <w:pPr>
        <w:spacing w:after="0" w:line="179" w:lineRule="exact"/>
        <w:rPr>
          <w:sz w:val="20"/>
          <w:szCs w:val="20"/>
          <w:color w:val="auto"/>
        </w:rPr>
      </w:pPr>
    </w:p>
    <w:p>
      <w:pPr>
        <w:ind w:left="4"/>
        <w:spacing w:after="0"/>
        <w:tabs>
          <w:tab w:leader="none" w:pos="1004" w:val="left"/>
        </w:tabs>
        <w:rPr>
          <w:sz w:val="20"/>
          <w:szCs w:val="20"/>
          <w:color w:val="auto"/>
        </w:rPr>
      </w:pPr>
      <w:r>
        <w:rPr>
          <w:rFonts w:ascii="Arial" w:cs="Arial" w:eastAsia="Arial" w:hAnsi="Arial"/>
          <w:sz w:val="22"/>
          <w:szCs w:val="22"/>
          <w:color w:val="auto"/>
        </w:rPr>
        <w:t>Level II:</w:t>
      </w:r>
      <w:r>
        <w:rPr>
          <w:sz w:val="20"/>
          <w:szCs w:val="20"/>
          <w:color w:val="auto"/>
        </w:rPr>
        <w:tab/>
      </w:r>
      <w:r>
        <w:rPr>
          <w:rFonts w:ascii="Arial" w:cs="Arial" w:eastAsia="Arial" w:hAnsi="Arial"/>
          <w:sz w:val="19"/>
          <w:szCs w:val="19"/>
          <w:color w:val="auto"/>
        </w:rPr>
        <w:t>Total Leverage Ratio of greater than or equal to 1.00 to 1.00 but less than 2.00 to 1.00.</w:t>
      </w:r>
    </w:p>
    <w:p>
      <w:pPr>
        <w:spacing w:after="0" w:line="179"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22"/>
          <w:szCs w:val="22"/>
          <w:color w:val="auto"/>
        </w:rPr>
        <w:t>Level III:</w:t>
      </w:r>
      <w:r>
        <w:rPr>
          <w:sz w:val="20"/>
          <w:szCs w:val="20"/>
          <w:color w:val="auto"/>
        </w:rPr>
        <w:tab/>
      </w:r>
      <w:r>
        <w:rPr>
          <w:rFonts w:ascii="Arial" w:cs="Arial" w:eastAsia="Arial" w:hAnsi="Arial"/>
          <w:sz w:val="19"/>
          <w:szCs w:val="19"/>
          <w:color w:val="auto"/>
        </w:rPr>
        <w:t>Total Leverage Ratio of greater than or equal to 2.00 to 1.00.</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179" w:lineRule="exact"/>
        <w:rPr>
          <w:sz w:val="20"/>
          <w:szCs w:val="20"/>
          <w:color w:val="auto"/>
        </w:rPr>
      </w:pPr>
    </w:p>
    <w:p>
      <w:pPr>
        <w:jc w:val="both"/>
        <w:ind w:left="-656" w:firstLine="656"/>
        <w:spacing w:after="0" w:line="234" w:lineRule="auto"/>
        <w:tabs>
          <w:tab w:leader="none" w:pos="53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57" w:lineRule="exact"/>
        <w:rPr>
          <w:rFonts w:ascii="Arial" w:cs="Arial" w:eastAsia="Arial" w:hAnsi="Arial"/>
          <w:sz w:val="21"/>
          <w:szCs w:val="21"/>
          <w:color w:val="auto"/>
        </w:rPr>
      </w:pPr>
    </w:p>
    <w:p>
      <w:pPr>
        <w:ind w:left="-656" w:right="20" w:firstLine="656"/>
        <w:spacing w:after="0" w:line="232" w:lineRule="auto"/>
        <w:tabs>
          <w:tab w:leader="none" w:pos="48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a rating of A1 (or higher) by S&amp;P or P1 (or higher) by Moody’s;</w:t>
      </w:r>
    </w:p>
    <w:p>
      <w:pPr>
        <w:spacing w:after="0" w:line="158" w:lineRule="exact"/>
        <w:rPr>
          <w:rFonts w:ascii="Arial" w:cs="Arial" w:eastAsia="Arial" w:hAnsi="Arial"/>
          <w:sz w:val="22"/>
          <w:szCs w:val="22"/>
          <w:color w:val="auto"/>
        </w:rPr>
      </w:pPr>
    </w:p>
    <w:p>
      <w:pPr>
        <w:jc w:val="both"/>
        <w:ind w:left="-656" w:firstLine="656"/>
        <w:spacing w:after="0" w:line="257" w:lineRule="auto"/>
        <w:tabs>
          <w:tab w:leader="none" w:pos="55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investments in certificates of deposit, banker’s acceptances and demand or time deposits, in each case maturing within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44" w:lineRule="exact"/>
        <w:rPr>
          <w:rFonts w:ascii="Arial" w:cs="Arial" w:eastAsia="Arial" w:hAnsi="Arial"/>
          <w:sz w:val="19"/>
          <w:szCs w:val="19"/>
          <w:color w:val="auto"/>
        </w:rPr>
      </w:pPr>
    </w:p>
    <w:p>
      <w:pPr>
        <w:ind w:left="-656" w:right="20" w:firstLine="656"/>
        <w:spacing w:after="0" w:line="232" w:lineRule="auto"/>
        <w:tabs>
          <w:tab w:leader="none" w:pos="46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58" w:lineRule="exact"/>
        <w:rPr>
          <w:rFonts w:ascii="Arial" w:cs="Arial" w:eastAsia="Arial" w:hAnsi="Arial"/>
          <w:sz w:val="22"/>
          <w:szCs w:val="22"/>
          <w:color w:val="auto"/>
        </w:rPr>
      </w:pPr>
    </w:p>
    <w:p>
      <w:pPr>
        <w:ind w:left="-656" w:firstLine="656"/>
        <w:spacing w:after="0" w:line="232" w:lineRule="auto"/>
        <w:tabs>
          <w:tab w:leader="none" w:pos="50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Rule 2a-7 of the Investment Company Act, (ii) are rated AAA by S&amp;P and Aaa by Moody’s and (iii) have portfolio assets of at least $5,000,000,000; and</w:t>
      </w:r>
    </w:p>
    <w:p>
      <w:pPr>
        <w:spacing w:after="0" w:line="158" w:lineRule="exact"/>
        <w:rPr>
          <w:rFonts w:ascii="Arial" w:cs="Arial" w:eastAsia="Arial" w:hAnsi="Arial"/>
          <w:sz w:val="22"/>
          <w:szCs w:val="22"/>
          <w:color w:val="auto"/>
        </w:rPr>
      </w:pPr>
    </w:p>
    <w:p>
      <w:pPr>
        <w:jc w:val="both"/>
        <w:ind w:left="-656" w:firstLine="656"/>
        <w:spacing w:after="0" w:line="223" w:lineRule="auto"/>
        <w:tabs>
          <w:tab w:leader="none" w:pos="5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any of the following:</w:t>
      </w:r>
    </w:p>
    <w:p>
      <w:pPr>
        <w:spacing w:after="0" w:line="179" w:lineRule="exact"/>
        <w:rPr>
          <w:sz w:val="20"/>
          <w:szCs w:val="20"/>
          <w:color w:val="auto"/>
        </w:rPr>
      </w:pPr>
    </w:p>
    <w:p>
      <w:pPr>
        <w:ind w:left="-656" w:firstLine="656"/>
        <w:spacing w:after="0" w:line="232" w:lineRule="auto"/>
        <w:tabs>
          <w:tab w:leader="none" w:pos="48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for taxes, assessments and governmental charges or levies to the extent not required to be paid under Section 5.01(b) hereof;</w:t>
      </w:r>
    </w:p>
    <w:p>
      <w:pPr>
        <w:spacing w:after="0" w:line="158" w:lineRule="exact"/>
        <w:rPr>
          <w:rFonts w:ascii="Arial" w:cs="Arial" w:eastAsia="Arial" w:hAnsi="Arial"/>
          <w:sz w:val="22"/>
          <w:szCs w:val="22"/>
          <w:color w:val="auto"/>
        </w:rPr>
      </w:pPr>
    </w:p>
    <w:p>
      <w:pPr>
        <w:jc w:val="both"/>
        <w:ind w:left="-656" w:firstLine="656"/>
        <w:spacing w:after="0" w:line="218" w:lineRule="auto"/>
        <w:tabs>
          <w:tab w:leader="none" w:pos="5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60" w:lineRule="exact"/>
        <w:rPr>
          <w:rFonts w:ascii="Arial" w:cs="Arial" w:eastAsia="Arial" w:hAnsi="Arial"/>
          <w:sz w:val="22"/>
          <w:szCs w:val="22"/>
          <w:color w:val="auto"/>
        </w:rPr>
      </w:pPr>
    </w:p>
    <w:p>
      <w:pPr>
        <w:ind w:left="-656" w:firstLine="656"/>
        <w:spacing w:after="0" w:line="232" w:lineRule="auto"/>
        <w:tabs>
          <w:tab w:leader="none" w:pos="45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pledges or deposits to secure obligations under workers’ compensation laws or similar legislation or to secure public or statutory obligations;</w:t>
      </w:r>
    </w:p>
    <w:p>
      <w:pPr>
        <w:spacing w:after="0" w:line="158" w:lineRule="exact"/>
        <w:rPr>
          <w:rFonts w:ascii="Arial" w:cs="Arial" w:eastAsia="Arial" w:hAnsi="Arial"/>
          <w:sz w:val="22"/>
          <w:szCs w:val="22"/>
          <w:color w:val="auto"/>
        </w:rPr>
      </w:pPr>
    </w:p>
    <w:p>
      <w:pPr>
        <w:jc w:val="both"/>
        <w:ind w:left="-656" w:firstLine="656"/>
        <w:spacing w:after="0" w:line="223" w:lineRule="auto"/>
        <w:tabs>
          <w:tab w:leader="none" w:pos="54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ectPr>
          <w:pgSz w:w="11900" w:h="16838" w:orient="portrait"/>
          <w:cols w:equalWidth="0" w:num="1">
            <w:col w:w="10584"/>
          </w:cols>
          <w:pgMar w:left="976" w:top="1401" w:right="339" w:bottom="1440" w:gutter="0" w:footer="0" w:header="0"/>
        </w:sectPr>
      </w:pPr>
    </w:p>
    <w:bookmarkStart w:id="162" w:name="page163"/>
    <w:bookmarkEnd w:id="162"/>
    <w:p>
      <w:pPr>
        <w:ind w:right="20" w:firstLine="656"/>
        <w:spacing w:after="0" w:line="232" w:lineRule="auto"/>
        <w:tabs>
          <w:tab w:leader="none" w:pos="112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easements, rights of way and other encumbrances on title to real property that do not materially adversely affect the use of such property for its present purposes.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 Single Employer Plan or a Multiple Employer Plan subject to the provisions of Title IV of ERISA or Section 412 of the Internal Revenue Code or Section 302 of ERISA.</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has the meaning specified in Section 9.02(d)(ii).</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Basis</w:t>
      </w:r>
      <w:r>
        <w:rPr>
          <w:rFonts w:ascii="Arial" w:cs="Arial" w:eastAsia="Arial" w:hAnsi="Arial"/>
          <w:sz w:val="22"/>
          <w:szCs w:val="22"/>
          <w:color w:val="auto"/>
        </w:rPr>
        <w:t>” means, with respect to any transaction, that such transaction shall be deemed to have occurred as of the first day of the four-quarter period (or twelve month period, as applicable) ending as of the most recent quarter end (or month end, as applicable) preceding the date of such transaction.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Properties</w:t>
      </w:r>
      <w:r>
        <w:rPr>
          <w:rFonts w:ascii="Arial" w:cs="Arial" w:eastAsia="Arial" w:hAnsi="Arial"/>
          <w:sz w:val="22"/>
          <w:szCs w:val="22"/>
          <w:color w:val="auto"/>
        </w:rPr>
        <w:t>” has the meaning ascribed to such term in clause (o) of Section 4.01.</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Purdue Transaction</w:t>
      </w:r>
      <w:r>
        <w:rPr>
          <w:rFonts w:ascii="Arial" w:cs="Arial" w:eastAsia="Arial" w:hAnsi="Arial"/>
          <w:sz w:val="22"/>
          <w:szCs w:val="22"/>
          <w:color w:val="auto"/>
        </w:rPr>
        <w:t>” means the contribution of institutional assets and operations of Kaplan University to an Indiana non-profit, public-benefit corporation that is a subsidiary affiliated with Purdue University, pursuant to that certain Transition and Operations Support Agreement, dated March 22, 2018, by and among Kaplan Higher Education, LLC, Iowa College Acquisition, LLC and Purdue University Global, Inc.</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specified in Section 9.20(b).</w:t>
      </w:r>
    </w:p>
    <w:p>
      <w:pPr>
        <w:spacing w:after="0" w:line="20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 Determination Date</w:t>
      </w:r>
      <w:r>
        <w:rPr>
          <w:rFonts w:ascii="Arial" w:cs="Arial" w:eastAsia="Arial" w:hAnsi="Arial"/>
          <w:sz w:val="22"/>
          <w:szCs w:val="22"/>
          <w:color w:val="auto"/>
        </w:rPr>
        <w:t xml:space="preserve">” means, with respect to any Interest Period, two Eurocurrency Bank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that such market practice is not administratively feasible for the Administrative Agent, such other day as otherwise reasonably determined by the Administrative Agent).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 the Administrative Agent and (b) any Lender.</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Time</w:t>
      </w:r>
      <w:r>
        <w:rPr>
          <w:rFonts w:ascii="Arial" w:cs="Arial" w:eastAsia="Arial" w:hAnsi="Arial"/>
          <w:sz w:val="22"/>
          <w:szCs w:val="22"/>
          <w:color w:val="auto"/>
        </w:rPr>
        <w:t>” with respect to any setting of the then-current Benchmark for any Currency means (a) if such Benchmark is an Adjusted Daily Simple RFR or a Daily Simple RFR, (i) if the RFR for such Benchmark is SOFR, then four RFR Business Days prior to (A) if the date of such setting is an RFR Business Day, such date or (B) if the date of such setting is not an RFR Business Day, the RFR Business Day immediately preceding such date, (ii) if the RFR for such Benchmark is SONIA, then four RFR Business Days prior to (A) if the date of such setting is an RFR Business Day, such date or (B) if the date of such setting is not an RFR</w:t>
      </w:r>
    </w:p>
    <w:p>
      <w:pPr>
        <w:sectPr>
          <w:pgSz w:w="11900" w:h="16838" w:orient="portrait"/>
          <w:cols w:equalWidth="0" w:num="1">
            <w:col w:w="11240"/>
          </w:cols>
          <w:pgMar w:left="320" w:top="1401" w:right="339" w:bottom="1440" w:gutter="0" w:footer="0" w:header="0"/>
        </w:sectPr>
      </w:pPr>
    </w:p>
    <w:bookmarkStart w:id="163" w:name="page164"/>
    <w:bookmarkEnd w:id="163"/>
    <w:p>
      <w:pPr>
        <w:jc w:val="both"/>
        <w:spacing w:after="0" w:line="246" w:lineRule="auto"/>
        <w:rPr>
          <w:sz w:val="20"/>
          <w:szCs w:val="20"/>
          <w:color w:val="auto"/>
        </w:rPr>
      </w:pPr>
      <w:r>
        <w:rPr>
          <w:rFonts w:ascii="Arial" w:cs="Arial" w:eastAsia="Arial" w:hAnsi="Arial"/>
          <w:sz w:val="19"/>
          <w:szCs w:val="19"/>
          <w:color w:val="auto"/>
        </w:rPr>
        <w:t>Business Day, the RFR Business Day immediately preceding such date, and (iii) if the RFR for such Benchmark is SORA, then five RFR Business Days prior to (A) if the date of such setting is an RFR Business Day, such date or (B) if the date of such setting is not an RFR Business Day, the RFR Business Day immediately preceding such date, (b) if such Benchmark is an Adjusted Eurocurrency Rate, (i) if the applicable Adjusted Eurocurrency Rate for such Benchmark is based upon USD LIBOR, then 11:00 a.m. (London time) on the day that is two Eurocurrency Banking Days preceding the date of such setting, and (ii) if the applicable Adjusted Eurocurrency Rate for such Benchmark is based upon EURIBOR, then 11:00 a.m. (Brussels time) on the day that is two Eurocurrency Banking Days preceding the date of such setting, and (c) if otherwise, then the time determined by the Administrative Agent, including in accordance with the Conforming Changes.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specified in Section 9.07(d).</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(a) with respect to a Benchmark Replacement in respect of Borrower Obligations, interest, fees, commissions or other amounts denominated in, or calculated with respect to, US Dollars, the FRB or the Federal Reserve Bank of New York, or a committee officially endorsed or convened by the FRB or the Federal Reserve Bank of New York, or any successor thereto and (b) with respect to a Benchmark Replacement in respect of Borrower Obligations, interest, fees, commissions or other amounts denominated in, or calculated with respect to, any Foreign Currency, (1) the central bank for the Currency in which such Borrower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Borrower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6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xml:space="preserve">” means at any time Lenders having more than 50% of the Commitments or, if the Commitments have been terminated, Lenders owed at least a majority of the then aggregate unpaid principal amount of the Advances;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Lender shall be a Defaulting Lender at such time, there shall be excluded from the determination of Required Lenders at such time the Commitments and Advances of such Defaulting Lender at such time.</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 of the Company, or any payment (whether in cash, securities or other property), including any sinking fund or similar deposit, on account of the purchase, redemption, retirement, acquisition, cancellation or termination of any such Equity Interest, or on account of any return of capital to the parent of the Company’s stockholders, partners or members.</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Revaluation Date</w:t>
      </w:r>
      <w:r>
        <w:rPr>
          <w:rFonts w:ascii="Arial" w:cs="Arial" w:eastAsia="Arial" w:hAnsi="Arial"/>
          <w:sz w:val="22"/>
          <w:szCs w:val="22"/>
          <w:color w:val="auto"/>
        </w:rPr>
        <w:t>” means each of the following: (a) each date an Advance is made pursuant to Section 2.01 or is continued; (b) the last Business Day of each calendar month; and</w:t>
      </w:r>
    </w:p>
    <w:p>
      <w:pPr>
        <w:sectPr>
          <w:pgSz w:w="11900" w:h="16838" w:orient="portrait"/>
          <w:cols w:equalWidth="0" w:num="1">
            <w:col w:w="11240"/>
          </w:cols>
          <w:pgMar w:left="320" w:top="1401" w:right="3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(c) such additional dates as the Administrative Agent or the Required Lenders shall reasonably specify.</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w:t>
      </w:r>
      <w:r>
        <w:rPr>
          <w:rFonts w:ascii="Arial" w:cs="Arial" w:eastAsia="Arial" w:hAnsi="Arial"/>
          <w:sz w:val="22"/>
          <w:szCs w:val="22"/>
          <w:color w:val="auto"/>
        </w:rPr>
        <w:t>” means, for any Borrower Obligations, interest, fees, commissions or other amounts denominated in, or calculated with respect to, (a) US Dollars, on and after the USD LIBOR Transition Date, SOFR, (b) Sterling, SONIA and (c) Singapore Dollars, SORA.</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Advance</w:t>
      </w:r>
      <w:r>
        <w:rPr>
          <w:rFonts w:ascii="Arial" w:cs="Arial" w:eastAsia="Arial" w:hAnsi="Arial"/>
          <w:sz w:val="22"/>
          <w:szCs w:val="22"/>
          <w:color w:val="auto"/>
        </w:rPr>
        <w:t>” means a Daily Simple RFR Advance or a Term RFR Advance, as the context may require.</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 Business Day</w:t>
      </w:r>
      <w:r>
        <w:rPr>
          <w:rFonts w:ascii="Arial" w:cs="Arial" w:eastAsia="Arial" w:hAnsi="Arial"/>
          <w:sz w:val="19"/>
          <w:szCs w:val="19"/>
          <w:color w:val="auto"/>
        </w:rPr>
        <w:t xml:space="preserve">” means, for any Borrower Obligations, interest, fees, commissions or other amounts denominated in, or calculated with respect to, (a) US Dollars, on and after the USD LIBOR Transition Date, any day except for (i) a Saturday, (ii) a Sunday or (iii) a day on which the Securities Industry and Financial Markets Association recommends that the fixed income departments of its members be closed for the entire day for purposes of trading in United States government securities, (b) Sterling, any day except for (i) a Saturday, (ii) a Sunday or (iii) a day on which banks are closed for general business in London and (c) Singapore Dollars, any day except for (i) a Saturday, (ii) a Sunday or (iii) a day on which banks are closed for the settlement of payments and foreign exchange transactions in Singapore;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notice requirements in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 in each case, such day is also a Business Day.</w:t>
      </w:r>
    </w:p>
    <w:p>
      <w:pPr>
        <w:spacing w:after="0" w:line="15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Rate Day</w:t>
      </w:r>
      <w:r>
        <w:rPr>
          <w:rFonts w:ascii="Arial" w:cs="Arial" w:eastAsia="Arial" w:hAnsi="Arial"/>
          <w:sz w:val="22"/>
          <w:szCs w:val="22"/>
          <w:color w:val="auto"/>
        </w:rPr>
        <w:t>” means any day pursuant to which any calculation of Adjusted Daily Simple RFR or Daily Simple RFR is made.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Group, a division of The McGraw-Hill Companies, Inc.</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Same Day Funds</w:t>
      </w:r>
      <w:r>
        <w:rPr>
          <w:rFonts w:ascii="Arial" w:cs="Arial" w:eastAsia="Arial" w:hAnsi="Arial"/>
          <w:sz w:val="22"/>
          <w:szCs w:val="22"/>
          <w:color w:val="auto"/>
        </w:rPr>
        <w:t>” means (a) with respect to disbursements and payments in US Dollars, immediately available funds, and (b) with respect to disbursements and payments in a Foreign Currency, same day or other funds as may be determined by the Administrative Agent to be customary in the place of disbursement or payment for the settlement of international banking transactions in the relevant Foreign Currency.</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or territory which is itself the subject or target of any Sanctions (including, as of the time of this Agreement, Cuba, Iran, North Korea, Syria and Crimea).</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Entity</w:t>
      </w:r>
      <w:r>
        <w:rPr>
          <w:rFonts w:ascii="Arial" w:cs="Arial" w:eastAsia="Arial" w:hAnsi="Arial"/>
          <w:sz w:val="22"/>
          <w:szCs w:val="22"/>
          <w:color w:val="auto"/>
        </w:rPr>
        <w:t>” means (a) any Sanctioned Country or (b) (i) any Sanctioned Person, (ii) any Person organized or resident in or determined to be organized or resident in a Sanctioned Country or (iii) any Person owned or controlled by any Sanctioned Person or any Person referred to in clause (b)(ii).</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at any time, a Person listed in any Sanctions-related list maintained by OFAC, the U.S. Department of State or by the United Nations Security Council, the European Union, Her Majesty’s Treasury of the United Kingdom, any European Union member state, the Australian Department of Foreign Affairs and Trade or otherwise the subject of any Sanctions.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all economic or financial sanctions, sectoral sanctions, secondary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w:t>
      </w:r>
    </w:p>
    <w:p>
      <w:pPr>
        <w:sectPr>
          <w:pgSz w:w="11900" w:h="16838" w:orient="portrait"/>
          <w:cols w:equalWidth="0" w:num="1">
            <w:col w:w="11240"/>
          </w:cols>
          <w:pgMar w:left="320" w:top="1401" w:right="339" w:bottom="1440" w:gutter="0" w:footer="0" w:header="0"/>
        </w:sectPr>
      </w:pPr>
    </w:p>
    <w:bookmarkStart w:id="165" w:name="page166"/>
    <w:bookmarkEnd w:id="165"/>
    <w:p>
      <w:pPr>
        <w:jc w:val="both"/>
        <w:spacing w:after="0" w:line="232" w:lineRule="auto"/>
        <w:rPr>
          <w:sz w:val="20"/>
          <w:szCs w:val="20"/>
          <w:color w:val="auto"/>
        </w:rPr>
      </w:pPr>
      <w:r>
        <w:rPr>
          <w:rFonts w:ascii="Arial" w:cs="Arial" w:eastAsia="Arial" w:hAnsi="Arial"/>
          <w:sz w:val="22"/>
          <w:szCs w:val="22"/>
          <w:color w:val="auto"/>
        </w:rPr>
        <w:t>Treasury of the United Kingdom, the Australian Department of Foreign Affairs and Trade or other relevant sanctions authority with jurisdiction over the Company or any of its Subsidiaries.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Screen Rate</w:t>
      </w:r>
      <w:r>
        <w:rPr>
          <w:rFonts w:ascii="Arial" w:cs="Arial" w:eastAsia="Arial" w:hAnsi="Arial"/>
          <w:sz w:val="21"/>
          <w:szCs w:val="21"/>
          <w:color w:val="auto"/>
        </w:rPr>
        <w:t>” means, for any Eurocurrency Rate Advance denominated in (a) US Dollars, the USD LIBOR Rate, (b) Euros, the EURIBOR Rate, (c) Australian Dollars, the BBSY Rate or (d) Canadian Dollars, the CDOR Rate.</w:t>
      </w:r>
    </w:p>
    <w:p>
      <w:pPr>
        <w:spacing w:after="0" w:line="15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means any Subsidiary that would be a “significant subsidiary” within the meaning of Rule 1-02 of the SEC’s Regulation S-X.</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Dollar</w:t>
      </w:r>
      <w:r>
        <w:rPr>
          <w:rFonts w:ascii="Arial" w:cs="Arial" w:eastAsia="Arial" w:hAnsi="Arial"/>
          <w:sz w:val="22"/>
          <w:szCs w:val="22"/>
          <w:color w:val="auto"/>
        </w:rPr>
        <w:t>” or “</w:t>
      </w:r>
      <w:r>
        <w:rPr>
          <w:rFonts w:ascii="Arial" w:cs="Arial" w:eastAsia="Arial" w:hAnsi="Arial"/>
          <w:sz w:val="22"/>
          <w:szCs w:val="22"/>
          <w:u w:val="single" w:color="auto"/>
          <w:color w:val="auto"/>
        </w:rPr>
        <w:t>SGD</w:t>
      </w:r>
      <w:r>
        <w:rPr>
          <w:rFonts w:ascii="Arial" w:cs="Arial" w:eastAsia="Arial" w:hAnsi="Arial"/>
          <w:sz w:val="22"/>
          <w:szCs w:val="22"/>
          <w:color w:val="auto"/>
        </w:rPr>
        <w:t>” means Singapore Dollars, the lawful currency of Singapore.</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Employer Plan</w:t>
      </w:r>
      <w:r>
        <w:rPr>
          <w:rFonts w:ascii="Arial" w:cs="Arial" w:eastAsia="Arial" w:hAnsi="Arial"/>
          <w:sz w:val="22"/>
          <w:szCs w:val="22"/>
          <w:color w:val="auto"/>
        </w:rPr>
        <w:t>” means a single employer plan, as defined in Section 4001(a)(15) of ERISA, that (a) is maintained for employees of any Borrower or any ERISA Affiliate and no Person other than the Borrowers and the ERISA Affiliates or (b) was so maintained and in respect of which any Borrower or any ERISA Affiliate could have liability under Section 4069 of ERISA in the event such plan has been or were to be terminated.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means a rate equal to the secured overnight financing rate as administered by the SOFR Administrator.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Adjustment</w:t>
      </w:r>
      <w:r>
        <w:rPr>
          <w:rFonts w:ascii="Arial" w:cs="Arial" w:eastAsia="Arial" w:hAnsi="Arial"/>
          <w:sz w:val="22"/>
          <w:szCs w:val="22"/>
          <w:color w:val="auto"/>
        </w:rPr>
        <w:t>” means a percentage equal to 0.10% (10 basis points) per annum.</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Administrator’s Website</w:t>
      </w:r>
      <w:r>
        <w:rPr>
          <w:rFonts w:ascii="Arial" w:cs="Arial" w:eastAsia="Arial" w:hAnsi="Arial"/>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w:t>
      </w:r>
      <w:r>
        <w:rPr>
          <w:rFonts w:ascii="Arial" w:cs="Arial" w:eastAsia="Arial" w:hAnsi="Arial"/>
          <w:sz w:val="19"/>
          <w:szCs w:val="19"/>
          <w:color w:val="auto"/>
        </w:rPr>
        <w:t>” means a rate equal to the Sterling Overnight Index Average as administered by the SONIA Administrator.</w:t>
      </w:r>
    </w:p>
    <w:p>
      <w:pPr>
        <w:spacing w:after="0" w:line="2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w:t>
      </w:r>
      <w:r>
        <w:rPr>
          <w:rFonts w:ascii="Arial" w:cs="Arial" w:eastAsia="Arial" w:hAnsi="Arial"/>
          <w:sz w:val="22"/>
          <w:szCs w:val="22"/>
          <w:color w:val="auto"/>
        </w:rPr>
        <w:t>” means the Bank of England (or any successor administrator of the Sterling Overnight Index Average).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SORA</w:t>
      </w:r>
      <w:r>
        <w:rPr>
          <w:rFonts w:ascii="Arial" w:cs="Arial" w:eastAsia="Arial" w:hAnsi="Arial"/>
          <w:sz w:val="19"/>
          <w:szCs w:val="19"/>
          <w:color w:val="auto"/>
        </w:rPr>
        <w:t>” means a rate equal to the Singapore Overnight Rate Average as administered by the SORA Administrator.</w:t>
      </w:r>
    </w:p>
    <w:p>
      <w:pPr>
        <w:spacing w:after="0" w:line="2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SORA Administrator</w:t>
      </w:r>
      <w:r>
        <w:rPr>
          <w:rFonts w:ascii="Arial" w:cs="Arial" w:eastAsia="Arial" w:hAnsi="Arial"/>
          <w:sz w:val="22"/>
          <w:szCs w:val="22"/>
          <w:color w:val="auto"/>
        </w:rPr>
        <w:t>” means the Monetary Authority of Singapore (or any successor administrator of the Singapore Overnight Rate Average).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SORA Administrator’s Website</w:t>
      </w:r>
      <w:r>
        <w:rPr>
          <w:rFonts w:ascii="Arial" w:cs="Arial" w:eastAsia="Arial" w:hAnsi="Arial"/>
          <w:sz w:val="22"/>
          <w:szCs w:val="22"/>
          <w:color w:val="auto"/>
        </w:rPr>
        <w:t>” means the Monetary Authority of Singapore’s website, currently at https://eservices.mas.gov.sg, or any successor source for the Singapore Overnight Rate Average identified as such by the SORA Administrator from time to time.</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Notice Currency</w:t>
      </w:r>
      <w:r>
        <w:rPr>
          <w:rFonts w:ascii="Arial" w:cs="Arial" w:eastAsia="Arial" w:hAnsi="Arial"/>
          <w:sz w:val="21"/>
          <w:szCs w:val="21"/>
          <w:color w:val="auto"/>
        </w:rPr>
        <w:t>” means, at any time, a Foreign Currency other than the currency of a country that is a member of the Organization for Economic Cooperation and Development at such time located in North America.</w:t>
      </w:r>
    </w:p>
    <w:p>
      <w:pPr>
        <w:sectPr>
          <w:pgSz w:w="11900" w:h="16838" w:orient="portrait"/>
          <w:cols w:equalWidth="0" w:num="1">
            <w:col w:w="11240"/>
          </w:cols>
          <w:pgMar w:left="320" w:top="1401" w:right="339" w:bottom="1440" w:gutter="0" w:footer="0" w:header="0"/>
        </w:sectPr>
      </w:pPr>
    </w:p>
    <w:bookmarkStart w:id="166" w:name="page167"/>
    <w:bookmarkEnd w:id="166"/>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Spot Rate</w:t>
      </w:r>
      <w:r>
        <w:rPr>
          <w:rFonts w:ascii="Arial" w:cs="Arial" w:eastAsia="Arial" w:hAnsi="Arial"/>
          <w:sz w:val="19"/>
          <w:szCs w:val="19"/>
          <w:color w:val="auto"/>
        </w:rPr>
        <w:t xml:space="preserve">” means, for any Currency, the rate for such Currency reasonably determined by the Administrative Agent, to be the rate quoted by the Person acting in such capacity, as the spot rate for the purchase by such Person of such currency with another currency through its principal foreign exchange trading office at approximately 11:00 a.m. (New York City time) on the date two Business Days prior to the date as of which the foreign exchange computation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7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Kingdom.</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TARGET2</w:t>
      </w:r>
      <w:r>
        <w:rPr>
          <w:rFonts w:ascii="Arial" w:cs="Arial" w:eastAsia="Arial" w:hAnsi="Arial"/>
          <w:sz w:val="22"/>
          <w:szCs w:val="22"/>
          <w:color w:val="auto"/>
        </w:rPr>
        <w:t>” means the Trans-European Automated Real-time Gross Settlement Express Transfer payment system which utilizes a single shared platform and which was launched on November 19, 2007.</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TARGET2 is open for the settlement of payments in Euros.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RFR</w:t>
      </w:r>
      <w:r>
        <w:rPr>
          <w:rFonts w:ascii="Arial" w:cs="Arial" w:eastAsia="Arial" w:hAnsi="Arial"/>
          <w:sz w:val="22"/>
          <w:szCs w:val="22"/>
          <w:color w:val="auto"/>
        </w:rPr>
        <w:t>” means, with respect to any Currency for any Interest Period, a rate per annum equal to, for any Borrower Obligations, interest, fees, commissions or other amounts denominated in, or calculated with respect to, US Dollars, Adjusted Term SOFR.</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RFR Advance</w:t>
      </w:r>
      <w:r>
        <w:rPr>
          <w:rFonts w:ascii="Arial" w:cs="Arial" w:eastAsia="Arial" w:hAnsi="Arial"/>
          <w:sz w:val="22"/>
          <w:szCs w:val="22"/>
          <w:color w:val="auto"/>
        </w:rPr>
        <w:t>” means any Advance that bears interest at a rate based on Term RFR other than pursuant to clause (c) of the definition of “Base Rate”.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RFR Notice</w:t>
      </w:r>
      <w:r>
        <w:rPr>
          <w:rFonts w:ascii="Arial" w:cs="Arial" w:eastAsia="Arial" w:hAnsi="Arial"/>
          <w:sz w:val="22"/>
          <w:szCs w:val="22"/>
          <w:color w:val="auto"/>
        </w:rPr>
        <w:t>” means a notification by the Administrative Agent to the Lenders and the Company of the occurrence of a Term RFR Transition Event.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RFR Transition Date</w:t>
      </w:r>
      <w:r>
        <w:rPr>
          <w:rFonts w:ascii="Arial" w:cs="Arial" w:eastAsia="Arial" w:hAnsi="Arial"/>
          <w:sz w:val="22"/>
          <w:szCs w:val="22"/>
          <w:color w:val="auto"/>
        </w:rPr>
        <w:t xml:space="preserve">” means, in the case of a Term RFR Transition Event, the date that is thirty calendar days after the Administrative Agent has provided the related Term RFR Notice to the Lenders and the Company pursuant to </w:t>
      </w:r>
      <w:r>
        <w:rPr>
          <w:rFonts w:ascii="Arial" w:cs="Arial" w:eastAsia="Arial" w:hAnsi="Arial"/>
          <w:sz w:val="22"/>
          <w:szCs w:val="22"/>
          <w:u w:val="single" w:color="auto"/>
          <w:color w:val="auto"/>
        </w:rPr>
        <w:t>Section 2.20(c)</w:t>
      </w:r>
      <w:r>
        <w:rPr>
          <w:rFonts w:ascii="Arial" w:cs="Arial" w:eastAsia="Arial" w:hAnsi="Arial"/>
          <w:sz w:val="22"/>
          <w:szCs w:val="22"/>
          <w:color w:val="auto"/>
        </w:rPr>
        <w:t xml:space="preserve"> </w:t>
      </w:r>
      <w:r>
        <w:rPr>
          <w:rFonts w:ascii="Arial" w:cs="Arial" w:eastAsia="Arial" w:hAnsi="Arial"/>
          <w:sz w:val="22"/>
          <w:szCs w:val="22"/>
          <w:u w:val="single" w:color="auto"/>
          <w:color w:val="auto"/>
        </w:rPr>
        <w:t>(i)(C)</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RFR Transition Event</w:t>
      </w:r>
      <w:r>
        <w:rPr>
          <w:rFonts w:ascii="Arial" w:cs="Arial" w:eastAsia="Arial" w:hAnsi="Arial"/>
          <w:sz w:val="19"/>
          <w:szCs w:val="19"/>
          <w:color w:val="auto"/>
        </w:rPr>
        <w:t>” means, with respect to any Currency for any Interest Period, the determination by the Administrative Agent that (a) the applicable Term RFR for such Currency has been recommended for use by the Relevant Governmental Body and (b) the administration of such Term RFR is administratively feasible for the Administrative Agent.</w:t>
      </w:r>
    </w:p>
    <w:p>
      <w:pPr>
        <w:spacing w:after="0" w:line="13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for any Available Tenor and Interest Period, a rate per annum equal to the forward-looking term rate for a period comparable to such Available Tenor based on</w:t>
      </w:r>
    </w:p>
    <w:p>
      <w:pPr>
        <w:sectPr>
          <w:pgSz w:w="11900" w:h="16838" w:orient="portrait"/>
          <w:cols w:equalWidth="0" w:num="1">
            <w:col w:w="11240"/>
          </w:cols>
          <w:pgMar w:left="320" w:top="1401" w:right="339" w:bottom="1440" w:gutter="0" w:footer="0" w:header="0"/>
        </w:sectPr>
      </w:pPr>
    </w:p>
    <w:bookmarkStart w:id="167" w:name="page168"/>
    <w:bookmarkEnd w:id="167"/>
    <w:p>
      <w:pPr>
        <w:jc w:val="both"/>
        <w:spacing w:after="0" w:line="218" w:lineRule="auto"/>
        <w:rPr>
          <w:sz w:val="20"/>
          <w:szCs w:val="20"/>
          <w:color w:val="auto"/>
        </w:rPr>
      </w:pPr>
      <w:r>
        <w:rPr>
          <w:rFonts w:ascii="Arial" w:cs="Arial" w:eastAsia="Arial" w:hAnsi="Arial"/>
          <w:sz w:val="22"/>
          <w:szCs w:val="22"/>
          <w:color w:val="auto"/>
        </w:rPr>
        <w:t>the SOFR that is published by an authorized benchmark administrator and is displayed on a screen or other information service, each as identified or selected by the Administrative Agent in its reasonable discretion at approximately a time and as of a date prior to the commencement of such Interest Period determined by the Administrative Agent in its reasonable discretion in a manner substantially consistent with market practice</w:t>
      </w:r>
    </w:p>
    <w:p>
      <w:pPr>
        <w:spacing w:after="0" w:line="16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Adjustment</w:t>
      </w:r>
      <w:r>
        <w:rPr>
          <w:rFonts w:ascii="Arial" w:cs="Arial" w:eastAsia="Arial" w:hAnsi="Arial"/>
          <w:sz w:val="21"/>
          <w:szCs w:val="21"/>
          <w:color w:val="auto"/>
        </w:rPr>
        <w:t>” means, for any calculation with respect to a Base Rate Advance for which the rate is based on Adjusted Term SOFR or a Term RFR Advance, a percentage equal to 0.10% (10 basis points) per annum.</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means the earlier of (a) May 30, 2023, subject to the extension thereof pursuant to Section 2.17 and</w:t>
      </w:r>
    </w:p>
    <w:p>
      <w:pPr>
        <w:spacing w:after="0" w:line="16" w:lineRule="exact"/>
        <w:rPr>
          <w:sz w:val="20"/>
          <w:szCs w:val="20"/>
          <w:color w:val="auto"/>
        </w:rPr>
      </w:pPr>
    </w:p>
    <w:p>
      <w:pPr>
        <w:jc w:val="both"/>
        <w:ind w:firstLine="8"/>
        <w:spacing w:after="0" w:line="258" w:lineRule="auto"/>
        <w:tabs>
          <w:tab w:leader="none" w:pos="31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the date of termination of all of the Commitments pursuant to Section 2.05 or 6.01;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4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Leverage Ratio</w:t>
      </w:r>
      <w:r>
        <w:rPr>
          <w:rFonts w:ascii="Arial" w:cs="Arial" w:eastAsia="Arial" w:hAnsi="Arial"/>
          <w:sz w:val="22"/>
          <w:szCs w:val="22"/>
          <w:color w:val="auto"/>
        </w:rPr>
        <w:t>” means, as of any date of determination, for the Company and its Subsidiaries on a Consolidated basis, the ratio of (a) Consolidated Debt as of such date to (b) Consolidated EBITDA for the most recent period of four consecutive quarters ending on or prior to such date.</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means, as of any date of determination, for the Company and its Subsidiaries on a Consolidated basis, the ratio of (a) (i) Consolidated Debt as of such date less (ii) unrestricted cash and cash equivalents of the Company and its Subsidiaries on such date in an aggregate amount not to exceed $100,000,000 to (b) Consolidated EBITDA for the most recent period of four consecutive quarters ending on or prior to such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with the Enemy Act</w:t>
      </w:r>
      <w:r>
        <w:rPr>
          <w:rFonts w:ascii="Arial" w:cs="Arial" w:eastAsia="Arial" w:hAnsi="Arial"/>
          <w:sz w:val="22"/>
          <w:szCs w:val="22"/>
          <w:color w:val="auto"/>
        </w:rPr>
        <w:t>” has the meaning assigned to such term in clause (l) of Section 4.01.</w:t>
      </w:r>
    </w:p>
    <w:p>
      <w:pPr>
        <w:spacing w:after="0" w:line="179"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w:t>
      </w:r>
      <w:r>
        <w:rPr>
          <w:rFonts w:ascii="Arial" w:cs="Arial" w:eastAsia="Arial" w:hAnsi="Arial"/>
          <w:sz w:val="19"/>
          <w:szCs w:val="19"/>
          <w:color w:val="auto"/>
        </w:rPr>
        <w:t>” means a category of Commitments and extensions of credit thereunder. For purposes hereof, each of the following comprises a separate Tranche: (a) the Multicurrency Tranche Commitments and (b) the US Tranche Commitments.</w:t>
      </w:r>
    </w:p>
    <w:p>
      <w:pPr>
        <w:spacing w:after="0" w:line="10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when used in reference to any Advance or Borrowing, refers to whether the rate of interest on such Advance, or on the Advances comprising such Borrowing, is determined by reference to the Base Rate or the Eurocurrency Rate, or that such Advance is a Daily Simple RFR Advance or a Term RFR Advance.</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means the United States of America.</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Unused Commitments</w:t>
      </w:r>
      <w:r>
        <w:rPr>
          <w:rFonts w:ascii="Arial" w:cs="Arial" w:eastAsia="Arial" w:hAnsi="Arial"/>
          <w:sz w:val="22"/>
          <w:szCs w:val="22"/>
          <w:color w:val="auto"/>
        </w:rPr>
        <w:t>” means, collectively, the Multicurrency Tranche Unused Commitments and the US Tranche Unused Commitments.</w:t>
      </w:r>
    </w:p>
    <w:p>
      <w:pPr>
        <w:sectPr>
          <w:pgSz w:w="11900" w:h="16838" w:orient="portrait"/>
          <w:cols w:equalWidth="0" w:num="1">
            <w:col w:w="11240"/>
          </w:cols>
          <w:pgMar w:left="320" w:top="1401" w:right="339" w:bottom="1440" w:gutter="0" w:footer="0" w:header="0"/>
        </w:sectPr>
      </w:pPr>
    </w:p>
    <w:bookmarkStart w:id="168" w:name="page169"/>
    <w:bookmarkEnd w:id="16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lawful money of the United States.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Tranche Advance</w:t>
      </w:r>
      <w:r>
        <w:rPr>
          <w:rFonts w:ascii="Arial" w:cs="Arial" w:eastAsia="Arial" w:hAnsi="Arial"/>
          <w:sz w:val="22"/>
          <w:szCs w:val="22"/>
          <w:color w:val="auto"/>
        </w:rPr>
        <w:t>” means an advance made by a US Tranche Lender to the Company in US Dollars as part of a Borrowing pursuant to Section 2.01(b).</w:t>
      </w:r>
    </w:p>
    <w:p>
      <w:pPr>
        <w:spacing w:after="0" w:line="15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Tranche Commitment</w:t>
      </w:r>
      <w:r>
        <w:rPr>
          <w:rFonts w:ascii="Arial" w:cs="Arial" w:eastAsia="Arial" w:hAnsi="Arial"/>
          <w:sz w:val="22"/>
          <w:szCs w:val="22"/>
          <w:color w:val="auto"/>
        </w:rPr>
        <w:t>” means, with respect to each US Tranche Lender at any time, (i) the US Dollar amount set forth opposite such US Tranche Lender’s name on Schedule II attached hereto and identified as such, (ii) if such US Tranche Lender has become a US Tranche Lender hereunder pursuant to an Assumption Agreement, the amount set forth as its US Tranche Commitment in such Assumption Agreement or (iii) if such US Tranche Lender has entered into one or more Assignment and Assumptions, the amount set forth for such US Tranche Lender in the Register maintained by the Administrative Agent pursuant to Section 9.07(c), as such amount may be increased, terminated or reduced, as the case may be, at or prior to such time pursuant to Section 2.05. The aggregate amount of the US Tranche Commitments on the Effective Date is $200,000,000.</w:t>
      </w:r>
    </w:p>
    <w:p>
      <w:pPr>
        <w:spacing w:after="0" w:line="16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Tranche Lender</w:t>
      </w:r>
      <w:r>
        <w:rPr>
          <w:rFonts w:ascii="Arial" w:cs="Arial" w:eastAsia="Arial" w:hAnsi="Arial"/>
          <w:sz w:val="22"/>
          <w:szCs w:val="22"/>
          <w:color w:val="auto"/>
        </w:rPr>
        <w:t>” means each of the Lenders with US Tranche Commitments or with outstanding US Tranche Advances.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Tranche Unused Commitment</w:t>
      </w:r>
      <w:r>
        <w:rPr>
          <w:rFonts w:ascii="Arial" w:cs="Arial" w:eastAsia="Arial" w:hAnsi="Arial"/>
          <w:sz w:val="22"/>
          <w:szCs w:val="22"/>
          <w:color w:val="auto"/>
        </w:rPr>
        <w:t>” means, with respect to any US Tranche Lender at any time, (a) such US Tranche Lender’s US Tranche Commitment at such time minus (b) the aggregate principal amount of all US Tranche Advances made by such US Tranche Lender and outstanding at such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USD LIBOR</w:t>
      </w:r>
      <w:r>
        <w:rPr>
          <w:rFonts w:ascii="Arial" w:cs="Arial" w:eastAsia="Arial" w:hAnsi="Arial"/>
          <w:sz w:val="22"/>
          <w:szCs w:val="22"/>
          <w:color w:val="auto"/>
        </w:rPr>
        <w:t>” has the meaning assigned thereto in the definition of “Eurocurrency 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USD LIBOR Rate</w:t>
      </w:r>
      <w:r>
        <w:rPr>
          <w:rFonts w:ascii="Arial" w:cs="Arial" w:eastAsia="Arial" w:hAnsi="Arial"/>
          <w:sz w:val="22"/>
          <w:szCs w:val="22"/>
          <w:color w:val="auto"/>
        </w:rPr>
        <w:t>” has the meaning assigned thereto in the definition of “Eurocurrency Rate”.</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USD LIBOR Transition Date</w:t>
      </w:r>
      <w:r>
        <w:rPr>
          <w:rFonts w:ascii="Arial" w:cs="Arial" w:eastAsia="Arial" w:hAnsi="Arial"/>
          <w:sz w:val="19"/>
          <w:szCs w:val="19"/>
          <w:color w:val="auto"/>
        </w:rPr>
        <w:t xml:space="preserve">” means, the earlier of (a) the date that all Available Tenors of USD LIBOR have either (i) permanently or indefinitely ceased to be provided by IBA;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USD LIBOR or (ii) been announced by the FCA pursuant to public statement or publication of information to be no longer representative and (b) the Early Opt-in Effective Date, so long as, in the case of (a) or (b), a Benchmark Replacement has not as of such date replaced the Adjusted Eurocurrency Rate for US Dollars pursuant to </w:t>
      </w:r>
      <w:r>
        <w:rPr>
          <w:rFonts w:ascii="Arial" w:cs="Arial" w:eastAsia="Arial" w:hAnsi="Arial"/>
          <w:sz w:val="19"/>
          <w:szCs w:val="19"/>
          <w:u w:val="single" w:color="auto"/>
          <w:color w:val="auto"/>
        </w:rPr>
        <w:t>Section 2.20(c)(i)</w:t>
      </w:r>
      <w:r>
        <w:rPr>
          <w:rFonts w:ascii="Arial" w:cs="Arial" w:eastAsia="Arial" w:hAnsi="Arial"/>
          <w:sz w:val="19"/>
          <w:szCs w:val="19"/>
          <w:color w:val="auto"/>
        </w:rPr>
        <w:t xml:space="preserve"> as the result of an Other Benchmark Rate Election.</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Wholly-Owned</w:t>
      </w:r>
      <w:r>
        <w:rPr>
          <w:rFonts w:ascii="Arial" w:cs="Arial" w:eastAsia="Arial" w:hAnsi="Arial"/>
          <w:sz w:val="22"/>
          <w:szCs w:val="22"/>
          <w:color w:val="auto"/>
        </w:rPr>
        <w:t>” means, with respect to a Subsidiary, that all of the Equity Interests of such Subsidiary are, directly or indirectly, owned or controlled by the Company and/or one or more of its Wholly-Owned Subsidiaries (except for directors’ qualifying shares or other shares required by Applicable Law to be owned by a Person other than the Company and/or one or more of its Wholly-Owned Subsidiaries).</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w:t>
      </w:r>
    </w:p>
    <w:p>
      <w:pPr>
        <w:sectPr>
          <w:pgSz w:w="11900" w:h="16838" w:orient="portrait"/>
          <w:cols w:equalWidth="0" w:num="1">
            <w:col w:w="11240"/>
          </w:cols>
          <w:pgMar w:left="320" w:top="1401" w:right="339" w:bottom="1440" w:gutter="0" w:footer="0" w:header="0"/>
        </w:sectPr>
      </w:pPr>
    </w:p>
    <w:bookmarkStart w:id="169" w:name="page170"/>
    <w:bookmarkEnd w:id="169"/>
    <w:p>
      <w:pPr>
        <w:jc w:val="both"/>
        <w:spacing w:after="0" w:line="249" w:lineRule="auto"/>
        <w:rPr>
          <w:sz w:val="20"/>
          <w:szCs w:val="20"/>
          <w:color w:val="auto"/>
        </w:rPr>
      </w:pPr>
      <w:r>
        <w:rPr>
          <w:rFonts w:ascii="Arial" w:cs="Arial" w:eastAsia="Arial" w:hAnsi="Arial"/>
          <w:sz w:val="19"/>
          <w:szCs w:val="19"/>
          <w:color w:val="auto"/>
        </w:rPr>
        <w:t>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2F5496"/>
        </w:rPr>
        <w:t xml:space="preserve">SECTION 1.02. </w:t>
      </w:r>
      <w:r>
        <w:rPr>
          <w:rFonts w:ascii="Arial" w:cs="Arial" w:eastAsia="Arial" w:hAnsi="Arial"/>
          <w:sz w:val="23"/>
          <w:szCs w:val="23"/>
          <w:u w:val="single" w:color="auto"/>
          <w:color w:val="000000"/>
        </w:rPr>
        <w:t>Computation of Time Periods</w:t>
      </w:r>
      <w:r>
        <w:rPr>
          <w:rFonts w:ascii="Arial" w:cs="Arial" w:eastAsia="Arial" w:hAnsi="Arial"/>
          <w:sz w:val="22"/>
          <w:szCs w:val="22"/>
          <w:color w:val="000000"/>
        </w:rPr>
        <w:t>. In this Agreement in the computation of periods of time from a</w:t>
      </w:r>
      <w:r>
        <w:rPr>
          <w:rFonts w:ascii="Arial" w:cs="Arial" w:eastAsia="Arial" w:hAnsi="Arial"/>
          <w:sz w:val="22"/>
          <w:szCs w:val="22"/>
          <w:color w:val="2F5496"/>
        </w:rPr>
        <w:t xml:space="preserve"> </w:t>
      </w:r>
      <w:r>
        <w:rPr>
          <w:rFonts w:ascii="Arial" w:cs="Arial" w:eastAsia="Arial" w:hAnsi="Arial"/>
          <w:sz w:val="22"/>
          <w:szCs w:val="22"/>
          <w:color w:val="000000"/>
        </w:rPr>
        <w:t>specified date to a later specified date, the word “from” means “from and including” and the words “to” and “until” each mean “to but excluding”.</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2F5496"/>
        </w:rPr>
        <w:t xml:space="preserve">SECTION 1.03. </w:t>
      </w:r>
      <w:r>
        <w:rPr>
          <w:rFonts w:ascii="Arial" w:cs="Arial" w:eastAsia="Arial" w:hAnsi="Arial"/>
          <w:sz w:val="21"/>
          <w:szCs w:val="21"/>
          <w:u w:val="single" w:color="auto"/>
          <w:color w:val="000000"/>
        </w:rPr>
        <w:t>Accounting Terms</w:t>
      </w:r>
      <w:r>
        <w:rPr>
          <w:rFonts w:ascii="Arial" w:cs="Arial" w:eastAsia="Arial" w:hAnsi="Arial"/>
          <w:sz w:val="20"/>
          <w:szCs w:val="20"/>
          <w:color w:val="000000"/>
        </w:rPr>
        <w:t>. All terms of an accounting or financial nature shall be construed in</w:t>
      </w:r>
      <w:r>
        <w:rPr>
          <w:rFonts w:ascii="Arial" w:cs="Arial" w:eastAsia="Arial" w:hAnsi="Arial"/>
          <w:sz w:val="20"/>
          <w:szCs w:val="20"/>
          <w:color w:val="2F5496"/>
        </w:rPr>
        <w:t xml:space="preserve"> </w:t>
      </w:r>
      <w:r>
        <w:rPr>
          <w:rFonts w:ascii="Arial" w:cs="Arial" w:eastAsia="Arial" w:hAnsi="Arial"/>
          <w:sz w:val="20"/>
          <w:szCs w:val="20"/>
          <w:color w:val="000000"/>
        </w:rPr>
        <w:t>accordance with generally accepted accounting principles (“</w:t>
      </w:r>
      <w:r>
        <w:rPr>
          <w:rFonts w:ascii="Arial" w:cs="Arial" w:eastAsia="Arial" w:hAnsi="Arial"/>
          <w:sz w:val="20"/>
          <w:szCs w:val="20"/>
          <w:u w:val="single" w:color="auto"/>
          <w:color w:val="000000"/>
        </w:rPr>
        <w:t>GAAP</w:t>
      </w:r>
      <w:r>
        <w:rPr>
          <w:rFonts w:ascii="Arial" w:cs="Arial" w:eastAsia="Arial" w:hAnsi="Arial"/>
          <w:sz w:val="20"/>
          <w:szCs w:val="20"/>
          <w:color w:val="000000"/>
        </w:rPr>
        <w:t xml:space="preserve">”), as in effect from time to time;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however</w:t>
      </w:r>
      <w:r>
        <w:rPr>
          <w:rFonts w:ascii="Arial" w:cs="Arial" w:eastAsia="Arial" w:hAnsi="Arial"/>
          <w:sz w:val="20"/>
          <w:szCs w:val="20"/>
          <w:color w:val="000000"/>
        </w:rPr>
        <w:t>, that if the Company notifies the Administrative Agent that the Borrowers wish to amend any provision hereof to eliminate the effect of any change in GAAP or the application thereof occurring after the date of this Agreement on the operation of such provision, or if the Administrative Agent notifies the Company that the Required Lenders wish to amend any provision hereof for such purpose, then the Borrowers’ compliance with such provision shall be determined on the basis of GAAP in effect immediately before the relevant change in GAAP or the application thereof became effective, until either such notice is withdrawn or such provision is amended in a manner satisfactory to the Company and the Required Lenders.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w:t>
      </w:r>
    </w:p>
    <w:p>
      <w:pPr>
        <w:spacing w:after="0" w:line="16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2F5496"/>
        </w:rPr>
        <w:t xml:space="preserve">SECTION 1.04. </w:t>
      </w:r>
      <w:r>
        <w:rPr>
          <w:rFonts w:ascii="Arial" w:cs="Arial" w:eastAsia="Arial" w:hAnsi="Arial"/>
          <w:sz w:val="23"/>
          <w:szCs w:val="23"/>
          <w:u w:val="single" w:color="auto"/>
          <w:color w:val="000000"/>
        </w:rPr>
        <w:t>Guarantees</w:t>
      </w:r>
      <w:r>
        <w:rPr>
          <w:rFonts w:ascii="Arial" w:cs="Arial" w:eastAsia="Arial" w:hAnsi="Arial"/>
          <w:sz w:val="22"/>
          <w:szCs w:val="22"/>
          <w:color w:val="000000"/>
        </w:rPr>
        <w:t>. Unless otherwise specified, the amount of any Guarantee shall be the lesser of the</w:t>
      </w:r>
      <w:r>
        <w:rPr>
          <w:rFonts w:ascii="Arial" w:cs="Arial" w:eastAsia="Arial" w:hAnsi="Arial"/>
          <w:sz w:val="22"/>
          <w:szCs w:val="22"/>
          <w:color w:val="2F5496"/>
        </w:rPr>
        <w:t xml:space="preserve"> </w:t>
      </w:r>
      <w:r>
        <w:rPr>
          <w:rFonts w:ascii="Arial" w:cs="Arial" w:eastAsia="Arial" w:hAnsi="Arial"/>
          <w:sz w:val="22"/>
          <w:szCs w:val="22"/>
          <w:color w:val="000000"/>
        </w:rPr>
        <w:t>principal amount of the obligations guaranteed and still outstanding and the maximum amount for which the guaranteeing Person may be liable pursuant to the terms of the instrument embodying such Guarantee.</w:t>
      </w:r>
    </w:p>
    <w:p>
      <w:pPr>
        <w:spacing w:after="0" w:line="15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2F5496"/>
        </w:rPr>
        <w:t xml:space="preserve">SECTION 1.05. </w:t>
      </w:r>
      <w:r>
        <w:rPr>
          <w:rFonts w:ascii="Arial" w:cs="Arial" w:eastAsia="Arial" w:hAnsi="Arial"/>
          <w:sz w:val="23"/>
          <w:szCs w:val="23"/>
          <w:u w:val="single" w:color="auto"/>
          <w:color w:val="000000"/>
        </w:rPr>
        <w:t>Redenominations of Certain Foreign Currencies and Computation of US Dollar Amounts;</w:t>
      </w:r>
      <w:r>
        <w:rPr>
          <w:rFonts w:ascii="Arial" w:cs="Arial" w:eastAsia="Arial" w:hAnsi="Arial"/>
          <w:sz w:val="22"/>
          <w:szCs w:val="22"/>
          <w:color w:val="2F5496"/>
        </w:rPr>
        <w:t xml:space="preserve"> </w:t>
      </w:r>
      <w:r>
        <w:rPr>
          <w:rFonts w:ascii="Arial" w:cs="Arial" w:eastAsia="Arial" w:hAnsi="Arial"/>
          <w:sz w:val="23"/>
          <w:szCs w:val="23"/>
          <w:u w:val="single" w:color="auto"/>
          <w:color w:val="000000"/>
        </w:rPr>
        <w:t>Exchange Rates; Currency Equivalents</w:t>
      </w:r>
      <w:r>
        <w:rPr>
          <w:rFonts w:ascii="Arial" w:cs="Arial" w:eastAsia="Arial" w:hAnsi="Arial"/>
          <w:sz w:val="21"/>
          <w:szCs w:val="21"/>
          <w:color w:val="000000"/>
        </w:rPr>
        <w:t>.</w:t>
      </w:r>
    </w:p>
    <w:p>
      <w:pPr>
        <w:spacing w:after="0" w:line="153" w:lineRule="exact"/>
        <w:rPr>
          <w:sz w:val="20"/>
          <w:szCs w:val="20"/>
          <w:color w:val="auto"/>
        </w:rPr>
      </w:pPr>
    </w:p>
    <w:p>
      <w:pPr>
        <w:jc w:val="both"/>
        <w:ind w:firstLine="656"/>
        <w:spacing w:after="0" w:line="246" w:lineRule="auto"/>
        <w:tabs>
          <w:tab w:leader="none" w:pos="1293" w:val="left"/>
        </w:tabs>
        <w:numPr>
          <w:ilvl w:val="0"/>
          <w:numId w:val="107"/>
        </w:numPr>
        <w:rPr>
          <w:rFonts w:ascii="Arial" w:cs="Arial" w:eastAsia="Arial" w:hAnsi="Arial"/>
          <w:sz w:val="19"/>
          <w:szCs w:val="19"/>
          <w:color w:val="1F3763"/>
        </w:rPr>
      </w:pPr>
      <w:r>
        <w:rPr>
          <w:rFonts w:ascii="Arial" w:cs="Arial" w:eastAsia="Arial" w:hAnsi="Arial"/>
          <w:sz w:val="19"/>
          <w:szCs w:val="19"/>
          <w:color w:val="auto"/>
        </w:rPr>
        <w:t xml:space="preserve">Each obligation of each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or applicable offshore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Advance in the currency of such member state is outstanding immediately prior to such date, such replacement shall take effect, with respect to such Advance, at the end of the then current Interest Period.</w:t>
      </w:r>
    </w:p>
    <w:p>
      <w:pPr>
        <w:sectPr>
          <w:pgSz w:w="11900" w:h="16838" w:orient="portrait"/>
          <w:cols w:equalWidth="0" w:num="1">
            <w:col w:w="11240"/>
          </w:cols>
          <w:pgMar w:left="320" w:top="1401" w:right="339" w:bottom="1440" w:gutter="0" w:footer="0" w:header="0"/>
        </w:sectPr>
      </w:pPr>
    </w:p>
    <w:bookmarkStart w:id="170" w:name="page171"/>
    <w:bookmarkEnd w:id="170"/>
    <w:p>
      <w:pPr>
        <w:jc w:val="both"/>
        <w:ind w:firstLine="656"/>
        <w:spacing w:after="0" w:line="234" w:lineRule="auto"/>
        <w:tabs>
          <w:tab w:leader="none" w:pos="1291" w:val="left"/>
        </w:tabs>
        <w:numPr>
          <w:ilvl w:val="0"/>
          <w:numId w:val="108"/>
        </w:numPr>
        <w:rPr>
          <w:rFonts w:ascii="Arial" w:cs="Arial" w:eastAsia="Arial" w:hAnsi="Arial"/>
          <w:sz w:val="21"/>
          <w:szCs w:val="21"/>
          <w:color w:val="1F3763"/>
        </w:rPr>
      </w:pPr>
      <w:r>
        <w:rPr>
          <w:rFonts w:ascii="Arial" w:cs="Arial" w:eastAsia="Arial" w:hAnsi="Arial"/>
          <w:sz w:val="21"/>
          <w:szCs w:val="21"/>
          <w:color w:val="auto"/>
        </w:rPr>
        <w:t>Each provision of this Agreement shall be subject to such reasonable changes of construction as the Administrative Agent and the Company may from time to time agree to be appropriate to reflect the adoption of the Euro by any member state of the European Union and any relevant market conventions or practices relating to the Euro.</w:t>
      </w:r>
    </w:p>
    <w:p>
      <w:pPr>
        <w:spacing w:after="0" w:line="157" w:lineRule="exact"/>
        <w:rPr>
          <w:rFonts w:ascii="Arial" w:cs="Arial" w:eastAsia="Arial" w:hAnsi="Arial"/>
          <w:sz w:val="21"/>
          <w:szCs w:val="21"/>
          <w:color w:val="1F3763"/>
        </w:rPr>
      </w:pPr>
    </w:p>
    <w:p>
      <w:pPr>
        <w:jc w:val="both"/>
        <w:ind w:firstLine="656"/>
        <w:spacing w:after="0" w:line="218" w:lineRule="auto"/>
        <w:tabs>
          <w:tab w:leader="none" w:pos="1293" w:val="left"/>
        </w:tabs>
        <w:numPr>
          <w:ilvl w:val="0"/>
          <w:numId w:val="108"/>
        </w:numPr>
        <w:rPr>
          <w:rFonts w:ascii="Arial" w:cs="Arial" w:eastAsia="Arial" w:hAnsi="Arial"/>
          <w:sz w:val="22"/>
          <w:szCs w:val="22"/>
          <w:color w:val="1F3763"/>
        </w:rPr>
      </w:pPr>
      <w:r>
        <w:rPr>
          <w:rFonts w:ascii="Arial" w:cs="Arial" w:eastAsia="Arial" w:hAnsi="Arial"/>
          <w:sz w:val="22"/>
          <w:szCs w:val="22"/>
          <w:color w:val="auto"/>
        </w:rPr>
        <w:t>The Administrative Agent shall reasonably determine the Spot Rate as of each Revaluation Date to be used for calculating the Dollar Equivalents of Advances and amounts outstanding hereunder denominated in a Foreign Currency. Such Spot Rate shall become effective as of such Revaluation Date and shall be the Spot Rate employed in converting any amounts between the applicable Currencies until the next Revaluation Date to occur.</w:t>
      </w:r>
    </w:p>
    <w:p>
      <w:pPr>
        <w:spacing w:after="0" w:line="160" w:lineRule="exact"/>
        <w:rPr>
          <w:rFonts w:ascii="Arial" w:cs="Arial" w:eastAsia="Arial" w:hAnsi="Arial"/>
          <w:sz w:val="22"/>
          <w:szCs w:val="22"/>
          <w:color w:val="1F3763"/>
        </w:rPr>
      </w:pPr>
    </w:p>
    <w:p>
      <w:pPr>
        <w:jc w:val="both"/>
        <w:ind w:firstLine="656"/>
        <w:spacing w:after="0" w:line="218" w:lineRule="auto"/>
        <w:tabs>
          <w:tab w:leader="none" w:pos="1291" w:val="left"/>
        </w:tabs>
        <w:numPr>
          <w:ilvl w:val="0"/>
          <w:numId w:val="108"/>
        </w:numPr>
        <w:rPr>
          <w:rFonts w:ascii="Arial" w:cs="Arial" w:eastAsia="Arial" w:hAnsi="Arial"/>
          <w:sz w:val="22"/>
          <w:szCs w:val="22"/>
          <w:color w:val="1F3763"/>
        </w:rPr>
      </w:pPr>
      <w:r>
        <w:rPr>
          <w:rFonts w:ascii="Arial" w:cs="Arial" w:eastAsia="Arial" w:hAnsi="Arial"/>
          <w:sz w:val="22"/>
          <w:szCs w:val="22"/>
          <w:color w:val="auto"/>
        </w:rPr>
        <w:t>Wherever in this Agreement, in connection with any Advance, any conversion, continuation or prepayment of an Advance, an amount, such as a required minimum or multiple amount, is expressed in US Dollars, but such Advance is denominated in a Foreign Currency, such amount shall be the relevant Foreign Currency Equivalent, as reasonably determined by the Administrative Agent.</w:t>
      </w:r>
    </w:p>
    <w:p>
      <w:pPr>
        <w:spacing w:after="0" w:line="160" w:lineRule="exact"/>
        <w:rPr>
          <w:rFonts w:ascii="Arial" w:cs="Arial" w:eastAsia="Arial" w:hAnsi="Arial"/>
          <w:sz w:val="22"/>
          <w:szCs w:val="22"/>
          <w:color w:val="1F3763"/>
        </w:rPr>
      </w:pPr>
    </w:p>
    <w:p>
      <w:pPr>
        <w:ind w:firstLine="656"/>
        <w:spacing w:after="0" w:line="232" w:lineRule="auto"/>
        <w:tabs>
          <w:tab w:leader="none" w:pos="1293" w:val="left"/>
        </w:tabs>
        <w:numPr>
          <w:ilvl w:val="0"/>
          <w:numId w:val="108"/>
        </w:numPr>
        <w:rPr>
          <w:rFonts w:ascii="Arial" w:cs="Arial" w:eastAsia="Arial" w:hAnsi="Arial"/>
          <w:sz w:val="22"/>
          <w:szCs w:val="22"/>
          <w:color w:val="1F3763"/>
        </w:rPr>
      </w:pPr>
      <w:r>
        <w:rPr>
          <w:rFonts w:ascii="Arial" w:cs="Arial" w:eastAsia="Arial" w:hAnsi="Arial"/>
          <w:sz w:val="22"/>
          <w:szCs w:val="22"/>
          <w:color w:val="auto"/>
        </w:rPr>
        <w:t>Wherever in this Agreement an amount is expressed in US Dollars, it shall be deemed to refer to the Dollar Equivalent or Foreign Currency Equivalent thereof, as applicable.</w:t>
      </w:r>
    </w:p>
    <w:p>
      <w:pPr>
        <w:spacing w:after="0" w:line="158" w:lineRule="exact"/>
        <w:rPr>
          <w:rFonts w:ascii="Arial" w:cs="Arial" w:eastAsia="Arial" w:hAnsi="Arial"/>
          <w:sz w:val="22"/>
          <w:szCs w:val="22"/>
          <w:color w:val="1F3763"/>
        </w:rPr>
      </w:pPr>
    </w:p>
    <w:p>
      <w:pPr>
        <w:ind w:left="1300" w:hanging="644"/>
        <w:spacing w:after="0"/>
        <w:tabs>
          <w:tab w:leader="none" w:pos="1300" w:val="left"/>
        </w:tabs>
        <w:numPr>
          <w:ilvl w:val="0"/>
          <w:numId w:val="108"/>
        </w:numPr>
        <w:rPr>
          <w:rFonts w:ascii="Arial" w:cs="Arial" w:eastAsia="Arial" w:hAnsi="Arial"/>
          <w:sz w:val="19"/>
          <w:szCs w:val="19"/>
          <w:color w:val="1F3763"/>
        </w:rPr>
      </w:pPr>
      <w:r>
        <w:rPr>
          <w:rFonts w:ascii="Arial" w:cs="Arial" w:eastAsia="Arial" w:hAnsi="Arial"/>
          <w:sz w:val="19"/>
          <w:szCs w:val="19"/>
          <w:color w:val="auto"/>
        </w:rPr>
        <w:t>Determinations by the Administrative Agent pursuant to this Section 1.05 shall be conclusive absent demonstrable</w:t>
      </w:r>
    </w:p>
    <w:p>
      <w:pPr>
        <w:spacing w:after="0" w:line="15" w:lineRule="exact"/>
        <w:rPr>
          <w:rFonts w:ascii="Arial" w:cs="Arial" w:eastAsia="Arial" w:hAnsi="Arial"/>
          <w:sz w:val="19"/>
          <w:szCs w:val="19"/>
          <w:color w:val="1F3763"/>
        </w:rPr>
      </w:pPr>
    </w:p>
    <w:p>
      <w:pPr>
        <w:spacing w:after="0"/>
        <w:rPr>
          <w:rFonts w:ascii="Arial" w:cs="Arial" w:eastAsia="Arial" w:hAnsi="Arial"/>
          <w:sz w:val="19"/>
          <w:szCs w:val="19"/>
          <w:color w:val="1F3763"/>
        </w:rPr>
      </w:pPr>
      <w:r>
        <w:rPr>
          <w:rFonts w:ascii="Arial" w:cs="Arial" w:eastAsia="Arial" w:hAnsi="Arial"/>
          <w:sz w:val="22"/>
          <w:szCs w:val="22"/>
          <w:color w:val="auto"/>
        </w:rPr>
        <w:t>error.</w:t>
      </w:r>
    </w:p>
    <w:p>
      <w:pPr>
        <w:spacing w:after="0" w:line="161" w:lineRule="exact"/>
        <w:rPr>
          <w:rFonts w:ascii="Arial" w:cs="Arial" w:eastAsia="Arial" w:hAnsi="Arial"/>
          <w:sz w:val="19"/>
          <w:szCs w:val="19"/>
          <w:color w:val="1F3763"/>
        </w:rPr>
      </w:pPr>
    </w:p>
    <w:p>
      <w:pPr>
        <w:jc w:val="both"/>
        <w:ind w:firstLine="656"/>
        <w:spacing w:after="0" w:line="229" w:lineRule="auto"/>
        <w:tabs>
          <w:tab w:leader="none" w:pos="1291" w:val="left"/>
        </w:tabs>
        <w:numPr>
          <w:ilvl w:val="0"/>
          <w:numId w:val="108"/>
        </w:numPr>
        <w:rPr>
          <w:rFonts w:ascii="Arial" w:cs="Arial" w:eastAsia="Arial" w:hAnsi="Arial"/>
          <w:sz w:val="21"/>
          <w:szCs w:val="21"/>
          <w:color w:val="1F3763"/>
        </w:rPr>
      </w:pPr>
      <w:r>
        <w:rPr>
          <w:rFonts w:ascii="Arial" w:cs="Arial" w:eastAsia="Arial" w:hAnsi="Arial"/>
          <w:sz w:val="21"/>
          <w:szCs w:val="21"/>
          <w:color w:val="auto"/>
        </w:rPr>
        <w:t>Subject to the provisions of Section 9.16, each provision in this Agreement relating to payments to be made by any Borrower on account of principal, interest and fees which requires payment in US Dollars, shall be deemed to mean (i) in the case of Advances or other amounts denominated in US Dollars, payment in US Dollars, and (ii) in the case of Advances or other amounts denominated in a Foreign Currency, payment in such Foreign Currency.</w:t>
      </w:r>
    </w:p>
    <w:p>
      <w:pPr>
        <w:spacing w:after="0" w:line="15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2F5496"/>
        </w:rPr>
        <w:t xml:space="preserve">SECTION 1.06. </w:t>
      </w:r>
      <w:r>
        <w:rPr>
          <w:rFonts w:ascii="Arial" w:cs="Arial" w:eastAsia="Arial" w:hAnsi="Arial"/>
          <w:sz w:val="21"/>
          <w:szCs w:val="21"/>
          <w:u w:val="single" w:color="auto"/>
          <w:color w:val="000000"/>
        </w:rPr>
        <w:t>Rates</w:t>
      </w:r>
      <w:r>
        <w:rPr>
          <w:rFonts w:ascii="Arial" w:cs="Arial" w:eastAsia="Arial" w:hAnsi="Arial"/>
          <w:sz w:val="20"/>
          <w:szCs w:val="20"/>
          <w:color w:val="000000"/>
        </w:rPr>
        <w:t>. The interest rate on Advances denominated in US Dollars or a Foreign Currency may be</w:t>
      </w:r>
      <w:r>
        <w:rPr>
          <w:rFonts w:ascii="Arial" w:cs="Arial" w:eastAsia="Arial" w:hAnsi="Arial"/>
          <w:sz w:val="20"/>
          <w:szCs w:val="20"/>
          <w:color w:val="2F5496"/>
        </w:rPr>
        <w:t xml:space="preserve"> </w:t>
      </w:r>
      <w:r>
        <w:rPr>
          <w:rFonts w:ascii="Arial" w:cs="Arial" w:eastAsia="Arial" w:hAnsi="Arial"/>
          <w:sz w:val="20"/>
          <w:szCs w:val="20"/>
          <w:color w:val="000000"/>
        </w:rPr>
        <w:t>determined by reference to a benchmark rate that is, or may in the future become, the subject of regulatory reform or cessation. Regulators have signaled the need to use alternative reference rates for some of these benchmark rates and, as a result, such benchmark rates may cease to comply with Applicable Laws and regulations, may be permanently discontinued or the basis on which they are calculated may change. The London interbank offered rate, which may be one of the benchmark rates with reference to which the interest rate on Advances may be determined, is intended to represent the rate at which contributing banks may obtain short-term borrowings from each other in the London interbank market. On March 5, 2021, the IBA and the Financial Conduct Authority (the “</w:t>
      </w:r>
      <w:r>
        <w:rPr>
          <w:rFonts w:ascii="Arial" w:cs="Arial" w:eastAsia="Arial" w:hAnsi="Arial"/>
          <w:sz w:val="20"/>
          <w:szCs w:val="20"/>
          <w:u w:val="single" w:color="auto"/>
          <w:color w:val="000000"/>
        </w:rPr>
        <w:t>FCA</w:t>
      </w:r>
      <w:r>
        <w:rPr>
          <w:rFonts w:ascii="Arial" w:cs="Arial" w:eastAsia="Arial" w:hAnsi="Arial"/>
          <w:sz w:val="20"/>
          <w:szCs w:val="20"/>
          <w:color w:val="000000"/>
        </w:rPr>
        <w:t>”), the regulatory supervisor of IBA, announced in public statements (the “</w:t>
      </w:r>
      <w:r>
        <w:rPr>
          <w:rFonts w:ascii="Arial" w:cs="Arial" w:eastAsia="Arial" w:hAnsi="Arial"/>
          <w:sz w:val="20"/>
          <w:szCs w:val="20"/>
          <w:u w:val="single" w:color="auto"/>
          <w:color w:val="000000"/>
        </w:rPr>
        <w:t>Announcements</w:t>
      </w:r>
      <w:r>
        <w:rPr>
          <w:rFonts w:ascii="Arial" w:cs="Arial" w:eastAsia="Arial" w:hAnsi="Arial"/>
          <w:sz w:val="20"/>
          <w:szCs w:val="20"/>
          <w:color w:val="000000"/>
        </w:rPr>
        <w:t>”) that the final publication or representativeness date for the London interbank offered rate for: (a) Sterling and Euros will be December 31, 2021, (b) US Dollars for 1-week and 2-month tenor settings will be December 31, 2021 and (c) US Dollars for overnight, 1-month, 3-month, 6-month and 12-month tenor settings will be June 30, 2023. No successor administrator for IBA was identified in such Announcements. As a result, it is possible that commencing immediately after such dates, the London interbank offered rate for such currencies and tenors may no longer be available or may no longer be deemed a representative reference rate upon which to determine the interest rate on applicable Advances.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First Amendment Effective Date, to be underway to implement new or alternative reference rates to be used in place of London interbank offered rates. In the event that the London interbank offered rate or any other then-current Benchmark is no longer available or in certain other circumstances set forth in</w:t>
      </w:r>
    </w:p>
    <w:p>
      <w:pPr>
        <w:sectPr>
          <w:pgSz w:w="11900" w:h="16838" w:orient="portrait"/>
          <w:cols w:equalWidth="0" w:num="1">
            <w:col w:w="11240"/>
          </w:cols>
          <w:pgMar w:left="320" w:top="1401" w:right="339" w:bottom="1440" w:gutter="0" w:footer="0" w:header="0"/>
        </w:sectPr>
      </w:pPr>
    </w:p>
    <w:bookmarkStart w:id="171" w:name="page172"/>
    <w:bookmarkEnd w:id="171"/>
    <w:p>
      <w:pPr>
        <w:jc w:val="both"/>
        <w:spacing w:after="0"/>
        <w:rPr>
          <w:sz w:val="20"/>
          <w:szCs w:val="20"/>
          <w:color w:val="auto"/>
        </w:rPr>
      </w:pPr>
      <w:r>
        <w:rPr>
          <w:rFonts w:ascii="Arial" w:cs="Arial" w:eastAsia="Arial" w:hAnsi="Arial"/>
          <w:sz w:val="19"/>
          <w:szCs w:val="19"/>
          <w:u w:val="single" w:color="auto"/>
          <w:color w:val="auto"/>
        </w:rPr>
        <w:t>Section 2.20(c)</w:t>
      </w:r>
      <w:r>
        <w:rPr>
          <w:rFonts w:ascii="Arial" w:cs="Arial" w:eastAsia="Arial" w:hAnsi="Arial"/>
          <w:sz w:val="19"/>
          <w:szCs w:val="19"/>
          <w:color w:val="auto"/>
        </w:rPr>
        <w:t xml:space="preserve">, such </w:t>
      </w:r>
      <w:r>
        <w:rPr>
          <w:rFonts w:ascii="Arial" w:cs="Arial" w:eastAsia="Arial" w:hAnsi="Arial"/>
          <w:sz w:val="19"/>
          <w:szCs w:val="19"/>
          <w:u w:val="single" w:color="auto"/>
          <w:color w:val="auto"/>
        </w:rPr>
        <w:t>Section 2.20(c)</w:t>
      </w:r>
      <w:r>
        <w:rPr>
          <w:rFonts w:ascii="Arial" w:cs="Arial" w:eastAsia="Arial" w:hAnsi="Arial"/>
          <w:sz w:val="19"/>
          <w:szCs w:val="19"/>
          <w:color w:val="auto"/>
        </w:rPr>
        <w:t xml:space="preserve"> provides a mechanism for determining an alternative rate of interest. The Administrative Agent will notify the Company, pursuant to </w:t>
      </w:r>
      <w:r>
        <w:rPr>
          <w:rFonts w:ascii="Arial" w:cs="Arial" w:eastAsia="Arial" w:hAnsi="Arial"/>
          <w:sz w:val="19"/>
          <w:szCs w:val="19"/>
          <w:u w:val="single" w:color="auto"/>
          <w:color w:val="auto"/>
        </w:rPr>
        <w:t>Section 2.20(c)</w:t>
      </w:r>
      <w:r>
        <w:rPr>
          <w:rFonts w:ascii="Arial" w:cs="Arial" w:eastAsia="Arial" w:hAnsi="Arial"/>
          <w:sz w:val="19"/>
          <w:szCs w:val="19"/>
          <w:color w:val="auto"/>
        </w:rPr>
        <w:t xml:space="preserve">, of any change to the reference rate upon which the interest rate on Advances is based. However, the Administrative Agent does not warrant or accept any responsibility for, and shall not have any liability with respect to, (i) the continuation of, administration of, submission of, calculation of or any other matter related to the London interbank offered rate, the rates in the definition of “Eurocurrency Rate” or any other Benchmark, or any component definition thereof or rates referenced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9"/>
          <w:szCs w:val="19"/>
          <w:u w:val="single" w:color="auto"/>
          <w:color w:val="auto"/>
        </w:rPr>
        <w:t>Section 2.20(c)</w:t>
      </w:r>
      <w:r>
        <w:rPr>
          <w:rFonts w:ascii="Arial" w:cs="Arial" w:eastAsia="Arial" w:hAnsi="Arial"/>
          <w:sz w:val="19"/>
          <w:szCs w:val="19"/>
          <w:color w:val="auto"/>
        </w:rPr>
        <w:t>, will be similar to, or produce the same value or economic equivalence of, or have the same volume or liquidity as, such Benchmark or any other Benchmark prior to its discontinuance or unavailability, or (ii)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6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II</w:t>
      </w:r>
    </w:p>
    <w:p>
      <w:pPr>
        <w:ind w:left="3440"/>
        <w:spacing w:after="0"/>
        <w:rPr>
          <w:sz w:val="20"/>
          <w:szCs w:val="20"/>
          <w:color w:val="auto"/>
        </w:rPr>
      </w:pPr>
      <w:r>
        <w:rPr>
          <w:rFonts w:ascii="Arial" w:cs="Arial" w:eastAsia="Arial" w:hAnsi="Arial"/>
          <w:sz w:val="22"/>
          <w:szCs w:val="22"/>
          <w:color w:val="auto"/>
        </w:rPr>
        <w:t>AMOUNTS AND TERMS OF THE ADVANCES</w:t>
      </w:r>
    </w:p>
    <w:p>
      <w:pPr>
        <w:spacing w:after="0" w:line="157"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1.01.</w:t>
      </w:r>
      <w:r>
        <w:rPr>
          <w:sz w:val="20"/>
          <w:szCs w:val="20"/>
          <w:color w:val="auto"/>
        </w:rPr>
        <w:tab/>
      </w:r>
      <w:r>
        <w:rPr>
          <w:rFonts w:ascii="Arial" w:cs="Arial" w:eastAsia="Arial" w:hAnsi="Arial"/>
          <w:sz w:val="21"/>
          <w:szCs w:val="21"/>
          <w:u w:val="single" w:color="auto"/>
          <w:color w:val="auto"/>
        </w:rPr>
        <w:t>The Advances</w:t>
      </w:r>
      <w:r>
        <w:rPr>
          <w:rFonts w:ascii="Arial" w:cs="Arial" w:eastAsia="Arial" w:hAnsi="Arial"/>
          <w:sz w:val="19"/>
          <w:szCs w:val="19"/>
          <w:color w:val="auto"/>
        </w:rPr>
        <w:t>.</w:t>
      </w:r>
    </w:p>
    <w:p>
      <w:pPr>
        <w:spacing w:after="0" w:line="197" w:lineRule="exact"/>
        <w:rPr>
          <w:sz w:val="20"/>
          <w:szCs w:val="20"/>
          <w:color w:val="auto"/>
        </w:rPr>
      </w:pPr>
    </w:p>
    <w:p>
      <w:pPr>
        <w:jc w:val="both"/>
        <w:ind w:firstLine="656"/>
        <w:spacing w:after="0" w:line="241" w:lineRule="auto"/>
        <w:tabs>
          <w:tab w:leader="none" w:pos="1293" w:val="left"/>
        </w:tabs>
        <w:numPr>
          <w:ilvl w:val="0"/>
          <w:numId w:val="109"/>
        </w:numPr>
        <w:rPr>
          <w:rFonts w:ascii="Arial" w:cs="Arial" w:eastAsia="Arial" w:hAnsi="Arial"/>
          <w:sz w:val="19"/>
          <w:szCs w:val="19"/>
          <w:color w:val="1F3763"/>
        </w:rPr>
      </w:pPr>
      <w:r>
        <w:rPr>
          <w:rFonts w:ascii="Arial" w:cs="Arial" w:eastAsia="Arial" w:hAnsi="Arial"/>
          <w:sz w:val="19"/>
          <w:szCs w:val="19"/>
          <w:color w:val="auto"/>
        </w:rPr>
        <w:t xml:space="preserve">Subject to the terms and conditions of this Agreement and the other Loan Documents, and in reliance upon the representations and warranties set forth in this Agreement and the other Loan Documents, each Multicurrency Tranche Lender severally agrees to make Multicurrency Tranche Advances to the Borrowers (including the Company) in US Dollars and Foreign Currencies from time to time from the Effective Date through, but not including, the Termination Date as requested by the Company, on behalf of one or more Borrowers, in accordance with the terms of Section 2.02; </w:t>
      </w:r>
      <w:r>
        <w:rPr>
          <w:rFonts w:ascii="Arial" w:cs="Arial" w:eastAsia="Arial" w:hAnsi="Arial"/>
          <w:sz w:val="19"/>
          <w:szCs w:val="19"/>
          <w:u w:val="single" w:color="auto"/>
          <w:color w:val="auto"/>
        </w:rPr>
        <w:t>provided</w:t>
      </w:r>
      <w:r>
        <w:rPr>
          <w:rFonts w:ascii="Arial" w:cs="Arial" w:eastAsia="Arial" w:hAnsi="Arial"/>
          <w:sz w:val="19"/>
          <w:szCs w:val="19"/>
          <w:color w:val="auto"/>
        </w:rPr>
        <w:t>, that (i) Multicurrency Tranche Advances made by any Multicurrency Tranche Lender shall not at any time exceed such Multicurrency Tranche Lender’s Multicurrency Tranche Unused Commitment and (ii) a Multicurrency Tranche Lender may designate an Applicable Lending Office as a lender of all or a portion of its Multicurrency Tranche Commitment under this Agreement. Subject to the terms and conditions hereof, the Borrowers may borrow, repay and reborrow Multicurrency Tranche Advances hereunder until the Termination Date. Each Multicurrency Tranche Advance shall be comprised entirely of (i) in the case of a Multicurrency Tranche Advance denominated in Euros or other Currencies (other than US Dollars, Sterling or Singapore Dollars), Eurocurrency Rate Advances, (ii) in the case of a Multicurrency Tranche Advance denominated in Sterling, Daily Simple RFR Advances, (iii) in the case of a Multicurrency Tranche Advance denominated in Singapore Dollars, Daily Simple RFR Advances and (iv) in the case of a Multicurrency Tranche Advance denominated in US Dollars, (a) with respect to Revolving Credit Advances denominated in US Dollars, (A) Base Rate Advances or (B)(I) prior to the USD LIBOR Transition Date, Eurocurrency Rate Advances or (II) on and after the USD LIBOR Transition Date, (1) if the Benchmark Replacement that has replaced USD LIBOR pursuant to Section 2.20(c)(i) is Adjusted Daily Simple RFR for US Dollars, then (x) prior to the Term RFR Transition Date for</w:t>
      </w:r>
    </w:p>
    <w:p>
      <w:pPr>
        <w:sectPr>
          <w:pgSz w:w="11900" w:h="16838" w:orient="portrait"/>
          <w:cols w:equalWidth="0" w:num="1">
            <w:col w:w="11240"/>
          </w:cols>
          <w:pgMar w:left="320" w:top="1401" w:right="339" w:bottom="1440" w:gutter="0" w:footer="0" w:header="0"/>
        </w:sectPr>
      </w:pPr>
    </w:p>
    <w:bookmarkStart w:id="172" w:name="page173"/>
    <w:bookmarkEnd w:id="172"/>
    <w:p>
      <w:pPr>
        <w:jc w:val="both"/>
        <w:spacing w:after="0" w:line="218" w:lineRule="auto"/>
        <w:rPr>
          <w:sz w:val="20"/>
          <w:szCs w:val="20"/>
          <w:color w:val="auto"/>
        </w:rPr>
      </w:pPr>
      <w:r>
        <w:rPr>
          <w:rFonts w:ascii="Arial" w:cs="Arial" w:eastAsia="Arial" w:hAnsi="Arial"/>
          <w:sz w:val="22"/>
          <w:szCs w:val="22"/>
          <w:color w:val="auto"/>
        </w:rPr>
        <w:t>US Dollars, Daily Simple RFR Advances or (y) on and after the Term RFR Transition Date for US Dollars, Term RFR Advances or (2) if the Benchmark Replacement that has replaced USD LIBOR pursuant to Section 2.20(c)(i) is Adjusted Term SOFR, Term RFR Advances, each as further provided herein, in each case as the Company, on behalf of one or more Borrowers, may request in accordance therewith.</w:t>
      </w:r>
    </w:p>
    <w:p>
      <w:pPr>
        <w:spacing w:after="0" w:line="161" w:lineRule="exact"/>
        <w:rPr>
          <w:sz w:val="20"/>
          <w:szCs w:val="20"/>
          <w:color w:val="auto"/>
        </w:rPr>
      </w:pPr>
    </w:p>
    <w:p>
      <w:pPr>
        <w:jc w:val="both"/>
        <w:ind w:firstLine="656"/>
        <w:spacing w:after="0" w:line="246" w:lineRule="auto"/>
        <w:tabs>
          <w:tab w:leader="none" w:pos="1291" w:val="left"/>
        </w:tabs>
        <w:numPr>
          <w:ilvl w:val="0"/>
          <w:numId w:val="110"/>
        </w:numPr>
        <w:rPr>
          <w:rFonts w:ascii="Arial" w:cs="Arial" w:eastAsia="Arial" w:hAnsi="Arial"/>
          <w:sz w:val="19"/>
          <w:szCs w:val="19"/>
          <w:color w:val="1F3763"/>
        </w:rPr>
      </w:pPr>
      <w:r>
        <w:rPr>
          <w:rFonts w:ascii="Arial" w:cs="Arial" w:eastAsia="Arial" w:hAnsi="Arial"/>
          <w:sz w:val="19"/>
          <w:szCs w:val="19"/>
          <w:color w:val="auto"/>
        </w:rPr>
        <w:t xml:space="preserve">Subject to the terms and conditions of this Agreement and the other Loan Documents, and in reliance upon the representations and warranties set forth in this Agreement and the other Loan Documents, each US Tranche Lender severally agrees to make US Tranche Advances to the Company in US Dollars from time to time from the Effective Date through, but not including, the Termination Date as requested by the Company in accordance with the terms of Section 2.02; </w:t>
      </w:r>
      <w:r>
        <w:rPr>
          <w:rFonts w:ascii="Arial" w:cs="Arial" w:eastAsia="Arial" w:hAnsi="Arial"/>
          <w:sz w:val="19"/>
          <w:szCs w:val="19"/>
          <w:u w:val="single" w:color="auto"/>
          <w:color w:val="auto"/>
        </w:rPr>
        <w:t>provided</w:t>
      </w:r>
      <w:r>
        <w:rPr>
          <w:rFonts w:ascii="Arial" w:cs="Arial" w:eastAsia="Arial" w:hAnsi="Arial"/>
          <w:sz w:val="19"/>
          <w:szCs w:val="19"/>
          <w:color w:val="auto"/>
        </w:rPr>
        <w:t>, that US Tranche Advances made by any US Tranche Lender shall not at any time exceed such US Tranche Lender’s US Tranche Unused Commitment. Subject to the terms and conditions hereof, the Company may borrow, repay and reborrow US Tranche Advances hereunder until the Termination Date. Each US Tranche Advance shall be comprised entirely of (i) Eurocurrency Rate Advances or (ii) Base Rate Advances, as the Company may request in accordance therewith.</w:t>
      </w:r>
    </w:p>
    <w:p>
      <w:pPr>
        <w:spacing w:after="0" w:line="152" w:lineRule="exact"/>
        <w:rPr>
          <w:rFonts w:ascii="Arial" w:cs="Arial" w:eastAsia="Arial" w:hAnsi="Arial"/>
          <w:sz w:val="19"/>
          <w:szCs w:val="19"/>
          <w:color w:val="1F3763"/>
        </w:rPr>
      </w:pPr>
    </w:p>
    <w:p>
      <w:pPr>
        <w:ind w:right="20" w:firstLine="656"/>
        <w:spacing w:after="0" w:line="247" w:lineRule="auto"/>
        <w:tabs>
          <w:tab w:leader="none" w:pos="1293" w:val="left"/>
        </w:tabs>
        <w:numPr>
          <w:ilvl w:val="0"/>
          <w:numId w:val="110"/>
        </w:numPr>
        <w:rPr>
          <w:rFonts w:ascii="Arial" w:cs="Arial" w:eastAsia="Arial" w:hAnsi="Arial"/>
          <w:sz w:val="21"/>
          <w:szCs w:val="21"/>
          <w:color w:val="1F3763"/>
        </w:rPr>
      </w:pPr>
      <w:r>
        <w:rPr>
          <w:rFonts w:ascii="Arial" w:cs="Arial" w:eastAsia="Arial" w:hAnsi="Arial"/>
          <w:sz w:val="21"/>
          <w:szCs w:val="21"/>
          <w:color w:val="auto"/>
        </w:rPr>
        <w:t>Notwithstanding any provision in the Loan Documents to the contrary, no Foreign Borrower or other Foreign Subsidiary shall be liable for Advances made to the Company or other Borrower Obligations of the Company.</w:t>
      </w:r>
    </w:p>
    <w:p>
      <w:pPr>
        <w:spacing w:after="0" w:line="14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1.02.</w:t>
      </w:r>
      <w:r>
        <w:rPr>
          <w:sz w:val="20"/>
          <w:szCs w:val="20"/>
          <w:color w:val="auto"/>
        </w:rPr>
        <w:tab/>
      </w:r>
      <w:r>
        <w:rPr>
          <w:rFonts w:ascii="Arial" w:cs="Arial" w:eastAsia="Arial" w:hAnsi="Arial"/>
          <w:sz w:val="21"/>
          <w:szCs w:val="21"/>
          <w:u w:val="single" w:color="auto"/>
          <w:color w:val="auto"/>
        </w:rPr>
        <w:t>Making the Advances</w:t>
      </w:r>
      <w:r>
        <w:rPr>
          <w:rFonts w:ascii="Arial" w:cs="Arial" w:eastAsia="Arial" w:hAnsi="Arial"/>
          <w:sz w:val="21"/>
          <w:szCs w:val="21"/>
          <w:color w:val="auto"/>
        </w:rPr>
        <w:t>.</w:t>
      </w:r>
    </w:p>
    <w:p>
      <w:pPr>
        <w:spacing w:after="0" w:line="197" w:lineRule="exact"/>
        <w:rPr>
          <w:sz w:val="20"/>
          <w:szCs w:val="20"/>
          <w:color w:val="auto"/>
        </w:rPr>
      </w:pPr>
    </w:p>
    <w:p>
      <w:pPr>
        <w:jc w:val="both"/>
        <w:ind w:firstLine="656"/>
        <w:spacing w:after="0" w:line="238" w:lineRule="auto"/>
        <w:tabs>
          <w:tab w:leader="none" w:pos="1293" w:val="left"/>
        </w:tabs>
        <w:numPr>
          <w:ilvl w:val="1"/>
          <w:numId w:val="111"/>
        </w:numPr>
        <w:rPr>
          <w:rFonts w:ascii="Arial" w:cs="Arial" w:eastAsia="Arial" w:hAnsi="Arial"/>
          <w:sz w:val="19"/>
          <w:szCs w:val="19"/>
          <w:color w:val="1F3763"/>
        </w:rPr>
      </w:pPr>
      <w:r>
        <w:rPr>
          <w:rFonts w:ascii="Arial" w:cs="Arial" w:eastAsia="Arial" w:hAnsi="Arial"/>
          <w:sz w:val="19"/>
          <w:szCs w:val="19"/>
          <w:color w:val="auto"/>
        </w:rPr>
        <w:t>The Company, on behalf of one or more Borrowers in the case of a Multicurrency Tranche Advance, shall give the Administrative Agent irrevocable prior written notice substantially in the form of Exhibit B-1 (a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not later than 11:00 a.m. (New York City time) in the case of any Advance denominated in US Dollars and not later than the Applicable Time specified by the Administrative Agent in the case of any Advance denominated in a Foreign Currency (i) on (x) the same Business Day as each Base Rate Advance to the Company that will be funded in the United States and (y) the date that is at least two Business Days before each other Base Rate Advance (including any Base Rate Advance to a Foreign Borrower) and (ii)(A) in the case of a Daily Simple RFR Advance denominated in US Dollars, at least five RFR Business Days before such Daily Simple RFR Advance, (B) in the case of a Term RFR Advance denominated in US Dollars, at least three RFR Business Days before such Daily Simple RFR Advance, (C) in the case of a Eurocurrency Rate Advance denominated in US Dollars, at least three Eurocurrency Banking Days before such Eurocurrency Rate Advance, (D) in the case of an RFR Advance denominated in any Foreign Currency, at least five RFR Business Days before such RFR Advance, and (E) in the case of a Eurocurrency Rate Advance denominated in any Foreign Currency, at least four Eurocurrency Banking Days before such Eurocurrency Rate Advance (or five Eurocurrency Banking Days in the case of a Special Notice Currency), of its intention to borrow, specifying</w:t>
      </w:r>
    </w:p>
    <w:p>
      <w:pPr>
        <w:spacing w:after="0" w:line="9" w:lineRule="exact"/>
        <w:rPr>
          <w:rFonts w:ascii="Arial" w:cs="Arial" w:eastAsia="Arial" w:hAnsi="Arial"/>
          <w:sz w:val="19"/>
          <w:szCs w:val="19"/>
          <w:color w:val="1F3763"/>
        </w:rPr>
      </w:pPr>
    </w:p>
    <w:p>
      <w:pPr>
        <w:jc w:val="both"/>
        <w:ind w:firstLine="8"/>
        <w:spacing w:after="0" w:line="218" w:lineRule="auto"/>
        <w:tabs>
          <w:tab w:leader="none" w:pos="37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date of such Borrowing, which shall be a Business Day, (B) the amount of such Borrowing, which shall be, (x) with respect to Base Rate Advances, in an aggregate principal amount of $3,000,000 or a Foreign Currency Equivalent thereof or a whole multiple of $1,000,000 or a Foreign Currency Equivalent thereof in excess thereof and (y) with respect to Eurocurrency Rate Advances and RFR Advances, in an aggregate principal amount of $5,000,000 or a Foreign Currency Equivalent thereof or a whole multiple of $1,000,000 or a Foreign Currency Equivalent thereof in excess thereof, (C) whether the Advances are to be Eurocurrency Rate Advances, Daily Simple RFR Advances, Term RFR Advances or Base Rate Advances, (D) whether the Advances are to be Multicurrency Tranche Advances or US Tranche Advances and the Currency of such Advances, (E) in the case of a Eurocurrency Rate Advance or a Term RFR Advance, the duration of the Interest Period applicable thereto, and (F) in the case of a Multicurrency Tranche Advance, the applicable Borrower. If the Company fails to specify a Tranche of Advance in a Notice of Borrowing for</w:t>
      </w:r>
    </w:p>
    <w:p>
      <w:pPr>
        <w:sectPr>
          <w:pgSz w:w="11900" w:h="16838" w:orient="portrait"/>
          <w:cols w:equalWidth="0" w:num="1">
            <w:col w:w="11240"/>
          </w:cols>
          <w:pgMar w:left="320" w:top="1401" w:right="339" w:bottom="1440" w:gutter="0" w:footer="0" w:header="0"/>
        </w:sectPr>
      </w:pPr>
    </w:p>
    <w:bookmarkStart w:id="173" w:name="page174"/>
    <w:bookmarkEnd w:id="173"/>
    <w:p>
      <w:pPr>
        <w:jc w:val="both"/>
        <w:spacing w:after="0" w:line="247" w:lineRule="auto"/>
        <w:rPr>
          <w:sz w:val="20"/>
          <w:szCs w:val="20"/>
          <w:color w:val="auto"/>
        </w:rPr>
      </w:pPr>
      <w:r>
        <w:rPr>
          <w:rFonts w:ascii="Arial" w:cs="Arial" w:eastAsia="Arial" w:hAnsi="Arial"/>
          <w:sz w:val="19"/>
          <w:szCs w:val="19"/>
          <w:color w:val="auto"/>
        </w:rPr>
        <w:t>Advances to be made in US Dollars, then the applicable Advances shall be made as US Tranche Advances. If the Company fails to specify a type of Advance in a Notice of Borrowing, then the applicable Advances shall be made as Base Rate Advances. If the Company fails to specify a Borrower, the Borrower shall be the Company. If the Company requests a Borrowing of Eurocurrency Rate Advances or Term RFR Advance in any such Notice of Borrowing, but fails to specify an Interest Period, it will be deemed to have specified an Interest Period of one month. A Notice of Borrowing received after 11:00 a.m. (New York City time) shall be deemed received on the next Business Day, RFR Business Day or Eurocurrency Banking Day, as applicable. The Administrative Agent shall promptly notify the Lenders of each Notice of Borrowing.</w:t>
      </w:r>
    </w:p>
    <w:p>
      <w:pPr>
        <w:spacing w:after="0" w:line="154" w:lineRule="exact"/>
        <w:rPr>
          <w:sz w:val="20"/>
          <w:szCs w:val="20"/>
          <w:color w:val="auto"/>
        </w:rPr>
      </w:pPr>
    </w:p>
    <w:p>
      <w:pPr>
        <w:jc w:val="both"/>
        <w:ind w:firstLine="656"/>
        <w:spacing w:after="0" w:line="219" w:lineRule="auto"/>
        <w:tabs>
          <w:tab w:leader="none" w:pos="1291" w:val="left"/>
        </w:tabs>
        <w:numPr>
          <w:ilvl w:val="0"/>
          <w:numId w:val="113"/>
        </w:numPr>
        <w:rPr>
          <w:rFonts w:ascii="Arial" w:cs="Arial" w:eastAsia="Arial" w:hAnsi="Arial"/>
          <w:sz w:val="21"/>
          <w:szCs w:val="21"/>
          <w:color w:val="1F3763"/>
        </w:rPr>
      </w:pPr>
      <w:r>
        <w:rPr>
          <w:rFonts w:ascii="Arial" w:cs="Arial" w:eastAsia="Arial" w:hAnsi="Arial"/>
          <w:sz w:val="21"/>
          <w:szCs w:val="21"/>
          <w:color w:val="auto"/>
        </w:rPr>
        <w:t>Not later than 1:00 p.m. (New York City time), in the case of any Advance denominated in US Dollars and not later than the Applicable Time specified by the Administrative Agent in the case of any Advance denominated in a Foreign Currency, in each case on the proposed borrowing date, each Lender will make available to the Administrative Agent, for the account of the applicable Borrower, at the office of the Administrative Agent in Same Day Funds in the applicable currency of such Borrowing immediately available to the Administrative Agent, such Lender’s ratable portion of such Borrowing. Each Borrower hereby irrevocably authorizes the Administrative Agent to disburse the proceeds of each Borrowing requested pursuant to this Section in immediately available funds by crediting or wiring such proceeds to the deposit account of the applicable Borrower identified in the most recent notice substantially in the form attached as Exhibit E (a “</w:t>
      </w:r>
      <w:r>
        <w:rPr>
          <w:rFonts w:ascii="Arial" w:cs="Arial" w:eastAsia="Arial" w:hAnsi="Arial"/>
          <w:sz w:val="21"/>
          <w:szCs w:val="21"/>
          <w:u w:val="single" w:color="auto"/>
          <w:color w:val="auto"/>
        </w:rPr>
        <w:t>Notice of Account Designation</w:t>
      </w:r>
      <w:r>
        <w:rPr>
          <w:rFonts w:ascii="Arial" w:cs="Arial" w:eastAsia="Arial" w:hAnsi="Arial"/>
          <w:sz w:val="21"/>
          <w:szCs w:val="21"/>
          <w:color w:val="auto"/>
        </w:rPr>
        <w:t>”) delivered by each Borrower to the Administrative Agent or as may be otherwise agreed upon by such Borrower and the Administrative Agent from time to time. The Administrative Agent shall not be obligated to disburse the portion of the proceeds of any Borrowing requested pursuant to this Section to the extent that any Lender has not made available to the Administrative Agent its ratable portion of such Borrowing.</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1940" w:type="dxa"/>
            <w:vAlign w:val="bottom"/>
          </w:tcPr>
          <w:p>
            <w:pPr>
              <w:spacing w:after="0"/>
              <w:rPr>
                <w:sz w:val="20"/>
                <w:szCs w:val="20"/>
                <w:color w:val="auto"/>
              </w:rPr>
            </w:pPr>
            <w:r>
              <w:rPr>
                <w:rFonts w:ascii="Arial" w:cs="Arial" w:eastAsia="Arial" w:hAnsi="Arial"/>
                <w:sz w:val="22"/>
                <w:szCs w:val="22"/>
                <w:color w:val="2F5496"/>
              </w:rPr>
              <w:t>SECTION 1.03.</w:t>
            </w:r>
          </w:p>
        </w:tc>
        <w:tc>
          <w:tcPr>
            <w:tcW w:w="1080" w:type="dxa"/>
            <w:vAlign w:val="bottom"/>
            <w:gridSpan w:val="3"/>
          </w:tcPr>
          <w:p>
            <w:pPr>
              <w:spacing w:after="0"/>
              <w:rPr>
                <w:sz w:val="20"/>
                <w:szCs w:val="20"/>
                <w:color w:val="auto"/>
              </w:rPr>
            </w:pPr>
            <w:r>
              <w:rPr>
                <w:rFonts w:ascii="Arial" w:cs="Arial" w:eastAsia="Arial" w:hAnsi="Arial"/>
                <w:sz w:val="23"/>
                <w:szCs w:val="23"/>
                <w:color w:val="auto"/>
                <w:w w:val="90"/>
              </w:rPr>
              <w:t>[Reserved]</w:t>
            </w:r>
            <w:r>
              <w:rPr>
                <w:rFonts w:ascii="Arial" w:cs="Arial" w:eastAsia="Arial" w:hAnsi="Arial"/>
                <w:sz w:val="21"/>
                <w:szCs w:val="21"/>
                <w:color w:val="auto"/>
                <w:w w:val="90"/>
              </w:rPr>
              <w:t>.</w:t>
            </w:r>
          </w:p>
        </w:tc>
      </w:tr>
      <w:tr>
        <w:trPr>
          <w:trHeight w:val="426"/>
        </w:trPr>
        <w:tc>
          <w:tcPr>
            <w:tcW w:w="1940" w:type="dxa"/>
            <w:vAlign w:val="bottom"/>
          </w:tcPr>
          <w:p>
            <w:pPr>
              <w:spacing w:after="0"/>
              <w:rPr>
                <w:sz w:val="20"/>
                <w:szCs w:val="20"/>
                <w:color w:val="auto"/>
              </w:rPr>
            </w:pPr>
            <w:r>
              <w:rPr>
                <w:rFonts w:ascii="Arial" w:cs="Arial" w:eastAsia="Arial" w:hAnsi="Arial"/>
                <w:sz w:val="22"/>
                <w:szCs w:val="22"/>
                <w:color w:val="2F5496"/>
              </w:rPr>
              <w:t>SECTION 1.04.</w:t>
            </w: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23"/>
                <w:szCs w:val="23"/>
                <w:color w:val="auto"/>
              </w:rPr>
              <w:t>Fees</w:t>
            </w:r>
            <w:r>
              <w:rPr>
                <w:rFonts w:ascii="Arial" w:cs="Arial" w:eastAsia="Arial" w:hAnsi="Arial"/>
                <w:sz w:val="21"/>
                <w:szCs w:val="21"/>
                <w:color w:val="auto"/>
              </w:rPr>
              <w:t>.</w:t>
            </w:r>
          </w:p>
        </w:tc>
        <w:tc>
          <w:tcPr>
            <w:tcW w:w="6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56"/>
        <w:spacing w:after="0" w:line="224" w:lineRule="auto"/>
        <w:tabs>
          <w:tab w:leader="none" w:pos="1293" w:val="left"/>
        </w:tabs>
        <w:numPr>
          <w:ilvl w:val="0"/>
          <w:numId w:val="114"/>
        </w:numPr>
        <w:rPr>
          <w:rFonts w:ascii="Arial" w:cs="Arial" w:eastAsia="Arial" w:hAnsi="Arial"/>
          <w:sz w:val="21"/>
          <w:szCs w:val="21"/>
          <w:color w:val="1F3763"/>
        </w:rPr>
      </w:pPr>
      <w:r>
        <w:rPr>
          <w:rFonts w:ascii="Arial" w:cs="Arial" w:eastAsia="Arial" w:hAnsi="Arial"/>
          <w:sz w:val="21"/>
          <w:szCs w:val="21"/>
          <w:u w:val="single" w:color="auto"/>
          <w:color w:val="auto"/>
        </w:rPr>
        <w:t>Commitment Fee</w:t>
      </w:r>
      <w:r>
        <w:rPr>
          <w:rFonts w:ascii="Arial" w:cs="Arial" w:eastAsia="Arial" w:hAnsi="Arial"/>
          <w:sz w:val="21"/>
          <w:szCs w:val="21"/>
          <w:color w:val="auto"/>
        </w:rPr>
        <w:t>. Commencing on the Effective Date, the Company agrees to pay to the Administrative Agent in US Dollars, for the account of the Lenders, a non-refundable commitment fee (the “</w:t>
      </w:r>
      <w:r>
        <w:rPr>
          <w:rFonts w:ascii="Arial" w:cs="Arial" w:eastAsia="Arial" w:hAnsi="Arial"/>
          <w:sz w:val="21"/>
          <w:szCs w:val="21"/>
          <w:u w:val="single" w:color="auto"/>
          <w:color w:val="auto"/>
        </w:rPr>
        <w:t>Commitment Fee</w:t>
      </w:r>
      <w:r>
        <w:rPr>
          <w:rFonts w:ascii="Arial" w:cs="Arial" w:eastAsia="Arial" w:hAnsi="Arial"/>
          <w:sz w:val="21"/>
          <w:szCs w:val="21"/>
          <w:color w:val="auto"/>
        </w:rPr>
        <w:t>”) at a rate per annum equal to the Applicable Percentage in effect from time to time on the average daily Unused Commitments of the Lenders (other than the Defaulting Lenders, if any). The Commitment Fee shall be payable in arrears on the last Business Day of each calendar quarter during the term of this Agreement commencing June 30, 2018, and ending on the date upon which all Commitments have been terminated.</w:t>
      </w:r>
    </w:p>
    <w:p>
      <w:pPr>
        <w:spacing w:after="0" w:line="159" w:lineRule="exact"/>
        <w:rPr>
          <w:rFonts w:ascii="Arial" w:cs="Arial" w:eastAsia="Arial" w:hAnsi="Arial"/>
          <w:sz w:val="21"/>
          <w:szCs w:val="21"/>
          <w:color w:val="1F3763"/>
        </w:rPr>
      </w:pPr>
    </w:p>
    <w:p>
      <w:pPr>
        <w:ind w:firstLine="656"/>
        <w:spacing w:after="0" w:line="232" w:lineRule="auto"/>
        <w:tabs>
          <w:tab w:leader="none" w:pos="1291" w:val="left"/>
        </w:tabs>
        <w:numPr>
          <w:ilvl w:val="0"/>
          <w:numId w:val="114"/>
        </w:numPr>
        <w:rPr>
          <w:rFonts w:ascii="Arial" w:cs="Arial" w:eastAsia="Arial" w:hAnsi="Arial"/>
          <w:sz w:val="22"/>
          <w:szCs w:val="22"/>
          <w:color w:val="1F3763"/>
        </w:rPr>
      </w:pPr>
      <w:r>
        <w:rPr>
          <w:rFonts w:ascii="Arial" w:cs="Arial" w:eastAsia="Arial" w:hAnsi="Arial"/>
          <w:sz w:val="22"/>
          <w:szCs w:val="22"/>
          <w:u w:val="single" w:color="auto"/>
          <w:color w:val="auto"/>
        </w:rPr>
        <w:t>Other Fees</w:t>
      </w:r>
      <w:r>
        <w:rPr>
          <w:rFonts w:ascii="Arial" w:cs="Arial" w:eastAsia="Arial" w:hAnsi="Arial"/>
          <w:sz w:val="22"/>
          <w:szCs w:val="22"/>
          <w:color w:val="auto"/>
        </w:rPr>
        <w:t>. The Company shall pay to the Administrative Agent for its account fees in the amounts and at the times specified in the Engagement Letter.</w:t>
      </w:r>
    </w:p>
    <w:p>
      <w:pPr>
        <w:spacing w:after="0" w:line="15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1.05.</w:t>
      </w:r>
      <w:r>
        <w:rPr>
          <w:sz w:val="20"/>
          <w:szCs w:val="20"/>
          <w:color w:val="auto"/>
        </w:rPr>
        <w:tab/>
      </w:r>
      <w:r>
        <w:rPr>
          <w:rFonts w:ascii="Arial" w:cs="Arial" w:eastAsia="Arial" w:hAnsi="Arial"/>
          <w:sz w:val="21"/>
          <w:szCs w:val="21"/>
          <w:u w:val="single" w:color="auto"/>
          <w:color w:val="auto"/>
        </w:rPr>
        <w:t>Termination, Reduction or Increase of the Commitments</w:t>
      </w:r>
      <w:r>
        <w:rPr>
          <w:rFonts w:ascii="Arial" w:cs="Arial" w:eastAsia="Arial" w:hAnsi="Arial"/>
          <w:sz w:val="19"/>
          <w:szCs w:val="19"/>
          <w:color w:val="auto"/>
        </w:rPr>
        <w:t>.</w:t>
      </w:r>
    </w:p>
    <w:p>
      <w:pPr>
        <w:spacing w:after="0" w:line="197" w:lineRule="exact"/>
        <w:rPr>
          <w:sz w:val="20"/>
          <w:szCs w:val="20"/>
          <w:color w:val="auto"/>
        </w:rPr>
      </w:pPr>
    </w:p>
    <w:p>
      <w:pPr>
        <w:jc w:val="both"/>
        <w:ind w:firstLine="656"/>
        <w:spacing w:after="0" w:line="222" w:lineRule="auto"/>
        <w:tabs>
          <w:tab w:leader="none" w:pos="1293" w:val="left"/>
        </w:tabs>
        <w:numPr>
          <w:ilvl w:val="0"/>
          <w:numId w:val="115"/>
        </w:numPr>
        <w:rPr>
          <w:rFonts w:ascii="Arial" w:cs="Arial" w:eastAsia="Arial" w:hAnsi="Arial"/>
          <w:sz w:val="21"/>
          <w:szCs w:val="21"/>
          <w:color w:val="1F3763"/>
        </w:rPr>
      </w:pPr>
      <w:r>
        <w:rPr>
          <w:rFonts w:ascii="Arial" w:cs="Arial" w:eastAsia="Arial" w:hAnsi="Arial"/>
          <w:sz w:val="21"/>
          <w:szCs w:val="21"/>
          <w:u w:val="single" w:color="auto"/>
          <w:color w:val="auto"/>
        </w:rPr>
        <w:t>Optional Termination or Reduction</w:t>
      </w:r>
      <w:r>
        <w:rPr>
          <w:rFonts w:ascii="Arial" w:cs="Arial" w:eastAsia="Arial" w:hAnsi="Arial"/>
          <w:sz w:val="21"/>
          <w:szCs w:val="21"/>
          <w:color w:val="auto"/>
        </w:rPr>
        <w:t xml:space="preserve">. The Borrowers shall have the right, upon at least three Business Days’ notice by the Company to the Administrative Agent, to terminate in whole or reduce ratably in part the US Tranche Unused Commitments or the Multicurrency Tranche Unused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partial reduction shall be in the aggregate amount of $10,000,000 or an integral multiple of $1,000,000, in excess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 notice of termination delivered by the Company may state that such notice is conditioned upon the consummation of another transaction, in which case such notice may be revoked by the Company (by notice to the Administrative Agent on or prior to the specified effective date) if such condition is not satisfied. The aggregate amount of the Commitments of</w:t>
      </w:r>
    </w:p>
    <w:p>
      <w:pPr>
        <w:sectPr>
          <w:pgSz w:w="11900" w:h="16838" w:orient="portrait"/>
          <w:cols w:equalWidth="0" w:num="1">
            <w:col w:w="11240"/>
          </w:cols>
          <w:pgMar w:left="320" w:top="1401" w:right="339" w:bottom="1440" w:gutter="0" w:footer="0" w:header="0"/>
        </w:sectPr>
      </w:pPr>
    </w:p>
    <w:bookmarkStart w:id="174" w:name="page175"/>
    <w:bookmarkEnd w:id="174"/>
    <w:p>
      <w:pPr>
        <w:spacing w:after="0"/>
        <w:rPr>
          <w:sz w:val="20"/>
          <w:szCs w:val="20"/>
          <w:color w:val="auto"/>
        </w:rPr>
      </w:pPr>
      <w:r>
        <w:rPr>
          <w:rFonts w:ascii="Arial" w:cs="Arial" w:eastAsia="Arial" w:hAnsi="Arial"/>
          <w:sz w:val="19"/>
          <w:szCs w:val="19"/>
          <w:color w:val="auto"/>
        </w:rPr>
        <w:t>any Tranche once reduced as provided in this Section 2.05(a), may not be reinstated, except as provided in Section 2.05(b) below.</w:t>
      </w:r>
    </w:p>
    <w:p>
      <w:pPr>
        <w:spacing w:after="0" w:line="214" w:lineRule="exact"/>
        <w:rPr>
          <w:sz w:val="20"/>
          <w:szCs w:val="20"/>
          <w:color w:val="auto"/>
        </w:rPr>
      </w:pPr>
    </w:p>
    <w:p>
      <w:pPr>
        <w:jc w:val="both"/>
        <w:ind w:firstLine="656"/>
        <w:spacing w:after="0"/>
        <w:tabs>
          <w:tab w:leader="none" w:pos="1291" w:val="left"/>
        </w:tabs>
        <w:numPr>
          <w:ilvl w:val="0"/>
          <w:numId w:val="116"/>
        </w:numPr>
        <w:rPr>
          <w:rFonts w:ascii="Arial" w:cs="Arial" w:eastAsia="Arial" w:hAnsi="Arial"/>
          <w:sz w:val="19"/>
          <w:szCs w:val="19"/>
          <w:color w:val="1F3763"/>
        </w:rPr>
      </w:pPr>
      <w:r>
        <w:rPr>
          <w:rFonts w:ascii="Arial" w:cs="Arial" w:eastAsia="Arial" w:hAnsi="Arial"/>
          <w:sz w:val="19"/>
          <w:szCs w:val="19"/>
          <w:u w:val="single" w:color="auto"/>
          <w:color w:val="auto"/>
        </w:rPr>
        <w:t>Increase in Aggregate of the Commitments</w:t>
      </w:r>
      <w:r>
        <w:rPr>
          <w:rFonts w:ascii="Arial" w:cs="Arial" w:eastAsia="Arial" w:hAnsi="Arial"/>
          <w:sz w:val="19"/>
          <w:szCs w:val="19"/>
          <w:color w:val="auto"/>
        </w:rPr>
        <w:t>. The Company, on behalf of the Borrowers, may at any time, by notice to the Administrative Agent, propose that the aggregate amount of the Commitments of any Tranche (whether in the form of incremental term loans or revolving credit facility increases) be increased (such aggregate amount being, a “Commitment Increase”), effective as at a date prior to the date of the termination of all of the Commitments of such Tranche (as such date may be changed by the Company by notice to the Administrative Agent, an “Increase Date”) as to which agreement is to be reached by an earlier date specified in such notice (as such date may be changed by the Company by notice to the Administrative Agent, a “Commitment Date”); provided, however, that (A) the minimum proposed Commitment Increase per notice shall be $25,000,000 (or such lesser amount as the Administrative Agent may agree), (B) in no event shall the aggregate amount of the Commitments at any time exceed $450,000,000 and (C) no Default or Event of Default shall have occurred and be continuing on such Increase Date. The Administrative Agent shall notify the Lenders thereof promptly upon its receipt of any such notice. The Administrative Agent agrees that it will cooperate with the Borrowers in discussions with the Lenders and other Eligible Assignees with a view to arranging the proposed Commitment Increase through the increase of the Multicurrency Tranche Commitments or the US Tranche Commitments, as applicable, of one or more of the applicable Lenders (each such Lender that is willing to increase its Commitment hereunder being an “Increasing Lender”) and the addition of one or more other Eligible Assignees as Assuming Lenders and as parties to this Agreement; provided, however, that it shall be in each Lender’s sole discretion whether to increase its Multicurrency Tranche Commitment or its US Tranche Commitment, as applicable, hereunder in connection with the proposed Commitment Increase; and provided further that the minimum Multicurrency Tranche Commitment or US Tranche Commitment, as applicable, of each such Assuming Lender that becomes a party to this Agreement pursuant to this Section 2.05(b), shall be at least equal to $10,000,000 (or such lesser amount as the Administrative Agent may agree). If any of the Lenders agree to increase their respective Multicurrency Tranche Commitments or US Tranche Commitments, as applicable, by an aggregate amount in excess of the proposed Commitment Increase, the proposed Commitment Increase shall be allocated among such Lenders in proportion to their respective Multicurrency Tranche Commitments or US Tranche Commitments, as applicable, immediately prior to the Increase Date. If agreement is reached on or prior to the applicable Commitment Date with any Increasing Lenders and Assuming Lenders as to a Commitment Increase (which may be less than but not greater than specified in the applicable notice from the Company), such agreement to be evidenced by a notice in reasonable detail from the Company to the Administrative Agent on or prior to the applicable Commitment Date, such Assuming Lenders, if any, shall become Lenders hereunder as of the applicable Increase Date and the Multicurrency Tranche Commitments or US Tranche Commitments, as applicable, of such Increasing Lenders and such Assuming Lenders shall become or be, as the case may be, as of the Increase Date, the amounts specified in such notice; provided that:</w:t>
      </w:r>
    </w:p>
    <w:p>
      <w:pPr>
        <w:spacing w:after="0" w:line="362" w:lineRule="exact"/>
        <w:rPr>
          <w:rFonts w:ascii="Arial" w:cs="Arial" w:eastAsia="Arial" w:hAnsi="Arial"/>
          <w:sz w:val="19"/>
          <w:szCs w:val="19"/>
          <w:color w:val="1F3763"/>
        </w:rPr>
      </w:pPr>
    </w:p>
    <w:p>
      <w:pPr>
        <w:jc w:val="both"/>
        <w:ind w:left="660" w:firstLine="644"/>
        <w:spacing w:after="0" w:line="216" w:lineRule="auto"/>
        <w:tabs>
          <w:tab w:leader="none" w:pos="183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Administrative Agent shall have received (with copies for each Lender, including each such Assuming Lender) by no later than 10:00 A.M. (New York City time) on the applicable Increase Date (1) certified copies of resolutions of the board of directors (or equivalent governing body) of the Borrowers approving the Commitment Increase and (2) an opinion of counsel for the Borrowers, in form and substance reasonably satisfactory to the Administrative Agent;</w:t>
      </w:r>
    </w:p>
    <w:p>
      <w:pPr>
        <w:spacing w:after="0" w:line="157" w:lineRule="exact"/>
        <w:rPr>
          <w:rFonts w:ascii="Arial" w:cs="Arial" w:eastAsia="Arial" w:hAnsi="Arial"/>
          <w:sz w:val="22"/>
          <w:szCs w:val="22"/>
          <w:color w:val="auto"/>
        </w:rPr>
      </w:pPr>
    </w:p>
    <w:p>
      <w:pPr>
        <w:jc w:val="both"/>
        <w:ind w:left="660" w:firstLine="644"/>
        <w:spacing w:after="0" w:line="234" w:lineRule="auto"/>
        <w:tabs>
          <w:tab w:leader="none" w:pos="1827" w:val="left"/>
        </w:tabs>
        <w:numPr>
          <w:ilvl w:val="1"/>
          <w:numId w:val="116"/>
        </w:numPr>
        <w:rPr>
          <w:rFonts w:ascii="Arial" w:cs="Arial" w:eastAsia="Arial" w:hAnsi="Arial"/>
          <w:sz w:val="21"/>
          <w:szCs w:val="21"/>
          <w:color w:val="auto"/>
        </w:rPr>
      </w:pPr>
      <w:r>
        <w:rPr>
          <w:rFonts w:ascii="Arial" w:cs="Arial" w:eastAsia="Arial" w:hAnsi="Arial"/>
          <w:sz w:val="21"/>
          <w:szCs w:val="21"/>
          <w:color w:val="auto"/>
        </w:rPr>
        <w:t>each such Assuming Lender shall have delivered to the Administrative Agent, by no later than 10:00 A.M. (New York City time) on such Increase Date, an appropriate Assumption Agreement in substantially the form of Exhibit D hereto, duly executed by such Assuming Lender and the Company, on behalf of the Borrowers;</w:t>
      </w:r>
    </w:p>
    <w:p>
      <w:pPr>
        <w:sectPr>
          <w:pgSz w:w="11900" w:h="16838" w:orient="portrait"/>
          <w:cols w:equalWidth="0" w:num="1">
            <w:col w:w="11240"/>
          </w:cols>
          <w:pgMar w:left="320" w:top="1401" w:right="339" w:bottom="1440" w:gutter="0" w:footer="0" w:header="0"/>
        </w:sectPr>
      </w:pPr>
    </w:p>
    <w:bookmarkStart w:id="175" w:name="page176"/>
    <w:bookmarkEnd w:id="175"/>
    <w:p>
      <w:pPr>
        <w:jc w:val="both"/>
        <w:ind w:left="652" w:firstLine="644"/>
        <w:spacing w:after="0" w:line="223" w:lineRule="auto"/>
        <w:tabs>
          <w:tab w:leader="none" w:pos="181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each such Increasing Lender shall have delivered to the Administrative Agent, by no later than 10:00 A.M. (New York City time) on such Increase Date, (A) its existing Note, if any, and (B) confirmation in writing satisfactory to the Administrative Agent as to its increased Commitment;</w:t>
      </w:r>
    </w:p>
    <w:p>
      <w:pPr>
        <w:spacing w:after="0" w:line="158" w:lineRule="exact"/>
        <w:rPr>
          <w:rFonts w:ascii="Arial" w:cs="Arial" w:eastAsia="Arial" w:hAnsi="Arial"/>
          <w:sz w:val="22"/>
          <w:szCs w:val="22"/>
          <w:color w:val="auto"/>
        </w:rPr>
      </w:pPr>
    </w:p>
    <w:p>
      <w:pPr>
        <w:ind w:left="652" w:right="20" w:firstLine="644"/>
        <w:spacing w:after="0" w:line="232" w:lineRule="auto"/>
        <w:tabs>
          <w:tab w:leader="none" w:pos="179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proceeds of any Commitment Increase shall be used for general corporate purposes of the Company and its Subsidiaries;</w:t>
      </w:r>
    </w:p>
    <w:p>
      <w:pPr>
        <w:spacing w:after="0" w:line="158" w:lineRule="exact"/>
        <w:rPr>
          <w:rFonts w:ascii="Arial" w:cs="Arial" w:eastAsia="Arial" w:hAnsi="Arial"/>
          <w:sz w:val="22"/>
          <w:szCs w:val="22"/>
          <w:color w:val="auto"/>
        </w:rPr>
      </w:pPr>
    </w:p>
    <w:p>
      <w:pPr>
        <w:ind w:left="652" w:firstLine="644"/>
        <w:spacing w:after="0" w:line="232" w:lineRule="auto"/>
        <w:tabs>
          <w:tab w:leader="none" w:pos="177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each Commitment Increase (and the loans made thereunder) shall constitute obligations of the Borrowers and shall be guaranteed with the other Advances on a pari passu basis as set forth in Article VIII;</w:t>
      </w:r>
    </w:p>
    <w:p>
      <w:pPr>
        <w:spacing w:after="0" w:line="158" w:lineRule="exact"/>
        <w:rPr>
          <w:rFonts w:ascii="Arial" w:cs="Arial" w:eastAsia="Arial" w:hAnsi="Arial"/>
          <w:sz w:val="22"/>
          <w:szCs w:val="22"/>
          <w:color w:val="auto"/>
        </w:rPr>
      </w:pPr>
    </w:p>
    <w:p>
      <w:pPr>
        <w:ind w:left="652" w:firstLine="644"/>
        <w:spacing w:after="0" w:line="232" w:lineRule="auto"/>
        <w:tabs>
          <w:tab w:leader="none" w:pos="177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Company shall be in pro forma compliance with each of the financial covenants set forth in Section 5.03, both before and after giving effect (on a Pro Forma Basis) to any Commitment Increase;</w:t>
      </w:r>
    </w:p>
    <w:p>
      <w:pPr>
        <w:spacing w:after="0" w:line="158" w:lineRule="exact"/>
        <w:rPr>
          <w:rFonts w:ascii="Arial" w:cs="Arial" w:eastAsia="Arial" w:hAnsi="Arial"/>
          <w:sz w:val="22"/>
          <w:szCs w:val="22"/>
          <w:color w:val="auto"/>
        </w:rPr>
      </w:pPr>
    </w:p>
    <w:p>
      <w:pPr>
        <w:ind w:left="652" w:firstLine="644"/>
        <w:spacing w:after="0" w:line="232" w:lineRule="auto"/>
        <w:tabs>
          <w:tab w:leader="none" w:pos="184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all terms and conditions applicable to any Commitment Increase with respect to an incremental term loan shall be reasonably satisfactory to the Administrative Agent and the Company; and</w:t>
      </w:r>
    </w:p>
    <w:p>
      <w:pPr>
        <w:spacing w:after="0" w:line="158" w:lineRule="exact"/>
        <w:rPr>
          <w:rFonts w:ascii="Arial" w:cs="Arial" w:eastAsia="Arial" w:hAnsi="Arial"/>
          <w:sz w:val="22"/>
          <w:szCs w:val="22"/>
          <w:color w:val="auto"/>
        </w:rPr>
      </w:pPr>
    </w:p>
    <w:p>
      <w:pPr>
        <w:jc w:val="both"/>
        <w:ind w:left="652" w:firstLine="644"/>
        <w:spacing w:after="0" w:line="223" w:lineRule="auto"/>
        <w:tabs>
          <w:tab w:leader="none" w:pos="185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any Commitment Increase with respect to a revolving credit facility increase shall be subject to the same terms and conditions as the existing Advances but shall bear interest and be entitled to fees, in each case at a rate determined by the applicable Increasing Lenders and the Company;</w:t>
      </w:r>
    </w:p>
    <w:p>
      <w:pPr>
        <w:spacing w:after="0" w:line="159" w:lineRule="exact"/>
        <w:rPr>
          <w:sz w:val="20"/>
          <w:szCs w:val="20"/>
          <w:color w:val="auto"/>
        </w:rPr>
      </w:pPr>
    </w:p>
    <w:p>
      <w:pPr>
        <w:jc w:val="both"/>
        <w:ind w:left="652" w:firstLine="644"/>
        <w:spacing w:after="0" w:line="243" w:lineRule="auto"/>
        <w:tabs>
          <w:tab w:leader="none" w:pos="1942" w:val="left"/>
        </w:tabs>
        <w:numPr>
          <w:ilvl w:val="2"/>
          <w:numId w:val="118"/>
        </w:numPr>
        <w:rPr>
          <w:rFonts w:ascii="Arial" w:cs="Arial" w:eastAsia="Arial" w:hAnsi="Arial"/>
          <w:sz w:val="19"/>
          <w:szCs w:val="19"/>
          <w:color w:val="auto"/>
        </w:rPr>
      </w:pPr>
      <w:r>
        <w:rPr>
          <w:rFonts w:ascii="Arial" w:cs="Arial" w:eastAsia="Arial" w:hAnsi="Arial"/>
          <w:sz w:val="19"/>
          <w:szCs w:val="19"/>
          <w:color w:val="auto"/>
        </w:rPr>
        <w:t>In the event that the Administrative Agent shall have received notice from the Company as to its agreement to a Commitment Increase on or prior to the applicable Commitment Date and each of the actions provided for in clauses (1) through (3) above shall have occurred prior to 10:00 A.M. (New York City time) on the applicable Increase Date to the reasonable satisfaction of the Administrative Agent, the Administrative Agent shall notify the Lenders (including any Assuming Lenders) and the Company of the occurrence of such Commitment Increase by telephone, confirmed at once in writing, or telecopier, and in any event no later than 1:00 P.M. (New York City time) on such Increase Date and shall record in the Register the relevant information with respect to each Increasing Lender and Assuming Lender. Each Increasing Lender and each Assuming Lender shall, to the extent applicable, before 2:00 P.M. (New York City time) on the applicable Increase Date, purchase at par that portion of outstanding Advances of the other Lenders or take such other actions as the Administrative Agent may reasonably determine to be necessary to cause the Advances to be funded pro rata by the Lenders in accordance with the Commitments.</w:t>
      </w:r>
    </w:p>
    <w:p>
      <w:pPr>
        <w:spacing w:after="0" w:line="158" w:lineRule="exact"/>
        <w:rPr>
          <w:rFonts w:ascii="Arial" w:cs="Arial" w:eastAsia="Arial" w:hAnsi="Arial"/>
          <w:sz w:val="19"/>
          <w:szCs w:val="19"/>
          <w:color w:val="auto"/>
        </w:rPr>
      </w:pPr>
    </w:p>
    <w:p>
      <w:pPr>
        <w:jc w:val="both"/>
        <w:ind w:left="-8" w:firstLine="656"/>
        <w:spacing w:after="0" w:line="243" w:lineRule="auto"/>
        <w:tabs>
          <w:tab w:leader="none" w:pos="1285" w:val="left"/>
        </w:tabs>
        <w:numPr>
          <w:ilvl w:val="1"/>
          <w:numId w:val="119"/>
        </w:numPr>
        <w:rPr>
          <w:rFonts w:ascii="Arial" w:cs="Arial" w:eastAsia="Arial" w:hAnsi="Arial"/>
          <w:sz w:val="19"/>
          <w:szCs w:val="19"/>
          <w:color w:val="1F3763"/>
        </w:rPr>
      </w:pPr>
      <w:r>
        <w:rPr>
          <w:rFonts w:ascii="Arial" w:cs="Arial" w:eastAsia="Arial" w:hAnsi="Arial"/>
          <w:sz w:val="19"/>
          <w:szCs w:val="19"/>
          <w:color w:val="auto"/>
        </w:rPr>
        <w:t>In the event that the Administrative Agent shall not have received notice from the Company as to such agreement on or prior to the applicable Commitment Date or the Company shall, by notice to the Administrative Agent prior to the applicable Increase Date, withdraw its proposal for a Commitment Increase or any of the actions provided for above in clauses (i)</w:t>
      </w:r>
    </w:p>
    <w:p>
      <w:pPr>
        <w:spacing w:after="0" w:line="2" w:lineRule="exact"/>
        <w:rPr>
          <w:rFonts w:ascii="Arial" w:cs="Arial" w:eastAsia="Arial" w:hAnsi="Arial"/>
          <w:sz w:val="19"/>
          <w:szCs w:val="19"/>
          <w:color w:val="1F3763"/>
        </w:rPr>
      </w:pPr>
    </w:p>
    <w:p>
      <w:pPr>
        <w:jc w:val="both"/>
        <w:ind w:left="-8" w:firstLine="8"/>
        <w:spacing w:after="0" w:line="214" w:lineRule="auto"/>
        <w:tabs>
          <w:tab w:leader="none" w:pos="32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through (i)(3) shall not have occurred by 10:00 A.M. (New York City time) on such Increase Date, such proposal by the Company shall be deemed not to have been made. In such event, any actions theretofore taken under clauses (i)(1) through (i)(3) above shall be deemed to be of no effect and all the rights and obligations of the parties shall continue as if no such proposal had been made.</w:t>
      </w:r>
    </w:p>
    <w:p>
      <w:pPr>
        <w:spacing w:after="0" w:line="159" w:lineRule="exact"/>
        <w:rPr>
          <w:rFonts w:ascii="Arial" w:cs="Arial" w:eastAsia="Arial" w:hAnsi="Arial"/>
          <w:sz w:val="22"/>
          <w:szCs w:val="22"/>
          <w:color w:val="auto"/>
        </w:rPr>
      </w:pPr>
    </w:p>
    <w:p>
      <w:pPr>
        <w:jc w:val="both"/>
        <w:ind w:left="-8" w:firstLine="656"/>
        <w:spacing w:after="0" w:line="223" w:lineRule="auto"/>
        <w:tabs>
          <w:tab w:leader="none" w:pos="1177" w:val="left"/>
        </w:tabs>
        <w:numPr>
          <w:ilvl w:val="1"/>
          <w:numId w:val="120"/>
        </w:numPr>
        <w:rPr>
          <w:rFonts w:ascii="Arial" w:cs="Arial" w:eastAsia="Arial" w:hAnsi="Arial"/>
          <w:sz w:val="22"/>
          <w:szCs w:val="22"/>
          <w:color w:val="auto"/>
        </w:rPr>
      </w:pPr>
      <w:r>
        <w:rPr>
          <w:rFonts w:ascii="Arial" w:cs="Arial" w:eastAsia="Arial" w:hAnsi="Arial"/>
          <w:sz w:val="22"/>
          <w:szCs w:val="22"/>
          <w:color w:val="auto"/>
        </w:rPr>
        <w:t>Notwithstanding anything to the contrary set forth in Section 9.01, the Company, on behalf of the Borrowers, the Administrative Agent, each Increasing Lender and each Assuming Lender may enter into amendments to this Agreement (without the consent of any</w:t>
      </w:r>
    </w:p>
    <w:p>
      <w:pPr>
        <w:sectPr>
          <w:pgSz w:w="11900" w:h="16838" w:orient="portrait"/>
          <w:cols w:equalWidth="0" w:num="1">
            <w:col w:w="11232"/>
          </w:cols>
          <w:pgMar w:left="328" w:top="1401" w:right="339" w:bottom="1440" w:gutter="0" w:footer="0" w:header="0"/>
        </w:sectPr>
      </w:pPr>
    </w:p>
    <w:bookmarkStart w:id="176" w:name="page177"/>
    <w:bookmarkEnd w:id="176"/>
    <w:p>
      <w:pPr>
        <w:jc w:val="both"/>
        <w:spacing w:after="0" w:line="232" w:lineRule="auto"/>
        <w:rPr>
          <w:sz w:val="20"/>
          <w:szCs w:val="20"/>
          <w:color w:val="auto"/>
        </w:rPr>
      </w:pPr>
      <w:r>
        <w:rPr>
          <w:rFonts w:ascii="Arial" w:cs="Arial" w:eastAsia="Arial" w:hAnsi="Arial"/>
          <w:sz w:val="22"/>
          <w:szCs w:val="22"/>
          <w:color w:val="auto"/>
        </w:rPr>
        <w:t>other Lender) to implement and effect any Commitment Increase complying with the above provisions and each Lender hereto agrees to the foregoing.</w:t>
      </w:r>
    </w:p>
    <w:p>
      <w:pPr>
        <w:spacing w:after="0" w:line="15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2F5496"/>
        </w:rPr>
        <w:t xml:space="preserve">SECTION 1.06. </w:t>
      </w:r>
      <w:r>
        <w:rPr>
          <w:rFonts w:ascii="Arial" w:cs="Arial" w:eastAsia="Arial" w:hAnsi="Arial"/>
          <w:sz w:val="21"/>
          <w:szCs w:val="21"/>
          <w:u w:val="single" w:color="auto"/>
          <w:color w:val="000000"/>
        </w:rPr>
        <w:t>Repayment of Advances</w:t>
      </w:r>
      <w:r>
        <w:rPr>
          <w:rFonts w:ascii="Arial" w:cs="Arial" w:eastAsia="Arial" w:hAnsi="Arial"/>
          <w:sz w:val="20"/>
          <w:szCs w:val="20"/>
          <w:color w:val="000000"/>
        </w:rPr>
        <w:t>. The Borrowers shall repay the outstanding principal amount of all</w:t>
      </w:r>
      <w:r>
        <w:rPr>
          <w:rFonts w:ascii="Arial" w:cs="Arial" w:eastAsia="Arial" w:hAnsi="Arial"/>
          <w:sz w:val="20"/>
          <w:szCs w:val="20"/>
          <w:color w:val="2F5496"/>
        </w:rPr>
        <w:t xml:space="preserve"> </w:t>
      </w:r>
      <w:r>
        <w:rPr>
          <w:rFonts w:ascii="Arial" w:cs="Arial" w:eastAsia="Arial" w:hAnsi="Arial"/>
          <w:sz w:val="20"/>
          <w:szCs w:val="20"/>
          <w:color w:val="000000"/>
        </w:rPr>
        <w:t>Advances in full on the Termination Date in the Currencies in which such Advances are denominated, together with all accrued but unpaid interest thereon and other amounts payable with respect to such Advances. If at any time the sum of the Advances under any Tranche exceeds the total Commitments under such Tranche (other than as a result of changes in the Spot Rate), then the applicable Borrower shall repay promptly upon notice from the Administrative Agent an amount necessary to eliminate any such excess, by payment to the Administrative Agent for the account of the Lenders of such Tranche.</w:t>
      </w:r>
    </w:p>
    <w:p>
      <w:pPr>
        <w:spacing w:after="0" w:line="15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2F5496"/>
        </w:rPr>
        <w:t xml:space="preserve">SECTION 1.07. </w:t>
      </w:r>
      <w:r>
        <w:rPr>
          <w:rFonts w:ascii="Arial" w:cs="Arial" w:eastAsia="Arial" w:hAnsi="Arial"/>
          <w:sz w:val="23"/>
          <w:szCs w:val="23"/>
          <w:u w:val="single" w:color="auto"/>
          <w:color w:val="000000"/>
        </w:rPr>
        <w:t>Interest on Advances</w:t>
      </w:r>
      <w:r>
        <w:rPr>
          <w:rFonts w:ascii="Arial" w:cs="Arial" w:eastAsia="Arial" w:hAnsi="Arial"/>
          <w:sz w:val="22"/>
          <w:szCs w:val="22"/>
          <w:color w:val="000000"/>
        </w:rPr>
        <w:t>. Scheduled Interest. Each Borrower shall pay interest on the unpaid</w:t>
      </w:r>
      <w:r>
        <w:rPr>
          <w:rFonts w:ascii="Arial" w:cs="Arial" w:eastAsia="Arial" w:hAnsi="Arial"/>
          <w:sz w:val="22"/>
          <w:szCs w:val="22"/>
          <w:color w:val="2F5496"/>
        </w:rPr>
        <w:t xml:space="preserve"> </w:t>
      </w:r>
      <w:r>
        <w:rPr>
          <w:rFonts w:ascii="Arial" w:cs="Arial" w:eastAsia="Arial" w:hAnsi="Arial"/>
          <w:sz w:val="22"/>
          <w:szCs w:val="22"/>
          <w:color w:val="000000"/>
        </w:rPr>
        <w:t>principal amount of each Advance to it owing to each Lender from the date of such Advance until such principal amount shall be paid in full, at the following rates per annum:</w:t>
      </w:r>
    </w:p>
    <w:p>
      <w:pPr>
        <w:spacing w:after="0" w:line="160" w:lineRule="exact"/>
        <w:rPr>
          <w:sz w:val="20"/>
          <w:szCs w:val="20"/>
          <w:color w:val="auto"/>
        </w:rPr>
      </w:pPr>
    </w:p>
    <w:p>
      <w:pPr>
        <w:jc w:val="both"/>
        <w:ind w:left="660" w:firstLine="644"/>
        <w:spacing w:after="0" w:line="229" w:lineRule="auto"/>
        <w:tabs>
          <w:tab w:leader="none" w:pos="1944" w:val="left"/>
        </w:tabs>
        <w:numPr>
          <w:ilvl w:val="1"/>
          <w:numId w:val="121"/>
        </w:numPr>
        <w:rPr>
          <w:rFonts w:ascii="Arial" w:cs="Arial" w:eastAsia="Arial" w:hAnsi="Arial"/>
          <w:sz w:val="21"/>
          <w:szCs w:val="21"/>
          <w:color w:val="auto"/>
        </w:rPr>
      </w:pPr>
      <w:r>
        <w:rPr>
          <w:rFonts w:ascii="Arial" w:cs="Arial" w:eastAsia="Arial" w:hAnsi="Arial"/>
          <w:sz w:val="21"/>
          <w:szCs w:val="21"/>
          <w:u w:val="single" w:color="auto"/>
          <w:color w:val="auto"/>
        </w:rPr>
        <w:t>Base Rate Advances</w:t>
      </w:r>
      <w:r>
        <w:rPr>
          <w:rFonts w:ascii="Arial" w:cs="Arial" w:eastAsia="Arial" w:hAnsi="Arial"/>
          <w:sz w:val="21"/>
          <w:szCs w:val="21"/>
          <w:color w:val="auto"/>
        </w:rPr>
        <w:t xml:space="preserve">. During such periods as an Advance is a Base Rate Advance, a rate per annum equal at all times to the sum of (x) the Base Rate in effect from time to time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(y) the Applicable Margin in effect from time to time, payable in arrears quarterly on the last day of each March, June, September and December during such periods and on the date such Base Rate Advance shall be Converted or paid in full; or</w:t>
      </w:r>
    </w:p>
    <w:p>
      <w:pPr>
        <w:spacing w:after="0" w:line="158" w:lineRule="exact"/>
        <w:rPr>
          <w:rFonts w:ascii="Arial" w:cs="Arial" w:eastAsia="Arial" w:hAnsi="Arial"/>
          <w:sz w:val="21"/>
          <w:szCs w:val="21"/>
          <w:color w:val="auto"/>
        </w:rPr>
      </w:pPr>
    </w:p>
    <w:p>
      <w:pPr>
        <w:jc w:val="both"/>
        <w:ind w:left="660" w:firstLine="644"/>
        <w:spacing w:after="0"/>
        <w:tabs>
          <w:tab w:leader="none" w:pos="1950"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Other Advances</w:t>
      </w:r>
      <w:r>
        <w:rPr>
          <w:rFonts w:ascii="Arial" w:cs="Arial" w:eastAsia="Arial" w:hAnsi="Arial"/>
          <w:sz w:val="19"/>
          <w:szCs w:val="19"/>
          <w:color w:val="auto"/>
        </w:rPr>
        <w:t>. During such periods as an Advance is (A) a Daily Simple RFR Advance denominated in US Dollars, a rate per annum equal at all times to the sum of (x) the Adjusted Daily Simple RFR in effect from time to time plus (y) the Applicable Margin, (B) a Daily Simple RFR Advance denominated in Sterling, a rate per annum equal at all times to the sum of (x) Daily Simple RFR plus (y) the Applicable Margin, (C) a Daily Simple RFR Advance denominated in a Foreign Currency (other than Sterling), a rate per annum equal at all times to the sum of (x) Daily Simple RFR plus (y) the Applicable Margin, (C) a Term RFR Advance, a rate per annum equal at all times to the sum of</w:t>
      </w:r>
    </w:p>
    <w:p>
      <w:pPr>
        <w:spacing w:after="0" w:line="3" w:lineRule="exact"/>
        <w:rPr>
          <w:rFonts w:ascii="Arial" w:cs="Arial" w:eastAsia="Arial" w:hAnsi="Arial"/>
          <w:sz w:val="19"/>
          <w:szCs w:val="19"/>
          <w:color w:val="auto"/>
        </w:rPr>
      </w:pPr>
    </w:p>
    <w:p>
      <w:pPr>
        <w:jc w:val="both"/>
        <w:ind w:left="660" w:hanging="4"/>
        <w:spacing w:after="0" w:line="258" w:lineRule="auto"/>
        <w:tabs>
          <w:tab w:leader="none" w:pos="99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applicable Term RFR plus (y) the Applicable Margin, and (D) Eurocurrency Rate Advances, a rate per annum equal at all times to the sum of (x) the applicable Adjusted Eurocurrency Rate plus (y) the Applicable Margin, payable in arrears on the Interest Payment Date and on the date such Advance shall be Converted or paid in full.</w:t>
      </w:r>
    </w:p>
    <w:p>
      <w:pPr>
        <w:spacing w:after="0" w:line="141"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Notwithstanding anything in this Agreement (including this Section 2.07) to the contrary, with respect to any Advance denominated in Sterling or Singapore Dollars as of the First Amendment Effective Date, (A) the interest rate with respect to such Advance shall continue to be determined in accordance with the terms of this Agreement immediately prior to the First Amendment Effective Date through and until the last day of the current Interest Period with respect to such Advance and (B) after the termination of such current Interest Period with respect to such Advance, the interest rate for such Advance will thereafter be determined in accordance with the current terms of this Agreement.</w:t>
      </w:r>
    </w:p>
    <w:p>
      <w:pPr>
        <w:spacing w:after="0" w:line="160" w:lineRule="exact"/>
        <w:rPr>
          <w:sz w:val="20"/>
          <w:szCs w:val="20"/>
          <w:color w:val="auto"/>
        </w:rPr>
      </w:pPr>
    </w:p>
    <w:p>
      <w:pPr>
        <w:jc w:val="both"/>
        <w:ind w:firstLine="656"/>
        <w:spacing w:after="0" w:line="226" w:lineRule="auto"/>
        <w:tabs>
          <w:tab w:leader="none" w:pos="1291" w:val="left"/>
        </w:tabs>
        <w:numPr>
          <w:ilvl w:val="0"/>
          <w:numId w:val="123"/>
        </w:numPr>
        <w:rPr>
          <w:rFonts w:ascii="Arial" w:cs="Arial" w:eastAsia="Arial" w:hAnsi="Arial"/>
          <w:sz w:val="21"/>
          <w:szCs w:val="21"/>
          <w:color w:val="1F3763"/>
        </w:rPr>
      </w:pPr>
      <w:r>
        <w:rPr>
          <w:rFonts w:ascii="Arial" w:cs="Arial" w:eastAsia="Arial" w:hAnsi="Arial"/>
          <w:sz w:val="21"/>
          <w:szCs w:val="21"/>
          <w:u w:val="single" w:color="auto"/>
          <w:color w:val="auto"/>
        </w:rPr>
        <w:t>Default Interest</w:t>
      </w:r>
      <w:r>
        <w:rPr>
          <w:rFonts w:ascii="Arial" w:cs="Arial" w:eastAsia="Arial" w:hAnsi="Arial"/>
          <w:sz w:val="21"/>
          <w:szCs w:val="21"/>
          <w:color w:val="auto"/>
        </w:rPr>
        <w:t>. Upon the occurrence and during the continuance of an Event of Default under Section 6.01(a), the Administrative Agent may, and upon the request of the Required Lenders shall, require each applicable Borrower to pay interest (“</w:t>
      </w:r>
      <w:r>
        <w:rPr>
          <w:rFonts w:ascii="Arial" w:cs="Arial" w:eastAsia="Arial" w:hAnsi="Arial"/>
          <w:sz w:val="21"/>
          <w:szCs w:val="21"/>
          <w:u w:val="single" w:color="auto"/>
          <w:color w:val="auto"/>
        </w:rPr>
        <w:t>Default Interest</w:t>
      </w:r>
      <w:r>
        <w:rPr>
          <w:rFonts w:ascii="Arial" w:cs="Arial" w:eastAsia="Arial" w:hAnsi="Arial"/>
          <w:sz w:val="21"/>
          <w:szCs w:val="21"/>
          <w:color w:val="auto"/>
        </w:rPr>
        <w:t>”) on (i) overdue principal of each Advance made to it owing to each Lender, payable in arrears on the dates referred to in clause (a)(i) or (a)(ii) above, at a rate per annum equal at all times to 2% per annum above the rate per annum required to be paid on such Advance pursuant to clause (a)(i) or</w:t>
      </w:r>
    </w:p>
    <w:p>
      <w:pPr>
        <w:sectPr>
          <w:pgSz w:w="11900" w:h="16838" w:orient="portrait"/>
          <w:cols w:equalWidth="0" w:num="1">
            <w:col w:w="11240"/>
          </w:cols>
          <w:pgMar w:left="320" w:top="1401" w:right="339" w:bottom="1440" w:gutter="0" w:footer="0" w:header="0"/>
        </w:sectPr>
      </w:pPr>
    </w:p>
    <w:bookmarkStart w:id="177" w:name="page178"/>
    <w:bookmarkEnd w:id="177"/>
    <w:p>
      <w:pPr>
        <w:jc w:val="both"/>
        <w:spacing w:after="0" w:line="224" w:lineRule="auto"/>
        <w:rPr>
          <w:sz w:val="20"/>
          <w:szCs w:val="20"/>
          <w:color w:val="auto"/>
        </w:rPr>
      </w:pPr>
      <w:r>
        <w:rPr>
          <w:rFonts w:ascii="Arial" w:cs="Arial" w:eastAsia="Arial" w:hAnsi="Arial"/>
          <w:sz w:val="21"/>
          <w:szCs w:val="21"/>
          <w:color w:val="auto"/>
        </w:rPr>
        <w:t xml:space="preserve">(a)(ii) above and (ii) to the fullest extent permitted by law, the amount of any overdue interest, fee or other amount payable hereunder with respect to Advances made to it,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following acceleration of the Advances pursuant to Section 6.01, Default Interest shall accrue and be payable hereunder whether or not previously required by the Administrative Agent.</w:t>
      </w:r>
    </w:p>
    <w:p>
      <w:pPr>
        <w:spacing w:after="0" w:line="160" w:lineRule="exact"/>
        <w:rPr>
          <w:sz w:val="20"/>
          <w:szCs w:val="20"/>
          <w:color w:val="auto"/>
        </w:rPr>
      </w:pPr>
    </w:p>
    <w:p>
      <w:pPr>
        <w:jc w:val="both"/>
        <w:ind w:firstLine="656"/>
        <w:spacing w:after="0" w:line="220" w:lineRule="auto"/>
        <w:tabs>
          <w:tab w:leader="none" w:pos="1293" w:val="left"/>
        </w:tabs>
        <w:numPr>
          <w:ilvl w:val="0"/>
          <w:numId w:val="124"/>
        </w:numPr>
        <w:rPr>
          <w:rFonts w:ascii="Arial" w:cs="Arial" w:eastAsia="Arial" w:hAnsi="Arial"/>
          <w:sz w:val="21"/>
          <w:szCs w:val="21"/>
          <w:color w:val="1F3763"/>
        </w:rPr>
      </w:pPr>
      <w:r>
        <w:rPr>
          <w:rFonts w:ascii="Arial" w:cs="Arial" w:eastAsia="Arial" w:hAnsi="Arial"/>
          <w:sz w:val="21"/>
          <w:szCs w:val="21"/>
          <w:u w:val="single" w:color="auto"/>
          <w:color w:val="auto"/>
        </w:rPr>
        <w:t>Maximum Rate</w:t>
      </w:r>
      <w:r>
        <w:rPr>
          <w:rFonts w:ascii="Arial" w:cs="Arial" w:eastAsia="Arial" w:hAnsi="Arial"/>
          <w:sz w:val="21"/>
          <w:szCs w:val="21"/>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applicable Borrower any interest received by the Lenders in excess of the maximum lawful rate or (ii) apply such excess to the principal balance of the Borrower Obligations. It is the intent hereof that the Borrowers not pay or contract to pay, and that neither the Administrative Agent nor any Lender receive or contract to receive, directly or indirectly in any manner whatsoever, interest in excess of that which may be paid by the Borrowers under Applicable Law.</w:t>
      </w:r>
    </w:p>
    <w:p>
      <w:pPr>
        <w:spacing w:after="0" w:line="162" w:lineRule="exact"/>
        <w:rPr>
          <w:rFonts w:ascii="Arial" w:cs="Arial" w:eastAsia="Arial" w:hAnsi="Arial"/>
          <w:sz w:val="21"/>
          <w:szCs w:val="21"/>
          <w:color w:val="1F3763"/>
        </w:rPr>
      </w:pPr>
    </w:p>
    <w:p>
      <w:pPr>
        <w:jc w:val="both"/>
        <w:ind w:firstLine="656"/>
        <w:spacing w:after="0" w:line="249" w:lineRule="auto"/>
        <w:tabs>
          <w:tab w:leader="none" w:pos="1291" w:val="left"/>
        </w:tabs>
        <w:numPr>
          <w:ilvl w:val="0"/>
          <w:numId w:val="124"/>
        </w:numPr>
        <w:rPr>
          <w:rFonts w:ascii="Arial" w:cs="Arial" w:eastAsia="Arial" w:hAnsi="Arial"/>
          <w:sz w:val="19"/>
          <w:szCs w:val="19"/>
          <w:color w:val="1F3763"/>
        </w:rPr>
      </w:pPr>
      <w:r>
        <w:rPr>
          <w:rFonts w:ascii="Arial" w:cs="Arial" w:eastAsia="Arial" w:hAnsi="Arial"/>
          <w:sz w:val="19"/>
          <w:szCs w:val="19"/>
          <w:u w:val="single" w:color="auto"/>
          <w:color w:val="auto"/>
        </w:rPr>
        <w:t>Interest Act (Canada)</w:t>
      </w:r>
      <w:r>
        <w:rPr>
          <w:rFonts w:ascii="Arial" w:cs="Arial" w:eastAsia="Arial" w:hAnsi="Arial"/>
          <w:sz w:val="19"/>
          <w:szCs w:val="19"/>
          <w:color w:val="auto"/>
        </w:rPr>
        <w:t>. For the purposes of the Interest Act (Canada), (i) whenever a rate of interest or fee rate hereunder is calculated on the basis of a year (the “</w:t>
      </w:r>
      <w:r>
        <w:rPr>
          <w:rFonts w:ascii="Arial" w:cs="Arial" w:eastAsia="Arial" w:hAnsi="Arial"/>
          <w:sz w:val="19"/>
          <w:szCs w:val="19"/>
          <w:u w:val="single" w:color="auto"/>
          <w:color w:val="auto"/>
        </w:rPr>
        <w:t>deemed year</w:t>
      </w:r>
      <w:r>
        <w:rPr>
          <w:rFonts w:ascii="Arial" w:cs="Arial" w:eastAsia="Arial" w:hAnsi="Arial"/>
          <w:sz w:val="19"/>
          <w:szCs w:val="19"/>
          <w:color w:val="auto"/>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47"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1.08.</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Reserved</w:t>
      </w:r>
      <w:r>
        <w:rPr>
          <w:rFonts w:ascii="Arial" w:cs="Arial" w:eastAsia="Arial" w:hAnsi="Arial"/>
          <w:sz w:val="21"/>
          <w:szCs w:val="21"/>
          <w:color w:val="auto"/>
        </w:rPr>
        <w:t>]</w:t>
      </w:r>
      <w:r>
        <w:rPr>
          <w:rFonts w:ascii="Arial" w:cs="Arial" w:eastAsia="Arial" w:hAnsi="Arial"/>
          <w:sz w:val="19"/>
          <w:szCs w:val="19"/>
          <w:color w:val="auto"/>
        </w:rPr>
        <w:t>.</w:t>
      </w:r>
    </w:p>
    <w:p>
      <w:pPr>
        <w:spacing w:after="0" w:line="19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2F5496"/>
        </w:rPr>
        <w:t xml:space="preserve">SECTION 1.09. </w:t>
      </w:r>
      <w:r>
        <w:rPr>
          <w:rFonts w:ascii="Arial" w:cs="Arial" w:eastAsia="Arial" w:hAnsi="Arial"/>
          <w:sz w:val="21"/>
          <w:szCs w:val="21"/>
          <w:u w:val="single" w:color="auto"/>
          <w:color w:val="000000"/>
        </w:rPr>
        <w:t>Optional Conversion of Advances</w:t>
      </w:r>
      <w:r>
        <w:rPr>
          <w:rFonts w:ascii="Arial" w:cs="Arial" w:eastAsia="Arial" w:hAnsi="Arial"/>
          <w:sz w:val="20"/>
          <w:szCs w:val="20"/>
          <w:color w:val="000000"/>
        </w:rPr>
        <w:t>. The Company may, on behalf of one or more Borrowers,</w:t>
      </w:r>
      <w:r>
        <w:rPr>
          <w:rFonts w:ascii="Arial" w:cs="Arial" w:eastAsia="Arial" w:hAnsi="Arial"/>
          <w:sz w:val="20"/>
          <w:szCs w:val="20"/>
          <w:color w:val="2F5496"/>
        </w:rPr>
        <w:t xml:space="preserve"> </w:t>
      </w:r>
      <w:r>
        <w:rPr>
          <w:rFonts w:ascii="Arial" w:cs="Arial" w:eastAsia="Arial" w:hAnsi="Arial"/>
          <w:sz w:val="20"/>
          <w:szCs w:val="20"/>
          <w:color w:val="000000"/>
        </w:rPr>
        <w:t>upon notice in substantially the form of Exhibit B-2 hereto (or such other form as shall be reasonably acceptable to the Administrative Agent) (a “</w:t>
      </w:r>
      <w:r>
        <w:rPr>
          <w:rFonts w:ascii="Arial" w:cs="Arial" w:eastAsia="Arial" w:hAnsi="Arial"/>
          <w:sz w:val="20"/>
          <w:szCs w:val="20"/>
          <w:u w:val="single" w:color="auto"/>
          <w:color w:val="000000"/>
        </w:rPr>
        <w:t>Notice of Continuation/Conversion</w:t>
      </w:r>
      <w:r>
        <w:rPr>
          <w:rFonts w:ascii="Arial" w:cs="Arial" w:eastAsia="Arial" w:hAnsi="Arial"/>
          <w:sz w:val="20"/>
          <w:szCs w:val="20"/>
          <w:color w:val="000000"/>
        </w:rPr>
        <w:t>”) given to the Administrative Agent not later than 11:00 A.M. (New York City time) (i) in the case of an Advance denominated in US Dollars that is to be a Daily Simple RFR Advance, at least five RFR Business Days before the day on which a proposed conversion or continuation of such Advance is to be effective,</w:t>
      </w:r>
    </w:p>
    <w:p>
      <w:pPr>
        <w:spacing w:after="0" w:line="3" w:lineRule="exact"/>
        <w:rPr>
          <w:sz w:val="20"/>
          <w:szCs w:val="20"/>
          <w:color w:val="auto"/>
        </w:rPr>
      </w:pPr>
    </w:p>
    <w:p>
      <w:pPr>
        <w:jc w:val="both"/>
        <w:ind w:firstLine="8"/>
        <w:spacing w:after="0" w:line="218" w:lineRule="auto"/>
        <w:tabs>
          <w:tab w:leader="none" w:pos="33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in the case of an Advance denominated in US Dollars that is to be a Term RFR Advance, at least three RFR Business Days before the day on which a proposed conversion or continuation of such Advance is to be effective, (iii) in the case of an Advance denominated in US Dollars that is to be a Eurocurrency Rate Advance, at least three Eurocurrency Banking Days before the day on which a proposed conversion or continuation of such Advance is to be effective, (iv) in the case of an Advance denominated in any Foreign Currency that is to be an RFR Advance, at least five RFR Business Days before the day on which a proposed conversion or continuation of such Advance is to be effective, and (v) in the case of an Advance denominated in any Foreign Currency that is to be a Eurocurrency Rate Advance, at least four (4) Eurocurrency Banking Days (or five (5) Eurocurrency Banking Days in the case of a Special Notice Currency) before the day on which a proposed conversion or continuation of such Advance is to be effective, in each case, specifying (A) the Advances to be converted or continued, and, in the case of any Eurocurrency Rate</w:t>
      </w:r>
    </w:p>
    <w:p>
      <w:pPr>
        <w:sectPr>
          <w:pgSz w:w="11900" w:h="16838" w:orient="portrait"/>
          <w:cols w:equalWidth="0" w:num="1">
            <w:col w:w="11240"/>
          </w:cols>
          <w:pgMar w:left="320" w:top="1401" w:right="339" w:bottom="1440" w:gutter="0" w:footer="0" w:header="0"/>
        </w:sectPr>
      </w:pPr>
    </w:p>
    <w:bookmarkStart w:id="178" w:name="page179"/>
    <w:bookmarkEnd w:id="178"/>
    <w:p>
      <w:pPr>
        <w:jc w:val="both"/>
        <w:spacing w:after="0"/>
        <w:rPr>
          <w:sz w:val="20"/>
          <w:szCs w:val="20"/>
          <w:color w:val="auto"/>
        </w:rPr>
      </w:pPr>
      <w:r>
        <w:rPr>
          <w:rFonts w:ascii="Arial" w:cs="Arial" w:eastAsia="Arial" w:hAnsi="Arial"/>
          <w:sz w:val="19"/>
          <w:szCs w:val="19"/>
          <w:color w:val="auto"/>
        </w:rPr>
        <w:t xml:space="preserve">Advance or Term RFR Advance to be converted or continued, the last day of the Interest Period therefor, (B) the effective date of such conversion or continuation (which shall be a Business Day), (C) the principal amount and Currency of such Advances to be converted or continued, and (D) in the case of any Eurocurrency Rate Advance or Term RFR Advance, the Interest Period to be applicable to such converted or continued Eurocurrency Rate Advance or Term RFR Advance;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Conversion of Base Rate Advances into Eurocurrency Rate Advances or RFR Advances shall be in an amount not less than the minimum amount specified in Section 2.02(a). If a Borrower fails to deliver a timely Notice of Conversion/Continuation with respect to a Daily Simple RFR Advance prior to the Interest Payment Date therefor, then, unless such RFR Advance is repaid as provided herein, the applicable Borrower shall be deemed to have selected that such RFR Advance shall automatically be converted to a Base Rate Loan denominated in US Dollars (in an amount equal to the Dollar Equivalent of the applicable Foreign Currency, if applicable) as of such Interest Payment Date. If a Borrower fails to deliver a timely Notice of Conversion/Continuation with respect to a Eurocurrency Rate Advance or a Term RFR Advance prior to the end of the Interest Period therefor, then, unless such Eurocurrency Rate Advance or Term RFR Advance, as applicable, is repaid as provided herein, the applicable Borrower shall be deemed to have selected that such Eurocurrency Rate Advance or Term RFR Advance, as applicable, shall automatically be converted to a Base Rate Loan denominated in US Dollars (in an amount equal to the Dollar Equivalent of the applicable Foreign Currency) at the end of such Interest Period. If a Borrower requests a conversion to, or continuation of, a Eurocurrency Rate Advance or a Term RFR Advance, but fails to specify an Interest Period, it will be deemed to have specified an Interest Period of one month. Each Notice of Continuation/Conversion shall be irrevocable and binding on the Company and the applicable Borrower.</w:t>
      </w:r>
    </w:p>
    <w:p>
      <w:pPr>
        <w:spacing w:after="0" w:line="38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2F5496"/>
        </w:rPr>
        <w:t xml:space="preserve">SECTION 1.10. </w:t>
      </w:r>
      <w:r>
        <w:rPr>
          <w:rFonts w:ascii="Arial" w:cs="Arial" w:eastAsia="Arial" w:hAnsi="Arial"/>
          <w:sz w:val="21"/>
          <w:szCs w:val="21"/>
          <w:u w:val="single" w:color="auto"/>
          <w:color w:val="000000"/>
        </w:rPr>
        <w:t>Optional Prepayment of Advances</w:t>
      </w:r>
      <w:r>
        <w:rPr>
          <w:rFonts w:ascii="Arial" w:cs="Arial" w:eastAsia="Arial" w:hAnsi="Arial"/>
          <w:sz w:val="20"/>
          <w:szCs w:val="20"/>
          <w:color w:val="000000"/>
        </w:rPr>
        <w:t>. Each Borrower may at any time and from time to time</w:t>
      </w:r>
      <w:r>
        <w:rPr>
          <w:rFonts w:ascii="Arial" w:cs="Arial" w:eastAsia="Arial" w:hAnsi="Arial"/>
          <w:sz w:val="20"/>
          <w:szCs w:val="20"/>
          <w:color w:val="2F5496"/>
        </w:rPr>
        <w:t xml:space="preserve"> </w:t>
      </w:r>
      <w:r>
        <w:rPr>
          <w:rFonts w:ascii="Arial" w:cs="Arial" w:eastAsia="Arial" w:hAnsi="Arial"/>
          <w:sz w:val="20"/>
          <w:szCs w:val="20"/>
          <w:color w:val="000000"/>
        </w:rPr>
        <w:t>prepay Advances, in whole or in part, with irrevocable prior written notice to the Administrative Agent from the Company substantially in the form attached as Exhibit F hereto (a “</w:t>
      </w:r>
      <w:r>
        <w:rPr>
          <w:rFonts w:ascii="Arial" w:cs="Arial" w:eastAsia="Arial" w:hAnsi="Arial"/>
          <w:sz w:val="20"/>
          <w:szCs w:val="20"/>
          <w:u w:val="single" w:color="auto"/>
          <w:color w:val="000000"/>
        </w:rPr>
        <w:t>Notice of Prepayment</w:t>
      </w:r>
      <w:r>
        <w:rPr>
          <w:rFonts w:ascii="Arial" w:cs="Arial" w:eastAsia="Arial" w:hAnsi="Arial"/>
          <w:sz w:val="20"/>
          <w:szCs w:val="20"/>
          <w:color w:val="000000"/>
        </w:rPr>
        <w:t xml:space="preserve">”) given not later than 11:00 a.m., in the case of any Advance denominated in US Dollars, and not later than the Applicable Time specified by the Administrative Agent in the case of any Advance denominated in a Foreign Currency (i) on the same Business Day as such prepayment is to occur, with respect to a Base Rate Advance and (ii) (A) in the case of a Daily Simple RFR Advance denominated in US Dollars, at least five RFR Business Days before prepayment of such Daily Simple RFR Advance, (B) in the case of a Term RFR Advance denominated in US Dollars, at least three RFR Business Days before prepayment of such Term RFR Advance, (C) in the case of a Eurocurrency Rate Advance denominated in US Dollars, at least three Eurocurrency Banking Days before prepayment of such Eurocurrency Rate Advance, (D) in the case of an RFR Advance denominated in any Foreign Currency, at least five RFR Business Days before prepayment of such RFR Advance, and (E) in the case of a Eurocurrency Rate Advance denominated in any Foreign Currency, at least four Eurocurrency Banking Days before prepayment of such Eurocurrency Rate Advance (or five Eurocurrency Banking Days in the case of a prepayment of Eurocurrency Rate Advances denominated in a Special Notice Currency), specifying the date and amount of prepayment and whether the prepayment is of Eurocurrency Rate Advances, Daily Simple RFR Advances, Term RFR Advances, Base Rate Advances, or a combination thereof, and, if of a combination thereof, the amount allocable to each. Prior to any prepayment of Advances the Company shall select the Borrowing or Borrowings to be prepaid and shall specify such selection, including the relevant Tranche, in the Notice of Prepayment. Upon receipt of such notice, the Administrative Agent shall promptly notify each Lender of the Tranche being prepaid. If any such notice is given, the amount specified in such notice shall be due and payable on the date set forth in such notice; </w:t>
      </w:r>
      <w:r>
        <w:rPr>
          <w:rFonts w:ascii="Arial" w:cs="Arial" w:eastAsia="Arial" w:hAnsi="Arial"/>
          <w:sz w:val="20"/>
          <w:szCs w:val="20"/>
          <w:u w:val="single" w:color="auto"/>
          <w:color w:val="000000"/>
        </w:rPr>
        <w:t>provided</w:t>
      </w:r>
      <w:r>
        <w:rPr>
          <w:rFonts w:ascii="Arial" w:cs="Arial" w:eastAsia="Arial" w:hAnsi="Arial"/>
          <w:sz w:val="20"/>
          <w:szCs w:val="20"/>
          <w:color w:val="000000"/>
        </w:rPr>
        <w:t>, that, if a Notice of Prepayment is given in connection with a conditional notice of termination of Commitments as contemplated by Section 2.05(a), then such Notice of Prepayment may be revoked if such notice of termination is revoked in accordance with Section 2.05(a) and the applicable Borrower shall remain liable for any amounts in respect of such</w:t>
      </w:r>
    </w:p>
    <w:p>
      <w:pPr>
        <w:sectPr>
          <w:pgSz w:w="11900" w:h="16838" w:orient="portrait"/>
          <w:cols w:equalWidth="0" w:num="1">
            <w:col w:w="11240"/>
          </w:cols>
          <w:pgMar w:left="320" w:top="1401" w:right="339" w:bottom="1440" w:gutter="0" w:footer="0" w:header="0"/>
        </w:sectPr>
      </w:pPr>
    </w:p>
    <w:bookmarkStart w:id="179" w:name="page180"/>
    <w:bookmarkEnd w:id="179"/>
    <w:p>
      <w:pPr>
        <w:jc w:val="both"/>
        <w:spacing w:after="0" w:line="247" w:lineRule="auto"/>
        <w:rPr>
          <w:sz w:val="20"/>
          <w:szCs w:val="20"/>
          <w:color w:val="auto"/>
        </w:rPr>
      </w:pPr>
      <w:r>
        <w:rPr>
          <w:rFonts w:ascii="Arial" w:cs="Arial" w:eastAsia="Arial" w:hAnsi="Arial"/>
          <w:sz w:val="19"/>
          <w:szCs w:val="19"/>
          <w:color w:val="auto"/>
        </w:rPr>
        <w:t>proposed prepayment as provided in Section 9.04. Partial prepayments shall be in an aggregate amount of $2,000,000 or a whole multiple of $1,000,000 in excess thereof with respect to Base Rate Advances, and $5,000,000 or a whole multiple of $1,000,000 in excess thereof with respect to Eurocurrency Rate Advances and RFR Advances. A Notice of Prepayment received after 11:00 a.m. shall be deemed received on the next Business Day, Eurocurrency Banking Day or RFR Business Day, as applicable. Each such repayment shall be accompanied by any amount required to be paid pursuant to Section 9.04(c). No Borrower may prepay any Eurocurrency Rate Advance or Term RFR Advance on any day other than on the last day of the Interest Period applicable thereto unless such prepayment is accompanied by any amount required to be paid pursuant to Section 9.04(c).</w:t>
      </w:r>
    </w:p>
    <w:p>
      <w:pPr>
        <w:spacing w:after="0" w:line="14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2F5496"/>
        </w:rPr>
        <w:t xml:space="preserve">SECTION 1.11. </w:t>
      </w:r>
      <w:r>
        <w:rPr>
          <w:rFonts w:ascii="Arial" w:cs="Arial" w:eastAsia="Arial" w:hAnsi="Arial"/>
          <w:sz w:val="21"/>
          <w:szCs w:val="21"/>
          <w:u w:val="single" w:color="auto"/>
          <w:color w:val="000000"/>
        </w:rPr>
        <w:t>Increased Costs</w:t>
      </w:r>
      <w:r>
        <w:rPr>
          <w:rFonts w:ascii="Arial" w:cs="Arial" w:eastAsia="Arial" w:hAnsi="Arial"/>
          <w:sz w:val="20"/>
          <w:szCs w:val="20"/>
          <w:color w:val="000000"/>
        </w:rPr>
        <w:t>. If, after the date hereof, due to either (i) the introduction of or any change in or in</w:t>
      </w:r>
      <w:r>
        <w:rPr>
          <w:rFonts w:ascii="Arial" w:cs="Arial" w:eastAsia="Arial" w:hAnsi="Arial"/>
          <w:sz w:val="20"/>
          <w:szCs w:val="20"/>
          <w:color w:val="2F5496"/>
        </w:rPr>
        <w:t xml:space="preserve"> </w:t>
      </w:r>
      <w:r>
        <w:rPr>
          <w:rFonts w:ascii="Arial" w:cs="Arial" w:eastAsia="Arial" w:hAnsi="Arial"/>
          <w:sz w:val="20"/>
          <w:szCs w:val="20"/>
          <w:color w:val="000000"/>
        </w:rPr>
        <w:t>the interpretation of any law or regulation or (ii) the compliance with any guideline or request from any central bank or other Governmental Authority (whether or not having the force of law), there shall be any increase in the cost to any Lender (other than in any reserve requirement reflected in the Adjusted Eurocurrency Rate) of agreeing to make or making, funding or maintaining Eurocurrency Rate Advances or RFR Advances (excluding for purposes of this Section 2.11 any such increased costs resulting from Indemnified Taxes or Excluded Taxes), then the applicable Borrower shall from time to time, upon demand by such Lender (with a copy of such demand to the Administrative Agent), pay to the Administrative Agent for the account of such Lender additional amounts sufficient to compensate such Lender for such increased cost. A certificate as to the amount of such increased cost, setting forth in reasonable detail the basis therefor and the computation thereof, submitted to the Company and the Administrative Agent by such Lender, shall be conclusive and binding for all purposes, absent demonstrable error. Notwithstanding the foregoing, none of the Lenders shall deliver the notice and certificate described in this Section 2.11(a) to the Company in respect of any increased costs except in accordance with the internal policy of such Lender as to the exercise of similar rights and remedies in similar circumstances.</w:t>
      </w:r>
    </w:p>
    <w:p>
      <w:pPr>
        <w:spacing w:after="0" w:line="166" w:lineRule="exact"/>
        <w:rPr>
          <w:sz w:val="20"/>
          <w:szCs w:val="20"/>
          <w:color w:val="auto"/>
        </w:rPr>
      </w:pPr>
    </w:p>
    <w:p>
      <w:pPr>
        <w:jc w:val="both"/>
        <w:ind w:firstLine="656"/>
        <w:spacing w:after="0" w:line="241" w:lineRule="auto"/>
        <w:tabs>
          <w:tab w:leader="none" w:pos="1291" w:val="left"/>
        </w:tabs>
        <w:numPr>
          <w:ilvl w:val="0"/>
          <w:numId w:val="126"/>
        </w:numPr>
        <w:rPr>
          <w:rFonts w:ascii="Arial" w:cs="Arial" w:eastAsia="Arial" w:hAnsi="Arial"/>
          <w:sz w:val="19"/>
          <w:szCs w:val="19"/>
          <w:color w:val="1F3763"/>
        </w:rPr>
      </w:pPr>
      <w:r>
        <w:rPr>
          <w:rFonts w:ascii="Arial" w:cs="Arial" w:eastAsia="Arial" w:hAnsi="Arial"/>
          <w:sz w:val="19"/>
          <w:szCs w:val="19"/>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or liquidity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Administrative Agent), the applicable Borrower shall pay to the Administrative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Company and the Administrative Agent by such Lender shall be conclusive and binding for all purposes, absent demonstrable error. Notwithstanding the foregoing, none of the Lenders shall deliver the notice and certificate described in this Section 2.11(b) to the Company in respect of any requirements of additional capital or liquidity except in accordance with the internal policy of such Lender as to the exercise of similar rights and remedies in similar circumstances.</w:t>
      </w:r>
    </w:p>
    <w:p>
      <w:pPr>
        <w:spacing w:after="0" w:line="168" w:lineRule="exact"/>
        <w:rPr>
          <w:rFonts w:ascii="Arial" w:cs="Arial" w:eastAsia="Arial" w:hAnsi="Arial"/>
          <w:sz w:val="19"/>
          <w:szCs w:val="19"/>
          <w:color w:val="1F3763"/>
        </w:rPr>
      </w:pPr>
    </w:p>
    <w:p>
      <w:pPr>
        <w:ind w:left="1300" w:hanging="644"/>
        <w:spacing w:after="0"/>
        <w:tabs>
          <w:tab w:leader="none" w:pos="1300" w:val="left"/>
        </w:tabs>
        <w:numPr>
          <w:ilvl w:val="0"/>
          <w:numId w:val="126"/>
        </w:numPr>
        <w:rPr>
          <w:rFonts w:ascii="Arial" w:cs="Arial" w:eastAsia="Arial" w:hAnsi="Arial"/>
          <w:sz w:val="22"/>
          <w:szCs w:val="22"/>
          <w:color w:val="1F3763"/>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1F3763"/>
        </w:rPr>
      </w:pPr>
    </w:p>
    <w:p>
      <w:pPr>
        <w:ind w:firstLine="656"/>
        <w:spacing w:after="0" w:line="232" w:lineRule="auto"/>
        <w:tabs>
          <w:tab w:leader="none" w:pos="1291" w:val="left"/>
        </w:tabs>
        <w:numPr>
          <w:ilvl w:val="0"/>
          <w:numId w:val="126"/>
        </w:numPr>
        <w:rPr>
          <w:rFonts w:ascii="Arial" w:cs="Arial" w:eastAsia="Arial" w:hAnsi="Arial"/>
          <w:sz w:val="22"/>
          <w:szCs w:val="22"/>
          <w:color w:val="1F3763"/>
        </w:rPr>
      </w:pPr>
      <w:r>
        <w:rPr>
          <w:rFonts w:ascii="Arial" w:cs="Arial" w:eastAsia="Arial" w:hAnsi="Arial"/>
          <w:sz w:val="22"/>
          <w:szCs w:val="22"/>
          <w:color w:val="auto"/>
        </w:rPr>
        <w:t>Notwithstanding anything to the contrary herein contained, no Lender shall be entitled to claim any additional amounts pursuant to this Section 2.11 arising with respect to any</w:t>
      </w:r>
    </w:p>
    <w:p>
      <w:pPr>
        <w:sectPr>
          <w:pgSz w:w="11900" w:h="16838" w:orient="portrait"/>
          <w:cols w:equalWidth="0" w:num="1">
            <w:col w:w="11240"/>
          </w:cols>
          <w:pgMar w:left="320" w:top="1401" w:right="339" w:bottom="1440" w:gutter="0" w:footer="0" w:header="0"/>
        </w:sectPr>
      </w:pPr>
    </w:p>
    <w:bookmarkStart w:id="180" w:name="page181"/>
    <w:bookmarkEnd w:id="180"/>
    <w:p>
      <w:pPr>
        <w:spacing w:after="0" w:line="232" w:lineRule="auto"/>
        <w:rPr>
          <w:sz w:val="20"/>
          <w:szCs w:val="20"/>
          <w:color w:val="auto"/>
        </w:rPr>
      </w:pPr>
      <w:r>
        <w:rPr>
          <w:rFonts w:ascii="Arial" w:cs="Arial" w:eastAsia="Arial" w:hAnsi="Arial"/>
          <w:sz w:val="22"/>
          <w:szCs w:val="22"/>
          <w:color w:val="auto"/>
        </w:rPr>
        <w:t>period of time prior to the date that is 60 days prior to the date on which notice of such claim and the basis therefor is first given to the Company pursuant to this Section 2.11.</w:t>
      </w:r>
    </w:p>
    <w:p>
      <w:pPr>
        <w:spacing w:after="0" w:line="159" w:lineRule="exact"/>
        <w:rPr>
          <w:sz w:val="20"/>
          <w:szCs w:val="20"/>
          <w:color w:val="auto"/>
        </w:rPr>
      </w:pPr>
    </w:p>
    <w:p>
      <w:pPr>
        <w:jc w:val="both"/>
        <w:ind w:firstLine="656"/>
        <w:spacing w:after="0" w:line="247" w:lineRule="auto"/>
        <w:tabs>
          <w:tab w:leader="none" w:pos="1293" w:val="left"/>
        </w:tabs>
        <w:numPr>
          <w:ilvl w:val="1"/>
          <w:numId w:val="127"/>
        </w:numPr>
        <w:rPr>
          <w:rFonts w:ascii="Arial" w:cs="Arial" w:eastAsia="Arial" w:hAnsi="Arial"/>
          <w:sz w:val="19"/>
          <w:szCs w:val="19"/>
          <w:color w:val="1F3763"/>
        </w:rPr>
      </w:pPr>
      <w:r>
        <w:rPr>
          <w:rFonts w:ascii="Arial" w:cs="Arial" w:eastAsia="Arial" w:hAnsi="Arial"/>
          <w:sz w:val="19"/>
          <w:szCs w:val="19"/>
          <w:color w:val="auto"/>
        </w:rPr>
        <w:t>For the avoidance of doubt, this Section 2.11 shall apply to all requests, rules, guidelines or directives concerning capital or liquidity adequacy (x) issued in connection with the Dodd-Frank Wall Street Reform and Consumer Protection Act and</w:t>
      </w:r>
    </w:p>
    <w:p>
      <w:pPr>
        <w:jc w:val="both"/>
        <w:ind w:firstLine="8"/>
        <w:spacing w:after="0" w:line="217" w:lineRule="auto"/>
        <w:tabs>
          <w:tab w:leader="none" w:pos="32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promulgated by the Bank for International Settlements, the Basel Committee on Banking Supervision (or any successor or similar authority) or the United States or foreign regulatory authorities, in each case pursuant to Basel III, regardless of the date enacted, adopted or issued.</w:t>
      </w:r>
    </w:p>
    <w:p>
      <w:pPr>
        <w:spacing w:after="0" w:line="15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1.12.</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Reserved</w:t>
      </w:r>
      <w:r>
        <w:rPr>
          <w:rFonts w:ascii="Arial" w:cs="Arial" w:eastAsia="Arial" w:hAnsi="Arial"/>
          <w:sz w:val="21"/>
          <w:szCs w:val="21"/>
          <w:color w:val="auto"/>
        </w:rPr>
        <w:t>]</w:t>
      </w:r>
      <w:r>
        <w:rPr>
          <w:rFonts w:ascii="Arial" w:cs="Arial" w:eastAsia="Arial" w:hAnsi="Arial"/>
          <w:sz w:val="19"/>
          <w:szCs w:val="19"/>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1F3763"/>
        </w:rPr>
        <w:t>(a)</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2F5496"/>
        </w:rPr>
        <w:t xml:space="preserve">SECTION 1.13. </w:t>
      </w:r>
      <w:r>
        <w:rPr>
          <w:rFonts w:ascii="Arial" w:cs="Arial" w:eastAsia="Arial" w:hAnsi="Arial"/>
          <w:sz w:val="21"/>
          <w:szCs w:val="21"/>
          <w:u w:val="single" w:color="auto"/>
          <w:color w:val="000000"/>
        </w:rPr>
        <w:t>Payments and Computations</w:t>
      </w:r>
      <w:r>
        <w:rPr>
          <w:rFonts w:ascii="Arial" w:cs="Arial" w:eastAsia="Arial" w:hAnsi="Arial"/>
          <w:sz w:val="20"/>
          <w:szCs w:val="20"/>
          <w:color w:val="000000"/>
        </w:rPr>
        <w:t>. Each Borrower shall make each payment required to be made by it</w:t>
      </w:r>
      <w:r>
        <w:rPr>
          <w:rFonts w:ascii="Arial" w:cs="Arial" w:eastAsia="Arial" w:hAnsi="Arial"/>
          <w:sz w:val="20"/>
          <w:szCs w:val="20"/>
          <w:color w:val="2F5496"/>
        </w:rPr>
        <w:t xml:space="preserve"> </w:t>
      </w:r>
      <w:r>
        <w:rPr>
          <w:rFonts w:ascii="Arial" w:cs="Arial" w:eastAsia="Arial" w:hAnsi="Arial"/>
          <w:sz w:val="20"/>
          <w:szCs w:val="20"/>
          <w:color w:val="000000"/>
        </w:rPr>
        <w:t>hereunder and under any other Loan Documents not later than 12:00 noon (New York City time) on the day when due in US Dollars to the Administrative Agent at its offices at 1525 W. W.T. Harris Blvd., 1st Floor, Charlotte, NC 28262-8522 in same day funds. The Administrative Agent will promptly thereafter cause to be distributed like funds relating to the payment of principal or interest or commitment fees ratably (other than amounts payable pursuant to Section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9.07(c), from and after the effective date specified in such Assignment and Assumption, the Administrative Agent shall make all payments hereunder and under any other Loan Documents in respect of the interest assigned thereby to the Lender assignee thereunder, and the parties to such Assignment and Assumption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Administrative Agent’s receipt of such Lender’s Assumption Agreement and recording of the information contained therein in the Register, from and after the applicable Increase Date or Extension Date, as the case may be, the Administrative Agent shall make all payments hereunder and under any other Loan Documents issued in connection therewith in respect of the interest assumed thereby to the Assuming Lender.</w:t>
      </w:r>
    </w:p>
    <w:p>
      <w:pPr>
        <w:spacing w:after="0" w:line="161" w:lineRule="exact"/>
        <w:rPr>
          <w:sz w:val="20"/>
          <w:szCs w:val="20"/>
          <w:color w:val="auto"/>
        </w:rPr>
      </w:pPr>
    </w:p>
    <w:p>
      <w:pPr>
        <w:jc w:val="both"/>
        <w:ind w:firstLine="656"/>
        <w:spacing w:after="0" w:line="249" w:lineRule="auto"/>
        <w:tabs>
          <w:tab w:leader="none" w:pos="1291" w:val="left"/>
        </w:tabs>
        <w:numPr>
          <w:ilvl w:val="0"/>
          <w:numId w:val="129"/>
        </w:numPr>
        <w:rPr>
          <w:rFonts w:ascii="Arial" w:cs="Arial" w:eastAsia="Arial" w:hAnsi="Arial"/>
          <w:sz w:val="19"/>
          <w:szCs w:val="19"/>
          <w:color w:val="1F3763"/>
        </w:rPr>
      </w:pPr>
      <w:r>
        <w:rPr>
          <w:rFonts w:ascii="Arial" w:cs="Arial" w:eastAsia="Arial" w:hAnsi="Arial"/>
          <w:sz w:val="19"/>
          <w:szCs w:val="19"/>
          <w:color w:val="auto"/>
        </w:rPr>
        <w:t>All computations of interest based on Wells Fargo Bank’s prime rate shall be made by the Administrative Agent on the basis of a year of 365 or 366 days, as the case may be, and all computations of interest based on the Adjusted Eurocurrency Rate or the Federal Funds Rate and of commitment fees shall be made by the Administrative Agent on the basis of a year of 360 days, in each case for the actual number of days (including the first day but excluding the last day) occurring in the period for which such interest or commitment fees are payable. Each determination by the Administrative Agent of an interest rate hereunder shall be conclusive and binding for all purposes, absent demonstrable error.</w:t>
      </w:r>
    </w:p>
    <w:p>
      <w:pPr>
        <w:spacing w:after="0" w:line="151" w:lineRule="exact"/>
        <w:rPr>
          <w:rFonts w:ascii="Arial" w:cs="Arial" w:eastAsia="Arial" w:hAnsi="Arial"/>
          <w:sz w:val="19"/>
          <w:szCs w:val="19"/>
          <w:color w:val="1F3763"/>
        </w:rPr>
      </w:pPr>
    </w:p>
    <w:p>
      <w:pPr>
        <w:jc w:val="both"/>
        <w:ind w:firstLine="656"/>
        <w:spacing w:after="0" w:line="268" w:lineRule="auto"/>
        <w:tabs>
          <w:tab w:leader="none" w:pos="1293" w:val="left"/>
        </w:tabs>
        <w:numPr>
          <w:ilvl w:val="0"/>
          <w:numId w:val="129"/>
        </w:numPr>
        <w:rPr>
          <w:rFonts w:ascii="Arial" w:cs="Arial" w:eastAsia="Arial" w:hAnsi="Arial"/>
          <w:sz w:val="19"/>
          <w:szCs w:val="19"/>
          <w:color w:val="1F3763"/>
        </w:rPr>
      </w:pPr>
      <w:r>
        <w:rPr>
          <w:rFonts w:ascii="Arial" w:cs="Arial" w:eastAsia="Arial" w:hAnsi="Arial"/>
          <w:sz w:val="19"/>
          <w:szCs w:val="19"/>
          <w:color w:val="auto"/>
        </w:rPr>
        <w:t xml:space="preserve">Whenever any payment hereunder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extension would cause</w:t>
      </w:r>
    </w:p>
    <w:p>
      <w:pPr>
        <w:sectPr>
          <w:pgSz w:w="11900" w:h="16838" w:orient="portrait"/>
          <w:cols w:equalWidth="0" w:num="1">
            <w:col w:w="11240"/>
          </w:cols>
          <w:pgMar w:left="320" w:top="1401" w:right="339" w:bottom="1440" w:gutter="0" w:footer="0" w:header="0"/>
        </w:sectPr>
      </w:pPr>
    </w:p>
    <w:bookmarkStart w:id="181" w:name="page182"/>
    <w:bookmarkEnd w:id="181"/>
    <w:p>
      <w:pPr>
        <w:spacing w:after="0" w:line="232" w:lineRule="auto"/>
        <w:rPr>
          <w:sz w:val="20"/>
          <w:szCs w:val="20"/>
          <w:color w:val="auto"/>
        </w:rPr>
      </w:pPr>
      <w:r>
        <w:rPr>
          <w:rFonts w:ascii="Arial" w:cs="Arial" w:eastAsia="Arial" w:hAnsi="Arial"/>
          <w:sz w:val="22"/>
          <w:szCs w:val="22"/>
          <w:color w:val="auto"/>
        </w:rPr>
        <w:t>payment of interest on or principal of Eurocurrency Rate Advances to be made in the next following calendar month, such payment shall be made on the next preceding Business Day.</w:t>
      </w:r>
    </w:p>
    <w:p>
      <w:pPr>
        <w:spacing w:after="0" w:line="159" w:lineRule="exact"/>
        <w:rPr>
          <w:sz w:val="20"/>
          <w:szCs w:val="20"/>
          <w:color w:val="auto"/>
        </w:rPr>
      </w:pPr>
    </w:p>
    <w:p>
      <w:pPr>
        <w:jc w:val="both"/>
        <w:ind w:firstLine="656"/>
        <w:spacing w:after="0" w:line="246" w:lineRule="auto"/>
        <w:tabs>
          <w:tab w:leader="none" w:pos="1291" w:val="left"/>
        </w:tabs>
        <w:numPr>
          <w:ilvl w:val="0"/>
          <w:numId w:val="130"/>
        </w:numPr>
        <w:rPr>
          <w:rFonts w:ascii="Arial" w:cs="Arial" w:eastAsia="Arial" w:hAnsi="Arial"/>
          <w:sz w:val="19"/>
          <w:szCs w:val="19"/>
          <w:color w:val="1F3763"/>
        </w:rPr>
      </w:pPr>
      <w:r>
        <w:rPr>
          <w:rFonts w:ascii="Arial" w:cs="Arial" w:eastAsia="Arial" w:hAnsi="Arial"/>
          <w:sz w:val="19"/>
          <w:szCs w:val="19"/>
          <w:color w:val="auto"/>
        </w:rPr>
        <w:t>Unless the Administrative Agent shall have received notice from the Company prior to the date on which any payment is due to the Lenders hereunder that the applicable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the applicable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14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2F5496"/>
        </w:rPr>
        <w:t xml:space="preserve">SECTION 1.14. </w:t>
      </w:r>
      <w:r>
        <w:rPr>
          <w:rFonts w:ascii="Arial" w:cs="Arial" w:eastAsia="Arial" w:hAnsi="Arial"/>
          <w:sz w:val="21"/>
          <w:szCs w:val="21"/>
          <w:u w:val="single" w:color="auto"/>
          <w:color w:val="000000"/>
        </w:rPr>
        <w:t>Taxes</w:t>
      </w:r>
      <w:r>
        <w:rPr>
          <w:rFonts w:ascii="Arial" w:cs="Arial" w:eastAsia="Arial" w:hAnsi="Arial"/>
          <w:sz w:val="20"/>
          <w:szCs w:val="20"/>
          <w:color w:val="000000"/>
        </w:rPr>
        <w:t>. Any and all payments by any Credit Party hereunder shall be made free and clear of and</w:t>
      </w:r>
      <w:r>
        <w:rPr>
          <w:rFonts w:ascii="Arial" w:cs="Arial" w:eastAsia="Arial" w:hAnsi="Arial"/>
          <w:sz w:val="20"/>
          <w:szCs w:val="20"/>
          <w:color w:val="2F5496"/>
        </w:rPr>
        <w:t xml:space="preserve"> </w:t>
      </w:r>
      <w:r>
        <w:rPr>
          <w:rFonts w:ascii="Arial" w:cs="Arial" w:eastAsia="Arial" w:hAnsi="Arial"/>
          <w:sz w:val="20"/>
          <w:szCs w:val="20"/>
          <w:color w:val="000000"/>
        </w:rPr>
        <w:t>without deduction or withholding for any and all present or future Taxes and all liabilities with respect thereto, except as required by Applicable Law. If any Credit Party shall be required by law to deduct or withhold any Taxes from or in respect of any sum payable hereunder to any Lender or the Administrative Agent, (i) if such Taxes are Indemnified Taxes, the sum payable by the applicable Credit Party shall be increased as may be necessary so that after making all required deductions or withholding (including deductions or withholding applicable to additional sums payable under this Section 2.14) such Lender or the Administrative Agent (as the case may be) receives an amount equal to the sum it would have received had no such deductions or withholding been made, (ii) such Credit Party shall make such deductions and (iii) such Credit Party shall pay the full amount deducted to the relevant Governmental Authority in accordance with Applicable Law.</w:t>
      </w:r>
    </w:p>
    <w:p>
      <w:pPr>
        <w:spacing w:after="0" w:line="16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In addition, without duplication of Section 2.14(a), each Credit Party agrees to pay to the relevant Governmental Authority in accordance with Applicable Law, or at the option of the Administrative Agent reimburse it for the payment of, any Other Taxes.</w:t>
      </w:r>
    </w:p>
    <w:p>
      <w:pPr>
        <w:spacing w:after="0" w:line="159" w:lineRule="exact"/>
        <w:rPr>
          <w:sz w:val="20"/>
          <w:szCs w:val="20"/>
          <w:color w:val="auto"/>
        </w:rPr>
      </w:pPr>
    </w:p>
    <w:p>
      <w:pPr>
        <w:jc w:val="both"/>
        <w:ind w:firstLine="656"/>
        <w:spacing w:after="0" w:line="252" w:lineRule="auto"/>
        <w:tabs>
          <w:tab w:leader="none" w:pos="1291" w:val="left"/>
        </w:tabs>
        <w:numPr>
          <w:ilvl w:val="0"/>
          <w:numId w:val="131"/>
        </w:numPr>
        <w:rPr>
          <w:rFonts w:ascii="Arial" w:cs="Arial" w:eastAsia="Arial" w:hAnsi="Arial"/>
          <w:sz w:val="19"/>
          <w:szCs w:val="19"/>
          <w:color w:val="1F3763"/>
        </w:rPr>
      </w:pPr>
      <w:r>
        <w:rPr>
          <w:rFonts w:ascii="Arial" w:cs="Arial" w:eastAsia="Arial" w:hAnsi="Arial"/>
          <w:sz w:val="19"/>
          <w:szCs w:val="19"/>
          <w:color w:val="auto"/>
        </w:rPr>
        <w:t>The Company and the Guarantors jointly and severally shall indemnify each Lender and the Administrative Agent for the full amount of Indemnified Taxes (including, without limitation, any Taxes imposed by any jurisdiction on amounts payable under this Section 2.14) imposed on or paid by such Lender or the Administrative Agent (as the case may be) and any liability (including penalties, interest and expenses) arising therefrom or with respect thereto. This indemnification shall be made within 30 days from the date such Lender or the Administrative Agent (as the case may be) makes written demand therefor.</w:t>
      </w:r>
    </w:p>
    <w:p>
      <w:pPr>
        <w:spacing w:after="0" w:line="148" w:lineRule="exact"/>
        <w:rPr>
          <w:rFonts w:ascii="Arial" w:cs="Arial" w:eastAsia="Arial" w:hAnsi="Arial"/>
          <w:sz w:val="19"/>
          <w:szCs w:val="19"/>
          <w:color w:val="1F3763"/>
        </w:rPr>
      </w:pPr>
    </w:p>
    <w:p>
      <w:pPr>
        <w:jc w:val="both"/>
        <w:ind w:firstLine="656"/>
        <w:spacing w:after="0" w:line="226" w:lineRule="auto"/>
        <w:tabs>
          <w:tab w:leader="none" w:pos="1293" w:val="left"/>
        </w:tabs>
        <w:numPr>
          <w:ilvl w:val="0"/>
          <w:numId w:val="131"/>
        </w:numPr>
        <w:rPr>
          <w:rFonts w:ascii="Arial" w:cs="Arial" w:eastAsia="Arial" w:hAnsi="Arial"/>
          <w:sz w:val="21"/>
          <w:szCs w:val="21"/>
          <w:color w:val="1F3763"/>
        </w:rPr>
      </w:pPr>
      <w:r>
        <w:rPr>
          <w:rFonts w:ascii="Arial" w:cs="Arial" w:eastAsia="Arial" w:hAnsi="Arial"/>
          <w:sz w:val="21"/>
          <w:szCs w:val="21"/>
          <w:color w:val="auto"/>
        </w:rPr>
        <w:t>Within 30 days after the date of any payment of Taxes (including Excluded Taxes) to a Governmental Authority by the Company or any Foreign Borrower pursuant to this Section 2.14, the Company shall furnish to the Administrative Agent, at its address referred to in Section 9.02, the original or a certified copy of a receipt evidencing payment thereof. The Administrative Agent will post any receipt so received in relation to the payment of Taxes (including Excluded Taxes) from the Company or any Foreign Borrower on the Platform promptly upon receipt.</w:t>
      </w:r>
    </w:p>
    <w:p>
      <w:pPr>
        <w:spacing w:after="0" w:line="159" w:lineRule="exact"/>
        <w:rPr>
          <w:rFonts w:ascii="Arial" w:cs="Arial" w:eastAsia="Arial" w:hAnsi="Arial"/>
          <w:sz w:val="21"/>
          <w:szCs w:val="21"/>
          <w:color w:val="1F3763"/>
        </w:rPr>
      </w:pPr>
    </w:p>
    <w:p>
      <w:pPr>
        <w:jc w:val="both"/>
        <w:ind w:firstLine="656"/>
        <w:spacing w:after="0" w:line="216" w:lineRule="auto"/>
        <w:tabs>
          <w:tab w:leader="none" w:pos="1585" w:val="left"/>
        </w:tabs>
        <w:numPr>
          <w:ilvl w:val="0"/>
          <w:numId w:val="131"/>
        </w:numPr>
        <w:rPr>
          <w:rFonts w:ascii="Arial" w:cs="Arial" w:eastAsia="Arial" w:hAnsi="Arial"/>
          <w:sz w:val="22"/>
          <w:szCs w:val="22"/>
          <w:color w:val="1F3763"/>
        </w:rPr>
      </w:pPr>
      <w:r>
        <w:rPr>
          <w:rFonts w:ascii="Arial" w:cs="Arial" w:eastAsia="Arial" w:hAnsi="Arial"/>
          <w:sz w:val="22"/>
          <w:szCs w:val="22"/>
          <w:color w:val="auto"/>
        </w:rPr>
        <w:t>Any Lender that is entitled to an exemption from or reduction of withholding Tax with respect to payments made under any Loan Document shall deliver to the Company and the Administrative Agent, at the time or times reasonably requested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w:t>
      </w:r>
    </w:p>
    <w:p>
      <w:pPr>
        <w:sectPr>
          <w:pgSz w:w="11900" w:h="16838" w:orient="portrait"/>
          <w:cols w:equalWidth="0" w:num="1">
            <w:col w:w="11240"/>
          </w:cols>
          <w:pgMar w:left="320" w:top="1401" w:right="339" w:bottom="1440" w:gutter="0" w:footer="0" w:header="0"/>
        </w:sectPr>
      </w:pPr>
    </w:p>
    <w:bookmarkStart w:id="182" w:name="page183"/>
    <w:bookmarkEnd w:id="182"/>
    <w:p>
      <w:pPr>
        <w:jc w:val="both"/>
        <w:spacing w:after="0"/>
        <w:rPr>
          <w:sz w:val="20"/>
          <w:szCs w:val="20"/>
          <w:color w:val="auto"/>
        </w:rPr>
      </w:pPr>
      <w:r>
        <w:rPr>
          <w:rFonts w:ascii="Arial" w:cs="Arial" w:eastAsia="Arial" w:hAnsi="Arial"/>
          <w:sz w:val="19"/>
          <w:szCs w:val="19"/>
          <w:color w:val="auto"/>
        </w:rPr>
        <w:t>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Without limiting the generality of the foregoing, each Lender organized under the laws of a jurisdiction outside the United States (each, a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on or prior to the date of its execution and delivery of this Agreement in the case of each Initial Lender and on the date of the Assumption Agreement or the Assignment and Assumption, as the case may be, pursuant to which it becomes a Lender in the case of each other Lender, and from time to time thereafter as requested in writing by the Company (but only so long as such Lender remains lawfully able to do so), shall provide each of the Administrative Agent and the Company with two original Internal Revenue Service Forms W-8BEN, W-8BEN-E, W-8IMY or W-8ECI, as appropriate, or any successor or other form prescribed by the Internal Revenue Service, certifying that such Lender is exempt from or entitled to a reduced rate of United States Federal withholding Tax on payments pursuant to this Agreement. Each Foreign Lender claiming the benefits of the exemption for portfolio interest under Section 871(h) or 881(c) of the Internal Revenue Code shall further provide each of the Administrative Agent and the Company (x) a certificate to the effect that such Lender is not (A) a “bank” within the meaning of Section 881(c)(3)(A) of the Internal Revenue Code, (B) a “10 percent shareholder” of the Company within the meaning of Section 871(h)(3) or 881(c)(3)(B) of the Internal Revenue Code or (C) a “controlled foreign corporation” described in Section 881(c)(3)(C) of the Internal Revenue Code. In addition, each Lender that is organized under the laws of the United States or any political subdivision thereof shall deliver to the Company and the Administrative Agent two copies of Internal Revenue Service Form W-9 (or any subsequent versions thereof or successors thereto) on or before the date such Lender becomes a party to this Agreement and upon the expiration of any form previously delivered by such Lender.</w:t>
      </w:r>
    </w:p>
    <w:p>
      <w:pPr>
        <w:spacing w:after="0" w:line="169" w:lineRule="exact"/>
        <w:rPr>
          <w:sz w:val="20"/>
          <w:szCs w:val="20"/>
          <w:color w:val="auto"/>
        </w:rPr>
      </w:pPr>
    </w:p>
    <w:p>
      <w:pPr>
        <w:jc w:val="both"/>
        <w:ind w:firstLine="1304"/>
        <w:spacing w:after="0" w:line="244" w:lineRule="auto"/>
        <w:tabs>
          <w:tab w:leader="none" w:pos="193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If a payment made to a Lender hereunder would be subject to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Applicable Law and at such time or times reasonably requested by the Company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clause (ii), “FATCA” includes any amendment made to FATCA after the date of this Agreement.</w:t>
      </w:r>
    </w:p>
    <w:p>
      <w:pPr>
        <w:spacing w:after="0" w:line="154" w:lineRule="exact"/>
        <w:rPr>
          <w:rFonts w:ascii="Arial" w:cs="Arial" w:eastAsia="Arial" w:hAnsi="Arial"/>
          <w:sz w:val="19"/>
          <w:szCs w:val="19"/>
          <w:color w:val="auto"/>
        </w:rPr>
      </w:pPr>
    </w:p>
    <w:p>
      <w:pPr>
        <w:jc w:val="both"/>
        <w:ind w:firstLine="1304"/>
        <w:spacing w:after="0" w:line="223" w:lineRule="auto"/>
        <w:tabs>
          <w:tab w:leader="none" w:pos="1944"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58" w:lineRule="exact"/>
        <w:rPr>
          <w:rFonts w:ascii="Arial" w:cs="Arial" w:eastAsia="Arial" w:hAnsi="Arial"/>
          <w:sz w:val="22"/>
          <w:szCs w:val="22"/>
          <w:color w:val="auto"/>
        </w:rPr>
      </w:pPr>
    </w:p>
    <w:p>
      <w:pPr>
        <w:jc w:val="both"/>
        <w:ind w:firstLine="656"/>
        <w:spacing w:after="0" w:line="212" w:lineRule="auto"/>
        <w:tabs>
          <w:tab w:leader="none" w:pos="1293" w:val="left"/>
        </w:tabs>
        <w:numPr>
          <w:ilvl w:val="0"/>
          <w:numId w:val="133"/>
        </w:numPr>
        <w:rPr>
          <w:rFonts w:ascii="Arial" w:cs="Arial" w:eastAsia="Arial" w:hAnsi="Arial"/>
          <w:sz w:val="22"/>
          <w:szCs w:val="22"/>
          <w:color w:val="1F3763"/>
        </w:rPr>
      </w:pPr>
      <w:r>
        <w:rPr>
          <w:rFonts w:ascii="Arial" w:cs="Arial" w:eastAsia="Arial" w:hAnsi="Arial"/>
          <w:sz w:val="22"/>
          <w:szCs w:val="22"/>
          <w:color w:val="auto"/>
        </w:rPr>
        <w:t>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Section 9.07(d)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w:t>
      </w:r>
    </w:p>
    <w:p>
      <w:pPr>
        <w:sectPr>
          <w:pgSz w:w="11900" w:h="16838" w:orient="portrait"/>
          <w:cols w:equalWidth="0" w:num="1">
            <w:col w:w="11240"/>
          </w:cols>
          <w:pgMar w:left="320" w:top="1401" w:right="339" w:bottom="1440" w:gutter="0" w:footer="0" w:header="0"/>
        </w:sectPr>
      </w:pPr>
    </w:p>
    <w:bookmarkStart w:id="183" w:name="page184"/>
    <w:bookmarkEnd w:id="183"/>
    <w:p>
      <w:pPr>
        <w:jc w:val="both"/>
        <w:spacing w:after="0" w:line="252" w:lineRule="auto"/>
        <w:rPr>
          <w:sz w:val="20"/>
          <w:szCs w:val="20"/>
          <w:color w:val="auto"/>
        </w:rPr>
      </w:pPr>
      <w:r>
        <w:rPr>
          <w:rFonts w:ascii="Arial" w:cs="Arial" w:eastAsia="Arial" w:hAnsi="Arial"/>
          <w:sz w:val="19"/>
          <w:szCs w:val="19"/>
          <w:color w:val="auto"/>
        </w:rPr>
        <w:t>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2.14(f).</w:t>
      </w:r>
    </w:p>
    <w:p>
      <w:pPr>
        <w:spacing w:after="0" w:line="14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2F5496"/>
        </w:rPr>
        <w:t xml:space="preserve">SECTION 1.15. </w:t>
      </w:r>
      <w:r>
        <w:rPr>
          <w:rFonts w:ascii="Arial" w:cs="Arial" w:eastAsia="Arial" w:hAnsi="Arial"/>
          <w:sz w:val="21"/>
          <w:szCs w:val="21"/>
          <w:u w:val="single" w:color="auto"/>
          <w:color w:val="000000"/>
        </w:rPr>
        <w:t>Sharing of Payments, Etc.</w:t>
      </w:r>
      <w:r>
        <w:rPr>
          <w:rFonts w:ascii="Arial" w:cs="Arial" w:eastAsia="Arial" w:hAnsi="Arial"/>
          <w:sz w:val="20"/>
          <w:szCs w:val="20"/>
          <w:color w:val="2F5496"/>
        </w:rPr>
        <w:t xml:space="preserve"> </w:t>
      </w:r>
      <w:r>
        <w:rPr>
          <w:rFonts w:ascii="Arial" w:cs="Arial" w:eastAsia="Arial" w:hAnsi="Arial"/>
          <w:sz w:val="20"/>
          <w:szCs w:val="20"/>
          <w:color w:val="000000"/>
        </w:rPr>
        <w:t>If any Lender shall obtain any payment (whether voluntary,</w:t>
      </w:r>
      <w:r>
        <w:rPr>
          <w:rFonts w:ascii="Arial" w:cs="Arial" w:eastAsia="Arial" w:hAnsi="Arial"/>
          <w:sz w:val="20"/>
          <w:szCs w:val="20"/>
          <w:color w:val="2F5496"/>
        </w:rPr>
        <w:t xml:space="preserve"> </w:t>
      </w:r>
      <w:r>
        <w:rPr>
          <w:rFonts w:ascii="Arial" w:cs="Arial" w:eastAsia="Arial" w:hAnsi="Arial"/>
          <w:sz w:val="20"/>
          <w:szCs w:val="20"/>
          <w:color w:val="000000"/>
        </w:rPr>
        <w:t xml:space="preserve">involuntary, through the exercise of any right of set-off, or otherwise) on account of the Advances owing to it (other than pursuant to Section 2.11, 2.14 or 9.04(c)) in excess of its ratable share of payments on account of the Advances of the relevant Tranche obtained by all the Lenders of such Tranche, such Lender shall forthwith purchase from the other Lenders of such Tranche such participations in the Advances of such Tranche owing to them as shall be necessary to cause such purchasing Lender to share the excess payment ratably with each of them;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however</w:t>
      </w:r>
      <w:r>
        <w:rPr>
          <w:rFonts w:ascii="Arial" w:cs="Arial" w:eastAsia="Arial" w:hAnsi="Arial"/>
          <w:sz w:val="20"/>
          <w:szCs w:val="20"/>
          <w:color w:val="000000"/>
        </w:rPr>
        <w:t xml:space="preserve">, that if all or any portion of such excess payment is thereafter recovered from such purchasing Lender, such purchase from each Lender of such Tranche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further</w:t>
      </w:r>
      <w:r>
        <w:rPr>
          <w:rFonts w:ascii="Arial" w:cs="Arial" w:eastAsia="Arial" w:hAnsi="Arial"/>
          <w:sz w:val="20"/>
          <w:szCs w:val="20"/>
          <w:color w:val="000000"/>
        </w:rPr>
        <w:t xml:space="preserve">, that, so long as the Advances shall not have become due and payable pursuant to Section 6.01, any excess payment received by any Lender shall be shared on a pro rata basis only with other Lenders that have Commitments or Advances in such Tranche;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further</w:t>
      </w:r>
      <w:r>
        <w:rPr>
          <w:rFonts w:ascii="Arial" w:cs="Arial" w:eastAsia="Arial" w:hAnsi="Arial"/>
          <w:sz w:val="20"/>
          <w:szCs w:val="20"/>
          <w:color w:val="000000"/>
        </w:rPr>
        <w:t>, that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Advances to any assignee or participant. Each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such Borrower in the amount of such participation.</w:t>
      </w:r>
    </w:p>
    <w:p>
      <w:pPr>
        <w:spacing w:after="0" w:line="15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2F5496"/>
        </w:rPr>
        <w:t xml:space="preserve">SECTION 1.16. </w:t>
      </w:r>
      <w:r>
        <w:rPr>
          <w:rFonts w:ascii="Arial" w:cs="Arial" w:eastAsia="Arial" w:hAnsi="Arial"/>
          <w:sz w:val="21"/>
          <w:szCs w:val="21"/>
          <w:u w:val="single" w:color="auto"/>
          <w:color w:val="000000"/>
        </w:rPr>
        <w:t>Use of Proceeds</w:t>
      </w:r>
      <w:r>
        <w:rPr>
          <w:rFonts w:ascii="Arial" w:cs="Arial" w:eastAsia="Arial" w:hAnsi="Arial"/>
          <w:sz w:val="20"/>
          <w:szCs w:val="20"/>
          <w:color w:val="000000"/>
        </w:rPr>
        <w:t>. The proceeds of the Advances shall be available (and each Borrower agrees that</w:t>
      </w:r>
      <w:r>
        <w:rPr>
          <w:rFonts w:ascii="Arial" w:cs="Arial" w:eastAsia="Arial" w:hAnsi="Arial"/>
          <w:sz w:val="20"/>
          <w:szCs w:val="20"/>
          <w:color w:val="2F5496"/>
        </w:rPr>
        <w:t xml:space="preserve"> </w:t>
      </w:r>
      <w:r>
        <w:rPr>
          <w:rFonts w:ascii="Arial" w:cs="Arial" w:eastAsia="Arial" w:hAnsi="Arial"/>
          <w:sz w:val="20"/>
          <w:szCs w:val="20"/>
          <w:color w:val="000000"/>
        </w:rPr>
        <w:t>it shall use such proceeds) for general corporate purposes of each such Borrower and its Subsidiaries. No Borrower will request any Advances, and no Borrower shall use, and each Borrower shall cause its respective Subsidiaries not to use, the proceeds of any Advances (a) in furtherance of an offer, payment, promise to pay, or authorization of the payment or giving of money, or anything else of value, to any Person (i) in violation of any applicable Sanctions or Anti-Corruption Law, (ii) for any activities pursuant to General License H issued by OFAC pursuant to the Iranian Transactions and Sanctions Regulations, 31 C.F.R. part 560, on January 16, 2016 or (iii) in a manner that would cause any Lender to be in violation of any Sanctions, (b) for the purpose of funding, financing or facilitating any activities, business or transaction in, of or with any Sanctioned Entity or (c) in any manner that would result in the violation of the FCPA and any foreign counterpart thereto.</w:t>
      </w:r>
    </w:p>
    <w:p>
      <w:pPr>
        <w:spacing w:after="0" w:line="16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2F5496"/>
        </w:rPr>
        <w:t xml:space="preserve">SECTION 1.17. </w:t>
      </w:r>
      <w:r>
        <w:rPr>
          <w:rFonts w:ascii="Arial" w:cs="Arial" w:eastAsia="Arial" w:hAnsi="Arial"/>
          <w:sz w:val="23"/>
          <w:szCs w:val="23"/>
          <w:u w:val="single" w:color="auto"/>
          <w:color w:val="000000"/>
        </w:rPr>
        <w:t>Extension of Termination Date</w:t>
      </w:r>
      <w:r>
        <w:rPr>
          <w:rFonts w:ascii="Arial" w:cs="Arial" w:eastAsia="Arial" w:hAnsi="Arial"/>
          <w:sz w:val="22"/>
          <w:szCs w:val="22"/>
          <w:color w:val="000000"/>
        </w:rPr>
        <w:t>. At least 60 days prior to any applicable Termination Date in</w:t>
      </w:r>
      <w:r>
        <w:rPr>
          <w:rFonts w:ascii="Arial" w:cs="Arial" w:eastAsia="Arial" w:hAnsi="Arial"/>
          <w:sz w:val="22"/>
          <w:szCs w:val="22"/>
          <w:color w:val="2F5496"/>
        </w:rPr>
        <w:t xml:space="preserve"> </w:t>
      </w:r>
      <w:r>
        <w:rPr>
          <w:rFonts w:ascii="Arial" w:cs="Arial" w:eastAsia="Arial" w:hAnsi="Arial"/>
          <w:sz w:val="22"/>
          <w:szCs w:val="22"/>
          <w:color w:val="000000"/>
        </w:rPr>
        <w:t xml:space="preserve">effect, the Company, on behalf of the Borrowers, by written notice to the Administrative Agent, may request an extension of any Termination Date in effect at such time by one year from its then scheduled expiration;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the Company may request an extension no more than two times during the term of this Agreement. The Administrative Agent shall promptly notify each Lender of such request, and each Lender shall</w:t>
      </w:r>
    </w:p>
    <w:p>
      <w:pPr>
        <w:sectPr>
          <w:pgSz w:w="11900" w:h="16838" w:orient="portrait"/>
          <w:cols w:equalWidth="0" w:num="1">
            <w:col w:w="11240"/>
          </w:cols>
          <w:pgMar w:left="320" w:top="1401" w:right="339" w:bottom="1440" w:gutter="0" w:footer="0" w:header="0"/>
        </w:sectPr>
      </w:pPr>
    </w:p>
    <w:bookmarkStart w:id="184" w:name="page185"/>
    <w:bookmarkEnd w:id="184"/>
    <w:p>
      <w:pPr>
        <w:jc w:val="both"/>
        <w:spacing w:after="0" w:line="249" w:lineRule="auto"/>
        <w:rPr>
          <w:sz w:val="20"/>
          <w:szCs w:val="20"/>
          <w:color w:val="auto"/>
        </w:rPr>
      </w:pPr>
      <w:r>
        <w:rPr>
          <w:rFonts w:ascii="Arial" w:cs="Arial" w:eastAsia="Arial" w:hAnsi="Arial"/>
          <w:sz w:val="19"/>
          <w:szCs w:val="19"/>
          <w:color w:val="auto"/>
        </w:rPr>
        <w:t>in turn, in its sole discretion, not later than the date specified in such notice (subject to extension by the Company), notify the Company and the Administrative Agent in writing as to whether such Lender will consent to such extension. If any Lender shall fail to notify the Administrative Agent and the Company in writing of its consent to any such request for extension of the Termination Date prior to the date specified in such notice (as extended, if applicable), such Lender shall be deemed to be a Non-Consenting Lender with respect to such request. The Administrative Agent shall promptly notify the Company of the decision of the Lenders regarding the Company’s request for an extension of the Termination Date.</w:t>
      </w:r>
    </w:p>
    <w:p>
      <w:pPr>
        <w:spacing w:after="0" w:line="152" w:lineRule="exact"/>
        <w:rPr>
          <w:sz w:val="20"/>
          <w:szCs w:val="20"/>
          <w:color w:val="auto"/>
        </w:rPr>
      </w:pPr>
    </w:p>
    <w:p>
      <w:pPr>
        <w:jc w:val="both"/>
        <w:ind w:firstLine="656"/>
        <w:spacing w:after="0" w:line="241" w:lineRule="auto"/>
        <w:tabs>
          <w:tab w:leader="none" w:pos="1291" w:val="left"/>
        </w:tabs>
        <w:numPr>
          <w:ilvl w:val="0"/>
          <w:numId w:val="134"/>
        </w:numPr>
        <w:rPr>
          <w:rFonts w:ascii="Arial" w:cs="Arial" w:eastAsia="Arial" w:hAnsi="Arial"/>
          <w:sz w:val="19"/>
          <w:szCs w:val="19"/>
          <w:color w:val="1F3763"/>
        </w:rPr>
      </w:pPr>
      <w:r>
        <w:rPr>
          <w:rFonts w:ascii="Arial" w:cs="Arial" w:eastAsia="Arial" w:hAnsi="Arial"/>
          <w:sz w:val="19"/>
          <w:szCs w:val="19"/>
          <w:color w:val="auto"/>
        </w:rPr>
        <w:t>If all the Lenders consent in writing to any such request in accordance with subsection (a) of this Section 2.17, the Termination Date in effect at such time shall, effective as at the applicable date specified pursuant to subsection (a) above (the “</w:t>
      </w:r>
      <w:r>
        <w:rPr>
          <w:rFonts w:ascii="Arial" w:cs="Arial" w:eastAsia="Arial" w:hAnsi="Arial"/>
          <w:sz w:val="19"/>
          <w:szCs w:val="19"/>
          <w:u w:val="single" w:color="auto"/>
          <w:color w:val="auto"/>
        </w:rPr>
        <w:t>Extension Date</w:t>
      </w:r>
      <w:r>
        <w:rPr>
          <w:rFonts w:ascii="Arial" w:cs="Arial" w:eastAsia="Arial" w:hAnsi="Arial"/>
          <w:sz w:val="19"/>
          <w:szCs w:val="19"/>
          <w:color w:val="auto"/>
        </w:rPr>
        <w:t xml:space="preserve">”), be extended for one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each Extension Date the applicable conditions set forth in Section 3.02 shall be satisfied. If less than all of the Lenders consent in writing to any such request in accordance with subsection (a) of this Section 2.17, the Termination Date in effect at such time shall, effective as at the applicable Extension Date and subject to subsection (d) of this Section 2.17, be extended as to those Lenders that so consented (each a “</w:t>
      </w:r>
      <w:r>
        <w:rPr>
          <w:rFonts w:ascii="Arial" w:cs="Arial" w:eastAsia="Arial" w:hAnsi="Arial"/>
          <w:sz w:val="19"/>
          <w:szCs w:val="19"/>
          <w:u w:val="single" w:color="auto"/>
          <w:color w:val="auto"/>
        </w:rPr>
        <w:t>Consenting Lender</w:t>
      </w:r>
      <w:r>
        <w:rPr>
          <w:rFonts w:ascii="Arial" w:cs="Arial" w:eastAsia="Arial" w:hAnsi="Arial"/>
          <w:sz w:val="19"/>
          <w:szCs w:val="19"/>
          <w:color w:val="auto"/>
        </w:rPr>
        <w:t>”) but shall not be extended as to any other Lender (each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To the extent that the Termination Date is not extended as to any Lender pursuant to this Section 2.17 and the Commitments of such Lender are not substituted in accordance with subsection (c) of this Section 2.17 on or prior to the applicable Extension Date, the Commitments of such Non-Consenting Lender shall automatically terminate in whole on such unextended Termination Date without any further notice or other action by the Company, such Lender or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Company for any requested extension of the Termination Date.</w:t>
      </w:r>
    </w:p>
    <w:p>
      <w:pPr>
        <w:spacing w:after="0" w:line="168" w:lineRule="exact"/>
        <w:rPr>
          <w:rFonts w:ascii="Arial" w:cs="Arial" w:eastAsia="Arial" w:hAnsi="Arial"/>
          <w:sz w:val="19"/>
          <w:szCs w:val="19"/>
          <w:color w:val="1F3763"/>
        </w:rPr>
      </w:pPr>
    </w:p>
    <w:p>
      <w:pPr>
        <w:jc w:val="both"/>
        <w:ind w:firstLine="656"/>
        <w:spacing w:after="0" w:line="241" w:lineRule="auto"/>
        <w:tabs>
          <w:tab w:leader="none" w:pos="1293" w:val="left"/>
        </w:tabs>
        <w:numPr>
          <w:ilvl w:val="0"/>
          <w:numId w:val="134"/>
        </w:numPr>
        <w:rPr>
          <w:rFonts w:ascii="Arial" w:cs="Arial" w:eastAsia="Arial" w:hAnsi="Arial"/>
          <w:sz w:val="19"/>
          <w:szCs w:val="19"/>
          <w:color w:val="1F3763"/>
        </w:rPr>
      </w:pPr>
      <w:r>
        <w:rPr>
          <w:rFonts w:ascii="Arial" w:cs="Arial" w:eastAsia="Arial" w:hAnsi="Arial"/>
          <w:sz w:val="19"/>
          <w:szCs w:val="19"/>
          <w:color w:val="auto"/>
        </w:rPr>
        <w:t xml:space="preserve">If less than all of the Lenders consent to any such request pursuant to subsection (a) of this Section 2.17, the Administrative Agent shall promptly so notify the Consenting Lenders, and each Consenting Lender may, in its sole discretion, give written notice to the Administrative Agent not later than 30 days prior to the applicable Extension Date of the amount of the Non-Consenting Lenders’ Commitments for which it is willing to accept an assignment. If the Consenting Lenders notify the Administrative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Company and the Administrative Agent. If after giving effect to the assignments of Commitments described above there remain any Commitments of Non-Consenting Lenders, the Company may arrange for one or more Consenting Lenders or other Eligible Assignees as Assuming Lenders to assume, effective as of the applicable Extension Date, all or a portion of Non-Consenting Lender’s Commitments and all of the obligations of such Non-Consenting Lender under this Agreement thereafter arising, without recourse to or warranty by, or expense to, such Non-Consenting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amount of the Commitments of any such Assuming Lender as a result of such substitution shall in no event be less than $10,000,000 unless the amount of the Commitments of such Non-Consenting Lender is less than $10,000,000, in which case such Assuming Lender shall assume all of such lesser amount;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w:t>
      </w:r>
    </w:p>
    <w:p>
      <w:pPr>
        <w:spacing w:after="0" w:line="384" w:lineRule="exact"/>
        <w:rPr>
          <w:rFonts w:ascii="Arial" w:cs="Arial" w:eastAsia="Arial" w:hAnsi="Arial"/>
          <w:sz w:val="19"/>
          <w:szCs w:val="19"/>
          <w:color w:val="1F3763"/>
        </w:rPr>
      </w:pPr>
    </w:p>
    <w:p>
      <w:pPr>
        <w:jc w:val="both"/>
        <w:ind w:left="660" w:firstLine="644"/>
        <w:spacing w:after="0" w:line="223" w:lineRule="auto"/>
        <w:tabs>
          <w:tab w:leader="none" w:pos="1944"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any such Consenting Lender or Assuming Lender shall have paid to such Non-Consenting Lender (A) the aggregate principal amount of, and any interest accrued and unpaid to the effective date of the assignment on, the outstanding Advances, if any,</w:t>
      </w:r>
    </w:p>
    <w:p>
      <w:pPr>
        <w:sectPr>
          <w:pgSz w:w="11900" w:h="16838" w:orient="portrait"/>
          <w:cols w:equalWidth="0" w:num="1">
            <w:col w:w="11240"/>
          </w:cols>
          <w:pgMar w:left="320" w:top="1401" w:right="339" w:bottom="1440" w:gutter="0" w:footer="0" w:header="0"/>
        </w:sectPr>
      </w:pPr>
    </w:p>
    <w:bookmarkStart w:id="185" w:name="page186"/>
    <w:bookmarkEnd w:id="185"/>
    <w:p>
      <w:pPr>
        <w:ind w:left="660" w:right="20"/>
        <w:spacing w:after="0" w:line="232" w:lineRule="auto"/>
        <w:rPr>
          <w:sz w:val="20"/>
          <w:szCs w:val="20"/>
          <w:color w:val="auto"/>
        </w:rPr>
      </w:pPr>
      <w:r>
        <w:rPr>
          <w:rFonts w:ascii="Arial" w:cs="Arial" w:eastAsia="Arial" w:hAnsi="Arial"/>
          <w:sz w:val="22"/>
          <w:szCs w:val="22"/>
          <w:color w:val="auto"/>
        </w:rPr>
        <w:t>of such Non-Consenting Lender plus (B) any accrued but unpaid commitment fees owing to such Non-Consenting Lender as of the effective date of such assignment;</w:t>
      </w:r>
    </w:p>
    <w:p>
      <w:pPr>
        <w:spacing w:after="0" w:line="159" w:lineRule="exact"/>
        <w:rPr>
          <w:sz w:val="20"/>
          <w:szCs w:val="20"/>
          <w:color w:val="auto"/>
        </w:rPr>
      </w:pPr>
    </w:p>
    <w:p>
      <w:pPr>
        <w:jc w:val="both"/>
        <w:ind w:left="660" w:firstLine="644"/>
        <w:spacing w:after="0" w:line="234" w:lineRule="auto"/>
        <w:tabs>
          <w:tab w:leader="none" w:pos="195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157" w:lineRule="exact"/>
        <w:rPr>
          <w:rFonts w:ascii="Arial" w:cs="Arial" w:eastAsia="Arial" w:hAnsi="Arial"/>
          <w:sz w:val="21"/>
          <w:szCs w:val="21"/>
          <w:color w:val="auto"/>
        </w:rPr>
      </w:pPr>
    </w:p>
    <w:p>
      <w:pPr>
        <w:ind w:left="660" w:right="20" w:firstLine="644"/>
        <w:spacing w:after="0" w:line="232" w:lineRule="auto"/>
        <w:tabs>
          <w:tab w:leader="none" w:pos="195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with respect to any such Assuming Lender, the applicable processing and recordation fee required under Section 9.07(b) for such assignment shall have been paid;</w:t>
      </w:r>
    </w:p>
    <w:p>
      <w:pPr>
        <w:spacing w:after="0" w:line="159" w:lineRule="exact"/>
        <w:rPr>
          <w:sz w:val="20"/>
          <w:szCs w:val="20"/>
          <w:color w:val="auto"/>
        </w:rPr>
      </w:pPr>
    </w:p>
    <w:p>
      <w:pPr>
        <w:jc w:val="both"/>
        <w:spacing w:after="0" w:line="219" w:lineRule="auto"/>
        <w:rPr>
          <w:sz w:val="20"/>
          <w:szCs w:val="20"/>
          <w:color w:val="auto"/>
        </w:rPr>
      </w:pP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Non-Consenting Lender’s rights under Sections 2.11, 2.14 and 9.04, and its obligations under Section 7.05, shall survive such substitution as to matters occurring prior to the date of substitution. At least three Business Days prior to any Extension Date, (A) each such Assuming Lender, if any, shall have delivered to the Company and the Administrative Agent an Assumption Agreement, duly executed by such Assuming Lender, such Non-Consenting Lender, the Company and the Administrative Agent and (B) any such Consenting Lender shall have delivered confirmation in writing satisfactory to the Company and the Administrative Agent as to the increase in the amount of its Commitments. Upon the payment or prepayment of all amounts referred to in clauses (i), (ii) and (iii) of the immediately preceding sentence, each such Consenting Lender or Assuming Lender, as of the applicable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68" w:lineRule="exact"/>
        <w:rPr>
          <w:sz w:val="20"/>
          <w:szCs w:val="20"/>
          <w:color w:val="auto"/>
        </w:rPr>
      </w:pPr>
    </w:p>
    <w:p>
      <w:pPr>
        <w:jc w:val="both"/>
        <w:ind w:firstLine="656"/>
        <w:spacing w:after="0" w:line="243" w:lineRule="auto"/>
        <w:tabs>
          <w:tab w:leader="none" w:pos="1291" w:val="left"/>
        </w:tabs>
        <w:numPr>
          <w:ilvl w:val="0"/>
          <w:numId w:val="136"/>
        </w:numPr>
        <w:rPr>
          <w:rFonts w:ascii="Arial" w:cs="Arial" w:eastAsia="Arial" w:hAnsi="Arial"/>
          <w:sz w:val="19"/>
          <w:szCs w:val="19"/>
          <w:color w:val="1F3763"/>
        </w:rPr>
      </w:pPr>
      <w:r>
        <w:rPr>
          <w:rFonts w:ascii="Arial" w:cs="Arial" w:eastAsia="Arial" w:hAnsi="Arial"/>
          <w:sz w:val="19"/>
          <w:szCs w:val="19"/>
          <w:color w:val="auto"/>
        </w:rPr>
        <w:t>If (after giving effect to any assignments or assumptions pursuant to subsection (c) of this Section 2.17) Lenders having Commitments equal to at least 50% of the Commitments in effect immediately prior to the applicable Extension Date consent in writing to a requested extension (whether by execution or delivery of an Assumption Agreement or otherwise) not later than one Business Day prior to such Extension Date, the Administrative Agent shall so notify the Company, and, subject to the satisfaction to the applicable conditions in Section 3.02, the Termination Date then in effect shall be extended for the additional one year period as described in subsection (a) of this Section 2.17, and all references in this Agreement, and in the other Loan Documents, if any, to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shall, with respect to each Consenting Lender and each Assuming Lender for such Extension Date, refer to the Termination Date as so extended. Promptly following each Extension Date, the Administrative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5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1.18.</w:t>
      </w:r>
      <w:r>
        <w:rPr>
          <w:sz w:val="20"/>
          <w:szCs w:val="20"/>
          <w:color w:val="auto"/>
        </w:rPr>
        <w:tab/>
      </w:r>
      <w:r>
        <w:rPr>
          <w:rFonts w:ascii="Arial" w:cs="Arial" w:eastAsia="Arial" w:hAnsi="Arial"/>
          <w:sz w:val="21"/>
          <w:szCs w:val="21"/>
          <w:u w:val="single" w:color="auto"/>
          <w:color w:val="auto"/>
        </w:rPr>
        <w:t>Defaulting Lenders</w:t>
      </w:r>
      <w:r>
        <w:rPr>
          <w:rFonts w:ascii="Arial" w:cs="Arial" w:eastAsia="Arial" w:hAnsi="Arial"/>
          <w:sz w:val="19"/>
          <w:szCs w:val="19"/>
          <w:color w:val="auto"/>
        </w:rPr>
        <w:t>.</w:t>
      </w:r>
    </w:p>
    <w:p>
      <w:pPr>
        <w:spacing w:after="0" w:line="197" w:lineRule="exact"/>
        <w:rPr>
          <w:sz w:val="20"/>
          <w:szCs w:val="20"/>
          <w:color w:val="auto"/>
        </w:rPr>
      </w:pPr>
    </w:p>
    <w:p>
      <w:pPr>
        <w:jc w:val="both"/>
        <w:ind w:firstLine="656"/>
        <w:spacing w:after="0" w:line="223" w:lineRule="auto"/>
        <w:tabs>
          <w:tab w:leader="none" w:pos="1293" w:val="left"/>
        </w:tabs>
        <w:numPr>
          <w:ilvl w:val="0"/>
          <w:numId w:val="137"/>
        </w:numPr>
        <w:rPr>
          <w:rFonts w:ascii="Arial" w:cs="Arial" w:eastAsia="Arial" w:hAnsi="Arial"/>
          <w:sz w:val="22"/>
          <w:szCs w:val="22"/>
          <w:color w:val="1F3763"/>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8" w:lineRule="exact"/>
        <w:rPr>
          <w:rFonts w:ascii="Arial" w:cs="Arial" w:eastAsia="Arial" w:hAnsi="Arial"/>
          <w:sz w:val="22"/>
          <w:szCs w:val="22"/>
          <w:color w:val="1F3763"/>
        </w:rPr>
      </w:pPr>
    </w:p>
    <w:p>
      <w:pPr>
        <w:ind w:left="660" w:firstLine="644"/>
        <w:spacing w:after="0" w:line="298" w:lineRule="auto"/>
        <w:tabs>
          <w:tab w:leader="none" w:pos="1944"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Such Defaulting Lender’s right to approve or disapprove any amendment, waiver or consent with respect to this Agreement shall be restricted as set forth in the definition of Required Lenders.</w:t>
      </w:r>
    </w:p>
    <w:p>
      <w:pPr>
        <w:spacing w:after="0" w:line="105" w:lineRule="exact"/>
        <w:rPr>
          <w:rFonts w:ascii="Arial" w:cs="Arial" w:eastAsia="Arial" w:hAnsi="Arial"/>
          <w:sz w:val="19"/>
          <w:szCs w:val="19"/>
          <w:color w:val="auto"/>
        </w:rPr>
      </w:pPr>
    </w:p>
    <w:p>
      <w:pPr>
        <w:ind w:left="660" w:right="20" w:firstLine="644"/>
        <w:spacing w:after="0" w:line="232" w:lineRule="auto"/>
        <w:tabs>
          <w:tab w:leader="none" w:pos="1950"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Defaulting Lender Waterfall</w:t>
      </w:r>
      <w:r>
        <w:rPr>
          <w:rFonts w:ascii="Arial" w:cs="Arial" w:eastAsia="Arial" w:hAnsi="Arial"/>
          <w:sz w:val="22"/>
          <w:szCs w:val="22"/>
          <w:color w:val="auto"/>
        </w:rPr>
        <w:t>. Any payment of principal, interest, fees or other amounts received by the Administrative Agent for the account of such Defaulting</w:t>
      </w:r>
    </w:p>
    <w:p>
      <w:pPr>
        <w:sectPr>
          <w:pgSz w:w="11900" w:h="16838" w:orient="portrait"/>
          <w:cols w:equalWidth="0" w:num="1">
            <w:col w:w="11240"/>
          </w:cols>
          <w:pgMar w:left="320" w:top="1401" w:right="339" w:bottom="1440" w:gutter="0" w:footer="0" w:header="0"/>
        </w:sectPr>
      </w:pPr>
    </w:p>
    <w:bookmarkStart w:id="186" w:name="page187"/>
    <w:bookmarkEnd w:id="186"/>
    <w:p>
      <w:pPr>
        <w:jc w:val="both"/>
        <w:ind w:left="660"/>
        <w:spacing w:after="0"/>
        <w:rPr>
          <w:sz w:val="20"/>
          <w:szCs w:val="20"/>
          <w:color w:val="auto"/>
        </w:rPr>
      </w:pPr>
      <w:r>
        <w:rPr>
          <w:rFonts w:ascii="Arial" w:cs="Arial" w:eastAsia="Arial" w:hAnsi="Arial"/>
          <w:sz w:val="19"/>
          <w:szCs w:val="19"/>
          <w:color w:val="auto"/>
        </w:rPr>
        <w:t xml:space="preserve">Lender hereunder (whether voluntary or mandatory, at maturity, pursuant to Article VI or otherwise) or received by the Administrative Agent from a Defaulting Lender pursuant to Section 9.05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as the Company, on behalf of the Borrowers, may request (so long as no Default exists), to the funding of any Advance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and the Company, to be held in a deposit account and released pro rata in order to satisfy such Defaulting Lender’s potential future funding obligations with respect to Advances under this Agreement;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the payment of any amounts owing to the Lenders as a result of any judgment of a court of competent jurisdiction obtained by any Borrower against such Defaulting Lender as a result of such Defaulting Lender’s breach of its obligations under this Agreement; and </w:t>
      </w:r>
      <w:r>
        <w:rPr>
          <w:rFonts w:ascii="Arial" w:cs="Arial" w:eastAsia="Arial" w:hAnsi="Arial"/>
          <w:sz w:val="19"/>
          <w:szCs w:val="19"/>
          <w:i w:val="1"/>
          <w:iCs w:val="1"/>
          <w:color w:val="auto"/>
        </w:rPr>
        <w:t>fifth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Advances in respect of which such Defaulting Lender has not fully funded its appropriate share and (y) such Advances were made at a time when the conditions set forth in Section 3.02 were satisfied or waived, such payment shall be applied solely to pay the Advances of all Non-Defaulting Lenders on a pro rata basis prior to being applied to the payment of any Advances of such Defaulting Lender until such time as all Advances are held by the Lenders pro rata in accordance with the Commitments. Any payments, prepayments or other amounts paid or payable to a Defaulting Lender that are applied (or held) to pay amounts owed by a Defaulting Lender pursuant to this Section 2.18(a)(ii) shall be deemed paid to and redirected by such Defaulting Lender, and each Lender irrevocably consents hereto.</w:t>
      </w:r>
    </w:p>
    <w:p>
      <w:pPr>
        <w:spacing w:after="0" w:line="387" w:lineRule="exact"/>
        <w:rPr>
          <w:sz w:val="20"/>
          <w:szCs w:val="20"/>
          <w:color w:val="auto"/>
        </w:rPr>
      </w:pPr>
    </w:p>
    <w:p>
      <w:pPr>
        <w:jc w:val="both"/>
        <w:ind w:left="660" w:firstLine="644"/>
        <w:spacing w:after="0" w:line="223" w:lineRule="auto"/>
        <w:tabs>
          <w:tab w:leader="none" w:pos="1956"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 No Defaulting Lender shall be entitled to receive a commitment fee for any period during which that Lender is a Defaulting Lender, and no Borrower shall be required to pay such fee otherwise payable to a Defaulting Lender.</w:t>
      </w:r>
    </w:p>
    <w:p>
      <w:pPr>
        <w:spacing w:after="0" w:line="158" w:lineRule="exact"/>
        <w:rPr>
          <w:rFonts w:ascii="Arial" w:cs="Arial" w:eastAsia="Arial" w:hAnsi="Arial"/>
          <w:sz w:val="22"/>
          <w:szCs w:val="22"/>
          <w:color w:val="auto"/>
        </w:rPr>
      </w:pPr>
    </w:p>
    <w:p>
      <w:pPr>
        <w:jc w:val="both"/>
        <w:ind w:firstLine="656"/>
        <w:spacing w:after="0" w:line="244" w:lineRule="auto"/>
        <w:tabs>
          <w:tab w:leader="none" w:pos="1291" w:val="left"/>
        </w:tabs>
        <w:numPr>
          <w:ilvl w:val="0"/>
          <w:numId w:val="139"/>
        </w:numPr>
        <w:rPr>
          <w:rFonts w:ascii="Arial" w:cs="Arial" w:eastAsia="Arial" w:hAnsi="Arial"/>
          <w:sz w:val="19"/>
          <w:szCs w:val="19"/>
          <w:color w:val="1F3763"/>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Company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Advances of the other Lenders or take such other actions as the Administrative Agent may determine to be necessary to cause the Advances to be funded pro rata by the Lenders in accordance with the Commitments,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any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2F5496"/>
        </w:rPr>
        <w:t xml:space="preserve">SECTION 1.19. </w:t>
      </w:r>
      <w:r>
        <w:rPr>
          <w:rFonts w:ascii="Arial" w:cs="Arial" w:eastAsia="Arial" w:hAnsi="Arial"/>
          <w:sz w:val="21"/>
          <w:szCs w:val="21"/>
          <w:u w:val="single" w:color="auto"/>
          <w:color w:val="000000"/>
        </w:rPr>
        <w:t>Mitigation of Obligations; Replacement of Lenders</w:t>
      </w:r>
      <w:r>
        <w:rPr>
          <w:rFonts w:ascii="Arial" w:cs="Arial" w:eastAsia="Arial" w:hAnsi="Arial"/>
          <w:sz w:val="20"/>
          <w:szCs w:val="20"/>
          <w:color w:val="000000"/>
        </w:rPr>
        <w:t>. If any Lender requests compensation</w:t>
      </w:r>
      <w:r>
        <w:rPr>
          <w:rFonts w:ascii="Arial" w:cs="Arial" w:eastAsia="Arial" w:hAnsi="Arial"/>
          <w:sz w:val="20"/>
          <w:szCs w:val="20"/>
          <w:color w:val="2F5496"/>
        </w:rPr>
        <w:t xml:space="preserve"> </w:t>
      </w:r>
      <w:r>
        <w:rPr>
          <w:rFonts w:ascii="Arial" w:cs="Arial" w:eastAsia="Arial" w:hAnsi="Arial"/>
          <w:sz w:val="20"/>
          <w:szCs w:val="20"/>
          <w:color w:val="000000"/>
        </w:rPr>
        <w:t>under Section 2.11, or requires any Borrower to pay additional amounts to any Lender or any Governmental Authority for the account of any Lender pursuant to Section 2.14, then such Lender shall (at the request of the Company) use reasonable efforts to designate a different lending office for funding or booking its Advances hereunder or to assign its rights and obligations hereunder to another of its offices, branches or affiliates, if, in the judgment of such Lender, such designation or assignment (i) would eliminate or reduce amounts payable pursuant to Section 2.11 or 2.14, as the case may be, in the future, and (ii) would not subject such Lender to any material unreimbursed cost or expense and would not otherwise be</w:t>
      </w:r>
    </w:p>
    <w:p>
      <w:pPr>
        <w:sectPr>
          <w:pgSz w:w="11900" w:h="16838" w:orient="portrait"/>
          <w:cols w:equalWidth="0" w:num="1">
            <w:col w:w="11240"/>
          </w:cols>
          <w:pgMar w:left="320" w:top="1401" w:right="339" w:bottom="1440" w:gutter="0" w:footer="0" w:header="0"/>
        </w:sectPr>
      </w:pPr>
    </w:p>
    <w:bookmarkStart w:id="187" w:name="page188"/>
    <w:bookmarkEnd w:id="187"/>
    <w:p>
      <w:pPr>
        <w:spacing w:after="0" w:line="232" w:lineRule="auto"/>
        <w:rPr>
          <w:sz w:val="20"/>
          <w:szCs w:val="20"/>
          <w:color w:val="auto"/>
        </w:rPr>
      </w:pPr>
      <w:r>
        <w:rPr>
          <w:rFonts w:ascii="Arial" w:cs="Arial" w:eastAsia="Arial" w:hAnsi="Arial"/>
          <w:sz w:val="22"/>
          <w:szCs w:val="22"/>
          <w:color w:val="auto"/>
        </w:rPr>
        <w:t>disadvantageous to such Lender. The Company hereby agrees to pay all reasonable costs and expenses incurred by any Lender in connection with any such designation or assignment.</w:t>
      </w:r>
    </w:p>
    <w:p>
      <w:pPr>
        <w:spacing w:after="0" w:line="159" w:lineRule="exact"/>
        <w:rPr>
          <w:sz w:val="20"/>
          <w:szCs w:val="20"/>
          <w:color w:val="auto"/>
        </w:rPr>
      </w:pPr>
    </w:p>
    <w:p>
      <w:pPr>
        <w:jc w:val="both"/>
        <w:ind w:firstLine="656"/>
        <w:spacing w:after="0" w:line="222" w:lineRule="auto"/>
        <w:tabs>
          <w:tab w:leader="none" w:pos="1291" w:val="left"/>
        </w:tabs>
        <w:numPr>
          <w:ilvl w:val="0"/>
          <w:numId w:val="140"/>
        </w:numPr>
        <w:rPr>
          <w:rFonts w:ascii="Arial" w:cs="Arial" w:eastAsia="Arial" w:hAnsi="Arial"/>
          <w:sz w:val="21"/>
          <w:szCs w:val="21"/>
          <w:color w:val="1F3763"/>
        </w:rPr>
      </w:pPr>
      <w:r>
        <w:rPr>
          <w:rFonts w:ascii="Arial" w:cs="Arial" w:eastAsia="Arial" w:hAnsi="Arial"/>
          <w:sz w:val="21"/>
          <w:szCs w:val="21"/>
          <w:color w:val="auto"/>
        </w:rPr>
        <w:t xml:space="preserve">If any Lender requests compensation under Section 2.11, or if any Borrower is required to pay additional amounts to any Lender or any Governmental Authority for the account of any Lender pursuant to Section 2.14, or if any Lender is a Defaulting Lender or following such Lender’s Downgrade, then the Company may, at its sole expense and effort, upon notice to such Lender and the Administrative Agent, require such Lender to assign and delegate, without recourse (in accordance with and subject to the restrictions contained in, and consents required by, Section 9.07(b)), all of its interests, rights and obligations under this Agreement to an Eligible Assignee that shall assume such obligations (which assignee may be another Lender, if a Lender accepts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64" w:lineRule="exact"/>
        <w:rPr>
          <w:rFonts w:ascii="Arial" w:cs="Arial" w:eastAsia="Arial" w:hAnsi="Arial"/>
          <w:sz w:val="21"/>
          <w:szCs w:val="21"/>
          <w:color w:val="1F3763"/>
        </w:rPr>
      </w:pPr>
    </w:p>
    <w:p>
      <w:pPr>
        <w:jc w:val="both"/>
        <w:ind w:left="660" w:firstLine="644"/>
        <w:spacing w:after="0" w:line="218" w:lineRule="auto"/>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such Lender shall have received payment of an amount equal to the outstanding principal of its Advances, accrued interest thereon, accrued fees and all other amounts payable to it hereunder (including any amounts under Section 9.04(c)) from the assignee (to the extent of such outstanding principal and accrued interest and fees) or the Company (in the case of all other amounts);</w:t>
      </w:r>
    </w:p>
    <w:p>
      <w:pPr>
        <w:spacing w:after="0" w:line="160" w:lineRule="exact"/>
        <w:rPr>
          <w:rFonts w:ascii="Arial" w:cs="Arial" w:eastAsia="Arial" w:hAnsi="Arial"/>
          <w:sz w:val="22"/>
          <w:szCs w:val="22"/>
          <w:color w:val="auto"/>
        </w:rPr>
      </w:pPr>
    </w:p>
    <w:p>
      <w:pPr>
        <w:jc w:val="both"/>
        <w:ind w:left="660" w:firstLine="644"/>
        <w:spacing w:after="0" w:line="234" w:lineRule="auto"/>
        <w:tabs>
          <w:tab w:leader="none" w:pos="195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on the date payment of all amounts referred to in Section 2.19(b)(i) has been made, such Lender shall be deemed to have executed and delivered an Assignment and Assumption, and the Company shall be entitled (but not obligated) to execute and deliver such Assignment and Assumption on behalf of such Lender;</w:t>
      </w:r>
    </w:p>
    <w:p>
      <w:pPr>
        <w:spacing w:after="0" w:line="157" w:lineRule="exact"/>
        <w:rPr>
          <w:rFonts w:ascii="Arial" w:cs="Arial" w:eastAsia="Arial" w:hAnsi="Arial"/>
          <w:sz w:val="21"/>
          <w:szCs w:val="21"/>
          <w:color w:val="auto"/>
        </w:rPr>
      </w:pPr>
    </w:p>
    <w:p>
      <w:pPr>
        <w:jc w:val="both"/>
        <w:ind w:left="660" w:firstLine="644"/>
        <w:spacing w:after="0" w:line="223" w:lineRule="auto"/>
        <w:tabs>
          <w:tab w:leader="none" w:pos="1956" w:val="left"/>
        </w:tabs>
        <w:numPr>
          <w:ilvl w:val="1"/>
          <w:numId w:val="140"/>
        </w:numPr>
        <w:rPr>
          <w:rFonts w:ascii="Arial" w:cs="Arial" w:eastAsia="Arial" w:hAnsi="Arial"/>
          <w:sz w:val="22"/>
          <w:szCs w:val="22"/>
          <w:color w:val="auto"/>
        </w:rPr>
      </w:pPr>
      <w:r>
        <w:rPr>
          <w:rFonts w:ascii="Arial" w:cs="Arial" w:eastAsia="Arial" w:hAnsi="Arial"/>
          <w:sz w:val="22"/>
          <w:szCs w:val="22"/>
          <w:color w:val="auto"/>
        </w:rPr>
        <w:t>in the case of any such assignment resulting from a claim for compensation under Section 2.11 or payments required to be made pursuant to Section 2.14, such assignment will result in a reduction in such compensation or payments thereafter; and</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w:t>
      </w:r>
    </w:p>
    <w:p>
      <w:pPr>
        <w:spacing w:after="0" w:line="179"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01"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1.20.</w:t>
      </w:r>
      <w:r>
        <w:rPr>
          <w:sz w:val="20"/>
          <w:szCs w:val="20"/>
          <w:color w:val="auto"/>
        </w:rPr>
        <w:tab/>
      </w:r>
      <w:r>
        <w:rPr>
          <w:rFonts w:ascii="Arial" w:cs="Arial" w:eastAsia="Arial" w:hAnsi="Arial"/>
          <w:sz w:val="20"/>
          <w:szCs w:val="20"/>
          <w:u w:val="single" w:color="auto"/>
          <w:color w:val="auto"/>
        </w:rPr>
        <w:t>Changed Circumstances</w:t>
      </w:r>
      <w:r>
        <w:rPr>
          <w:rFonts w:ascii="Arial" w:cs="Arial" w:eastAsia="Arial" w:hAnsi="Arial"/>
          <w:sz w:val="20"/>
          <w:szCs w:val="20"/>
          <w:color w:val="auto"/>
        </w:rPr>
        <w:t>.</w:t>
      </w:r>
    </w:p>
    <w:p>
      <w:pPr>
        <w:spacing w:after="0" w:line="197" w:lineRule="exact"/>
        <w:rPr>
          <w:sz w:val="20"/>
          <w:szCs w:val="20"/>
          <w:color w:val="auto"/>
        </w:rPr>
      </w:pPr>
    </w:p>
    <w:p>
      <w:pPr>
        <w:ind w:left="1300" w:hanging="644"/>
        <w:spacing w:after="0"/>
        <w:tabs>
          <w:tab w:leader="none" w:pos="1300" w:val="left"/>
        </w:tabs>
        <w:numPr>
          <w:ilvl w:val="0"/>
          <w:numId w:val="141"/>
        </w:numPr>
        <w:rPr>
          <w:rFonts w:ascii="Arial" w:cs="Arial" w:eastAsia="Arial" w:hAnsi="Arial"/>
          <w:sz w:val="19"/>
          <w:szCs w:val="19"/>
          <w:color w:val="1F3763"/>
        </w:rPr>
      </w:pPr>
      <w:r>
        <w:rPr>
          <w:rFonts w:ascii="Arial" w:cs="Arial" w:eastAsia="Arial" w:hAnsi="Arial"/>
          <w:sz w:val="19"/>
          <w:szCs w:val="19"/>
          <w:u w:val="single" w:color="auto"/>
          <w:color w:val="auto"/>
        </w:rPr>
        <w:t>Circumstances Affecting Eurocurrency Rate, Adjusted Daily Simple RFR, Daily Simple RFR and Term RFR</w:t>
      </w:r>
    </w:p>
    <w:p>
      <w:pPr>
        <w:spacing w:after="0" w:line="15" w:lineRule="exact"/>
        <w:rPr>
          <w:rFonts w:ascii="Arial" w:cs="Arial" w:eastAsia="Arial" w:hAnsi="Arial"/>
          <w:sz w:val="19"/>
          <w:szCs w:val="19"/>
          <w:color w:val="1F3763"/>
        </w:rPr>
      </w:pPr>
    </w:p>
    <w:p>
      <w:pPr>
        <w:spacing w:after="0"/>
        <w:rPr>
          <w:rFonts w:ascii="Arial" w:cs="Arial" w:eastAsia="Arial" w:hAnsi="Arial"/>
          <w:sz w:val="19"/>
          <w:szCs w:val="19"/>
          <w:color w:val="1F3763"/>
        </w:rPr>
      </w:pPr>
      <w:r>
        <w:rPr>
          <w:rFonts w:ascii="Arial" w:cs="Arial" w:eastAsia="Arial" w:hAnsi="Arial"/>
          <w:sz w:val="22"/>
          <w:szCs w:val="22"/>
          <w:u w:val="single" w:color="auto"/>
          <w:color w:val="auto"/>
        </w:rPr>
        <w:t>Availability</w:t>
      </w:r>
      <w:r>
        <w:rPr>
          <w:rFonts w:ascii="Arial" w:cs="Arial" w:eastAsia="Arial" w:hAnsi="Arial"/>
          <w:sz w:val="22"/>
          <w:szCs w:val="22"/>
          <w:color w:val="auto"/>
        </w:rPr>
        <w:t>.</w:t>
      </w:r>
    </w:p>
    <w:p>
      <w:pPr>
        <w:spacing w:after="0" w:line="161" w:lineRule="exact"/>
        <w:rPr>
          <w:rFonts w:ascii="Arial" w:cs="Arial" w:eastAsia="Arial" w:hAnsi="Arial"/>
          <w:sz w:val="19"/>
          <w:szCs w:val="19"/>
          <w:color w:val="1F3763"/>
        </w:rPr>
      </w:pPr>
    </w:p>
    <w:p>
      <w:pPr>
        <w:jc w:val="both"/>
        <w:ind w:left="660" w:firstLine="644"/>
        <w:spacing w:after="0" w:line="219" w:lineRule="auto"/>
        <w:tabs>
          <w:tab w:leader="none" w:pos="1954" w:val="left"/>
        </w:tabs>
        <w:numPr>
          <w:ilvl w:val="1"/>
          <w:numId w:val="141"/>
        </w:numPr>
        <w:rPr>
          <w:rFonts w:ascii="Arial" w:cs="Arial" w:eastAsia="Arial" w:hAnsi="Arial"/>
          <w:sz w:val="19"/>
          <w:szCs w:val="19"/>
          <w:color w:val="auto"/>
        </w:rPr>
      </w:pPr>
      <w:r>
        <w:rPr>
          <w:rFonts w:ascii="Arial" w:cs="Arial" w:eastAsia="Arial" w:hAnsi="Arial"/>
          <w:sz w:val="21"/>
          <w:szCs w:val="21"/>
          <w:color w:val="auto"/>
        </w:rPr>
        <w:t>Subject to clause (c) below, in connection with any RFR Advance, a request therefor, a conversion to or continuation thereof or otherwise, if for any reason (A) the Administrative Agent shall determine (which determination shall be conclusive and binding absent manifest error) that (x) if Adjusted Daily Simple RFR or Daily Simple RFR is utilized in any calculations hereunder or under any other Loan Document with respect to any Borrower Obligations, interest, fees, commissions or other amounts, reasonable and adequate means do not exist for ascertaining Adjusted Daily Simple RFR or Daily Simple RFR, as applicable, pursuant to the definition thereof or (y) if Term RFR is utilized in any calculations hereunder or under any other Loan Document with respect to any Borrower Obligations, interest, fees, commissions or other amounts, reasonable and adequate means do not exist for ascertaining Term RFR for the applicable Interest Period with respect to a proposed Term RFR Advance on or prior to the first day of such Interest Period, (B) the Administrative Agent shall determine (which determination shall be conclusive and binding absent manifest error) that a fundamental change has occurred</w:t>
      </w:r>
    </w:p>
    <w:p>
      <w:pPr>
        <w:sectPr>
          <w:pgSz w:w="11900" w:h="16838" w:orient="portrait"/>
          <w:cols w:equalWidth="0" w:num="1">
            <w:col w:w="11240"/>
          </w:cols>
          <w:pgMar w:left="320" w:top="1401" w:right="339" w:bottom="1440" w:gutter="0" w:footer="0" w:header="0"/>
        </w:sectPr>
      </w:pPr>
    </w:p>
    <w:bookmarkStart w:id="188" w:name="page189"/>
    <w:bookmarkEnd w:id="188"/>
    <w:p>
      <w:pPr>
        <w:jc w:val="both"/>
        <w:spacing w:after="0"/>
        <w:rPr>
          <w:sz w:val="20"/>
          <w:szCs w:val="20"/>
          <w:color w:val="auto"/>
        </w:rPr>
      </w:pPr>
      <w:r>
        <w:rPr>
          <w:rFonts w:ascii="Arial" w:cs="Arial" w:eastAsia="Arial" w:hAnsi="Arial"/>
          <w:sz w:val="19"/>
          <w:szCs w:val="19"/>
          <w:color w:val="auto"/>
        </w:rPr>
        <w:t xml:space="preserve">in the foreign exchange markets with respect to an applicable Foreign Currency (including changes in national or international financial, political or economic conditions or currency exchange rates or exchange controls) or (C) the Required Lenders shall determine (which determination shall be conclusive and binding absent manifest error) that (x) if Adjusted Daily Simple RFR or Daily Simple RFR is utilized in any calculations hereunder or under any other Loan Document with respect to any Borrower Obligations, interest, fees, commissions or other amounts, Adjusted Daily Simple RFR or Daily Simple RFR, as applicable, does not adequately and fairly reflect the cost to such Lenders of making or maintaining such Advances or (y) if Term RFR is utilized in any calculations hereunder or under any other Loan Document with respect to any Borrower Obligations, interest, fees, commissions or other amounts, Term RFR does not adequately and fairly reflect the cost to such Lenders of making or maintaining such Advances during the applicable Interest Period and, in the case of (x) or (y), the Required Lenders have provided notice of such determination to the Administrative Agent, then, in each case, the Administrative Agent shall promptly give notice thereof to the Company. Upon notice thereof by the Administrative Agent to the Company, any obligation of the Lenders to make RFR Advances in each such Currency, and any right of any Borrower to convert any Advance in each such Currency (if applicable) or continue any Advance as an RFR Advance in each such Currency, shall be suspended (to the extent of the affected RFR Advances or, in the case of Term RFR Advances, the affected Interest Periods) until the Administrative Agent (with respect to clause (C), at the instruction of the Required Lenders) revokes such notice. Upon receipt of such notice, (A) any Borrower may revoke any pending request for a borrowing of, conversion to or continuation of RFR Advances in each such affected Currency (to the extent of the affected RFR Advances or, in the case of Term RFR Advances, the affected Interest Periods) or, failing that, (I) in the case of any request for a borrowing of an affected RFR Advance in US Dollars, such Borrower will be deemed to have converted any such request into a request for a borrowing of or conversion to Base Rate Advances in the amount specified therein and (II) in the case of any request for a borrowing of an affected RFR Advance in a Foreign Currency, then such request shall be ineffective and (B)(I) any outstanding affected RFR Advances denominated in US Dollars will be deemed to have been converted into Base Rate Advances immediately or, in the case of Term RFR Advances, at the end of the applicable Interest Period and (II) any outstanding affected RFR Advances denominated in a Foreign Currency, at the Company’s election, shall either be converted into Base Rate Advances denominated in US Dollars (in an amount equal to the Dollar Equivalent of such Foreign Currency) immediately or, in the case of Term RFR Advances, at the end of the applicable Interest Period or be prepaid in full immediately or, in the case of Term RFR Advances, at the end of the applicable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the applicable Borrower by the date that is three Business Days after receipt by the Company of such notice or, in the case of Term RFR Advances, the last day of the current Interest Period for the applicable RFR Advance, if earlier, such Borrower shall be deemed to have elected clause (1) above. Upon any such prepayment or conversion, the applicable Borrower shall also pay accrued interest (except with respect to any prepayment or conversion of a Daily Simple RFR Advance) on the amount so prepaid or converted, together with any additional amounts required pursuant to Section 9.04</w:t>
      </w:r>
      <w:r>
        <w:rPr>
          <w:rFonts w:ascii="Arial" w:cs="Arial" w:eastAsia="Arial" w:hAnsi="Arial"/>
          <w:sz w:val="17"/>
          <w:szCs w:val="17"/>
          <w:color w:val="auto"/>
        </w:rPr>
        <w:t>(c)</w:t>
      </w:r>
      <w:r>
        <w:rPr>
          <w:rFonts w:ascii="Arial" w:cs="Arial" w:eastAsia="Arial" w:hAnsi="Arial"/>
          <w:sz w:val="19"/>
          <w:szCs w:val="19"/>
          <w:color w:val="auto"/>
        </w:rPr>
        <w:t>.</w:t>
      </w:r>
    </w:p>
    <w:p>
      <w:pPr>
        <w:spacing w:after="0" w:line="352" w:lineRule="exact"/>
        <w:rPr>
          <w:sz w:val="20"/>
          <w:szCs w:val="20"/>
          <w:color w:val="auto"/>
        </w:rPr>
      </w:pPr>
    </w:p>
    <w:p>
      <w:pPr>
        <w:jc w:val="both"/>
        <w:ind w:firstLine="644"/>
        <w:spacing w:after="0" w:line="249" w:lineRule="auto"/>
        <w:tabs>
          <w:tab w:leader="none" w:pos="1295" w:val="left"/>
        </w:tabs>
        <w:numPr>
          <w:ilvl w:val="0"/>
          <w:numId w:val="142"/>
        </w:numPr>
        <w:rPr>
          <w:rFonts w:ascii="Arial" w:cs="Arial" w:eastAsia="Arial" w:hAnsi="Arial"/>
          <w:sz w:val="18"/>
          <w:szCs w:val="18"/>
          <w:color w:val="auto"/>
        </w:rPr>
      </w:pPr>
      <w:r>
        <w:rPr>
          <w:rFonts w:ascii="Arial" w:cs="Arial" w:eastAsia="Arial" w:hAnsi="Arial"/>
          <w:sz w:val="19"/>
          <w:szCs w:val="19"/>
          <w:color w:val="auto"/>
        </w:rPr>
        <w:t>Subject to clause (c) below, in connection with any Eurocurrency Rate Advance, a request therefor, a continuation thereof or otherwise, if for any reason (A) the Administrative Agent shall determine (which determination shall be conclusive and binding absent manifest error) that deposits are not being offered to banks in the London or other applicable offshore interbank market for the applicable Currency, amount and Interest Period of such Advance, (B) the Administrative Agent shall determine (which determination shall be conclusive and binding absent manifest error) that a fundamental change has occurred in the foreign exchange or interbank markets with respect to the</w:t>
      </w:r>
    </w:p>
    <w:p>
      <w:pPr>
        <w:sectPr>
          <w:pgSz w:w="11900" w:h="16838" w:orient="portrait"/>
          <w:cols w:equalWidth="0" w:num="1">
            <w:col w:w="10580"/>
          </w:cols>
          <w:pgMar w:left="980" w:top="1401" w:right="339" w:bottom="1440" w:gutter="0" w:footer="0" w:header="0"/>
        </w:sectPr>
      </w:pPr>
    </w:p>
    <w:bookmarkStart w:id="189" w:name="page190"/>
    <w:bookmarkEnd w:id="189"/>
    <w:p>
      <w:pPr>
        <w:jc w:val="both"/>
        <w:ind w:left="4"/>
        <w:spacing w:after="0" w:line="238" w:lineRule="auto"/>
        <w:rPr>
          <w:sz w:val="20"/>
          <w:szCs w:val="20"/>
          <w:color w:val="auto"/>
        </w:rPr>
      </w:pPr>
      <w:r>
        <w:rPr>
          <w:rFonts w:ascii="Arial" w:cs="Arial" w:eastAsia="Arial" w:hAnsi="Arial"/>
          <w:sz w:val="19"/>
          <w:szCs w:val="19"/>
          <w:color w:val="auto"/>
        </w:rPr>
        <w:t>applicable Foreign Currency (including changes in national or international financial, political or economic conditions or currency exchange rates or exchange controls), (C) the Administrative Agent shall determine (which determination shall be conclusive and binding absent manifest error) that reasonable and adequate means do not exist for the ascertaining the Adjusted Eurocurrency Rate for such Currency and Interest Period, including because the Screen Rate for the applicable Currency is not available or published on a current basis, or (D) the Required Lenders shall determine (which determination shall be conclusive and binding absent manifest error) that the Adjusted Eurocurrency Rate does not adequately and fairly reflect the cost to such Lenders of making or maintaining such Advances during such Interest Period and shall have provided notice of such determination to the Administrative Agent, then, in each case, the Administrative Agent shall promptly give notice thereof to the Company. Upon notice thereof by the Administrative Agent to the Company, any obligation of the Lenders to make Eurocurrency Rate Advances in each such Currency, and any right of the Borrowers to continue any Advance as a Eurocurrency Rate Advance in each such Currency, shall be suspended (to the extent of the affected Eurocurrency Rate Advances or the affected Interest Periods) until the Administrative Agent (with respect to clause (D), at the instruction of the Required Lenders) revokes such notice. Upon receipt of such notice,</w:t>
      </w:r>
    </w:p>
    <w:p>
      <w:pPr>
        <w:spacing w:after="0" w:line="9" w:lineRule="exact"/>
        <w:rPr>
          <w:sz w:val="20"/>
          <w:szCs w:val="20"/>
          <w:color w:val="auto"/>
        </w:rPr>
      </w:pPr>
    </w:p>
    <w:p>
      <w:pPr>
        <w:jc w:val="both"/>
        <w:ind w:left="4" w:hanging="4"/>
        <w:spacing w:after="0"/>
        <w:tabs>
          <w:tab w:leader="none" w:pos="40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any pending request for a borrowing of or continuation of Eurocurrency Rate Advances in each such affected Currency (to the extent of the affected Eurocurrency Rate Advances or the affected Interest Periods) shall be ineffective and (B)(I) any outstanding affected Eurocurrency Rate Advances denominated in US Dollars will be deemed to have been converted into Base Rate Advances at the end of the applicable Interest Period and (II) any outstanding affected Eurocurrency Rate Advances denominated in a Foreign Currency, at the applicable Borrower’s (or the Company on its behalf) election, shall either (1) be converted into Base Rate Advances denominated in US Dollars (in an amount equal to the Dollar Equivalent of such Foreign Currency) at the end of the applicable Interest Period or (2) be prepaid in full at the end of the applicable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the applicable Borrower or the Company by the date that is the earlier of (x) the date that is three Business Days after receipt by the Company of such notice and (y) the last day of the current Interest Period for the applicable Eurocurrency Rate Advance, the applicable Borrower shall be deemed to have elected clause (1) above. Upon any such prepayment or conversion, the applicable Borrower shall also pay accrued interest on the amount so prepaid or converted, together with any additional amounts required pursuant to </w:t>
      </w:r>
      <w:r>
        <w:rPr>
          <w:rFonts w:ascii="Arial" w:cs="Arial" w:eastAsia="Arial" w:hAnsi="Arial"/>
          <w:sz w:val="19"/>
          <w:szCs w:val="19"/>
          <w:u w:val="single" w:color="auto"/>
          <w:color w:val="auto"/>
        </w:rPr>
        <w:t>Section 9.04(c)</w:t>
      </w:r>
      <w:r>
        <w:rPr>
          <w:rFonts w:ascii="Arial" w:cs="Arial" w:eastAsia="Arial" w:hAnsi="Arial"/>
          <w:sz w:val="19"/>
          <w:szCs w:val="19"/>
          <w:color w:val="auto"/>
        </w:rPr>
        <w:t>.</w:t>
      </w:r>
    </w:p>
    <w:p>
      <w:pPr>
        <w:spacing w:after="0" w:line="384" w:lineRule="exact"/>
        <w:rPr>
          <w:sz w:val="20"/>
          <w:szCs w:val="20"/>
          <w:color w:val="auto"/>
        </w:rPr>
      </w:pPr>
    </w:p>
    <w:p>
      <w:pPr>
        <w:jc w:val="both"/>
        <w:ind w:left="-656" w:firstLine="656"/>
        <w:spacing w:after="0" w:line="242" w:lineRule="auto"/>
        <w:tabs>
          <w:tab w:leader="none" w:pos="635"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Laws Affecting Adjusted Eurocurrency Rate, Adjusted Daily Simple RFR, Daily Simple RFR and Term RFR Availability</w:t>
      </w:r>
      <w:r>
        <w:rPr>
          <w:rFonts w:ascii="Arial" w:cs="Arial" w:eastAsia="Arial" w:hAnsi="Arial"/>
          <w:sz w:val="19"/>
          <w:szCs w:val="19"/>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Advance, Term RFR Advance or Eurocurrency Rate Advance, or to determine or charge interest based upon any applicable RFR, Adjusted Daily Simple RFR, Daily Simple RFR, Term RFR, the Eurocurrency Rate or the Adjusted Eurocurrency Rate, such Lender shall promptly give notice thereof to the Administrative Agent and the Administrative Agent shall promptly give notice to the Company and the other Lenders. Thereafter, until the Administrative Agent notifies the Company that such circumstances no longer exist, (i) any obligation of the Lenders to make RFR Advances or Eurocurrency Rate Advances, as applicable, in the affected Currency or Currencies, and any right of any Borrower to convert any Advance denominated in US Dollars to an RFR Advance or a Eurocurrency Rate Advance or continue any Advance as an RFR Advance or a Eurocurrency</w:t>
      </w:r>
    </w:p>
    <w:p>
      <w:pPr>
        <w:sectPr>
          <w:pgSz w:w="11900" w:h="16838" w:orient="portrait"/>
          <w:cols w:equalWidth="0" w:num="1">
            <w:col w:w="10584"/>
          </w:cols>
          <w:pgMar w:left="976" w:top="1401" w:right="339" w:bottom="1440" w:gutter="0" w:footer="0" w:header="0"/>
        </w:sectPr>
      </w:pPr>
    </w:p>
    <w:bookmarkStart w:id="190" w:name="page191"/>
    <w:bookmarkEnd w:id="190"/>
    <w:p>
      <w:pPr>
        <w:jc w:val="both"/>
        <w:spacing w:after="0"/>
        <w:rPr>
          <w:sz w:val="20"/>
          <w:szCs w:val="20"/>
          <w:color w:val="auto"/>
        </w:rPr>
      </w:pPr>
      <w:r>
        <w:rPr>
          <w:rFonts w:ascii="Arial" w:cs="Arial" w:eastAsia="Arial" w:hAnsi="Arial"/>
          <w:sz w:val="19"/>
          <w:szCs w:val="19"/>
          <w:color w:val="auto"/>
        </w:rPr>
        <w:t>Rate Advance, as applicable, in the affected Currency or Currencies shall be suspended and (ii) if necessary to avoid such illegality, the Administrative Agent shall compute the Base Rate without reference to clause (c) of the definition of “Base Rate”, in each case until each such affected Lender notifies the Administrative Agent and the Company that the circumstances giving rise to such determination no longer exist. Upon receipt of such notice, the applicable Borrower shall, if necessary to avoid such illegality, upon demand from any Lender (with a copy to the Administrative Agent), prepay or, if applicable, (A) convert all RFR Advances or Eurocurrency Rate Advances denominated in US Dollars to Base Rate Advances or (B) convert all RFR Advances or Eurocurrency Rate Advances denominated in an affected Foreign Currency to Base Rate Advances denominated in US Dollars (in an amount equal to the Dollar Equivalent of such Foreign Currency) (in each case, if necessary to avoid such illegality, the Administrative Agent shall compute the Base Rate without reference to clause (c) of the definition of “Base Rate”), (I) with respect to Daily Simple RFR Advances, on the Interest Payment Date therefor, if all affected Lenders may lawfully continue to maintain such Daily Simple RFR Advances to such day, or immediately, if any Lender may not lawfully continue to maintain such Daily Simple RFR Advances to such day or (II) with respect to Eurocurrency Rate Advances or Term RFR Advances, on the last day of the Interest Period therefor, if all affected Lenders may lawfully continue to maintain such Eurocurrency Rate Advances or Term RFR Advances, as applicable, to such day, or immediately, if any Lender may not lawfully continue to maintain such Eurocurrency Rate Advances or Term RFR Advances, as applicable, to such day. Upon any such prepayment or conversion, the applicable Borrower shall also pay accrued interest (except with respect to any prepayment or conversion of a Daily Simple RFR Advance) on the amount so prepaid or converted, together with any additional amounts required pursuant to Section 9.04(c).</w:t>
      </w:r>
    </w:p>
    <w:p>
      <w:pPr>
        <w:spacing w:after="0" w:line="390"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Benchmark Replacement Setting</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0" w:firstLine="652"/>
        <w:spacing w:after="0" w:line="236" w:lineRule="auto"/>
        <w:tabs>
          <w:tab w:leader="none" w:pos="2587" w:val="left"/>
        </w:tabs>
        <w:numPr>
          <w:ilvl w:val="2"/>
          <w:numId w:val="145"/>
        </w:numPr>
        <w:rPr>
          <w:rFonts w:ascii="Arial" w:cs="Arial" w:eastAsia="Arial" w:hAnsi="Arial"/>
          <w:sz w:val="18"/>
          <w:szCs w:val="18"/>
          <w:color w:val="auto"/>
        </w:rPr>
      </w:pPr>
      <w:r>
        <w:rPr>
          <w:rFonts w:ascii="Arial" w:cs="Arial" w:eastAsia="Arial" w:hAnsi="Arial"/>
          <w:sz w:val="19"/>
          <w:szCs w:val="19"/>
          <w:color w:val="auto"/>
        </w:rPr>
        <w:t>Notwithstanding anything to the contrary herein or in any other Loan Document, if the USD LIBOR Transition Date has occurred prior to the Reference Time in respect of any setting of the Adjusted Eurocurrency Rate for US Dollars, then (x) if a Benchmark Replacement is determined in accordance with clause (b)(1) or (b)(2) of the definition of “Benchmark Replacement” for the USD LIBOR Transition Date, such Benchmark Replacement will replace the then-current Benchmark with respect to Borrower Obligations, interest, fees, commissions or other amounts denominated in, or calculated with respect to, US Dollars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(b)(3) of the definition of “Benchmark Replacement” for the USD LIBOR Transition Date, such Benchmark Replacement will replace such Benchmark for all purposes hereunder and under any Loan Document in respect of any Benchmark setting at or after 5:00 p.m. on the fifth (5</w:t>
      </w:r>
      <w:r>
        <w:rPr>
          <w:rFonts w:ascii="Arial" w:cs="Arial" w:eastAsia="Arial" w:hAnsi="Arial"/>
          <w:sz w:val="25"/>
          <w:szCs w:val="25"/>
          <w:color w:val="auto"/>
          <w:vertAlign w:val="superscript"/>
        </w:rPr>
        <w:t>th</w:t>
      </w:r>
      <w:r>
        <w:rPr>
          <w:rFonts w:ascii="Arial" w:cs="Arial" w:eastAsia="Arial" w:hAnsi="Arial"/>
          <w:sz w:val="19"/>
          <w:szCs w:val="19"/>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5" w:lineRule="exact"/>
        <w:rPr>
          <w:rFonts w:ascii="Arial" w:cs="Arial" w:eastAsia="Arial" w:hAnsi="Arial"/>
          <w:sz w:val="18"/>
          <w:szCs w:val="18"/>
          <w:color w:val="auto"/>
        </w:rPr>
      </w:pPr>
    </w:p>
    <w:p>
      <w:pPr>
        <w:jc w:val="both"/>
        <w:ind w:left="1300" w:firstLine="652"/>
        <w:spacing w:after="0" w:line="268" w:lineRule="auto"/>
        <w:tabs>
          <w:tab w:leader="none" w:pos="2590" w:val="left"/>
        </w:tabs>
        <w:numPr>
          <w:ilvl w:val="2"/>
          <w:numId w:val="145"/>
        </w:numPr>
        <w:rPr>
          <w:rFonts w:ascii="Arial" w:cs="Arial" w:eastAsia="Arial" w:hAnsi="Arial"/>
          <w:sz w:val="18"/>
          <w:szCs w:val="18"/>
          <w:color w:val="auto"/>
        </w:rPr>
      </w:pPr>
      <w:r>
        <w:rPr>
          <w:rFonts w:ascii="Arial" w:cs="Arial" w:eastAsia="Arial" w:hAnsi="Arial"/>
          <w:sz w:val="19"/>
          <w:szCs w:val="19"/>
          <w:color w:val="auto"/>
        </w:rPr>
        <w:t>Notwithstanding anything to the contrary herein or in any other Loan Document, upon the occurrence of a Benchmark Transition Event or an Other Benchmark Rate Election, as applicable, with respect to any Benchmark, the Administrative Agent and the Company may amend this Agreement to replace</w:t>
      </w:r>
    </w:p>
    <w:p>
      <w:pPr>
        <w:sectPr>
          <w:pgSz w:w="11900" w:h="16838" w:orient="portrait"/>
          <w:cols w:equalWidth="0" w:num="1">
            <w:col w:w="11240"/>
          </w:cols>
          <w:pgMar w:left="320" w:top="1401" w:right="339" w:bottom="1440" w:gutter="0" w:footer="0" w:header="0"/>
        </w:sectPr>
      </w:pPr>
    </w:p>
    <w:bookmarkStart w:id="191" w:name="page192"/>
    <w:bookmarkEnd w:id="191"/>
    <w:p>
      <w:pPr>
        <w:jc w:val="both"/>
        <w:ind w:left="180"/>
        <w:spacing w:after="0" w:line="204" w:lineRule="auto"/>
        <w:rPr>
          <w:sz w:val="20"/>
          <w:szCs w:val="20"/>
          <w:color w:val="auto"/>
        </w:rPr>
      </w:pPr>
      <w:r>
        <w:rPr>
          <w:rFonts w:ascii="Arial" w:cs="Arial" w:eastAsia="Arial" w:hAnsi="Arial"/>
          <w:sz w:val="22"/>
          <w:szCs w:val="22"/>
          <w:color w:val="auto"/>
        </w:rPr>
        <w:t>such Benchmark with a Benchmark Replacement. Any such amendment with respect to a Benchmark Transition Event or an Other Benchmark Rate Election, as applicable, will become effective at 5:00 p.m. on the fifth (5</w:t>
      </w:r>
      <w:r>
        <w:rPr>
          <w:rFonts w:ascii="Arial" w:cs="Arial" w:eastAsia="Arial" w:hAnsi="Arial"/>
          <w:sz w:val="28"/>
          <w:szCs w:val="28"/>
          <w:color w:val="auto"/>
          <w:vertAlign w:val="superscript"/>
        </w:rPr>
        <w:t>th</w:t>
      </w:r>
      <w:r>
        <w:rPr>
          <w:rFonts w:ascii="Arial" w:cs="Arial" w:eastAsia="Arial" w:hAnsi="Arial"/>
          <w:sz w:val="22"/>
          <w:szCs w:val="22"/>
          <w:color w:val="auto"/>
        </w:rPr>
        <w:t>) Business Day after the Administrative Agent has posted such proposed amendment to all affected Lenders and the Company so long as the Administrative Agent has not received, by such time, written notice of objection to such amendment from Lenders comprising the Required Lenders. No replacement of a Benchmark with a Benchmark Replacement pursuant to this Section 2.20(c)(i)(B) will occur prior to the applicable Benchmark Transition Start Date.</w:t>
      </w:r>
    </w:p>
    <w:p>
      <w:pPr>
        <w:spacing w:after="0" w:line="164" w:lineRule="exact"/>
        <w:rPr>
          <w:sz w:val="20"/>
          <w:szCs w:val="20"/>
          <w:color w:val="auto"/>
        </w:rPr>
      </w:pPr>
    </w:p>
    <w:p>
      <w:pPr>
        <w:jc w:val="both"/>
        <w:ind w:left="180" w:firstLine="652"/>
        <w:spacing w:after="0" w:line="219" w:lineRule="auto"/>
        <w:tabs>
          <w:tab w:leader="none" w:pos="1470" w:val="left"/>
        </w:tabs>
        <w:numPr>
          <w:ilvl w:val="1"/>
          <w:numId w:val="146"/>
        </w:numPr>
        <w:rPr>
          <w:rFonts w:ascii="Arial" w:cs="Arial" w:eastAsia="Arial" w:hAnsi="Arial"/>
          <w:sz w:val="19"/>
          <w:szCs w:val="19"/>
          <w:color w:val="auto"/>
        </w:rPr>
      </w:pPr>
      <w:r>
        <w:rPr>
          <w:rFonts w:ascii="Arial" w:cs="Arial" w:eastAsia="Arial" w:hAnsi="Arial"/>
          <w:sz w:val="21"/>
          <w:szCs w:val="21"/>
          <w:color w:val="auto"/>
        </w:rPr>
        <w:t xml:space="preserve">Notwithstanding anything to the contrary herein or in any other Loan Document and subject to the proviso below in this paragraph, if a Term RFR Transition Date has occurred prior to the Reference Time in respect of any setting of the then-current Benchmark consisting of a Daily Simple RFR (including a Daily Simple RFR implemented as a Benchmark Replacement pursuant to Section 2.20(c)(i)(A)or Section 2.20(c)(i)(B)) for the applicable Currency, then the applicable Benchmark Replacement will replace such Benchmark for all purposes hereunder or under any Loan Document in respect of such Benchmark for the applicable Currency setting and subsequent Benchmark settings, without any amendment to, or further action or consent of any other party to, this Agreement or any other Loan Document;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(C) shall not be effective unless the Administrative Agent has delivered to the Lenders and the Company a Term RFR Notice with respect to the applicable Term RFR Transition Event. For the avoidance of doubt, the Administrative Agent shall not be required to deliver a Term RFR Notice after a Term RFR Transition Event and may elect or not elect to do so in its sole discretion.</w:t>
      </w:r>
    </w:p>
    <w:p>
      <w:pPr>
        <w:spacing w:after="0" w:line="163" w:lineRule="exact"/>
        <w:rPr>
          <w:rFonts w:ascii="Arial" w:cs="Arial" w:eastAsia="Arial" w:hAnsi="Arial"/>
          <w:sz w:val="19"/>
          <w:szCs w:val="19"/>
          <w:color w:val="auto"/>
        </w:rPr>
      </w:pPr>
    </w:p>
    <w:p>
      <w:pPr>
        <w:jc w:val="both"/>
        <w:ind w:left="-460" w:firstLine="644"/>
        <w:spacing w:after="0" w:line="216" w:lineRule="auto"/>
        <w:tabs>
          <w:tab w:leader="none" w:pos="83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7" w:lineRule="exact"/>
        <w:rPr>
          <w:rFonts w:ascii="Arial" w:cs="Arial" w:eastAsia="Arial" w:hAnsi="Arial"/>
          <w:sz w:val="22"/>
          <w:szCs w:val="22"/>
          <w:color w:val="auto"/>
        </w:rPr>
      </w:pPr>
    </w:p>
    <w:p>
      <w:pPr>
        <w:jc w:val="both"/>
        <w:ind w:left="-460" w:firstLine="644"/>
        <w:spacing w:after="0" w:line="244" w:lineRule="auto"/>
        <w:tabs>
          <w:tab w:leader="none" w:pos="836"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the Company and the Lenders of (A) the implementation of any Benchmark Replacement and (B) the effectiveness of any Conforming Changes in connection with the use, administration, adoption or implementation of a Benchmark Replacement. The Administrative Agent will promptly notify the Company of the removal or reinstatement of any tenor of a Benchmark pursuant to Section 2.20(c)(iv). Any determination, decision or election that may be made by the Administrative Agent or, if applicable, any Lender (or group of Lenders) pursuant to this Section 2.20(c),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2.20(c).</w:t>
      </w:r>
    </w:p>
    <w:p>
      <w:pPr>
        <w:spacing w:after="0" w:line="154" w:lineRule="exact"/>
        <w:rPr>
          <w:rFonts w:ascii="Arial" w:cs="Arial" w:eastAsia="Arial" w:hAnsi="Arial"/>
          <w:sz w:val="19"/>
          <w:szCs w:val="19"/>
          <w:color w:val="auto"/>
        </w:rPr>
      </w:pPr>
    </w:p>
    <w:p>
      <w:pPr>
        <w:jc w:val="both"/>
        <w:ind w:left="-460" w:firstLine="644"/>
        <w:spacing w:after="0" w:line="268" w:lineRule="auto"/>
        <w:tabs>
          <w:tab w:leader="none" w:pos="824"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(A) if any then-current Benchmark is a term rate (including any Term RFR, USD LIBOR, EURIBOR, BBSY or CDOR) and</w:t>
      </w:r>
    </w:p>
    <w:p>
      <w:pPr>
        <w:sectPr>
          <w:pgSz w:w="11900" w:h="16838" w:orient="portrait"/>
          <w:cols w:equalWidth="0" w:num="1">
            <w:col w:w="10120"/>
          </w:cols>
          <w:pgMar w:left="1440" w:top="1401" w:right="339" w:bottom="1440" w:gutter="0" w:footer="0" w:header="0"/>
        </w:sectPr>
      </w:pPr>
    </w:p>
    <w:bookmarkStart w:id="192" w:name="page193"/>
    <w:bookmarkEnd w:id="192"/>
    <w:p>
      <w:pPr>
        <w:jc w:val="both"/>
        <w:ind w:left="4"/>
        <w:spacing w:after="0" w:line="244" w:lineRule="auto"/>
        <w:rPr>
          <w:sz w:val="20"/>
          <w:szCs w:val="20"/>
          <w:color w:val="auto"/>
        </w:rPr>
      </w:pPr>
      <w:r>
        <w:rPr>
          <w:rFonts w:ascii="Arial" w:cs="Arial" w:eastAsia="Arial" w:hAnsi="Arial"/>
          <w:sz w:val="19"/>
          <w:szCs w:val="19"/>
          <w:color w:val="auto"/>
        </w:rPr>
        <w:t>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55" w:lineRule="exact"/>
        <w:rPr>
          <w:sz w:val="20"/>
          <w:szCs w:val="20"/>
          <w:color w:val="auto"/>
        </w:rPr>
      </w:pPr>
    </w:p>
    <w:p>
      <w:pPr>
        <w:jc w:val="both"/>
        <w:ind w:left="4" w:firstLine="644"/>
        <w:spacing w:after="0" w:line="238" w:lineRule="auto"/>
        <w:tabs>
          <w:tab w:leader="none" w:pos="1295"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Upon the Company’s receipt of notice of the commencement of a Benchmark Unavailability Period with respect to a given Benchmark, (A) any Borrower may revoke any pending request for a borrowing of, conversion to or continuation of RFR Advances or Eurocurrency Rate Advances, in each case, to be made, converted or continued during any Benchmark Unavailability Period denominated in the applicable Currency and, failing that, (I) in the case of any request for any affected RFR Advances or a Eurocurrency Rate Advances, in each case, denominated in US Dollars, if applicable, the applicable Borrower will be deemed to have converted any such request into a request for a borrowing of or conversion to Base Rate Advances in the amount specified therein and (II) in the case of any request for any affected RFR Advance or Eurocurrency Rate Advance, in each case, in a Foreign Currency, if applicable, then such request shall be ineffective and (B)(I) any outstanding affected RFR Advances or Eurocurrency Rate Advances, in each case, denominated in US Dollars, if applicable, will be deemed to have been converted into Base Rate Advances immediately or, in the case of Term RFR Advances or Eurocurrency Rate Advances, at the end of the applicable Interest Period and (II) any outstanding affected RFR Advances or Eurocurrency Rate Advances, in each case, denominated in a Foreign Currency, at the applicable Borrower’s election, shall either be converted into Base Rate Advances denominated in US Dollars (in an amount equal to the Dollar Equivalent of such Foreign Currency) immediately or, in the case of Term RFR Advances or Eurocurrency Rate Advances, at the end of the applicable Interest Period or be prepaid in full immediately or, in the case of Term RFR Advances or Eurocurrency Rate Advances, at the end of the applicable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Daily Simple RFR Advance, if no election is made by the applicable Borrower by the date that is three (3) Business Days after receipt by the applicable Borrower of such notice, the applicable Borrower shall be deemed to have elected clause (c) above;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with respect to any Eurocurrency Rate Advance or Term RFR Advance, if no election is made by the applicable Borrower by the earlier of (x) the date that is three (3) Business Days after receipt by the Company or the applicable Borrower of such notice and</w:t>
      </w:r>
    </w:p>
    <w:p>
      <w:pPr>
        <w:spacing w:after="0" w:line="4" w:lineRule="exact"/>
        <w:rPr>
          <w:rFonts w:ascii="Arial" w:cs="Arial" w:eastAsia="Arial" w:hAnsi="Arial"/>
          <w:sz w:val="19"/>
          <w:szCs w:val="19"/>
          <w:color w:val="auto"/>
        </w:rPr>
      </w:pPr>
    </w:p>
    <w:p>
      <w:pPr>
        <w:jc w:val="both"/>
        <w:ind w:left="4" w:hanging="4"/>
        <w:spacing w:after="0" w:line="219" w:lineRule="auto"/>
        <w:tabs>
          <w:tab w:leader="none" w:pos="325"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last day of the current Interest Period for the applicable Eurocurrency Rate Advance or Term RFR Advance, the applicable Borrower shall be deemed to have elected clause (1) above. Upon any such prepayment or conversion, the applicable Borrower shall also pay accrued interest (except with respect to any prepayment or conversion of a Daily Simple RFR Advance) on the amount so prepaid or converted, together with any additional amounts required pursuant to Section 9.04(c).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ectPr>
          <w:pgSz w:w="11900" w:h="16838" w:orient="portrait"/>
          <w:cols w:equalWidth="0" w:num="1">
            <w:col w:w="10584"/>
          </w:cols>
          <w:pgMar w:left="976" w:top="1401" w:right="339" w:bottom="1440" w:gutter="0" w:footer="0" w:header="0"/>
        </w:sectPr>
      </w:pPr>
    </w:p>
    <w:bookmarkStart w:id="193" w:name="page194"/>
    <w:bookmarkEnd w:id="193"/>
    <w:p>
      <w:pPr>
        <w:ind w:left="1300" w:hanging="644"/>
        <w:spacing w:after="0"/>
        <w:tabs>
          <w:tab w:leader="none" w:pos="1300" w:val="left"/>
        </w:tabs>
        <w:numPr>
          <w:ilvl w:val="1"/>
          <w:numId w:val="150"/>
        </w:numPr>
        <w:rPr>
          <w:rFonts w:ascii="Arial" w:cs="Arial" w:eastAsia="Arial" w:hAnsi="Arial"/>
          <w:sz w:val="22"/>
          <w:szCs w:val="22"/>
          <w:color w:val="1F3763"/>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85" w:lineRule="exact"/>
        <w:rPr>
          <w:rFonts w:ascii="Arial" w:cs="Arial" w:eastAsia="Arial" w:hAnsi="Arial"/>
          <w:sz w:val="22"/>
          <w:szCs w:val="22"/>
          <w:color w:val="1F3763"/>
        </w:rPr>
      </w:pPr>
    </w:p>
    <w:p>
      <w:pPr>
        <w:jc w:val="both"/>
        <w:ind w:firstLine="656"/>
        <w:spacing w:after="0" w:line="242" w:lineRule="auto"/>
        <w:tabs>
          <w:tab w:leader="none" w:pos="1293" w:val="left"/>
        </w:tabs>
        <w:numPr>
          <w:ilvl w:val="1"/>
          <w:numId w:val="150"/>
        </w:numPr>
        <w:rPr>
          <w:rFonts w:ascii="Arial" w:cs="Arial" w:eastAsia="Arial" w:hAnsi="Arial"/>
          <w:sz w:val="19"/>
          <w:szCs w:val="19"/>
          <w:color w:val="1F3763"/>
        </w:rPr>
      </w:pPr>
      <w:r>
        <w:rPr>
          <w:rFonts w:ascii="Arial" w:cs="Arial" w:eastAsia="Arial" w:hAnsi="Arial"/>
          <w:sz w:val="19"/>
          <w:szCs w:val="19"/>
          <w:u w:val="single" w:color="auto"/>
          <w:color w:val="auto"/>
        </w:rPr>
        <w:t>Foreign Currencies</w:t>
      </w:r>
      <w:r>
        <w:rPr>
          <w:rFonts w:ascii="Arial" w:cs="Arial" w:eastAsia="Arial" w:hAnsi="Arial"/>
          <w:sz w:val="19"/>
          <w:szCs w:val="19"/>
          <w:color w:val="auto"/>
        </w:rPr>
        <w:t>. If, after the designation by the Lenders of any currency as a Foreign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US Dollars or</w:t>
      </w:r>
    </w:p>
    <w:p>
      <w:pPr>
        <w:jc w:val="both"/>
        <w:ind w:firstLine="8"/>
        <w:spacing w:after="0" w:line="211" w:lineRule="auto"/>
        <w:tabs>
          <w:tab w:leader="none" w:pos="371"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 Dollar Equivalent no longer being readily calculable with respect to such currency (each of clauses (i) and (ii), a “</w:t>
      </w:r>
      <w:r>
        <w:rPr>
          <w:rFonts w:ascii="Arial" w:cs="Arial" w:eastAsia="Arial" w:hAnsi="Arial"/>
          <w:sz w:val="22"/>
          <w:szCs w:val="22"/>
          <w:u w:val="single" w:color="auto"/>
          <w:color w:val="auto"/>
        </w:rPr>
        <w:t>Disqualifying Event</w:t>
      </w:r>
      <w:r>
        <w:rPr>
          <w:rFonts w:ascii="Arial" w:cs="Arial" w:eastAsia="Arial" w:hAnsi="Arial"/>
          <w:sz w:val="22"/>
          <w:szCs w:val="22"/>
          <w:color w:val="auto"/>
        </w:rPr>
        <w:t>”), then the Administrative Agent shall promptly notify the Lenders and the Company, and such currency shall no longer be a Foreign Currency until such time as the Disqualifying Event(s) no longer exist. Within five Business Days after receipt of such notice from the Administrative Agent, the Borrowers shall repay all Advances denominated in such currency to which the Disqualifying Event(s) apply or convert such Advances into the Dollar Equivalent in US Dollars, bearing interest at the Base Rate, subject to the other terms contained herein.</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ARTICLE 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EFFECTIVENESS AND LENDING</w:t>
      </w:r>
    </w:p>
    <w:p>
      <w:pPr>
        <w:spacing w:after="0" w:line="17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2F5496"/>
        </w:rPr>
        <w:t xml:space="preserve">SECTION 1.01. </w:t>
      </w:r>
      <w:r>
        <w:rPr>
          <w:rFonts w:ascii="Arial" w:cs="Arial" w:eastAsia="Arial" w:hAnsi="Arial"/>
          <w:sz w:val="23"/>
          <w:szCs w:val="23"/>
          <w:u w:val="single" w:color="auto"/>
          <w:color w:val="000000"/>
        </w:rPr>
        <w:t>Conditions Precedent to Effectiveness</w:t>
      </w:r>
      <w:r>
        <w:rPr>
          <w:rFonts w:ascii="Arial" w:cs="Arial" w:eastAsia="Arial" w:hAnsi="Arial"/>
          <w:sz w:val="22"/>
          <w:szCs w:val="22"/>
          <w:color w:val="000000"/>
        </w:rPr>
        <w:t>. This Agreement shall become effective on and as of the</w:t>
      </w:r>
      <w:r>
        <w:rPr>
          <w:rFonts w:ascii="Arial" w:cs="Arial" w:eastAsia="Arial" w:hAnsi="Arial"/>
          <w:sz w:val="22"/>
          <w:szCs w:val="22"/>
          <w:color w:val="2F5496"/>
        </w:rPr>
        <w:t xml:space="preserve"> </w:t>
      </w:r>
      <w:r>
        <w:rPr>
          <w:rFonts w:ascii="Arial" w:cs="Arial" w:eastAsia="Arial" w:hAnsi="Arial"/>
          <w:sz w:val="22"/>
          <w:szCs w:val="22"/>
          <w:color w:val="000000"/>
        </w:rPr>
        <w:t>first date on which the following conditions precedent have been satisfied (the “Effective Date”):</w:t>
      </w:r>
    </w:p>
    <w:p>
      <w:pPr>
        <w:spacing w:after="0" w:line="159" w:lineRule="exact"/>
        <w:rPr>
          <w:sz w:val="20"/>
          <w:szCs w:val="20"/>
          <w:color w:val="auto"/>
        </w:rPr>
      </w:pPr>
    </w:p>
    <w:p>
      <w:pPr>
        <w:jc w:val="both"/>
        <w:ind w:firstLine="656"/>
        <w:spacing w:after="0" w:line="234" w:lineRule="auto"/>
        <w:tabs>
          <w:tab w:leader="none" w:pos="1293" w:val="left"/>
        </w:tabs>
        <w:numPr>
          <w:ilvl w:val="0"/>
          <w:numId w:val="152"/>
        </w:numPr>
        <w:rPr>
          <w:rFonts w:ascii="Arial" w:cs="Arial" w:eastAsia="Arial" w:hAnsi="Arial"/>
          <w:sz w:val="21"/>
          <w:szCs w:val="21"/>
          <w:color w:val="1F3763"/>
        </w:rPr>
      </w:pPr>
      <w:r>
        <w:rPr>
          <w:rFonts w:ascii="Arial" w:cs="Arial" w:eastAsia="Arial" w:hAnsi="Arial"/>
          <w:sz w:val="21"/>
          <w:szCs w:val="21"/>
          <w:color w:val="auto"/>
        </w:rPr>
        <w:t>The Company shall have paid all accrued fees and, to the extent invoiced at least two Business Days prior to the Effective Date, expenses of the Administrative Agent and the Lenders (including the accrued fees and expenses of counsel to the Administrative Agent), in each case to the extent payable pursuant to the Engagement Letter.</w:t>
      </w:r>
    </w:p>
    <w:p>
      <w:pPr>
        <w:spacing w:after="0" w:line="157" w:lineRule="exact"/>
        <w:rPr>
          <w:rFonts w:ascii="Arial" w:cs="Arial" w:eastAsia="Arial" w:hAnsi="Arial"/>
          <w:sz w:val="21"/>
          <w:szCs w:val="21"/>
          <w:color w:val="1F3763"/>
        </w:rPr>
      </w:pPr>
    </w:p>
    <w:p>
      <w:pPr>
        <w:jc w:val="both"/>
        <w:ind w:firstLine="656"/>
        <w:spacing w:after="0" w:line="298" w:lineRule="auto"/>
        <w:tabs>
          <w:tab w:leader="none" w:pos="1291" w:val="left"/>
        </w:tabs>
        <w:numPr>
          <w:ilvl w:val="0"/>
          <w:numId w:val="152"/>
        </w:numPr>
        <w:rPr>
          <w:rFonts w:ascii="Arial" w:cs="Arial" w:eastAsia="Arial" w:hAnsi="Arial"/>
          <w:sz w:val="19"/>
          <w:szCs w:val="19"/>
          <w:color w:val="1F3763"/>
        </w:rPr>
      </w:pPr>
      <w:r>
        <w:rPr>
          <w:rFonts w:ascii="Arial" w:cs="Arial" w:eastAsia="Arial" w:hAnsi="Arial"/>
          <w:sz w:val="19"/>
          <w:szCs w:val="19"/>
          <w:color w:val="auto"/>
        </w:rPr>
        <w:t>On the Effective Date, the following statements shall be true and the Administrative Agent shall have received for the account of each Lender a certificate signed by a duly authorized officer of the Company, dated the Effective Date, stating that:</w:t>
      </w:r>
    </w:p>
    <w:p>
      <w:pPr>
        <w:spacing w:after="0" w:line="105" w:lineRule="exact"/>
        <w:rPr>
          <w:rFonts w:ascii="Arial" w:cs="Arial" w:eastAsia="Arial" w:hAnsi="Arial"/>
          <w:sz w:val="19"/>
          <w:szCs w:val="19"/>
          <w:color w:val="1F3763"/>
        </w:rPr>
      </w:pPr>
    </w:p>
    <w:p>
      <w:pPr>
        <w:jc w:val="both"/>
        <w:ind w:left="660" w:firstLine="644"/>
        <w:spacing w:after="0" w:line="268" w:lineRule="auto"/>
        <w:tabs>
          <w:tab w:leader="none" w:pos="1944"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Effective Date, and</w:t>
      </w:r>
    </w:p>
    <w:p>
      <w:pPr>
        <w:spacing w:after="0" w:line="132" w:lineRule="exact"/>
        <w:rPr>
          <w:rFonts w:ascii="Arial" w:cs="Arial" w:eastAsia="Arial" w:hAnsi="Arial"/>
          <w:sz w:val="19"/>
          <w:szCs w:val="19"/>
          <w:color w:val="auto"/>
        </w:rPr>
      </w:pPr>
    </w:p>
    <w:p>
      <w:pPr>
        <w:ind w:left="1940" w:hanging="636"/>
        <w:spacing w:after="0"/>
        <w:tabs>
          <w:tab w:leader="none" w:pos="194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No event has occurred and is continuing that constitutes a Default.</w:t>
      </w:r>
    </w:p>
    <w:p>
      <w:pPr>
        <w:spacing w:after="0" w:line="179" w:lineRule="exact"/>
        <w:rPr>
          <w:rFonts w:ascii="Arial" w:cs="Arial" w:eastAsia="Arial" w:hAnsi="Arial"/>
          <w:sz w:val="22"/>
          <w:szCs w:val="22"/>
          <w:color w:val="auto"/>
        </w:rPr>
      </w:pPr>
    </w:p>
    <w:p>
      <w:pPr>
        <w:ind w:firstLine="656"/>
        <w:spacing w:after="0" w:line="232" w:lineRule="auto"/>
        <w:tabs>
          <w:tab w:leader="none" w:pos="1293" w:val="left"/>
        </w:tabs>
        <w:numPr>
          <w:ilvl w:val="0"/>
          <w:numId w:val="152"/>
        </w:numPr>
        <w:rPr>
          <w:rFonts w:ascii="Arial" w:cs="Arial" w:eastAsia="Arial" w:hAnsi="Arial"/>
          <w:sz w:val="22"/>
          <w:szCs w:val="22"/>
          <w:color w:val="1F3763"/>
        </w:rPr>
      </w:pPr>
      <w:r>
        <w:rPr>
          <w:rFonts w:ascii="Arial" w:cs="Arial" w:eastAsia="Arial" w:hAnsi="Arial"/>
          <w:sz w:val="22"/>
          <w:szCs w:val="22"/>
          <w:color w:val="auto"/>
        </w:rPr>
        <w:t>The Administrative Agent shall have received on or before the Effective Date the following, each dated such day, in form and substance satisfactory to the Administrative Agent:</w:t>
      </w:r>
    </w:p>
    <w:p>
      <w:pPr>
        <w:spacing w:after="0" w:line="158" w:lineRule="exact"/>
        <w:rPr>
          <w:rFonts w:ascii="Arial" w:cs="Arial" w:eastAsia="Arial" w:hAnsi="Arial"/>
          <w:sz w:val="22"/>
          <w:szCs w:val="22"/>
          <w:color w:val="1F3763"/>
        </w:rPr>
      </w:pPr>
    </w:p>
    <w:p>
      <w:pPr>
        <w:ind w:left="660" w:firstLine="644"/>
        <w:spacing w:after="0" w:line="232" w:lineRule="auto"/>
        <w:tabs>
          <w:tab w:leader="none" w:pos="1944"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Notes to the Lenders, to the extent requested by any Lender at least three Business Days before the Effective Date.</w:t>
      </w:r>
    </w:p>
    <w:p>
      <w:pPr>
        <w:spacing w:after="0" w:line="158" w:lineRule="exact"/>
        <w:rPr>
          <w:rFonts w:ascii="Arial" w:cs="Arial" w:eastAsia="Arial" w:hAnsi="Arial"/>
          <w:sz w:val="22"/>
          <w:szCs w:val="22"/>
          <w:color w:val="auto"/>
        </w:rPr>
      </w:pPr>
    </w:p>
    <w:p>
      <w:pPr>
        <w:jc w:val="both"/>
        <w:ind w:left="660" w:firstLine="644"/>
        <w:spacing w:after="0" w:line="214" w:lineRule="auto"/>
        <w:tabs>
          <w:tab w:leader="none" w:pos="195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Certified copies of (1) the resolutions of the board of directors (or equivalent governing body) of each Credit Party approving this Agreement and, to the extent applicable, the other Loan Documents, and of all documents evidencing other necessary corporate or other action and governmental approvals, if any, with respect to this Agreement and the other Loan Documents, (2) the articles of incorporation or other constitutional or charter documents, as applicable, of each Credit Party and (3) the bylaws or comparable operating agreement, as applicable, of each Credit Party.</w:t>
      </w:r>
    </w:p>
    <w:p>
      <w:pPr>
        <w:sectPr>
          <w:pgSz w:w="11900" w:h="16838" w:orient="portrait"/>
          <w:cols w:equalWidth="0" w:num="1">
            <w:col w:w="11240"/>
          </w:cols>
          <w:pgMar w:left="320" w:top="1395" w:right="339" w:bottom="1440" w:gutter="0" w:footer="0" w:header="0"/>
        </w:sectPr>
      </w:pPr>
    </w:p>
    <w:bookmarkStart w:id="194" w:name="page195"/>
    <w:bookmarkEnd w:id="194"/>
    <w:p>
      <w:pPr>
        <w:jc w:val="both"/>
        <w:ind w:left="660" w:firstLine="644"/>
        <w:spacing w:after="0" w:line="218" w:lineRule="auto"/>
        <w:tabs>
          <w:tab w:leader="none" w:pos="1956"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Certificates of good standing, existence or its equivalent with respect to each Credit Party certified as of a recent date by the appropriate Governmental Authorities of the state of incorporation or organization and each other state in which the failure to so qualify and be in good standing would reasonably be expected to have a Material Adverse Effect.</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194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 certificate of the Secretary or an Assistant Secretary of each Credit Party certifying the names and true signatures of the officers of such Credit Party authorized to sign each Loan Document to which it is a party and the other documents to be delivered by it hereunder.</w:t>
      </w:r>
    </w:p>
    <w:p>
      <w:pPr>
        <w:spacing w:after="0" w:line="158" w:lineRule="exact"/>
        <w:rPr>
          <w:rFonts w:ascii="Arial" w:cs="Arial" w:eastAsia="Arial" w:hAnsi="Arial"/>
          <w:sz w:val="22"/>
          <w:szCs w:val="22"/>
          <w:color w:val="auto"/>
        </w:rPr>
      </w:pPr>
    </w:p>
    <w:p>
      <w:pPr>
        <w:jc w:val="both"/>
        <w:ind w:left="660" w:right="20" w:firstLine="644"/>
        <w:spacing w:after="0" w:line="223" w:lineRule="auto"/>
        <w:tabs>
          <w:tab w:leader="none" w:pos="1951"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 favorable opinion of each of (i) Cravath, Swaine &amp; Moore LLP, special New York counsel for the Credit Parties and (ii) Latham, Shuker, Eden &amp; Beaudine, LLP, special Florida counsel for the Credit Parties, in form and substance satisfactory to the Administrative Agent.</w:t>
      </w:r>
    </w:p>
    <w:p>
      <w:pPr>
        <w:spacing w:after="0" w:line="158" w:lineRule="exact"/>
        <w:rPr>
          <w:rFonts w:ascii="Arial" w:cs="Arial" w:eastAsia="Arial" w:hAnsi="Arial"/>
          <w:sz w:val="22"/>
          <w:szCs w:val="22"/>
          <w:color w:val="auto"/>
        </w:rPr>
      </w:pPr>
    </w:p>
    <w:p>
      <w:pPr>
        <w:jc w:val="both"/>
        <w:ind w:left="660" w:right="20" w:firstLine="644"/>
        <w:spacing w:after="0" w:line="223" w:lineRule="auto"/>
        <w:tabs>
          <w:tab w:leader="none" w:pos="194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An officer’s certificate prepared by the chief financial officer of the Company as to the solvency of the Company and its Subsidiaries, on a consolidated basis after giving effect to the effectiveness of this Agreement on the Effective Date, in substantially the form of Exhibit G hereto.</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95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 certificate prepared by the chief financial officer of the Company certifying that the Company has, or substantially concurrently with the Effective Date will have, consummated the senior unsecured notes offering contemplated by the Company as disclosed to the Administrative Agent.</w:t>
      </w:r>
    </w:p>
    <w:p>
      <w:pPr>
        <w:spacing w:after="0" w:line="158" w:lineRule="exact"/>
        <w:rPr>
          <w:rFonts w:ascii="Arial" w:cs="Arial" w:eastAsia="Arial" w:hAnsi="Arial"/>
          <w:sz w:val="22"/>
          <w:szCs w:val="22"/>
          <w:color w:val="auto"/>
        </w:rPr>
      </w:pPr>
    </w:p>
    <w:p>
      <w:pPr>
        <w:jc w:val="both"/>
        <w:ind w:right="20" w:firstLine="656"/>
        <w:spacing w:after="0" w:line="223" w:lineRule="auto"/>
        <w:tabs>
          <w:tab w:leader="none" w:pos="1291" w:val="left"/>
        </w:tabs>
        <w:numPr>
          <w:ilvl w:val="0"/>
          <w:numId w:val="154"/>
        </w:numPr>
        <w:rPr>
          <w:rFonts w:ascii="Arial" w:cs="Arial" w:eastAsia="Arial" w:hAnsi="Arial"/>
          <w:sz w:val="22"/>
          <w:szCs w:val="22"/>
          <w:color w:val="1F3763"/>
        </w:rPr>
      </w:pPr>
      <w:r>
        <w:rPr>
          <w:rFonts w:ascii="Arial" w:cs="Arial" w:eastAsia="Arial" w:hAnsi="Arial"/>
          <w:sz w:val="22"/>
          <w:szCs w:val="22"/>
          <w:color w:val="auto"/>
        </w:rPr>
        <w:t>The Administrative Agent shall have received pro forma Consolidated financial statements for the Company and its Subsidiaries, and projections prepared by management of the Company, of balance sheets, income statements and cash flow statements for the three year period following the Effective Date.</w:t>
      </w:r>
    </w:p>
    <w:p>
      <w:pPr>
        <w:spacing w:after="0" w:line="158" w:lineRule="exact"/>
        <w:rPr>
          <w:rFonts w:ascii="Arial" w:cs="Arial" w:eastAsia="Arial" w:hAnsi="Arial"/>
          <w:sz w:val="22"/>
          <w:szCs w:val="22"/>
          <w:color w:val="1F3763"/>
        </w:rPr>
      </w:pPr>
    </w:p>
    <w:p>
      <w:pPr>
        <w:jc w:val="both"/>
        <w:ind w:firstLine="656"/>
        <w:spacing w:after="0" w:line="247" w:lineRule="auto"/>
        <w:tabs>
          <w:tab w:leader="none" w:pos="1293" w:val="left"/>
        </w:tabs>
        <w:numPr>
          <w:ilvl w:val="0"/>
          <w:numId w:val="154"/>
        </w:numPr>
        <w:rPr>
          <w:rFonts w:ascii="Arial" w:cs="Arial" w:eastAsia="Arial" w:hAnsi="Arial"/>
          <w:sz w:val="19"/>
          <w:szCs w:val="19"/>
          <w:color w:val="1F3763"/>
        </w:rPr>
      </w:pPr>
      <w:r>
        <w:rPr>
          <w:rFonts w:ascii="Arial" w:cs="Arial" w:eastAsia="Arial" w:hAnsi="Arial"/>
          <w:sz w:val="19"/>
          <w:szCs w:val="19"/>
          <w:color w:val="auto"/>
        </w:rPr>
        <w:t>The Administrative Agent shall have received (i) at least five Business Days (or such shorter period agreed to by the Administrative Agent in its sole discretion) for the Company and its Domestic Subsidiaries and (ii) at least fifteen Business Days (or such shorter period agreed to by the Administrative Agent in its sole discretion) for any Foreign Borrower, in each case prior to the Effective Date all documentation and other information about the Company and the other Credit Parties as has been reasonably requested in writing at least 10 Business Days prior to the Effective Date by the Administrative Agent that it (on behalf of itself and the Lenders) reasonably determines is required by regulatory authorities under applicable “know your customer” and anti-money laundering rules and regulations, including without limitation the Patriot Act.</w:t>
      </w:r>
    </w:p>
    <w:p>
      <w:pPr>
        <w:spacing w:after="0" w:line="153" w:lineRule="exact"/>
        <w:rPr>
          <w:rFonts w:ascii="Arial" w:cs="Arial" w:eastAsia="Arial" w:hAnsi="Arial"/>
          <w:sz w:val="19"/>
          <w:szCs w:val="19"/>
          <w:color w:val="1F3763"/>
        </w:rPr>
      </w:pPr>
    </w:p>
    <w:p>
      <w:pPr>
        <w:ind w:left="1300" w:hanging="644"/>
        <w:spacing w:after="0"/>
        <w:tabs>
          <w:tab w:leader="none" w:pos="1300" w:val="left"/>
        </w:tabs>
        <w:numPr>
          <w:ilvl w:val="0"/>
          <w:numId w:val="154"/>
        </w:numPr>
        <w:rPr>
          <w:rFonts w:ascii="Arial" w:cs="Arial" w:eastAsia="Arial" w:hAnsi="Arial"/>
          <w:sz w:val="22"/>
          <w:szCs w:val="22"/>
          <w:color w:val="1F3763"/>
        </w:rPr>
      </w:pPr>
      <w:r>
        <w:rPr>
          <w:rFonts w:ascii="Arial" w:cs="Arial" w:eastAsia="Arial" w:hAnsi="Arial"/>
          <w:sz w:val="22"/>
          <w:szCs w:val="22"/>
          <w:color w:val="auto"/>
        </w:rPr>
        <w:t>Since December 31, 2017, no Material Adverse Effect has occurred.</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2F5496"/>
        </w:rPr>
        <w:t xml:space="preserve">SECTION 1.02. </w:t>
      </w:r>
      <w:r>
        <w:rPr>
          <w:rFonts w:ascii="Arial" w:cs="Arial" w:eastAsia="Arial" w:hAnsi="Arial"/>
          <w:sz w:val="21"/>
          <w:szCs w:val="21"/>
          <w:u w:val="single" w:color="auto"/>
          <w:color w:val="000000"/>
        </w:rPr>
        <w:t>Conditions Precedent to Each Borrowing, Increase Date and Extension Date</w:t>
      </w:r>
      <w:r>
        <w:rPr>
          <w:rFonts w:ascii="Arial" w:cs="Arial" w:eastAsia="Arial" w:hAnsi="Arial"/>
          <w:sz w:val="20"/>
          <w:szCs w:val="20"/>
          <w:color w:val="000000"/>
        </w:rPr>
        <w:t>. The obligation</w:t>
      </w:r>
      <w:r>
        <w:rPr>
          <w:rFonts w:ascii="Arial" w:cs="Arial" w:eastAsia="Arial" w:hAnsi="Arial"/>
          <w:sz w:val="20"/>
          <w:szCs w:val="20"/>
          <w:color w:val="2F5496"/>
        </w:rPr>
        <w:t xml:space="preserve"> </w:t>
      </w:r>
      <w:r>
        <w:rPr>
          <w:rFonts w:ascii="Arial" w:cs="Arial" w:eastAsia="Arial" w:hAnsi="Arial"/>
          <w:sz w:val="20"/>
          <w:szCs w:val="20"/>
          <w:color w:val="000000"/>
        </w:rPr>
        <w:t>of each Lender to make an Advance on the occasion of each Borrowing, each Commitment Increase and each extension of Commitments pursuant to Section 2.17 shall be subject to the conditions precedent that the Effective Date shall have occurred, the Administrative Agent shall have received the relevant Notice of Borrowing, request for Commitment Increase or request for Commitment Extension and on the date of such Borrowing, such Increase Date or such Extension Date the following statements shall be true (and each of the giving of the applicable Notice of Borrowing, request for Commitment Increase, request for Commitment Extension and the acceptance by the applicable Borrower of the proceeds of such</w:t>
      </w:r>
    </w:p>
    <w:p>
      <w:pPr>
        <w:sectPr>
          <w:pgSz w:w="11900" w:h="16838" w:orient="portrait"/>
          <w:cols w:equalWidth="0" w:num="1">
            <w:col w:w="11240"/>
          </w:cols>
          <w:pgMar w:left="320" w:top="1401" w:right="339" w:bottom="1440" w:gutter="0" w:footer="0" w:header="0"/>
        </w:sectPr>
      </w:pPr>
    </w:p>
    <w:bookmarkStart w:id="195" w:name="page196"/>
    <w:bookmarkEnd w:id="195"/>
    <w:p>
      <w:pPr>
        <w:spacing w:after="0" w:line="232" w:lineRule="auto"/>
        <w:rPr>
          <w:sz w:val="20"/>
          <w:szCs w:val="20"/>
          <w:color w:val="auto"/>
        </w:rPr>
      </w:pPr>
      <w:r>
        <w:rPr>
          <w:rFonts w:ascii="Arial" w:cs="Arial" w:eastAsia="Arial" w:hAnsi="Arial"/>
          <w:sz w:val="22"/>
          <w:szCs w:val="22"/>
          <w:color w:val="auto"/>
        </w:rPr>
        <w:t>Borrowing shall constitute a representation and warranty by the Borrowers that on the date of such Borrowing, such Increase Date or such Extension Date such statements are true):</w:t>
      </w:r>
    </w:p>
    <w:p>
      <w:pPr>
        <w:spacing w:after="0" w:line="159" w:lineRule="exact"/>
        <w:rPr>
          <w:sz w:val="20"/>
          <w:szCs w:val="20"/>
          <w:color w:val="auto"/>
        </w:rPr>
      </w:pPr>
    </w:p>
    <w:p>
      <w:pPr>
        <w:jc w:val="both"/>
        <w:ind w:firstLine="656"/>
        <w:spacing w:after="0" w:line="214" w:lineRule="auto"/>
        <w:tabs>
          <w:tab w:leader="none" w:pos="1293" w:val="left"/>
        </w:tabs>
        <w:numPr>
          <w:ilvl w:val="0"/>
          <w:numId w:val="155"/>
        </w:numPr>
        <w:rPr>
          <w:rFonts w:ascii="Arial" w:cs="Arial" w:eastAsia="Arial" w:hAnsi="Arial"/>
          <w:sz w:val="22"/>
          <w:szCs w:val="22"/>
          <w:color w:val="1F3763"/>
        </w:rPr>
      </w:pPr>
      <w:r>
        <w:rPr>
          <w:rFonts w:ascii="Arial" w:cs="Arial" w:eastAsia="Arial" w:hAnsi="Arial"/>
          <w:sz w:val="22"/>
          <w:szCs w:val="22"/>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w:t>
      </w:r>
    </w:p>
    <w:p>
      <w:pPr>
        <w:spacing w:after="0" w:line="158" w:lineRule="exact"/>
        <w:rPr>
          <w:rFonts w:ascii="Arial" w:cs="Arial" w:eastAsia="Arial" w:hAnsi="Arial"/>
          <w:sz w:val="22"/>
          <w:szCs w:val="22"/>
          <w:color w:val="1F3763"/>
        </w:rPr>
      </w:pPr>
    </w:p>
    <w:p>
      <w:pPr>
        <w:ind w:firstLine="656"/>
        <w:spacing w:after="0" w:line="232" w:lineRule="auto"/>
        <w:tabs>
          <w:tab w:leader="none" w:pos="1291" w:val="left"/>
        </w:tabs>
        <w:numPr>
          <w:ilvl w:val="0"/>
          <w:numId w:val="155"/>
        </w:numPr>
        <w:rPr>
          <w:rFonts w:ascii="Arial" w:cs="Arial" w:eastAsia="Arial" w:hAnsi="Arial"/>
          <w:sz w:val="22"/>
          <w:szCs w:val="22"/>
          <w:color w:val="1F3763"/>
        </w:rPr>
      </w:pPr>
      <w:r>
        <w:rPr>
          <w:rFonts w:ascii="Arial" w:cs="Arial" w:eastAsia="Arial" w:hAnsi="Arial"/>
          <w:sz w:val="22"/>
          <w:szCs w:val="22"/>
          <w:color w:val="auto"/>
        </w:rPr>
        <w:t>no event has occurred and is continuing, or would result from such Borrowing, such Increase Date or such Extension Date or from the application of the proceeds therefrom, that constitutes a Default, and</w:t>
      </w:r>
    </w:p>
    <w:p>
      <w:pPr>
        <w:spacing w:after="0" w:line="158" w:lineRule="exact"/>
        <w:rPr>
          <w:rFonts w:ascii="Arial" w:cs="Arial" w:eastAsia="Arial" w:hAnsi="Arial"/>
          <w:sz w:val="22"/>
          <w:szCs w:val="22"/>
          <w:color w:val="1F3763"/>
        </w:rPr>
      </w:pPr>
    </w:p>
    <w:p>
      <w:pPr>
        <w:jc w:val="both"/>
        <w:ind w:firstLine="656"/>
        <w:spacing w:after="0" w:line="257" w:lineRule="auto"/>
        <w:tabs>
          <w:tab w:leader="none" w:pos="1293" w:val="left"/>
        </w:tabs>
        <w:numPr>
          <w:ilvl w:val="0"/>
          <w:numId w:val="155"/>
        </w:numPr>
        <w:rPr>
          <w:rFonts w:ascii="Arial" w:cs="Arial" w:eastAsia="Arial" w:hAnsi="Arial"/>
          <w:sz w:val="19"/>
          <w:szCs w:val="19"/>
          <w:color w:val="1F3763"/>
        </w:rPr>
      </w:pPr>
      <w:r>
        <w:rPr>
          <w:rFonts w:ascii="Arial" w:cs="Arial" w:eastAsia="Arial" w:hAnsi="Arial"/>
          <w:sz w:val="19"/>
          <w:szCs w:val="19"/>
          <w:color w:val="auto"/>
        </w:rPr>
        <w:t>in the case of any Advance denominated in a Foreign Currency, there shall not have occurred any change in national or international financial, political or economic conditions or currency exchange rates or exchange controls which in the reasonable opinion of the Administrative Agent or the Required Lenders (in the case of any Advances to be denominated in a Foreign Currency) would make it impracticable for such Advance to be denominated in the relevant Foreign Currency.</w:t>
      </w:r>
    </w:p>
    <w:p>
      <w:pPr>
        <w:spacing w:after="0" w:line="140"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2F5496"/>
        </w:rPr>
        <w:t xml:space="preserve">SECTION 1.03. </w:t>
      </w:r>
      <w:r>
        <w:rPr>
          <w:rFonts w:ascii="Arial" w:cs="Arial" w:eastAsia="Arial" w:hAnsi="Arial"/>
          <w:sz w:val="23"/>
          <w:szCs w:val="23"/>
          <w:u w:val="single" w:color="auto"/>
          <w:color w:val="000000"/>
        </w:rPr>
        <w:t>Determinations Under Section 3.01</w:t>
      </w:r>
      <w:r>
        <w:rPr>
          <w:rFonts w:ascii="Arial" w:cs="Arial" w:eastAsia="Arial" w:hAnsi="Arial"/>
          <w:sz w:val="22"/>
          <w:szCs w:val="22"/>
          <w:color w:val="000000"/>
        </w:rPr>
        <w:t>. For purposes of determining compliance with the conditions</w:t>
      </w:r>
      <w:r>
        <w:rPr>
          <w:rFonts w:ascii="Arial" w:cs="Arial" w:eastAsia="Arial" w:hAnsi="Arial"/>
          <w:sz w:val="22"/>
          <w:szCs w:val="22"/>
          <w:color w:val="2F5496"/>
        </w:rPr>
        <w:t xml:space="preserve"> </w:t>
      </w:r>
      <w:r>
        <w:rPr>
          <w:rFonts w:ascii="Arial" w:cs="Arial" w:eastAsia="Arial" w:hAnsi="Arial"/>
          <w:sz w:val="22"/>
          <w:szCs w:val="22"/>
          <w:color w:val="000000"/>
        </w:rPr>
        <w:t>specified in Section 3.01,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this Agreement shall have received notice from such Lender prior to the date that the Company, by notice to the Lenders, designates as the proposed Effective Date, specifying its objection thereto. The Administrative Agent shall promptly notify the Lenders and the Company of the occurrence of the Effective Date.</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ARTICLE IV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2F5496"/>
        </w:rPr>
        <w:t xml:space="preserve">SECTION 1.01. </w:t>
      </w:r>
      <w:r>
        <w:rPr>
          <w:rFonts w:ascii="Arial" w:cs="Arial" w:eastAsia="Arial" w:hAnsi="Arial"/>
          <w:sz w:val="23"/>
          <w:szCs w:val="23"/>
          <w:u w:val="single" w:color="auto"/>
          <w:color w:val="000000"/>
        </w:rPr>
        <w:t>Representations and Warranties of the Credit Parties</w:t>
      </w:r>
      <w:r>
        <w:rPr>
          <w:rFonts w:ascii="Arial" w:cs="Arial" w:eastAsia="Arial" w:hAnsi="Arial"/>
          <w:sz w:val="22"/>
          <w:szCs w:val="22"/>
          <w:color w:val="000000"/>
        </w:rPr>
        <w:t>. Each Credit Party represents and warrants</w:t>
      </w:r>
      <w:r>
        <w:rPr>
          <w:rFonts w:ascii="Arial" w:cs="Arial" w:eastAsia="Arial" w:hAnsi="Arial"/>
          <w:sz w:val="22"/>
          <w:szCs w:val="22"/>
          <w:color w:val="2F5496"/>
        </w:rPr>
        <w:t xml:space="preserve"> </w:t>
      </w:r>
      <w:r>
        <w:rPr>
          <w:rFonts w:ascii="Arial" w:cs="Arial" w:eastAsia="Arial" w:hAnsi="Arial"/>
          <w:sz w:val="22"/>
          <w:szCs w:val="22"/>
          <w:color w:val="000000"/>
        </w:rPr>
        <w:t>as follows:</w:t>
      </w:r>
    </w:p>
    <w:p>
      <w:pPr>
        <w:spacing w:after="0" w:line="159" w:lineRule="exact"/>
        <w:rPr>
          <w:sz w:val="20"/>
          <w:szCs w:val="20"/>
          <w:color w:val="auto"/>
        </w:rPr>
      </w:pPr>
    </w:p>
    <w:p>
      <w:pPr>
        <w:jc w:val="both"/>
        <w:ind w:firstLine="656"/>
        <w:spacing w:after="0" w:line="226" w:lineRule="auto"/>
        <w:tabs>
          <w:tab w:leader="none" w:pos="1293" w:val="left"/>
        </w:tabs>
        <w:numPr>
          <w:ilvl w:val="0"/>
          <w:numId w:val="156"/>
        </w:numPr>
        <w:rPr>
          <w:rFonts w:ascii="Arial" w:cs="Arial" w:eastAsia="Arial" w:hAnsi="Arial"/>
          <w:sz w:val="21"/>
          <w:szCs w:val="21"/>
          <w:color w:val="1F3763"/>
        </w:rPr>
      </w:pPr>
      <w:r>
        <w:rPr>
          <w:rFonts w:ascii="Arial" w:cs="Arial" w:eastAsia="Arial" w:hAnsi="Arial"/>
          <w:sz w:val="21"/>
          <w:szCs w:val="21"/>
          <w:color w:val="auto"/>
        </w:rPr>
        <w:t>Each Credit Party is duly organized or registered, validly existing and (if applicable in its jurisdiction of incorporation) in good standing under the Applicable Laws of the jurisdiction of its incorporation or formation and is in compliance with all Applicable Laws (including any Anti-Corruption Laws and including compliance with respect to each Plan but excluding those laws referred to in clauses (j), (k) and (l) below), except to the extent such non-compliance would not, individually or in the aggregate, reasonably be expected to result in a Material Adverse Effect.</w:t>
      </w:r>
    </w:p>
    <w:p>
      <w:pPr>
        <w:spacing w:after="0" w:line="159" w:lineRule="exact"/>
        <w:rPr>
          <w:rFonts w:ascii="Arial" w:cs="Arial" w:eastAsia="Arial" w:hAnsi="Arial"/>
          <w:sz w:val="21"/>
          <w:szCs w:val="21"/>
          <w:color w:val="1F3763"/>
        </w:rPr>
      </w:pPr>
    </w:p>
    <w:p>
      <w:pPr>
        <w:jc w:val="both"/>
        <w:ind w:firstLine="656"/>
        <w:spacing w:after="0" w:line="229" w:lineRule="auto"/>
        <w:tabs>
          <w:tab w:leader="none" w:pos="1291" w:val="left"/>
        </w:tabs>
        <w:numPr>
          <w:ilvl w:val="0"/>
          <w:numId w:val="156"/>
        </w:numPr>
        <w:rPr>
          <w:rFonts w:ascii="Arial" w:cs="Arial" w:eastAsia="Arial" w:hAnsi="Arial"/>
          <w:sz w:val="21"/>
          <w:szCs w:val="21"/>
          <w:color w:val="1F3763"/>
        </w:rPr>
      </w:pPr>
      <w:r>
        <w:rPr>
          <w:rFonts w:ascii="Arial" w:cs="Arial" w:eastAsia="Arial" w:hAnsi="Arial"/>
          <w:sz w:val="21"/>
          <w:szCs w:val="21"/>
          <w:color w:val="auto"/>
        </w:rPr>
        <w:t>The execution, delivery and performance by each Credit Party of this Agreement and each other Loan Document to which it is a party, and the consummation of the transactions contemplated hereby, are within such Credit Party’s capacity and corporate or other powers, have been duly and validly authorized by all necessary corporate or other action, and do not contravene (i) such Credit Party’s constitutional documents, charter or bylaws (or equivalent</w:t>
      </w:r>
    </w:p>
    <w:p>
      <w:pPr>
        <w:sectPr>
          <w:pgSz w:w="11900" w:h="16838" w:orient="portrait"/>
          <w:cols w:equalWidth="0" w:num="1">
            <w:col w:w="11240"/>
          </w:cols>
          <w:pgMar w:left="320" w:top="1401" w:right="339" w:bottom="1440" w:gutter="0" w:footer="0" w:header="0"/>
        </w:sectPr>
      </w:pPr>
    </w:p>
    <w:bookmarkStart w:id="196" w:name="page197"/>
    <w:bookmarkEnd w:id="196"/>
    <w:p>
      <w:pPr>
        <w:jc w:val="both"/>
        <w:spacing w:after="0" w:line="218" w:lineRule="auto"/>
        <w:rPr>
          <w:sz w:val="20"/>
          <w:szCs w:val="20"/>
          <w:color w:val="auto"/>
        </w:rPr>
      </w:pPr>
      <w:r>
        <w:rPr>
          <w:rFonts w:ascii="Arial" w:cs="Arial" w:eastAsia="Arial" w:hAnsi="Arial"/>
          <w:sz w:val="22"/>
          <w:szCs w:val="22"/>
          <w:color w:val="auto"/>
        </w:rPr>
        <w:t>documents) or (ii) any Applicable Law, to include, in the case of any Credit Party incorporated under the laws of the Commonwealth of Australia, Chapter 2E or Part 2J.3 of the Corporations Act 2001 (Cwlth), or contractual restriction binding on or affecting such Credit Party, except in the case of clause (ii) to the extent such contravention would not, individually or in the aggregate, reasonably be expected to result in a Material Adverse Effect.</w:t>
      </w:r>
    </w:p>
    <w:p>
      <w:pPr>
        <w:spacing w:after="0" w:line="161" w:lineRule="exact"/>
        <w:rPr>
          <w:sz w:val="20"/>
          <w:szCs w:val="20"/>
          <w:color w:val="auto"/>
        </w:rPr>
      </w:pPr>
    </w:p>
    <w:p>
      <w:pPr>
        <w:jc w:val="both"/>
        <w:ind w:firstLine="656"/>
        <w:spacing w:after="0" w:line="218" w:lineRule="auto"/>
        <w:tabs>
          <w:tab w:leader="none" w:pos="1293" w:val="left"/>
        </w:tabs>
        <w:numPr>
          <w:ilvl w:val="0"/>
          <w:numId w:val="157"/>
        </w:numPr>
        <w:rPr>
          <w:rFonts w:ascii="Arial" w:cs="Arial" w:eastAsia="Arial" w:hAnsi="Arial"/>
          <w:sz w:val="22"/>
          <w:szCs w:val="22"/>
          <w:color w:val="1F3763"/>
        </w:rPr>
      </w:pPr>
      <w:r>
        <w:rPr>
          <w:rFonts w:ascii="Arial" w:cs="Arial" w:eastAsia="Arial" w:hAnsi="Arial"/>
          <w:sz w:val="22"/>
          <w:szCs w:val="22"/>
          <w:color w:val="auto"/>
        </w:rPr>
        <w:t>No authorization or approval or other action by, and no notice to or filing with, any Governmental Authority or regulatory body or any other third party is required for the due and valid execution, delivery and performance by any Credit Party of this Agreement or each other Loan Document to which it is a party, except such as have been obtained or made and are in full force and effect.</w:t>
      </w:r>
    </w:p>
    <w:p>
      <w:pPr>
        <w:spacing w:after="0" w:line="160" w:lineRule="exact"/>
        <w:rPr>
          <w:rFonts w:ascii="Arial" w:cs="Arial" w:eastAsia="Arial" w:hAnsi="Arial"/>
          <w:sz w:val="22"/>
          <w:szCs w:val="22"/>
          <w:color w:val="1F3763"/>
        </w:rPr>
      </w:pPr>
    </w:p>
    <w:p>
      <w:pPr>
        <w:jc w:val="both"/>
        <w:ind w:firstLine="656"/>
        <w:spacing w:after="0" w:line="218" w:lineRule="auto"/>
        <w:tabs>
          <w:tab w:leader="none" w:pos="1291" w:val="left"/>
        </w:tabs>
        <w:numPr>
          <w:ilvl w:val="0"/>
          <w:numId w:val="157"/>
        </w:numPr>
        <w:rPr>
          <w:rFonts w:ascii="Arial" w:cs="Arial" w:eastAsia="Arial" w:hAnsi="Arial"/>
          <w:sz w:val="22"/>
          <w:szCs w:val="22"/>
          <w:color w:val="1F3763"/>
        </w:rPr>
      </w:pPr>
      <w:r>
        <w:rPr>
          <w:rFonts w:ascii="Arial" w:cs="Arial" w:eastAsia="Arial" w:hAnsi="Arial"/>
          <w:sz w:val="22"/>
          <w:szCs w:val="22"/>
          <w:color w:val="auto"/>
        </w:rPr>
        <w:t>This Agreement has been, and each other Loan Document when delivered hereunder will have been duly executed and delivered by each Credit Party party thereto. This Agreement is, and each other Loan Document when delivered will be, the legal, valid and binding obligation of each Credit Party party thereto enforceable against such Credit Party in accordance with their respective terms.</w:t>
      </w:r>
    </w:p>
    <w:p>
      <w:pPr>
        <w:spacing w:after="0" w:line="160" w:lineRule="exact"/>
        <w:rPr>
          <w:rFonts w:ascii="Arial" w:cs="Arial" w:eastAsia="Arial" w:hAnsi="Arial"/>
          <w:sz w:val="22"/>
          <w:szCs w:val="22"/>
          <w:color w:val="1F3763"/>
        </w:rPr>
      </w:pPr>
    </w:p>
    <w:p>
      <w:pPr>
        <w:jc w:val="both"/>
        <w:ind w:firstLine="656"/>
        <w:spacing w:after="0" w:line="244" w:lineRule="auto"/>
        <w:tabs>
          <w:tab w:leader="none" w:pos="1293" w:val="left"/>
        </w:tabs>
        <w:numPr>
          <w:ilvl w:val="0"/>
          <w:numId w:val="157"/>
        </w:numPr>
        <w:rPr>
          <w:rFonts w:ascii="Arial" w:cs="Arial" w:eastAsia="Arial" w:hAnsi="Arial"/>
          <w:sz w:val="19"/>
          <w:szCs w:val="19"/>
          <w:color w:val="1F3763"/>
        </w:rPr>
      </w:pPr>
      <w:r>
        <w:rPr>
          <w:rFonts w:ascii="Arial" w:cs="Arial" w:eastAsia="Arial" w:hAnsi="Arial"/>
          <w:sz w:val="19"/>
          <w:szCs w:val="19"/>
          <w:color w:val="auto"/>
        </w:rPr>
        <w:t>The consolidated balance sheet of the Company and its Subsidiaries as at December 31, 2017, and the related consolidated statements of operations and cash flows of the Company and its Subsidiaries for the fiscal year then ended, accompanied by an opinion of PricewaterhouseCoopers LLP, independent public accountants, and the condensed consolidated balance sheet of the Company and its Subsidiaries as at March 31, 2018, and the related condensed consolidated statements of operations and cash flows of the Company and its Subsidiaries for the three months then ended, duly certified by the chief financial officer of the Company, copies of which have been furnished to each Lender, fairly present, subject in the case of said balance sheet as at March 31, 2018, and said statements of operations and cash flows for the three months then ended, to year-end audit adjustments, the Consolidated financial condition of the Company and its Subsidiaries as at such dates and the Consolidated results of the operations of the Company and its Subsidiaries for the periods ended on such dates, all in accordance with generally accepted accounting principles consistently applied.</w:t>
      </w:r>
    </w:p>
    <w:p>
      <w:pPr>
        <w:spacing w:after="0" w:line="154" w:lineRule="exact"/>
        <w:rPr>
          <w:rFonts w:ascii="Arial" w:cs="Arial" w:eastAsia="Arial" w:hAnsi="Arial"/>
          <w:sz w:val="19"/>
          <w:szCs w:val="19"/>
          <w:color w:val="1F3763"/>
        </w:rPr>
      </w:pPr>
    </w:p>
    <w:p>
      <w:pPr>
        <w:jc w:val="both"/>
        <w:ind w:firstLine="656"/>
        <w:spacing w:after="0" w:line="216" w:lineRule="auto"/>
        <w:tabs>
          <w:tab w:leader="none" w:pos="1296" w:val="left"/>
        </w:tabs>
        <w:numPr>
          <w:ilvl w:val="0"/>
          <w:numId w:val="157"/>
        </w:numPr>
        <w:rPr>
          <w:rFonts w:ascii="Arial" w:cs="Arial" w:eastAsia="Arial" w:hAnsi="Arial"/>
          <w:sz w:val="22"/>
          <w:szCs w:val="22"/>
          <w:color w:val="1F3763"/>
        </w:rPr>
      </w:pPr>
      <w:r>
        <w:rPr>
          <w:rFonts w:ascii="Arial" w:cs="Arial" w:eastAsia="Arial" w:hAnsi="Arial"/>
          <w:sz w:val="22"/>
          <w:szCs w:val="22"/>
          <w:color w:val="auto"/>
        </w:rPr>
        <w:t>There is no pending or, to the knowledge of the Company, threatened action, suit, investigation, litigation or proceeding, including, without limitation, any Environmental Action, affecting the Company or any of its Subsidiaries before any court, governmental agency or arbitrator that (i) is pending or, to the knowledge of the Company, threatened as of the Effective Date and is reasonably likely to have a Material Adverse Effect or (ii) purports to affect the legality, validity or enforceability of this Agreement or any other Loan Document.</w:t>
      </w:r>
    </w:p>
    <w:p>
      <w:pPr>
        <w:spacing w:after="0" w:line="157" w:lineRule="exact"/>
        <w:rPr>
          <w:rFonts w:ascii="Arial" w:cs="Arial" w:eastAsia="Arial" w:hAnsi="Arial"/>
          <w:sz w:val="22"/>
          <w:szCs w:val="22"/>
          <w:color w:val="1F3763"/>
        </w:rPr>
      </w:pPr>
    </w:p>
    <w:p>
      <w:pPr>
        <w:ind w:right="20" w:firstLine="656"/>
        <w:spacing w:after="0" w:line="247" w:lineRule="auto"/>
        <w:tabs>
          <w:tab w:leader="none" w:pos="1291" w:val="left"/>
        </w:tabs>
        <w:numPr>
          <w:ilvl w:val="0"/>
          <w:numId w:val="157"/>
        </w:numPr>
        <w:rPr>
          <w:rFonts w:ascii="Arial" w:cs="Arial" w:eastAsia="Arial" w:hAnsi="Arial"/>
          <w:sz w:val="21"/>
          <w:szCs w:val="21"/>
          <w:color w:val="1F3763"/>
        </w:rPr>
      </w:pPr>
      <w:r>
        <w:rPr>
          <w:rFonts w:ascii="Arial" w:cs="Arial" w:eastAsia="Arial" w:hAnsi="Arial"/>
          <w:sz w:val="21"/>
          <w:szCs w:val="21"/>
          <w:color w:val="auto"/>
        </w:rPr>
        <w:t>No Borrower is, and immediately after the application by any Borrower of the proceeds of each Advance will not be, an “investment company” within the meaning of the Investment Company Act of 1940, as amended.</w:t>
      </w:r>
    </w:p>
    <w:p>
      <w:pPr>
        <w:spacing w:after="0" w:line="150" w:lineRule="exact"/>
        <w:rPr>
          <w:rFonts w:ascii="Arial" w:cs="Arial" w:eastAsia="Arial" w:hAnsi="Arial"/>
          <w:sz w:val="21"/>
          <w:szCs w:val="21"/>
          <w:color w:val="1F3763"/>
        </w:rPr>
      </w:pPr>
    </w:p>
    <w:p>
      <w:pPr>
        <w:jc w:val="both"/>
        <w:ind w:firstLine="656"/>
        <w:spacing w:after="0" w:line="216" w:lineRule="auto"/>
        <w:tabs>
          <w:tab w:leader="none" w:pos="1291" w:val="left"/>
        </w:tabs>
        <w:numPr>
          <w:ilvl w:val="0"/>
          <w:numId w:val="157"/>
        </w:numPr>
        <w:rPr>
          <w:rFonts w:ascii="Arial" w:cs="Arial" w:eastAsia="Arial" w:hAnsi="Arial"/>
          <w:sz w:val="22"/>
          <w:szCs w:val="22"/>
          <w:color w:val="1F3763"/>
        </w:rPr>
      </w:pPr>
      <w:r>
        <w:rPr>
          <w:rFonts w:ascii="Arial" w:cs="Arial" w:eastAsia="Arial" w:hAnsi="Arial"/>
          <w:sz w:val="22"/>
          <w:szCs w:val="22"/>
          <w:color w:val="auto"/>
        </w:rPr>
        <w:t>After giving effect to the application of the proceeds of each Advance, not more than 25% of the value of the assets of the Company and its Subsidiaries (as determined in good faith by the Company) subject to the provisions of Section 5.02(a) or subject to any restriction contained in any agreement or instrument between any Borrower and any Lender or any Affiliate of any Lender relating to Debt and within the scope of Section 6.01(d), will consist of or be represented by Margin Stock.</w:t>
      </w:r>
    </w:p>
    <w:p>
      <w:pPr>
        <w:spacing w:after="0" w:line="157" w:lineRule="exact"/>
        <w:rPr>
          <w:rFonts w:ascii="Arial" w:cs="Arial" w:eastAsia="Arial" w:hAnsi="Arial"/>
          <w:sz w:val="22"/>
          <w:szCs w:val="22"/>
          <w:color w:val="1F3763"/>
        </w:rPr>
      </w:pPr>
    </w:p>
    <w:p>
      <w:pPr>
        <w:jc w:val="both"/>
        <w:ind w:firstLine="656"/>
        <w:spacing w:after="0" w:line="218" w:lineRule="auto"/>
        <w:tabs>
          <w:tab w:leader="none" w:pos="1284" w:val="left"/>
        </w:tabs>
        <w:numPr>
          <w:ilvl w:val="0"/>
          <w:numId w:val="157"/>
        </w:numPr>
        <w:rPr>
          <w:rFonts w:ascii="Arial" w:cs="Arial" w:eastAsia="Arial" w:hAnsi="Arial"/>
          <w:sz w:val="22"/>
          <w:szCs w:val="22"/>
          <w:color w:val="1F3763"/>
        </w:rPr>
      </w:pPr>
      <w:r>
        <w:rPr>
          <w:rFonts w:ascii="Arial" w:cs="Arial" w:eastAsia="Arial" w:hAnsi="Arial"/>
          <w:sz w:val="22"/>
          <w:szCs w:val="22"/>
          <w:color w:val="auto"/>
        </w:rPr>
        <w:t>All factual information furnished by or on behalf of the Company or any of its Subsidiaries to the Administrative Agent or any Lender in connection with the negotiation of this Agreement or any other Loan Document, included herein or therein or furnished hereunder or thereunder (as modified or supplemented by other information so furnished) does not contain any</w:t>
      </w:r>
    </w:p>
    <w:p>
      <w:pPr>
        <w:sectPr>
          <w:pgSz w:w="11900" w:h="16838" w:orient="portrait"/>
          <w:cols w:equalWidth="0" w:num="1">
            <w:col w:w="11240"/>
          </w:cols>
          <w:pgMar w:left="320" w:top="1401" w:right="339" w:bottom="1440" w:gutter="0" w:footer="0" w:header="0"/>
        </w:sectPr>
      </w:pPr>
    </w:p>
    <w:bookmarkStart w:id="197" w:name="page198"/>
    <w:bookmarkEnd w:id="197"/>
    <w:p>
      <w:pPr>
        <w:ind w:right="20"/>
        <w:spacing w:after="0" w:line="232" w:lineRule="auto"/>
        <w:rPr>
          <w:sz w:val="20"/>
          <w:szCs w:val="20"/>
          <w:color w:val="auto"/>
        </w:rPr>
      </w:pPr>
      <w:r>
        <w:rPr>
          <w:rFonts w:ascii="Arial" w:cs="Arial" w:eastAsia="Arial" w:hAnsi="Arial"/>
          <w:sz w:val="22"/>
          <w:szCs w:val="22"/>
          <w:color w:val="auto"/>
        </w:rPr>
        <w:t>material misstatement of fact or omit to state any material fact necessary to make the statements therein, in the light of the circumstances under which they were made, not materially misleading.</w:t>
      </w:r>
    </w:p>
    <w:p>
      <w:pPr>
        <w:spacing w:after="0" w:line="159" w:lineRule="exact"/>
        <w:rPr>
          <w:sz w:val="20"/>
          <w:szCs w:val="20"/>
          <w:color w:val="auto"/>
        </w:rPr>
      </w:pPr>
    </w:p>
    <w:p>
      <w:pPr>
        <w:jc w:val="both"/>
        <w:ind w:firstLine="656"/>
        <w:spacing w:after="0" w:line="249" w:lineRule="auto"/>
        <w:tabs>
          <w:tab w:leader="none" w:pos="1284" w:val="left"/>
        </w:tabs>
        <w:numPr>
          <w:ilvl w:val="1"/>
          <w:numId w:val="158"/>
        </w:numPr>
        <w:rPr>
          <w:rFonts w:ascii="Arial" w:cs="Arial" w:eastAsia="Arial" w:hAnsi="Arial"/>
          <w:sz w:val="19"/>
          <w:szCs w:val="19"/>
          <w:color w:val="1F3763"/>
        </w:rPr>
      </w:pPr>
      <w:r>
        <w:rPr>
          <w:rFonts w:ascii="Arial" w:cs="Arial" w:eastAsia="Arial" w:hAnsi="Arial"/>
          <w:sz w:val="19"/>
          <w:szCs w:val="19"/>
          <w:color w:val="auto"/>
        </w:rPr>
        <w:t>Each of the Credit Parties and their Subsidiaries is in compliance with the FCPA. Neither the Company nor any of its Subsidiaries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the Company or its Subsidiary or to any other Person, in each case in violation of the FCPA</w:t>
      </w:r>
      <w:r>
        <w:rPr>
          <w:rFonts w:ascii="Arial" w:cs="Arial" w:eastAsia="Arial" w:hAnsi="Arial"/>
          <w:sz w:val="19"/>
          <w:szCs w:val="19"/>
          <w:i w:val="1"/>
          <w:iCs w:val="1"/>
          <w:color w:val="auto"/>
        </w:rPr>
        <w:t>.</w:t>
      </w:r>
    </w:p>
    <w:p>
      <w:pPr>
        <w:spacing w:after="0" w:line="151" w:lineRule="exact"/>
        <w:rPr>
          <w:rFonts w:ascii="Arial" w:cs="Arial" w:eastAsia="Arial" w:hAnsi="Arial"/>
          <w:sz w:val="19"/>
          <w:szCs w:val="19"/>
          <w:color w:val="1F3763"/>
        </w:rPr>
      </w:pPr>
    </w:p>
    <w:p>
      <w:pPr>
        <w:jc w:val="both"/>
        <w:ind w:firstLine="656"/>
        <w:spacing w:after="0" w:line="243" w:lineRule="auto"/>
        <w:tabs>
          <w:tab w:leader="none" w:pos="1291" w:val="left"/>
        </w:tabs>
        <w:numPr>
          <w:ilvl w:val="1"/>
          <w:numId w:val="158"/>
        </w:numPr>
        <w:rPr>
          <w:rFonts w:ascii="Arial" w:cs="Arial" w:eastAsia="Arial" w:hAnsi="Arial"/>
          <w:sz w:val="19"/>
          <w:szCs w:val="19"/>
          <w:color w:val="1F3763"/>
        </w:rPr>
      </w:pPr>
      <w:r>
        <w:rPr>
          <w:rFonts w:ascii="Arial" w:cs="Arial" w:eastAsia="Arial" w:hAnsi="Arial"/>
          <w:sz w:val="19"/>
          <w:szCs w:val="19"/>
          <w:color w:val="auto"/>
        </w:rPr>
        <w:t>None of the Company, any of its Subsidiaries or, to their knowledge, any of their respective directors or executive officers, is in violation of any Sanctions. None of the Company or any of its Subsidiaries, (i) is a Sanctioned Person or a Sanctioned Entity, (ii) has assets located in Sanctioned Countries or (iii) derives its operating income from investments in, or transactions with Sanctioned Persons or Sanctioned Entities, except, in the case of clauses (ii) and (iii), (x) to the extent permitted under General License H issued by OFAC pursuant to the Iranian Transactions and Sanctions Regulations, 31 C.F.R. part 560, on January 16, 2016 or (y) as otherwise not in violation of any Sanctions or other Applicable Laws. To the knowledge of the Company or its Subsidiaries, none of their respective directors or executive officers is a Sanctioned Person or a Sanctioned Entity. No proceeds of any Advance will be used (x) to fund any operations in, finance any investments or activities in or with, or make any payments to, a Sanctioned Person or a Sanctioned Entity, except to the extent permissible for an individual or entity required to comply with Sanctions, (y) in violation of any applicable Sanctions or Anti-Corruption Law or (z) in any other manner that would cause any Lender to be in violation of any Sanctions.</w:t>
      </w:r>
    </w:p>
    <w:p>
      <w:pPr>
        <w:spacing w:after="0" w:line="158" w:lineRule="exact"/>
        <w:rPr>
          <w:rFonts w:ascii="Arial" w:cs="Arial" w:eastAsia="Arial" w:hAnsi="Arial"/>
          <w:sz w:val="19"/>
          <w:szCs w:val="19"/>
          <w:color w:val="1F3763"/>
        </w:rPr>
      </w:pPr>
    </w:p>
    <w:p>
      <w:pPr>
        <w:jc w:val="both"/>
        <w:ind w:firstLine="656"/>
        <w:spacing w:after="0" w:line="247" w:lineRule="auto"/>
        <w:tabs>
          <w:tab w:leader="none" w:pos="1284" w:val="left"/>
        </w:tabs>
        <w:numPr>
          <w:ilvl w:val="1"/>
          <w:numId w:val="158"/>
        </w:numPr>
        <w:rPr>
          <w:rFonts w:ascii="Arial" w:cs="Arial" w:eastAsia="Arial" w:hAnsi="Arial"/>
          <w:sz w:val="19"/>
          <w:szCs w:val="19"/>
          <w:color w:val="1F3763"/>
        </w:rPr>
      </w:pPr>
      <w:r>
        <w:rPr>
          <w:rFonts w:ascii="Arial" w:cs="Arial" w:eastAsia="Arial" w:hAnsi="Arial"/>
          <w:sz w:val="19"/>
          <w:szCs w:val="19"/>
          <w:color w:val="auto"/>
        </w:rPr>
        <w:t>Neither the Company nor any of its Subsidiaries is an “enemy” or an “ally of the enemy” within the meaning of Section 2 of the Trading with the Enemy Act of the United States of America (50 U.S.C. App. §§ 1 et seq.) (the “</w:t>
      </w:r>
      <w:r>
        <w:rPr>
          <w:rFonts w:ascii="Arial" w:cs="Arial" w:eastAsia="Arial" w:hAnsi="Arial"/>
          <w:sz w:val="19"/>
          <w:szCs w:val="19"/>
          <w:u w:val="single" w:color="auto"/>
          <w:color w:val="auto"/>
        </w:rPr>
        <w:t>Trading with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Enemy Act</w:t>
      </w:r>
      <w:r>
        <w:rPr>
          <w:rFonts w:ascii="Arial" w:cs="Arial" w:eastAsia="Arial" w:hAnsi="Arial"/>
          <w:sz w:val="19"/>
          <w:szCs w:val="19"/>
          <w:color w:val="auto"/>
        </w:rPr>
        <w:t>”), as amended. Neither the Company nor any of its Subsidiaries is in violation of (a) the Trading with the Enemy Act, as amended, (b) any of the foreign assets control regulations of the United States Treasury Department (31 CFR, Subtitle B, Chapter V, as amended) or any enabling legislation or executive order relating thereto or (c) the Patriot Act. None of the Credit Parties (i) is a blocked person described in Section 1 of the Anti-Terrorism Order or (ii) to its knowledge, engages in any dealings or transactions, or is otherwise associated, with any such blocked person.</w:t>
      </w:r>
    </w:p>
    <w:p>
      <w:pPr>
        <w:spacing w:after="0" w:line="153" w:lineRule="exact"/>
        <w:rPr>
          <w:rFonts w:ascii="Arial" w:cs="Arial" w:eastAsia="Arial" w:hAnsi="Arial"/>
          <w:sz w:val="19"/>
          <w:szCs w:val="19"/>
          <w:color w:val="1F3763"/>
        </w:rPr>
      </w:pPr>
    </w:p>
    <w:p>
      <w:pPr>
        <w:jc w:val="both"/>
        <w:ind w:firstLine="656"/>
        <w:spacing w:after="0" w:line="268" w:lineRule="auto"/>
        <w:tabs>
          <w:tab w:leader="none" w:pos="1284" w:val="left"/>
        </w:tabs>
        <w:numPr>
          <w:ilvl w:val="1"/>
          <w:numId w:val="158"/>
        </w:numPr>
        <w:rPr>
          <w:rFonts w:ascii="Arial" w:cs="Arial" w:eastAsia="Arial" w:hAnsi="Arial"/>
          <w:sz w:val="19"/>
          <w:szCs w:val="19"/>
          <w:color w:val="1F3763"/>
        </w:rPr>
      </w:pPr>
      <w:r>
        <w:rPr>
          <w:rFonts w:ascii="Arial" w:cs="Arial" w:eastAsia="Arial" w:hAnsi="Arial"/>
          <w:sz w:val="19"/>
          <w:szCs w:val="19"/>
          <w:color w:val="auto"/>
        </w:rPr>
        <w:t>The Company or its Subsidiaries are the owner of, or have a valid leasehold interest in, all of their respective real and personal property material to the conduct of the business of the Company and its Subsidiaries, taken as a whole, and none of such assets is subject to any Lien other than Permitted Liens or Liens permitted by Section 5.02(a).</w:t>
      </w:r>
    </w:p>
    <w:p>
      <w:pPr>
        <w:spacing w:after="0" w:line="132" w:lineRule="exact"/>
        <w:rPr>
          <w:rFonts w:ascii="Arial" w:cs="Arial" w:eastAsia="Arial" w:hAnsi="Arial"/>
          <w:sz w:val="19"/>
          <w:szCs w:val="19"/>
          <w:color w:val="1F3763"/>
        </w:rPr>
      </w:pPr>
    </w:p>
    <w:p>
      <w:pPr>
        <w:jc w:val="both"/>
        <w:ind w:firstLine="656"/>
        <w:spacing w:after="0" w:line="242" w:lineRule="auto"/>
        <w:tabs>
          <w:tab w:leader="none" w:pos="1291" w:val="left"/>
        </w:tabs>
        <w:numPr>
          <w:ilvl w:val="1"/>
          <w:numId w:val="158"/>
        </w:numPr>
        <w:rPr>
          <w:rFonts w:ascii="Arial" w:cs="Arial" w:eastAsia="Arial" w:hAnsi="Arial"/>
          <w:sz w:val="19"/>
          <w:szCs w:val="19"/>
          <w:color w:val="1F3763"/>
        </w:rPr>
      </w:pPr>
      <w:r>
        <w:rPr>
          <w:rFonts w:ascii="Arial" w:cs="Arial" w:eastAsia="Arial" w:hAnsi="Arial"/>
          <w:sz w:val="19"/>
          <w:szCs w:val="19"/>
          <w:color w:val="auto"/>
        </w:rPr>
        <w:t>Each of the Credit Parties and its Subsidiaries has filed, or caused to be filed, all income Tax returns and all other Tax returns (federal, state, local and foreign) required to be filed and paid (a) all amounts of Taxes shown thereon to be due (including interest and penalties) and (b) all other Taxes, fees, assessments and other governmental charges (including mortgage recording Taxes, documentary stamp Taxes and intangibles Taxes) owing by it, except (i) Taxes that are not yet delinquent,</w:t>
      </w:r>
    </w:p>
    <w:p>
      <w:pPr>
        <w:jc w:val="both"/>
        <w:ind w:firstLine="8"/>
        <w:spacing w:after="0" w:line="217" w:lineRule="auto"/>
        <w:tabs>
          <w:tab w:leader="none" w:pos="35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Taxes that are being contested in good faith and by proper proceedings, and against which adequate reserves are being maintained in accordance with GAAP or (iii) to the extent that failure to do so would not reasonably be expected, individually or in the aggregate, to result in a Material Adverse Effect.</w:t>
      </w:r>
    </w:p>
    <w:p>
      <w:pPr>
        <w:sectPr>
          <w:pgSz w:w="11900" w:h="16838" w:orient="portrait"/>
          <w:cols w:equalWidth="0" w:num="1">
            <w:col w:w="11240"/>
          </w:cols>
          <w:pgMar w:left="320" w:top="1401" w:right="339" w:bottom="1440" w:gutter="0" w:footer="0" w:header="0"/>
        </w:sectPr>
      </w:pPr>
    </w:p>
    <w:bookmarkStart w:id="198" w:name="page199"/>
    <w:bookmarkEnd w:id="198"/>
    <w:p>
      <w:pPr>
        <w:jc w:val="both"/>
        <w:ind w:firstLine="656"/>
        <w:spacing w:after="0"/>
        <w:tabs>
          <w:tab w:leader="none" w:pos="1291" w:val="left"/>
        </w:tabs>
        <w:numPr>
          <w:ilvl w:val="1"/>
          <w:numId w:val="160"/>
        </w:numPr>
        <w:rPr>
          <w:rFonts w:ascii="Arial" w:cs="Arial" w:eastAsia="Arial" w:hAnsi="Arial"/>
          <w:sz w:val="19"/>
          <w:szCs w:val="19"/>
          <w:color w:val="1F3763"/>
        </w:rPr>
      </w:pPr>
      <w:r>
        <w:rPr>
          <w:rFonts w:ascii="Arial" w:cs="Arial" w:eastAsia="Arial" w:hAnsi="Arial"/>
          <w:sz w:val="19"/>
          <w:szCs w:val="19"/>
          <w:color w:val="auto"/>
        </w:rPr>
        <w:t>Except as disclosed and except for instances that would not reasonably be expected, individually or in the aggregate, to have a Material Adverse Effect, (i) the facilities and properties owned, leased or operated by the Credit Parties or any of their Subsidiaries (the “</w:t>
      </w:r>
      <w:r>
        <w:rPr>
          <w:rFonts w:ascii="Arial" w:cs="Arial" w:eastAsia="Arial" w:hAnsi="Arial"/>
          <w:sz w:val="19"/>
          <w:szCs w:val="19"/>
          <w:u w:val="single" w:color="auto"/>
          <w:color w:val="auto"/>
        </w:rPr>
        <w:t>Properties</w:t>
      </w:r>
      <w:r>
        <w:rPr>
          <w:rFonts w:ascii="Arial" w:cs="Arial" w:eastAsia="Arial" w:hAnsi="Arial"/>
          <w:sz w:val="19"/>
          <w:szCs w:val="19"/>
          <w:color w:val="auto"/>
        </w:rPr>
        <w:t>”) are not contaminated with any Hazardous Materials in amounts or concentrations which (y) constitute a violation of, or (z) would reasonably be expected to subject any Credit Party to liability under any Environmental Law, (ii) the operations of the Credit Parties and/or their Subsidiaries at the Properties are in compliance, and have in the last five years been in compliance, with all Environmental Laws, (iii) neither the Credit Parties nor their Subsidiaries have received any unresolved written notice alleging responsibility for a violation, non-compliance, liability or potential liability of any Credit Party under Environmental Laws regarding any of the Properties or the Business, nor do the Credit Parties or their Subsidiaries have knowledge that any such notice will be received or is being threatened, (iv) to the knowledge of the Credit Parties, Hazardous Materials have not been transported or disposed of by or on behalf of any Credit Party in violation of, or in a manner that could reasonably be expected to give rise to liability on behalf of any Credit Party, under any Environmental Law, and no Hazardous Materials have been generated, treated, stored or disposed of at, on or under any of the Properties in violation of, or in a manner that would reasonably be expected to give rise to liability on behalf of any Credit Party under, any Environmental Law and (v) no judicial proceeding or governmental or administrative action is pending or, to the knowledge of the Credit Parties and their Subsidiaries, threatened, under any Environmental Law to which any Credit Party or any Subsidiary is or is expected to be named as a party with respect to the Properties or the business operated by the Credit Parties or any of their Subsidiaries, nor is any Credit Party or Subsidiary a party to any outstanding consent decrees or other decrees, consent orders, administrative orders or other orders, in each case, by or with any governmental entity, under any Environmental Law with respect to the Properties or the business operated by the Credit Parties or any of their Subsidiaries.</w:t>
      </w:r>
    </w:p>
    <w:p>
      <w:pPr>
        <w:spacing w:after="0" w:line="387" w:lineRule="exact"/>
        <w:rPr>
          <w:rFonts w:ascii="Arial" w:cs="Arial" w:eastAsia="Arial" w:hAnsi="Arial"/>
          <w:sz w:val="19"/>
          <w:szCs w:val="19"/>
          <w:color w:val="1F3763"/>
        </w:rPr>
      </w:pPr>
    </w:p>
    <w:p>
      <w:pPr>
        <w:ind w:left="1300" w:hanging="644"/>
        <w:spacing w:after="0"/>
        <w:tabs>
          <w:tab w:leader="none" w:pos="1300" w:val="left"/>
        </w:tabs>
        <w:numPr>
          <w:ilvl w:val="1"/>
          <w:numId w:val="160"/>
        </w:numPr>
        <w:rPr>
          <w:rFonts w:ascii="Arial" w:cs="Arial" w:eastAsia="Arial" w:hAnsi="Arial"/>
          <w:sz w:val="19"/>
          <w:szCs w:val="19"/>
          <w:color w:val="1F3763"/>
        </w:rPr>
      </w:pPr>
      <w:r>
        <w:rPr>
          <w:rFonts w:ascii="Arial" w:cs="Arial" w:eastAsia="Arial" w:hAnsi="Arial"/>
          <w:sz w:val="19"/>
          <w:szCs w:val="19"/>
          <w:color w:val="auto"/>
        </w:rPr>
        <w:t>Except as would not reasonably be expected, individually or in the aggregate, to have a Material Adverse Effect,</w:t>
      </w:r>
    </w:p>
    <w:p>
      <w:pPr>
        <w:spacing w:after="0" w:line="15" w:lineRule="exact"/>
        <w:rPr>
          <w:rFonts w:ascii="Arial" w:cs="Arial" w:eastAsia="Arial" w:hAnsi="Arial"/>
          <w:sz w:val="19"/>
          <w:szCs w:val="19"/>
          <w:color w:val="1F3763"/>
        </w:rPr>
      </w:pPr>
    </w:p>
    <w:p>
      <w:pPr>
        <w:jc w:val="both"/>
        <w:ind w:firstLine="8"/>
        <w:spacing w:after="0" w:line="245" w:lineRule="auto"/>
        <w:tabs>
          <w:tab w:leader="none" w:pos="27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 ERISA Event has occurred during the five-year period prior to the date on which this representation is made or deemed made with respect to any Plan and (ii) neither any Borrower nor any of its ERISA Affiliates is currently subject to any liability for a complete or partial withdrawal from a Multiemployer Plan. The present value of all accrued benefits under all Single Employer Plans taken in the aggregate (based on the assumptions used to fund such Plans) did not, as of the last annual valuation date prior to the date on which this representation is being made or deemed made, exceed by greater than $35,000,000 the value of the assets of such Plans taken in the aggregate allocable to such accrued benefits.</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1"/>
          <w:numId w:val="161"/>
        </w:numPr>
        <w:rPr>
          <w:rFonts w:ascii="Arial" w:cs="Arial" w:eastAsia="Arial" w:hAnsi="Arial"/>
          <w:sz w:val="19"/>
          <w:szCs w:val="19"/>
          <w:color w:val="1F3763"/>
        </w:rPr>
      </w:pPr>
      <w:r>
        <w:rPr>
          <w:rFonts w:ascii="Arial" w:cs="Arial" w:eastAsia="Arial" w:hAnsi="Arial"/>
          <w:sz w:val="19"/>
          <w:szCs w:val="19"/>
          <w:color w:val="auto"/>
        </w:rPr>
        <w:t>Except as would not reasonably be expected, individually or in the aggregate, to have a Material Adverse Effect,</w:t>
      </w:r>
    </w:p>
    <w:p>
      <w:pPr>
        <w:spacing w:after="0" w:line="15" w:lineRule="exact"/>
        <w:rPr>
          <w:rFonts w:ascii="Arial" w:cs="Arial" w:eastAsia="Arial" w:hAnsi="Arial"/>
          <w:sz w:val="19"/>
          <w:szCs w:val="19"/>
          <w:color w:val="1F3763"/>
        </w:rPr>
      </w:pPr>
    </w:p>
    <w:p>
      <w:pPr>
        <w:jc w:val="both"/>
        <w:ind w:firstLine="8"/>
        <w:spacing w:after="0" w:line="217" w:lineRule="auto"/>
        <w:tabs>
          <w:tab w:leader="none" w:pos="28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there are no strikes, walkouts, work stoppages or other labor difficulty pending or, to the knowledge of any Credit Party, threatened against any Credit Party and (ii) no unfair labor practice complaint is pending against any Credit Party or any of its Subsidiaries.</w:t>
      </w:r>
    </w:p>
    <w:p>
      <w:pPr>
        <w:spacing w:after="0" w:line="159" w:lineRule="exact"/>
        <w:rPr>
          <w:rFonts w:ascii="Arial" w:cs="Arial" w:eastAsia="Arial" w:hAnsi="Arial"/>
          <w:sz w:val="22"/>
          <w:szCs w:val="22"/>
          <w:color w:val="auto"/>
        </w:rPr>
      </w:pPr>
    </w:p>
    <w:p>
      <w:pPr>
        <w:ind w:firstLine="656"/>
        <w:spacing w:after="0" w:line="232" w:lineRule="auto"/>
        <w:tabs>
          <w:tab w:leader="none" w:pos="1296" w:val="left"/>
        </w:tabs>
        <w:numPr>
          <w:ilvl w:val="1"/>
          <w:numId w:val="162"/>
        </w:numPr>
        <w:rPr>
          <w:rFonts w:ascii="Arial" w:cs="Arial" w:eastAsia="Arial" w:hAnsi="Arial"/>
          <w:sz w:val="22"/>
          <w:szCs w:val="22"/>
          <w:color w:val="1F3763"/>
        </w:rPr>
      </w:pPr>
      <w:r>
        <w:rPr>
          <w:rFonts w:ascii="Arial" w:cs="Arial" w:eastAsia="Arial" w:hAnsi="Arial"/>
          <w:sz w:val="22"/>
          <w:szCs w:val="22"/>
          <w:color w:val="auto"/>
        </w:rPr>
        <w:t>As of the Effective Date, each Material Contract is, after giving effect to the transactions contemplated to occur on the Effective Date, in full force and effect.</w:t>
      </w:r>
    </w:p>
    <w:p>
      <w:pPr>
        <w:spacing w:after="0" w:line="158" w:lineRule="exact"/>
        <w:rPr>
          <w:rFonts w:ascii="Arial" w:cs="Arial" w:eastAsia="Arial" w:hAnsi="Arial"/>
          <w:sz w:val="22"/>
          <w:szCs w:val="22"/>
          <w:color w:val="1F3763"/>
        </w:rPr>
      </w:pPr>
    </w:p>
    <w:p>
      <w:pPr>
        <w:ind w:left="1300" w:hanging="644"/>
        <w:spacing w:after="0"/>
        <w:tabs>
          <w:tab w:leader="none" w:pos="1300" w:val="left"/>
        </w:tabs>
        <w:numPr>
          <w:ilvl w:val="1"/>
          <w:numId w:val="162"/>
        </w:numPr>
        <w:rPr>
          <w:rFonts w:ascii="Arial" w:cs="Arial" w:eastAsia="Arial" w:hAnsi="Arial"/>
          <w:sz w:val="22"/>
          <w:szCs w:val="22"/>
          <w:color w:val="1F3763"/>
        </w:rPr>
      </w:pPr>
      <w:r>
        <w:rPr>
          <w:rFonts w:ascii="Arial" w:cs="Arial" w:eastAsia="Arial" w:hAnsi="Arial"/>
          <w:sz w:val="22"/>
          <w:szCs w:val="22"/>
          <w:color w:val="auto"/>
        </w:rPr>
        <w:t>No Credit Party is an EEA Financial Institution.</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V</w:t>
      </w:r>
    </w:p>
    <w:p>
      <w:pPr>
        <w:spacing w:after="0" w:line="179"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COVENANTS OF THE CREDIT PARTIES</w:t>
      </w:r>
    </w:p>
    <w:p>
      <w:pPr>
        <w:spacing w:after="0" w:line="17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2F5496"/>
        </w:rPr>
        <w:t xml:space="preserve">SECTION 1.01. </w:t>
      </w:r>
      <w:r>
        <w:rPr>
          <w:rFonts w:ascii="Arial" w:cs="Arial" w:eastAsia="Arial" w:hAnsi="Arial"/>
          <w:sz w:val="23"/>
          <w:szCs w:val="23"/>
          <w:u w:val="single" w:color="auto"/>
          <w:color w:val="000000"/>
        </w:rPr>
        <w:t>Affirmative Covenants</w:t>
      </w:r>
      <w:r>
        <w:rPr>
          <w:rFonts w:ascii="Arial" w:cs="Arial" w:eastAsia="Arial" w:hAnsi="Arial"/>
          <w:sz w:val="22"/>
          <w:szCs w:val="22"/>
          <w:color w:val="000000"/>
        </w:rPr>
        <w:t>. So long as any Advance shall remain unpaid or any Lender shall have</w:t>
      </w:r>
      <w:r>
        <w:rPr>
          <w:rFonts w:ascii="Arial" w:cs="Arial" w:eastAsia="Arial" w:hAnsi="Arial"/>
          <w:sz w:val="22"/>
          <w:szCs w:val="22"/>
          <w:color w:val="2F5496"/>
        </w:rPr>
        <w:t xml:space="preserve"> </w:t>
      </w:r>
      <w:r>
        <w:rPr>
          <w:rFonts w:ascii="Arial" w:cs="Arial" w:eastAsia="Arial" w:hAnsi="Arial"/>
          <w:sz w:val="22"/>
          <w:szCs w:val="22"/>
          <w:color w:val="000000"/>
        </w:rPr>
        <w:t>any Commitment hereunder, each of the Credit Parties will:</w:t>
      </w:r>
    </w:p>
    <w:p>
      <w:pPr>
        <w:sectPr>
          <w:pgSz w:w="11900" w:h="16838" w:orient="portrait"/>
          <w:cols w:equalWidth="0" w:num="1">
            <w:col w:w="11240"/>
          </w:cols>
          <w:pgMar w:left="320" w:top="1401" w:right="339" w:bottom="1440" w:gutter="0" w:footer="0" w:header="0"/>
        </w:sectPr>
      </w:pPr>
    </w:p>
    <w:bookmarkStart w:id="199" w:name="page200"/>
    <w:bookmarkEnd w:id="199"/>
    <w:p>
      <w:pPr>
        <w:jc w:val="both"/>
        <w:ind w:left="-656" w:firstLine="656"/>
        <w:spacing w:after="0" w:line="221" w:lineRule="auto"/>
        <w:tabs>
          <w:tab w:leader="none" w:pos="637" w:val="left"/>
        </w:tabs>
        <w:numPr>
          <w:ilvl w:val="0"/>
          <w:numId w:val="163"/>
        </w:numPr>
        <w:rPr>
          <w:rFonts w:ascii="Arial" w:cs="Arial" w:eastAsia="Arial" w:hAnsi="Arial"/>
          <w:sz w:val="21"/>
          <w:szCs w:val="21"/>
          <w:color w:val="1F3763"/>
        </w:rPr>
      </w:pPr>
      <w:r>
        <w:rPr>
          <w:rFonts w:ascii="Arial" w:cs="Arial" w:eastAsia="Arial" w:hAnsi="Arial"/>
          <w:sz w:val="21"/>
          <w:szCs w:val="21"/>
          <w:u w:val="single" w:color="auto"/>
          <w:color w:val="auto"/>
        </w:rPr>
        <w:t>Compliance with Laws, Etc.</w:t>
      </w:r>
      <w:r>
        <w:rPr>
          <w:rFonts w:ascii="Arial" w:cs="Arial" w:eastAsia="Arial" w:hAnsi="Arial"/>
          <w:sz w:val="21"/>
          <w:szCs w:val="21"/>
          <w:color w:val="auto"/>
        </w:rPr>
        <w:t xml:space="preserve"> Comply, and cause each of its Subsidiaries to comply, in all material respects, with all Applicable Laws, rules, regulations and orders, such compliance to include, without limitation, compliance with ERISA and Environmental Laws and, in the case of any Credit Party incorporated under the laws of the Commonwealth of Australia, Chapter 2E and Part 2J.3 of the Corporations Act 2001 (Cwlth), except, in each case, to the extent that any failures to so comply, individually or in the aggregate, would not be reasonably likely to have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neither the Company nor any of its Subsidiaries shall be required to comply with any law, rule, regulation or order to the extent it is being contested in good faith and by proper proceedings and as to which appropriate reserves are being maintained. The Company shall maintain, and cause each of its Subsidiaries to maintain, policies and procedures designed to ensure compliance with applicable Sanctions and Anti-Corruption Laws.</w:t>
      </w:r>
    </w:p>
    <w:p>
      <w:pPr>
        <w:spacing w:after="0" w:line="158" w:lineRule="exact"/>
        <w:rPr>
          <w:rFonts w:ascii="Arial" w:cs="Arial" w:eastAsia="Arial" w:hAnsi="Arial"/>
          <w:sz w:val="21"/>
          <w:szCs w:val="21"/>
          <w:color w:val="1F3763"/>
        </w:rPr>
      </w:pPr>
    </w:p>
    <w:p>
      <w:pPr>
        <w:jc w:val="both"/>
        <w:ind w:left="-656" w:firstLine="656"/>
        <w:spacing w:after="0" w:line="216" w:lineRule="auto"/>
        <w:tabs>
          <w:tab w:leader="none" w:pos="635" w:val="left"/>
        </w:tabs>
        <w:numPr>
          <w:ilvl w:val="0"/>
          <w:numId w:val="163"/>
        </w:numPr>
        <w:rPr>
          <w:rFonts w:ascii="Arial" w:cs="Arial" w:eastAsia="Arial" w:hAnsi="Arial"/>
          <w:sz w:val="22"/>
          <w:szCs w:val="22"/>
          <w:color w:val="1F3763"/>
        </w:rPr>
      </w:pPr>
      <w:r>
        <w:rPr>
          <w:rFonts w:ascii="Arial" w:cs="Arial" w:eastAsia="Arial" w:hAnsi="Arial"/>
          <w:sz w:val="22"/>
          <w:szCs w:val="22"/>
          <w:u w:val="single" w:color="auto"/>
          <w:color w:val="auto"/>
        </w:rPr>
        <w:t>Payment of Taxes, Etc.</w:t>
      </w:r>
      <w:r>
        <w:rPr>
          <w:rFonts w:ascii="Arial" w:cs="Arial" w:eastAsia="Arial" w:hAnsi="Arial"/>
          <w:sz w:val="22"/>
          <w:szCs w:val="22"/>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neither the Company nor any of its Subsidiaries shall be required to pay or discharge any such Tax, assessment, charge or claim that is being contested in good faith and by proper proceedings and as to which appropriate reserves are being maintained.</w:t>
      </w:r>
    </w:p>
    <w:p>
      <w:pPr>
        <w:spacing w:after="0" w:line="157" w:lineRule="exact"/>
        <w:rPr>
          <w:rFonts w:ascii="Arial" w:cs="Arial" w:eastAsia="Arial" w:hAnsi="Arial"/>
          <w:sz w:val="22"/>
          <w:szCs w:val="22"/>
          <w:color w:val="1F3763"/>
        </w:rPr>
      </w:pPr>
    </w:p>
    <w:p>
      <w:pPr>
        <w:jc w:val="both"/>
        <w:ind w:left="-656" w:firstLine="656"/>
        <w:spacing w:after="0" w:line="218" w:lineRule="auto"/>
        <w:tabs>
          <w:tab w:leader="none" w:pos="637" w:val="left"/>
        </w:tabs>
        <w:numPr>
          <w:ilvl w:val="0"/>
          <w:numId w:val="163"/>
        </w:numPr>
        <w:rPr>
          <w:rFonts w:ascii="Arial" w:cs="Arial" w:eastAsia="Arial" w:hAnsi="Arial"/>
          <w:sz w:val="22"/>
          <w:szCs w:val="22"/>
          <w:color w:val="1F3763"/>
        </w:rPr>
      </w:pPr>
      <w:r>
        <w:rPr>
          <w:rFonts w:ascii="Arial" w:cs="Arial" w:eastAsia="Arial" w:hAnsi="Arial"/>
          <w:sz w:val="22"/>
          <w:szCs w:val="22"/>
          <w:u w:val="single" w:color="auto"/>
          <w:color w:val="auto"/>
        </w:rPr>
        <w:t>Maintenance of Insurance</w:t>
      </w:r>
      <w:r>
        <w:rPr>
          <w:rFonts w:ascii="Arial" w:cs="Arial" w:eastAsia="Arial" w:hAnsi="Arial"/>
          <w:sz w:val="22"/>
          <w:szCs w:val="22"/>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each Credit Party or such Significant Subsidiary operates.</w:t>
      </w:r>
    </w:p>
    <w:p>
      <w:pPr>
        <w:spacing w:after="0" w:line="160" w:lineRule="exact"/>
        <w:rPr>
          <w:rFonts w:ascii="Arial" w:cs="Arial" w:eastAsia="Arial" w:hAnsi="Arial"/>
          <w:sz w:val="22"/>
          <w:szCs w:val="22"/>
          <w:color w:val="1F3763"/>
        </w:rPr>
      </w:pPr>
    </w:p>
    <w:p>
      <w:pPr>
        <w:jc w:val="both"/>
        <w:ind w:left="-656" w:firstLine="656"/>
        <w:spacing w:after="0" w:line="229" w:lineRule="auto"/>
        <w:tabs>
          <w:tab w:leader="none" w:pos="635" w:val="left"/>
        </w:tabs>
        <w:numPr>
          <w:ilvl w:val="0"/>
          <w:numId w:val="163"/>
        </w:numPr>
        <w:rPr>
          <w:rFonts w:ascii="Arial" w:cs="Arial" w:eastAsia="Arial" w:hAnsi="Arial"/>
          <w:sz w:val="21"/>
          <w:szCs w:val="21"/>
          <w:color w:val="1F3763"/>
        </w:rPr>
      </w:pPr>
      <w:r>
        <w:rPr>
          <w:rFonts w:ascii="Arial" w:cs="Arial" w:eastAsia="Arial" w:hAnsi="Arial"/>
          <w:sz w:val="21"/>
          <w:szCs w:val="21"/>
          <w:u w:val="single" w:color="auto"/>
          <w:color w:val="auto"/>
        </w:rPr>
        <w:t>Preservation of Corporate Existence, Etc</w:t>
      </w:r>
      <w:r>
        <w:rPr>
          <w:rFonts w:ascii="Arial" w:cs="Arial" w:eastAsia="Arial" w:hAnsi="Arial"/>
          <w:sz w:val="21"/>
          <w:szCs w:val="21"/>
          <w:color w:val="auto"/>
        </w:rPr>
        <w:t xml:space="preserve">. Preserve and maintain its corporate or other legal existence, rights (charter and statutory) and franchises if the loss or failure to maintain the same would, individually or in the aggregate, be reasonably likely to have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or any of its Subsidiaries may consummate any merger, consolidation or other transaction permitted under Section 5.02(b).</w:t>
      </w:r>
    </w:p>
    <w:p>
      <w:pPr>
        <w:spacing w:after="0" w:line="158" w:lineRule="exact"/>
        <w:rPr>
          <w:rFonts w:ascii="Arial" w:cs="Arial" w:eastAsia="Arial" w:hAnsi="Arial"/>
          <w:sz w:val="21"/>
          <w:szCs w:val="21"/>
          <w:color w:val="1F3763"/>
        </w:rPr>
      </w:pPr>
    </w:p>
    <w:p>
      <w:pPr>
        <w:jc w:val="both"/>
        <w:ind w:left="-656" w:firstLine="656"/>
        <w:spacing w:after="0" w:line="247" w:lineRule="auto"/>
        <w:tabs>
          <w:tab w:leader="none" w:pos="637" w:val="left"/>
        </w:tabs>
        <w:numPr>
          <w:ilvl w:val="0"/>
          <w:numId w:val="163"/>
        </w:numPr>
        <w:rPr>
          <w:rFonts w:ascii="Arial" w:cs="Arial" w:eastAsia="Arial" w:hAnsi="Arial"/>
          <w:sz w:val="19"/>
          <w:szCs w:val="19"/>
          <w:color w:val="1F3763"/>
        </w:rPr>
      </w:pPr>
      <w:r>
        <w:rPr>
          <w:rFonts w:ascii="Arial" w:cs="Arial" w:eastAsia="Arial" w:hAnsi="Arial"/>
          <w:sz w:val="19"/>
          <w:szCs w:val="19"/>
          <w:u w:val="single" w:color="auto"/>
          <w:color w:val="auto"/>
        </w:rPr>
        <w:t>Visitation Rights</w:t>
      </w:r>
      <w:r>
        <w:rPr>
          <w:rFonts w:ascii="Arial" w:cs="Arial" w:eastAsia="Arial" w:hAnsi="Arial"/>
          <w:sz w:val="19"/>
          <w:szCs w:val="19"/>
          <w:color w:val="auto"/>
        </w:rPr>
        <w:t>. At any reasonable time and from time to time on reasonable notice and at reasonable intervals, permit the Administrative Agent or any of the Lenders, or any agents or representatives thereof, to visit the properties of the Company and any of its Subsidiaries and to discuss the affairs, finances and accounts of the Company and any of its Subsidiaries with any of their officers or directors and, during the continuance of any Default, to examine and make copies of and abstracts from the records and books of account of the Company and any of its Subsidiaries and (provided that an officer or officers of the Company are afforded a reasonable opportunity to be present) to discuss the affairs, finances and accounts of the Company and any of its Subsidiaries with their independent certified public accountants.</w:t>
      </w:r>
    </w:p>
    <w:p>
      <w:pPr>
        <w:spacing w:after="0" w:line="153" w:lineRule="exact"/>
        <w:rPr>
          <w:rFonts w:ascii="Arial" w:cs="Arial" w:eastAsia="Arial" w:hAnsi="Arial"/>
          <w:sz w:val="19"/>
          <w:szCs w:val="19"/>
          <w:color w:val="1F3763"/>
        </w:rPr>
      </w:pPr>
    </w:p>
    <w:p>
      <w:pPr>
        <w:jc w:val="both"/>
        <w:ind w:left="-656" w:firstLine="656"/>
        <w:spacing w:after="0" w:line="223" w:lineRule="auto"/>
        <w:tabs>
          <w:tab w:leader="none" w:pos="640" w:val="left"/>
        </w:tabs>
        <w:numPr>
          <w:ilvl w:val="0"/>
          <w:numId w:val="163"/>
        </w:numPr>
        <w:rPr>
          <w:rFonts w:ascii="Arial" w:cs="Arial" w:eastAsia="Arial" w:hAnsi="Arial"/>
          <w:sz w:val="22"/>
          <w:szCs w:val="22"/>
          <w:color w:val="1F3763"/>
        </w:rPr>
      </w:pPr>
      <w:r>
        <w:rPr>
          <w:rFonts w:ascii="Arial" w:cs="Arial" w:eastAsia="Arial" w:hAnsi="Arial"/>
          <w:sz w:val="22"/>
          <w:szCs w:val="22"/>
          <w:u w:val="single" w:color="auto"/>
          <w:color w:val="auto"/>
        </w:rPr>
        <w:t>Keeping of Books</w:t>
      </w:r>
      <w:r>
        <w:rPr>
          <w:rFonts w:ascii="Arial" w:cs="Arial" w:eastAsia="Arial" w:hAnsi="Arial"/>
          <w:sz w:val="22"/>
          <w:szCs w:val="22"/>
          <w:color w:val="auto"/>
        </w:rPr>
        <w:t>. Keep, and cause each of its Subsidiaries to keep, proper books of record and account, in which entries shall be made of all financial transactions and the assets and business of the Company and each such Subsidiary in accordance with generally accepted accounting principles in effect from time to time.</w:t>
      </w:r>
    </w:p>
    <w:p>
      <w:pPr>
        <w:spacing w:after="0" w:line="158" w:lineRule="exact"/>
        <w:rPr>
          <w:rFonts w:ascii="Arial" w:cs="Arial" w:eastAsia="Arial" w:hAnsi="Arial"/>
          <w:sz w:val="22"/>
          <w:szCs w:val="22"/>
          <w:color w:val="1F3763"/>
        </w:rPr>
      </w:pPr>
    </w:p>
    <w:p>
      <w:pPr>
        <w:jc w:val="both"/>
        <w:ind w:left="-656" w:firstLine="656"/>
        <w:spacing w:after="0" w:line="218" w:lineRule="auto"/>
        <w:tabs>
          <w:tab w:leader="none" w:pos="635" w:val="left"/>
        </w:tabs>
        <w:numPr>
          <w:ilvl w:val="0"/>
          <w:numId w:val="163"/>
        </w:numPr>
        <w:rPr>
          <w:rFonts w:ascii="Arial" w:cs="Arial" w:eastAsia="Arial" w:hAnsi="Arial"/>
          <w:sz w:val="22"/>
          <w:szCs w:val="22"/>
          <w:color w:val="1F3763"/>
        </w:rPr>
      </w:pPr>
      <w:r>
        <w:rPr>
          <w:rFonts w:ascii="Arial" w:cs="Arial" w:eastAsia="Arial" w:hAnsi="Arial"/>
          <w:sz w:val="22"/>
          <w:szCs w:val="22"/>
          <w:u w:val="single" w:color="auto"/>
          <w:color w:val="auto"/>
        </w:rPr>
        <w:t>Maintenance of Properties, Etc.</w:t>
      </w:r>
      <w:r>
        <w:rPr>
          <w:rFonts w:ascii="Arial" w:cs="Arial" w:eastAsia="Arial" w:hAnsi="Arial"/>
          <w:sz w:val="22"/>
          <w:szCs w:val="22"/>
          <w:color w:val="auto"/>
        </w:rPr>
        <w:t xml:space="preserve">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ectPr>
          <w:pgSz w:w="11900" w:h="16838" w:orient="portrait"/>
          <w:cols w:equalWidth="0" w:num="1">
            <w:col w:w="10584"/>
          </w:cols>
          <w:pgMar w:left="976" w:top="1401" w:right="339" w:bottom="1440" w:gutter="0" w:footer="0" w:header="0"/>
        </w:sectPr>
      </w:pPr>
    </w:p>
    <w:bookmarkStart w:id="200" w:name="page201"/>
    <w:bookmarkEnd w:id="200"/>
    <w:p>
      <w:pPr>
        <w:ind w:left="-656" w:firstLine="656"/>
        <w:spacing w:after="0" w:line="232" w:lineRule="auto"/>
        <w:tabs>
          <w:tab w:leader="none" w:pos="635" w:val="left"/>
        </w:tabs>
        <w:numPr>
          <w:ilvl w:val="0"/>
          <w:numId w:val="164"/>
        </w:numPr>
        <w:rPr>
          <w:rFonts w:ascii="Arial" w:cs="Arial" w:eastAsia="Arial" w:hAnsi="Arial"/>
          <w:sz w:val="22"/>
          <w:szCs w:val="22"/>
          <w:color w:val="1F3763"/>
        </w:rPr>
      </w:pPr>
      <w:r>
        <w:rPr>
          <w:rFonts w:ascii="Arial" w:cs="Arial" w:eastAsia="Arial" w:hAnsi="Arial"/>
          <w:sz w:val="22"/>
          <w:szCs w:val="22"/>
          <w:u w:val="single" w:color="auto"/>
          <w:color w:val="auto"/>
        </w:rPr>
        <w:t>Primary Business</w:t>
      </w:r>
      <w:r>
        <w:rPr>
          <w:rFonts w:ascii="Arial" w:cs="Arial" w:eastAsia="Arial" w:hAnsi="Arial"/>
          <w:sz w:val="22"/>
          <w:szCs w:val="22"/>
          <w:color w:val="auto"/>
        </w:rPr>
        <w:t>. Continue to be engaged primarily in lines of business as carried on at the date hereof or lines of business related, complementary or ancillary thereto.</w:t>
      </w:r>
    </w:p>
    <w:p>
      <w:pPr>
        <w:spacing w:after="0" w:line="158" w:lineRule="exact"/>
        <w:rPr>
          <w:rFonts w:ascii="Arial" w:cs="Arial" w:eastAsia="Arial" w:hAnsi="Arial"/>
          <w:sz w:val="22"/>
          <w:szCs w:val="22"/>
          <w:color w:val="1F3763"/>
        </w:rPr>
      </w:pPr>
    </w:p>
    <w:p>
      <w:pPr>
        <w:ind w:left="644" w:hanging="644"/>
        <w:spacing w:after="0"/>
        <w:tabs>
          <w:tab w:leader="none" w:pos="644" w:val="left"/>
        </w:tabs>
        <w:numPr>
          <w:ilvl w:val="0"/>
          <w:numId w:val="164"/>
        </w:numPr>
        <w:rPr>
          <w:rFonts w:ascii="Arial" w:cs="Arial" w:eastAsia="Arial" w:hAnsi="Arial"/>
          <w:sz w:val="22"/>
          <w:szCs w:val="22"/>
          <w:color w:val="1F3763"/>
        </w:rPr>
      </w:pPr>
      <w:r>
        <w:rPr>
          <w:rFonts w:ascii="Arial" w:cs="Arial" w:eastAsia="Arial" w:hAnsi="Arial"/>
          <w:sz w:val="22"/>
          <w:szCs w:val="22"/>
          <w:u w:val="single" w:color="auto"/>
          <w:color w:val="auto"/>
        </w:rPr>
        <w:t>Reporting Requirements</w:t>
      </w:r>
      <w:r>
        <w:rPr>
          <w:rFonts w:ascii="Arial" w:cs="Arial" w:eastAsia="Arial" w:hAnsi="Arial"/>
          <w:sz w:val="22"/>
          <w:szCs w:val="22"/>
          <w:color w:val="auto"/>
        </w:rPr>
        <w:t>. Furnish to the Administrative Agent (who shall furnish to the Lenders):</w:t>
      </w:r>
    </w:p>
    <w:p>
      <w:pPr>
        <w:spacing w:after="0" w:line="179" w:lineRule="exact"/>
        <w:rPr>
          <w:rFonts w:ascii="Arial" w:cs="Arial" w:eastAsia="Arial" w:hAnsi="Arial"/>
          <w:sz w:val="22"/>
          <w:szCs w:val="22"/>
          <w:color w:val="1F3763"/>
        </w:rPr>
      </w:pPr>
    </w:p>
    <w:p>
      <w:pPr>
        <w:jc w:val="both"/>
        <w:ind w:left="4" w:firstLine="644"/>
        <w:spacing w:after="0" w:line="244" w:lineRule="auto"/>
        <w:tabs>
          <w:tab w:leader="none" w:pos="1288" w:val="left"/>
        </w:tabs>
        <w:numPr>
          <w:ilvl w:val="1"/>
          <w:numId w:val="164"/>
        </w:numPr>
        <w:rPr>
          <w:rFonts w:ascii="Arial" w:cs="Arial" w:eastAsia="Arial" w:hAnsi="Arial"/>
          <w:sz w:val="19"/>
          <w:szCs w:val="19"/>
          <w:color w:val="auto"/>
        </w:rPr>
      </w:pPr>
      <w:r>
        <w:rPr>
          <w:rFonts w:ascii="Arial" w:cs="Arial" w:eastAsia="Arial" w:hAnsi="Arial"/>
          <w:sz w:val="19"/>
          <w:szCs w:val="19"/>
          <w:color w:val="auto"/>
        </w:rPr>
        <w:t>as soon as available and in any event within 45 days after the end of each of the first three quarters of each fiscal year of the Company, the consolidated balance sheet of the Company and its Subsidiaries as of the end of such quarter and consolidated statements of income and cash flows of the Company and its Subsidiaries for the period commencing at the end of the previous fiscal year and ending with the end of such quarter, duly certified (subject to year-end audit adjustments) by the chief financial officer of the Company as having been prepared in accordance with generally accepted accounting principles and a certificate of the chief financial officer of the Company as to compliance with the terms of this Agreement, provided that in the event of any change in GAAP used in the preparation of such financial statements, the Company shall also provide, if necessary for the determination of compliance with Section 5.03, a statement of reconciliation conforming such financial statements to GAAP;</w:t>
      </w:r>
    </w:p>
    <w:p>
      <w:pPr>
        <w:spacing w:after="0" w:line="160" w:lineRule="exact"/>
        <w:rPr>
          <w:rFonts w:ascii="Arial" w:cs="Arial" w:eastAsia="Arial" w:hAnsi="Arial"/>
          <w:sz w:val="19"/>
          <w:szCs w:val="19"/>
          <w:color w:val="auto"/>
        </w:rPr>
      </w:pPr>
    </w:p>
    <w:p>
      <w:pPr>
        <w:jc w:val="both"/>
        <w:ind w:left="4" w:firstLine="644"/>
        <w:spacing w:after="0" w:line="221" w:lineRule="auto"/>
        <w:tabs>
          <w:tab w:leader="none" w:pos="1294" w:val="left"/>
        </w:tabs>
        <w:numPr>
          <w:ilvl w:val="1"/>
          <w:numId w:val="164"/>
        </w:numPr>
        <w:rPr>
          <w:rFonts w:ascii="Arial" w:cs="Arial" w:eastAsia="Arial" w:hAnsi="Arial"/>
          <w:sz w:val="21"/>
          <w:szCs w:val="21"/>
          <w:color w:val="auto"/>
        </w:rPr>
      </w:pPr>
      <w:r>
        <w:rPr>
          <w:rFonts w:ascii="Arial" w:cs="Arial" w:eastAsia="Arial" w:hAnsi="Arial"/>
          <w:sz w:val="21"/>
          <w:szCs w:val="21"/>
          <w:color w:val="auto"/>
        </w:rPr>
        <w:t xml:space="preserve">as soon as available and in any event within 90 days after the end of each fiscal year of the Company, a copy of the audited financial statements for such year for the Company and its Subsidiaries, containing the consolidated balance sheet of the Company and its Subsidiaries as of the end of such fiscal year and consolidated statements of income and cash flows of the Company and its Subsidiaries for such fiscal year, in each case accompanied by an opinion by PricewaterhouseCoopers LLP or other independent public accountants of recognized national standing and a certificate of the chief financial officer of the Company as to compliance with the terms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of any change in GAAP used in the preparation of such financial statements, the Company shall also provide, if necessary for the determination of compliance with Section 5.03, a statement of reconciliation conforming such financial statements to GAAP;</w:t>
      </w:r>
    </w:p>
    <w:p>
      <w:pPr>
        <w:spacing w:after="0" w:line="158" w:lineRule="exact"/>
        <w:rPr>
          <w:rFonts w:ascii="Arial" w:cs="Arial" w:eastAsia="Arial" w:hAnsi="Arial"/>
          <w:sz w:val="21"/>
          <w:szCs w:val="21"/>
          <w:color w:val="auto"/>
        </w:rPr>
      </w:pPr>
    </w:p>
    <w:p>
      <w:pPr>
        <w:jc w:val="both"/>
        <w:ind w:left="4" w:firstLine="644"/>
        <w:spacing w:after="0" w:line="268" w:lineRule="auto"/>
        <w:tabs>
          <w:tab w:leader="none" w:pos="130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as soon as possible and in any event within seven days after obtaining knowledge of the occurrence of each Default continuing on the date of such statement, a statement of the chief financial officer of the Company setting forth details of such Default and the action that the Company has taken and proposes to take with respect thereto;</w:t>
      </w:r>
    </w:p>
    <w:p>
      <w:pPr>
        <w:spacing w:after="0" w:line="132" w:lineRule="exact"/>
        <w:rPr>
          <w:rFonts w:ascii="Arial" w:cs="Arial" w:eastAsia="Arial" w:hAnsi="Arial"/>
          <w:sz w:val="19"/>
          <w:szCs w:val="19"/>
          <w:color w:val="auto"/>
        </w:rPr>
      </w:pPr>
    </w:p>
    <w:p>
      <w:pPr>
        <w:ind w:left="1284" w:hanging="636"/>
        <w:spacing w:after="0"/>
        <w:tabs>
          <w:tab w:leader="none" w:pos="1284" w:val="left"/>
        </w:tabs>
        <w:numPr>
          <w:ilvl w:val="1"/>
          <w:numId w:val="164"/>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left="4" w:firstLine="644"/>
        <w:spacing w:after="0" w:line="223" w:lineRule="auto"/>
        <w:tabs>
          <w:tab w:leader="none" w:pos="1295" w:val="left"/>
        </w:tabs>
        <w:numPr>
          <w:ilvl w:val="1"/>
          <w:numId w:val="164"/>
        </w:numPr>
        <w:rPr>
          <w:rFonts w:ascii="Arial" w:cs="Arial" w:eastAsia="Arial" w:hAnsi="Arial"/>
          <w:sz w:val="22"/>
          <w:szCs w:val="22"/>
          <w:color w:val="auto"/>
        </w:rPr>
      </w:pPr>
      <w:r>
        <w:rPr>
          <w:rFonts w:ascii="Arial" w:cs="Arial" w:eastAsia="Arial" w:hAnsi="Arial"/>
          <w:sz w:val="22"/>
          <w:szCs w:val="22"/>
          <w:color w:val="auto"/>
        </w:rPr>
        <w:t>promptly after the commencement thereof, notice of all actions and proceedings before any court, governmental agency or arbitrator affecting the Company or any of its Subsidiaries of the type described in Section 4.01(f);</w:t>
      </w:r>
    </w:p>
    <w:p>
      <w:pPr>
        <w:spacing w:after="0" w:line="158" w:lineRule="exact"/>
        <w:rPr>
          <w:rFonts w:ascii="Arial" w:cs="Arial" w:eastAsia="Arial" w:hAnsi="Arial"/>
          <w:sz w:val="22"/>
          <w:szCs w:val="22"/>
          <w:color w:val="auto"/>
        </w:rPr>
      </w:pPr>
    </w:p>
    <w:p>
      <w:pPr>
        <w:ind w:left="4" w:firstLine="644"/>
        <w:spacing w:after="0" w:line="232" w:lineRule="auto"/>
        <w:tabs>
          <w:tab w:leader="none" w:pos="1288" w:val="left"/>
        </w:tabs>
        <w:numPr>
          <w:ilvl w:val="1"/>
          <w:numId w:val="164"/>
        </w:numPr>
        <w:rPr>
          <w:rFonts w:ascii="Arial" w:cs="Arial" w:eastAsia="Arial" w:hAnsi="Arial"/>
          <w:sz w:val="22"/>
          <w:szCs w:val="22"/>
          <w:color w:val="auto"/>
        </w:rPr>
      </w:pPr>
      <w:r>
        <w:rPr>
          <w:rFonts w:ascii="Arial" w:cs="Arial" w:eastAsia="Arial" w:hAnsi="Arial"/>
          <w:sz w:val="22"/>
          <w:szCs w:val="22"/>
          <w:color w:val="auto"/>
        </w:rPr>
        <w:t>such other information respecting the Company or any of its Subsidiaries as any Lender through the Administrative Agent may from time to time reasonably request; and</w:t>
      </w:r>
    </w:p>
    <w:p>
      <w:pPr>
        <w:spacing w:after="0" w:line="158" w:lineRule="exact"/>
        <w:rPr>
          <w:rFonts w:ascii="Arial" w:cs="Arial" w:eastAsia="Arial" w:hAnsi="Arial"/>
          <w:sz w:val="22"/>
          <w:szCs w:val="22"/>
          <w:color w:val="auto"/>
        </w:rPr>
      </w:pPr>
    </w:p>
    <w:p>
      <w:pPr>
        <w:jc w:val="both"/>
        <w:ind w:left="4" w:firstLine="644"/>
        <w:spacing w:after="0" w:line="218" w:lineRule="auto"/>
        <w:tabs>
          <w:tab w:leader="none" w:pos="1294" w:val="left"/>
        </w:tabs>
        <w:numPr>
          <w:ilvl w:val="1"/>
          <w:numId w:val="164"/>
        </w:numPr>
        <w:rPr>
          <w:rFonts w:ascii="Arial" w:cs="Arial" w:eastAsia="Arial" w:hAnsi="Arial"/>
          <w:sz w:val="22"/>
          <w:szCs w:val="22"/>
          <w:color w:val="auto"/>
        </w:rPr>
      </w:pPr>
      <w:r>
        <w:rPr>
          <w:rFonts w:ascii="Arial" w:cs="Arial" w:eastAsia="Arial" w:hAnsi="Arial"/>
          <w:sz w:val="22"/>
          <w:szCs w:val="22"/>
          <w:color w:val="auto"/>
        </w:rPr>
        <w:t>promptly following any request therefor, information and documentation reasonably requested by the Administrative Agent or any Lender for purposes of compliance with applicable “know your customer” requirements under the PATRIOT Act, the Beneficial Ownership Regulation (including a Beneficial Ownership Certification) or other applicable anti-money laundering laws.</w:t>
      </w:r>
    </w:p>
    <w:p>
      <w:pPr>
        <w:sectPr>
          <w:pgSz w:w="11900" w:h="16838" w:orient="portrait"/>
          <w:cols w:equalWidth="0" w:num="1">
            <w:col w:w="10584"/>
          </w:cols>
          <w:pgMar w:left="976" w:top="1401" w:right="339" w:bottom="1440" w:gutter="0" w:footer="0" w:header="0"/>
        </w:sectPr>
      </w:pPr>
    </w:p>
    <w:bookmarkStart w:id="201" w:name="page202"/>
    <w:bookmarkEnd w:id="201"/>
    <w:p>
      <w:pPr>
        <w:ind w:left="644" w:hanging="644"/>
        <w:spacing w:after="0"/>
        <w:tabs>
          <w:tab w:leader="none" w:pos="644" w:val="left"/>
        </w:tabs>
        <w:numPr>
          <w:ilvl w:val="0"/>
          <w:numId w:val="165"/>
        </w:numPr>
        <w:rPr>
          <w:rFonts w:ascii="Arial" w:cs="Arial" w:eastAsia="Arial" w:hAnsi="Arial"/>
          <w:sz w:val="22"/>
          <w:szCs w:val="22"/>
          <w:color w:val="1F3763"/>
        </w:rPr>
      </w:pPr>
      <w:r>
        <w:rPr>
          <w:rFonts w:ascii="Arial" w:cs="Arial" w:eastAsia="Arial" w:hAnsi="Arial"/>
          <w:sz w:val="22"/>
          <w:szCs w:val="22"/>
          <w:u w:val="single" w:color="auto"/>
          <w:color w:val="auto"/>
        </w:rPr>
        <w:t>Additional Subsidiaries; Additional Foreign Borrowers and Guarantors</w:t>
      </w:r>
      <w:r>
        <w:rPr>
          <w:rFonts w:ascii="Arial" w:cs="Arial" w:eastAsia="Arial" w:hAnsi="Arial"/>
          <w:sz w:val="22"/>
          <w:szCs w:val="22"/>
          <w:color w:val="auto"/>
        </w:rPr>
        <w:t>.</w:t>
      </w:r>
    </w:p>
    <w:p>
      <w:pPr>
        <w:spacing w:after="0" w:line="179" w:lineRule="exact"/>
        <w:rPr>
          <w:rFonts w:ascii="Arial" w:cs="Arial" w:eastAsia="Arial" w:hAnsi="Arial"/>
          <w:sz w:val="22"/>
          <w:szCs w:val="22"/>
          <w:color w:val="1F3763"/>
        </w:rPr>
      </w:pPr>
    </w:p>
    <w:p>
      <w:pPr>
        <w:jc w:val="both"/>
        <w:ind w:left="4" w:firstLine="644"/>
        <w:spacing w:after="0" w:line="242" w:lineRule="auto"/>
        <w:tabs>
          <w:tab w:leader="none" w:pos="1288" w:val="left"/>
        </w:tabs>
        <w:numPr>
          <w:ilvl w:val="1"/>
          <w:numId w:val="165"/>
        </w:numPr>
        <w:rPr>
          <w:rFonts w:ascii="Arial" w:cs="Arial" w:eastAsia="Arial" w:hAnsi="Arial"/>
          <w:sz w:val="19"/>
          <w:szCs w:val="19"/>
          <w:color w:val="auto"/>
        </w:rPr>
      </w:pPr>
      <w:r>
        <w:rPr>
          <w:rFonts w:ascii="Arial" w:cs="Arial" w:eastAsia="Arial" w:hAnsi="Arial"/>
          <w:sz w:val="19"/>
          <w:szCs w:val="19"/>
          <w:color w:val="auto"/>
        </w:rPr>
        <w:t>If, after the Effective Date, any Person becomes a Material Domestic Subsidiary (whether as a result of an acquisition of a Material Domestic Subsidiary or otherwise) (with respect to any such Material Domestic Subsidiary, the date on which it becomes a Material Domestic Subsidiary, a “</w:t>
      </w:r>
      <w:r>
        <w:rPr>
          <w:rFonts w:ascii="Arial" w:cs="Arial" w:eastAsia="Arial" w:hAnsi="Arial"/>
          <w:sz w:val="19"/>
          <w:szCs w:val="19"/>
          <w:u w:val="single" w:color="auto"/>
          <w:color w:val="auto"/>
        </w:rPr>
        <w:t>Guarantor Reference Date</w:t>
      </w:r>
      <w:r>
        <w:rPr>
          <w:rFonts w:ascii="Arial" w:cs="Arial" w:eastAsia="Arial" w:hAnsi="Arial"/>
          <w:sz w:val="19"/>
          <w:szCs w:val="19"/>
          <w:color w:val="auto"/>
        </w:rPr>
        <w:t>”), the Company shall, on or prior to the latest of (i) the date that is forty-five days after the Guarantor Reference Date, (ii) the first date after the Guarantor Reference Date on which an Advance is made or is outstanding and (iii) such later date as may be agreed by the Administrative Agent in its reasonable discretion, cause such Person to: (A) become a Guarantor of Borrower Obligations by delivering to the Administrative Agent a duly executed supplement to this Agreement or such other document as the Administrative Agent shall reasonably deem appropriate for such purpose, (B) deliver to the Administrative Agent such opinions, documents and certificates referred to in Section 3.01(c) as may be reasonably requested by the Administrative Agent, (C) deliver to the Administrative Agent such updated Schedules to this Agreement as reasonably requested by the Administrative Agent with respect to such Person and (D) deliver to the Administrative Agent such other documents as may be reasonably requested by the Administrative Agent, all in form, content and scope reasonably satisfactory to the Administrative Agent.</w:t>
      </w:r>
    </w:p>
    <w:p>
      <w:pPr>
        <w:spacing w:after="0" w:line="380" w:lineRule="exact"/>
        <w:rPr>
          <w:rFonts w:ascii="Arial" w:cs="Arial" w:eastAsia="Arial" w:hAnsi="Arial"/>
          <w:sz w:val="19"/>
          <w:szCs w:val="19"/>
          <w:color w:val="auto"/>
        </w:rPr>
      </w:pPr>
    </w:p>
    <w:p>
      <w:pPr>
        <w:jc w:val="both"/>
        <w:ind w:left="4" w:firstLine="644"/>
        <w:spacing w:after="0" w:line="238" w:lineRule="auto"/>
        <w:tabs>
          <w:tab w:leader="none" w:pos="1294"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The Company may, on 15 days’ notice to the Administrative Agent, elect to add as a Foreign Borrower under this Agreement any Subsidiary of the Company (A) that is organized under the laws of England, Wales, Scotland, Northern Ireland, Canada, Australia or Singapore or (B) that is organized under the laws of any other foreign jurisdiction with the consent of the Administrative Agent and each of the Lenders (in each case, in such Person’s sole discretion) on terms and conditions satisfactory to the Administrative Agent and each such Lender, so long as, in each case for any election described above in clause (ii)(A) or (ii)(B), (x) the Administrative Agent (on behalf of the Lenders pursuant to Section 7.01), the Company and the new Foreign Borrower have entered into a joinder agreement, in form and substance reasonably satisfactory to the Administrative Agent, which joinder agreement may include any amendment or other modification to this Agreement as is reasonably necessary to incorporate any terms required by the laws of the country in which such Foreign Borrower is organized, including, without limitation, terms necessary to make this Agreement enforceable against such Foreign Borrower under the laws of such country and to ensure the Advances, actions and obligations of the Lenders hereunder with respect to such Foreign Borrower will be permitted under the laws of such country, and (y) the Administrative Agent and the Lenders (1) have received all documentation and other information required by regulatory authorities under applicable “know your customer” and anti-money-laundering rules and regulations, including, without limitation, the Patriot Act and the Beneficial Ownership Regulation (including a Beneficial Ownership Certification), (2) are reasonably satisfied with the results of such documentation and other information and</w:t>
      </w:r>
    </w:p>
    <w:p>
      <w:pPr>
        <w:spacing w:after="0" w:line="7" w:lineRule="exact"/>
        <w:rPr>
          <w:rFonts w:ascii="Arial" w:cs="Arial" w:eastAsia="Arial" w:hAnsi="Arial"/>
          <w:sz w:val="19"/>
          <w:szCs w:val="19"/>
          <w:color w:val="auto"/>
        </w:rPr>
      </w:pPr>
    </w:p>
    <w:p>
      <w:pPr>
        <w:ind w:left="4" w:right="20"/>
        <w:spacing w:after="0" w:line="224" w:lineRule="auto"/>
        <w:rPr>
          <w:rFonts w:ascii="Arial" w:cs="Arial" w:eastAsia="Arial" w:hAnsi="Arial"/>
          <w:sz w:val="19"/>
          <w:szCs w:val="19"/>
          <w:color w:val="auto"/>
        </w:rPr>
      </w:pPr>
      <w:r>
        <w:rPr>
          <w:rFonts w:ascii="Arial" w:cs="Arial" w:eastAsia="Arial" w:hAnsi="Arial"/>
          <w:sz w:val="22"/>
          <w:szCs w:val="22"/>
          <w:color w:val="auto"/>
        </w:rPr>
        <w:t>(3) have received items comparable to the deliverables provided to the Lenders with respect to the Company as of the Effective Date.</w:t>
      </w:r>
    </w:p>
    <w:p>
      <w:pPr>
        <w:spacing w:after="0" w:line="157" w:lineRule="exact"/>
        <w:rPr>
          <w:rFonts w:ascii="Arial" w:cs="Arial" w:eastAsia="Arial" w:hAnsi="Arial"/>
          <w:sz w:val="19"/>
          <w:szCs w:val="19"/>
          <w:color w:val="auto"/>
        </w:rPr>
      </w:pPr>
    </w:p>
    <w:p>
      <w:pPr>
        <w:jc w:val="both"/>
        <w:ind w:left="4" w:firstLine="644"/>
        <w:spacing w:after="0" w:line="249" w:lineRule="auto"/>
        <w:tabs>
          <w:tab w:leader="none" w:pos="130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The Company may, on five Business Days’ notice to the Administrative Agent (or such shorter period as may be agreed by the Administrative Agent in its reasonable discretion), terminate a Foreign Borrower’s status as such upon the execution by the Company and delivery to the Administrative Agent of a termination agreement, in form and substance reasonably satisfactory to the Administrative Agent, with respect to such Foreign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agreement shall become effective as to any Foreign Borrower (other than to terminate its right to make further Borrowings under this Agreement) until all Advances made to the terminated Foreign</w:t>
      </w:r>
    </w:p>
    <w:p>
      <w:pPr>
        <w:sectPr>
          <w:pgSz w:w="11900" w:h="16838" w:orient="portrait"/>
          <w:cols w:equalWidth="0" w:num="1">
            <w:col w:w="10584"/>
          </w:cols>
          <w:pgMar w:left="976" w:top="1401" w:right="339" w:bottom="1440" w:gutter="0" w:footer="0" w:header="0"/>
        </w:sectPr>
      </w:pPr>
    </w:p>
    <w:bookmarkStart w:id="202" w:name="page203"/>
    <w:bookmarkEnd w:id="202"/>
    <w:p>
      <w:pPr>
        <w:jc w:val="both"/>
        <w:ind w:left="660"/>
        <w:spacing w:after="0" w:line="218" w:lineRule="auto"/>
        <w:rPr>
          <w:sz w:val="20"/>
          <w:szCs w:val="20"/>
          <w:color w:val="auto"/>
        </w:rPr>
      </w:pPr>
      <w:r>
        <w:rPr>
          <w:rFonts w:ascii="Arial" w:cs="Arial" w:eastAsia="Arial" w:hAnsi="Arial"/>
          <w:sz w:val="22"/>
          <w:szCs w:val="22"/>
          <w:color w:val="auto"/>
        </w:rPr>
        <w:t>Borrower have been repaid and all amounts payable by such terminated Foreign Borrower in respect of interest and/or fees (and, to the extent notified by the Administrative Agent or any Lender, any other amounts payable by the terminated Foreign Borrower under any Loan Document) have been paid in full. The Administrative Agent will promptly notify the Lenders of any such termination of a Foreign Borrower’s status.</w:t>
      </w:r>
    </w:p>
    <w:p>
      <w:pPr>
        <w:spacing w:after="0" w:line="137"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1.02.</w:t>
      </w:r>
      <w:r>
        <w:rPr>
          <w:sz w:val="20"/>
          <w:szCs w:val="20"/>
          <w:color w:val="auto"/>
        </w:rPr>
        <w:tab/>
      </w:r>
      <w:r>
        <w:rPr>
          <w:rFonts w:ascii="Arial" w:cs="Arial" w:eastAsia="Arial" w:hAnsi="Arial"/>
          <w:sz w:val="21"/>
          <w:szCs w:val="21"/>
          <w:u w:val="single" w:color="auto"/>
          <w:color w:val="auto"/>
        </w:rPr>
        <w:t>Negative Covenants</w:t>
      </w:r>
      <w:r>
        <w:rPr>
          <w:rFonts w:ascii="Arial" w:cs="Arial" w:eastAsia="Arial" w:hAnsi="Arial"/>
          <w:sz w:val="19"/>
          <w:szCs w:val="19"/>
          <w:color w:val="auto"/>
        </w:rPr>
        <w:t>. So long as any Advance shall remain unpaid or any Lender shall have any</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Commitment hereunder, no Credit Party will:</w:t>
      </w:r>
    </w:p>
    <w:p>
      <w:pPr>
        <w:spacing w:after="0" w:line="161" w:lineRule="exact"/>
        <w:rPr>
          <w:sz w:val="20"/>
          <w:szCs w:val="20"/>
          <w:color w:val="auto"/>
        </w:rPr>
      </w:pPr>
    </w:p>
    <w:p>
      <w:pPr>
        <w:jc w:val="both"/>
        <w:ind w:firstLine="656"/>
        <w:spacing w:after="0" w:line="218" w:lineRule="auto"/>
        <w:tabs>
          <w:tab w:leader="none" w:pos="1293" w:val="left"/>
        </w:tabs>
        <w:numPr>
          <w:ilvl w:val="0"/>
          <w:numId w:val="166"/>
        </w:numPr>
        <w:rPr>
          <w:rFonts w:ascii="Arial" w:cs="Arial" w:eastAsia="Arial" w:hAnsi="Arial"/>
          <w:sz w:val="22"/>
          <w:szCs w:val="22"/>
          <w:color w:val="1F3763"/>
        </w:rPr>
      </w:pPr>
      <w:r>
        <w:rPr>
          <w:rFonts w:ascii="Arial" w:cs="Arial" w:eastAsia="Arial" w:hAnsi="Arial"/>
          <w:sz w:val="22"/>
          <w:szCs w:val="22"/>
          <w:u w:val="single" w:color="auto"/>
          <w:color w:val="auto"/>
        </w:rPr>
        <w:t>Liens, Etc.</w:t>
      </w:r>
      <w:r>
        <w:rPr>
          <w:rFonts w:ascii="Arial" w:cs="Arial" w:eastAsia="Arial" w:hAnsi="Arial"/>
          <w:sz w:val="22"/>
          <w:szCs w:val="22"/>
          <w:color w:val="auto"/>
        </w:rPr>
        <w:t xml:space="preserve"> Create or suffer to exist, or permit any of its Subsidiaries to create or suffer to exist, any Lien on or with respect to any of its properties (which for purposes of this subsection (a) shall be deemed not to include shares of the Company’s capital stock), whether now owned or hereafter acquired, or assign, or permit any of its Subsidiaries to assign, any right to receive income, other than:</w:t>
      </w:r>
    </w:p>
    <w:p>
      <w:pPr>
        <w:spacing w:after="0" w:line="160" w:lineRule="exact"/>
        <w:rPr>
          <w:rFonts w:ascii="Arial" w:cs="Arial" w:eastAsia="Arial" w:hAnsi="Arial"/>
          <w:sz w:val="22"/>
          <w:szCs w:val="22"/>
          <w:color w:val="1F3763"/>
        </w:rPr>
      </w:pPr>
    </w:p>
    <w:p>
      <w:pPr>
        <w:ind w:left="1940" w:hanging="636"/>
        <w:spacing w:after="0"/>
        <w:tabs>
          <w:tab w:leader="none" w:pos="194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179" w:lineRule="exact"/>
        <w:rPr>
          <w:rFonts w:ascii="Arial" w:cs="Arial" w:eastAsia="Arial" w:hAnsi="Arial"/>
          <w:sz w:val="22"/>
          <w:szCs w:val="22"/>
          <w:color w:val="auto"/>
        </w:rPr>
      </w:pPr>
    </w:p>
    <w:p>
      <w:pPr>
        <w:jc w:val="both"/>
        <w:ind w:left="660" w:firstLine="644"/>
        <w:spacing w:after="0" w:line="216" w:lineRule="auto"/>
        <w:tabs>
          <w:tab w:leader="none" w:pos="195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 xml:space="preserve">Liens securing purchase money Debt, Liens on fixed or capital assets acquired, constructed or improved and capital lease obligations (and refinancings of any thereof) to the extent permitted under Section 5.02(d)(iii); </w:t>
      </w:r>
      <w:r>
        <w:rPr>
          <w:rFonts w:ascii="Arial" w:cs="Arial" w:eastAsia="Arial" w:hAnsi="Arial"/>
          <w:sz w:val="22"/>
          <w:szCs w:val="22"/>
          <w:u w:val="single" w:color="auto"/>
          <w:color w:val="auto"/>
        </w:rPr>
        <w:t>provided</w:t>
      </w:r>
      <w:r>
        <w:rPr>
          <w:rFonts w:ascii="Arial" w:cs="Arial" w:eastAsia="Arial" w:hAnsi="Arial"/>
          <w:sz w:val="22"/>
          <w:szCs w:val="22"/>
          <w:color w:val="auto"/>
        </w:rPr>
        <w:t>, that (i) any such Lien attaches to such property prior to, concurrently with or within 90 days after the acquisition, construction, improvement or lease thereof and (ii) such Lien attaches solely to the property so acquired, constructed, improved or leased in such transaction;</w:t>
      </w:r>
    </w:p>
    <w:p>
      <w:pPr>
        <w:spacing w:after="0" w:line="157" w:lineRule="exact"/>
        <w:rPr>
          <w:rFonts w:ascii="Arial" w:cs="Arial" w:eastAsia="Arial" w:hAnsi="Arial"/>
          <w:sz w:val="22"/>
          <w:szCs w:val="22"/>
          <w:color w:val="auto"/>
        </w:rPr>
      </w:pPr>
    </w:p>
    <w:p>
      <w:pPr>
        <w:ind w:left="1960" w:hanging="656"/>
        <w:spacing w:after="0"/>
        <w:tabs>
          <w:tab w:leader="none" w:pos="196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Liens existing on the Effective Date and described on Schedule 5.02(a) hereto;</w:t>
      </w:r>
    </w:p>
    <w:p>
      <w:pPr>
        <w:spacing w:after="0" w:line="179" w:lineRule="exact"/>
        <w:rPr>
          <w:rFonts w:ascii="Arial" w:cs="Arial" w:eastAsia="Arial" w:hAnsi="Arial"/>
          <w:sz w:val="22"/>
          <w:szCs w:val="22"/>
          <w:color w:val="auto"/>
        </w:rPr>
      </w:pPr>
    </w:p>
    <w:p>
      <w:pPr>
        <w:jc w:val="both"/>
        <w:ind w:left="660" w:firstLine="644"/>
        <w:spacing w:after="0" w:line="222" w:lineRule="auto"/>
        <w:tabs>
          <w:tab w:leader="none" w:pos="1944" w:val="left"/>
        </w:tabs>
        <w:numPr>
          <w:ilvl w:val="1"/>
          <w:numId w:val="166"/>
        </w:numPr>
        <w:rPr>
          <w:rFonts w:ascii="Arial" w:cs="Arial" w:eastAsia="Arial" w:hAnsi="Arial"/>
          <w:sz w:val="21"/>
          <w:szCs w:val="21"/>
          <w:color w:val="auto"/>
        </w:rPr>
      </w:pPr>
      <w:r>
        <w:rPr>
          <w:rFonts w:ascii="Arial" w:cs="Arial" w:eastAsia="Arial" w:hAnsi="Arial"/>
          <w:sz w:val="21"/>
          <w:szCs w:val="21"/>
          <w:color w:val="auto"/>
        </w:rPr>
        <w:t xml:space="preserve">any Lien existing on any asset prior to the acquisition thereof by the Company or any Subsidiary or existing on any asset of any Person that becomes a Subsidiary after the Effective Date prior to the time such Person becomes a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 is not created in contemplation of or in connection with such acquisition or such Person becoming a Subsidiary, as the case may be, (ii) such Lien shall not apply to any other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64" w:lineRule="exact"/>
        <w:rPr>
          <w:rFonts w:ascii="Arial" w:cs="Arial" w:eastAsia="Arial" w:hAnsi="Arial"/>
          <w:sz w:val="21"/>
          <w:szCs w:val="21"/>
          <w:color w:val="auto"/>
        </w:rPr>
      </w:pPr>
    </w:p>
    <w:p>
      <w:pPr>
        <w:ind w:left="1940" w:hanging="636"/>
        <w:spacing w:after="0"/>
        <w:tabs>
          <w:tab w:leader="none" w:pos="194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Liens securing Debt payable by a Subsidiary to a Credit Party;</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944" w:val="left"/>
        </w:tabs>
        <w:numPr>
          <w:ilvl w:val="1"/>
          <w:numId w:val="166"/>
        </w:numPr>
        <w:rPr>
          <w:rFonts w:ascii="Arial" w:cs="Arial" w:eastAsia="Arial" w:hAnsi="Arial"/>
          <w:sz w:val="22"/>
          <w:szCs w:val="22"/>
          <w:color w:val="auto"/>
        </w:rPr>
      </w:pPr>
      <w:r>
        <w:rPr>
          <w:rFonts w:ascii="Arial" w:cs="Arial" w:eastAsia="Arial" w:hAnsi="Arial"/>
          <w:sz w:val="22"/>
          <w:szCs w:val="22"/>
          <w:color w:val="auto"/>
        </w:rPr>
        <w:t>other Liens securing Debt in an aggregate principal amount not to exceed at any time outstanding an amount equal to the greater of (i) $150,000,000 and (ii) 3.5% of the book value of the Consolidated Assets calculated as of the date of Lien incurrence; and</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95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replacement, extension or renewal of any Lien permitted by clauses (ii) (iii) or (iv) above upon or in the same property theretofore subject thereto or the replacement, extension or renewal (without increase in the amount other than to the extent of any reasonable fees and expenses in connection with any such replacement, extension or renewal) of the Debt secured thereby.</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1" w:val="left"/>
        </w:tabs>
        <w:numPr>
          <w:ilvl w:val="0"/>
          <w:numId w:val="166"/>
        </w:numPr>
        <w:rPr>
          <w:rFonts w:ascii="Arial" w:cs="Arial" w:eastAsia="Arial" w:hAnsi="Arial"/>
          <w:sz w:val="22"/>
          <w:szCs w:val="22"/>
          <w:color w:val="1F3763"/>
        </w:rPr>
      </w:pPr>
      <w:r>
        <w:rPr>
          <w:rFonts w:ascii="Arial" w:cs="Arial" w:eastAsia="Arial" w:hAnsi="Arial"/>
          <w:sz w:val="22"/>
          <w:szCs w:val="22"/>
          <w:u w:val="single" w:color="auto"/>
          <w:color w:val="auto"/>
        </w:rPr>
        <w:t>Mergers, Etc.</w:t>
      </w:r>
      <w:r>
        <w:rPr>
          <w:rFonts w:ascii="Arial" w:cs="Arial" w:eastAsia="Arial" w:hAnsi="Arial"/>
          <w:sz w:val="22"/>
          <w:szCs w:val="22"/>
          <w:color w:val="auto"/>
        </w:rPr>
        <w:t xml:space="preserve"> Merge or consolidate with or into, or convey, transfer, lease or otherwise dispose of (whether in one transaction or in a series of transactions) all or substantially all of its assets (whether now owned or hereafter acquired) to, any Person, except:</w:t>
      </w:r>
    </w:p>
    <w:p>
      <w:pPr>
        <w:sectPr>
          <w:pgSz w:w="11900" w:h="16838" w:orient="portrait"/>
          <w:cols w:equalWidth="0" w:num="1">
            <w:col w:w="11240"/>
          </w:cols>
          <w:pgMar w:left="320" w:top="1401" w:right="339" w:bottom="1440" w:gutter="0" w:footer="0" w:header="0"/>
        </w:sectPr>
      </w:pPr>
    </w:p>
    <w:bookmarkStart w:id="203" w:name="page204"/>
    <w:bookmarkEnd w:id="203"/>
    <w:p>
      <w:pPr>
        <w:jc w:val="both"/>
        <w:ind w:left="660" w:firstLine="644"/>
        <w:spacing w:after="0" w:line="252" w:lineRule="auto"/>
        <w:tabs>
          <w:tab w:leader="none" w:pos="194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 any Wholly-Owned Subsidiary of the Company may be merged, amalgamated or consolidated with or into the Company (provided that the Company shall be the continuing or surviving entity) or (B) any Wholly-Owned Subsidiary of the Company may be merged, amalgamated or consolidated with or into any Guarantor (provided that the Guarantor shall be the continuing or surviving entity or simultaneously with such transaction, the continuing or surviving entity shall become a Guarantor and the Company shall comply with Section 5.01(j) in connection therewith);</w:t>
      </w:r>
    </w:p>
    <w:p>
      <w:pPr>
        <w:spacing w:after="0" w:line="148" w:lineRule="exact"/>
        <w:rPr>
          <w:rFonts w:ascii="Arial" w:cs="Arial" w:eastAsia="Arial" w:hAnsi="Arial"/>
          <w:sz w:val="19"/>
          <w:szCs w:val="19"/>
          <w:color w:val="auto"/>
        </w:rPr>
      </w:pPr>
    </w:p>
    <w:p>
      <w:pPr>
        <w:jc w:val="both"/>
        <w:ind w:left="660" w:firstLine="644"/>
        <w:spacing w:after="0" w:line="218" w:lineRule="auto"/>
        <w:tabs>
          <w:tab w:leader="none" w:pos="195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 any Non-Guarantor Subsidiary that is a Foreign Subsidiary may be merged, amalgamated or consolidated with or into, or be liquidated into, any other Subsidiary and (B) any Non-Guarantor Subsidiary that is a Domestic Subsidiary may be merged, amalgamated or consolidated with or into, or be liquidated into, any other Domestic Subsidiary;</w:t>
      </w:r>
    </w:p>
    <w:p>
      <w:pPr>
        <w:spacing w:after="0" w:line="160" w:lineRule="exact"/>
        <w:rPr>
          <w:rFonts w:ascii="Arial" w:cs="Arial" w:eastAsia="Arial" w:hAnsi="Arial"/>
          <w:sz w:val="22"/>
          <w:szCs w:val="22"/>
          <w:color w:val="auto"/>
        </w:rPr>
      </w:pPr>
    </w:p>
    <w:p>
      <w:pPr>
        <w:jc w:val="both"/>
        <w:ind w:left="660" w:firstLine="644"/>
        <w:spacing w:after="0" w:line="218" w:lineRule="auto"/>
        <w:tabs>
          <w:tab w:leader="none" w:pos="195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any Subsidiary of the Company may dispose of all or substantially all of its assets (upon voluntary liquidation, dissolution, winding up or otherwise) to the Company or any Guarantor;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such disposition by any Non-Guarantor Subsidiary, the consideration for such disposition shall not exceed the fair value of such assets;</w:t>
      </w:r>
    </w:p>
    <w:p>
      <w:pPr>
        <w:spacing w:after="0" w:line="160" w:lineRule="exact"/>
        <w:rPr>
          <w:rFonts w:ascii="Arial" w:cs="Arial" w:eastAsia="Arial" w:hAnsi="Arial"/>
          <w:sz w:val="22"/>
          <w:szCs w:val="22"/>
          <w:color w:val="auto"/>
        </w:rPr>
      </w:pPr>
    </w:p>
    <w:p>
      <w:pPr>
        <w:jc w:val="both"/>
        <w:ind w:left="660" w:firstLine="644"/>
        <w:spacing w:after="0" w:line="229" w:lineRule="auto"/>
        <w:tabs>
          <w:tab w:leader="none" w:pos="1944"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 any Non-Guarantor Subsidiary that is a Foreign Subsidiary may dispose of all or substantially all of its assets (upon voluntary liquidation, dissolution, winding up or otherwise) to any other Subsidiary and (B) any Non-Guarantor Subsidiary that is a Domestic Subsidiary may dispose of all or substantially all of its assets (upon voluntary liquidation, dissolution, winding up or otherwise) to any other Domestic Subsidiary;</w:t>
      </w:r>
    </w:p>
    <w:p>
      <w:pPr>
        <w:spacing w:after="0" w:line="158" w:lineRule="exact"/>
        <w:rPr>
          <w:rFonts w:ascii="Arial" w:cs="Arial" w:eastAsia="Arial" w:hAnsi="Arial"/>
          <w:sz w:val="21"/>
          <w:szCs w:val="21"/>
          <w:color w:val="auto"/>
        </w:rPr>
      </w:pPr>
    </w:p>
    <w:p>
      <w:pPr>
        <w:jc w:val="both"/>
        <w:ind w:left="660" w:firstLine="644"/>
        <w:spacing w:after="0" w:line="216" w:lineRule="auto"/>
        <w:tabs>
          <w:tab w:leader="none" w:pos="195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any Subsidiary of the Company may merge with or into any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merger involving a Wholly-Owned Subsidiary that is a Guarantor, (x) a Guarantor shall be the continuing or surviving entity; (y) simultaneously with such transaction, the continuing or surviving entity shall become a Guarantor and the Company shall comply with Section 5.01(j) in connection therewith or (z) after giving effect to such merger, the surviving entity is not a Subsidiary of the Company and no longer a Guarantor;</w:t>
      </w:r>
    </w:p>
    <w:p>
      <w:pPr>
        <w:spacing w:after="0" w:line="157" w:lineRule="exact"/>
        <w:rPr>
          <w:rFonts w:ascii="Arial" w:cs="Arial" w:eastAsia="Arial" w:hAnsi="Arial"/>
          <w:sz w:val="22"/>
          <w:szCs w:val="22"/>
          <w:color w:val="auto"/>
        </w:rPr>
      </w:pPr>
    </w:p>
    <w:p>
      <w:pPr>
        <w:ind w:left="1940" w:hanging="636"/>
        <w:spacing w:after="0"/>
        <w:tabs>
          <w:tab w:leader="none" w:pos="194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any merger, consolidation, transfer or disposition that is the direct result of the Purdue Transaction; and</w:t>
      </w:r>
    </w:p>
    <w:p>
      <w:pPr>
        <w:spacing w:after="0" w:line="213" w:lineRule="exact"/>
        <w:rPr>
          <w:rFonts w:ascii="Arial" w:cs="Arial" w:eastAsia="Arial" w:hAnsi="Arial"/>
          <w:sz w:val="19"/>
          <w:szCs w:val="19"/>
          <w:color w:val="auto"/>
        </w:rPr>
      </w:pPr>
    </w:p>
    <w:p>
      <w:pPr>
        <w:jc w:val="both"/>
        <w:ind w:left="660" w:firstLine="644"/>
        <w:spacing w:after="0" w:line="234" w:lineRule="auto"/>
        <w:tabs>
          <w:tab w:leader="none" w:pos="195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any Guarantor may dispose of all or substantially all of its assets to any other Person that is not the Company or any other Guarantor;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disposition, the Company is in pro forma compliance with each of the financial covenants set forth in Section 5.03 after giving effect to such disposition;</w:t>
      </w:r>
    </w:p>
    <w:p>
      <w:pPr>
        <w:spacing w:after="0" w:line="15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merge or consolidate with any other Person so long as the Company is the surviving entity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no Default shall have occurred and be continuing at the time of such proposed transaction or would result therefrom.</w:t>
      </w:r>
    </w:p>
    <w:p>
      <w:pPr>
        <w:spacing w:after="0" w:line="159" w:lineRule="exact"/>
        <w:rPr>
          <w:sz w:val="20"/>
          <w:szCs w:val="20"/>
          <w:color w:val="auto"/>
        </w:rPr>
      </w:pPr>
    </w:p>
    <w:p>
      <w:pPr>
        <w:jc w:val="both"/>
        <w:ind w:firstLine="656"/>
        <w:spacing w:after="0" w:line="252" w:lineRule="auto"/>
        <w:tabs>
          <w:tab w:leader="none" w:pos="1293" w:val="left"/>
        </w:tabs>
        <w:numPr>
          <w:ilvl w:val="0"/>
          <w:numId w:val="168"/>
        </w:numPr>
        <w:rPr>
          <w:rFonts w:ascii="Arial" w:cs="Arial" w:eastAsia="Arial" w:hAnsi="Arial"/>
          <w:sz w:val="19"/>
          <w:szCs w:val="19"/>
          <w:color w:val="1F3763"/>
        </w:rPr>
      </w:pPr>
      <w:r>
        <w:rPr>
          <w:rFonts w:ascii="Arial" w:cs="Arial" w:eastAsia="Arial" w:hAnsi="Arial"/>
          <w:sz w:val="19"/>
          <w:szCs w:val="19"/>
          <w:u w:val="single" w:color="auto"/>
          <w:color w:val="auto"/>
        </w:rPr>
        <w:t>Accounting Changes; Material Contracts</w:t>
      </w:r>
      <w:r>
        <w:rPr>
          <w:rFonts w:ascii="Arial" w:cs="Arial" w:eastAsia="Arial" w:hAnsi="Arial"/>
          <w:sz w:val="19"/>
          <w:szCs w:val="19"/>
          <w:color w:val="auto"/>
        </w:rPr>
        <w:t>. Make or permit, or permit any of its Subsidiaries to make or permit, any change in accounting policies or reporting practices, except as permitted by generally accepted accounting principles and, in the case of any material change, concurred with by the Company’s independent public accountants. The Company will not, nor will it permit any Subsidiary to, amend, modify or waive, in any manner that would reasonably be expected to materially adversely affect the Lenders, any of its rights under any Material Contract without the prior written consent of the Required Lenders.</w:t>
      </w:r>
    </w:p>
    <w:p>
      <w:pPr>
        <w:sectPr>
          <w:pgSz w:w="11900" w:h="16838" w:orient="portrait"/>
          <w:cols w:equalWidth="0" w:num="1">
            <w:col w:w="11240"/>
          </w:cols>
          <w:pgMar w:left="320" w:top="1401" w:right="339" w:bottom="1440" w:gutter="0" w:footer="0" w:header="0"/>
        </w:sectPr>
      </w:pPr>
    </w:p>
    <w:bookmarkStart w:id="204" w:name="page205"/>
    <w:bookmarkEnd w:id="204"/>
    <w:p>
      <w:pPr>
        <w:ind w:left="-656" w:firstLine="656"/>
        <w:spacing w:after="0" w:line="232" w:lineRule="auto"/>
        <w:tabs>
          <w:tab w:leader="none" w:pos="635" w:val="left"/>
        </w:tabs>
        <w:numPr>
          <w:ilvl w:val="0"/>
          <w:numId w:val="169"/>
        </w:numPr>
        <w:rPr>
          <w:rFonts w:ascii="Arial" w:cs="Arial" w:eastAsia="Arial" w:hAnsi="Arial"/>
          <w:sz w:val="22"/>
          <w:szCs w:val="22"/>
          <w:color w:val="1F3763"/>
        </w:rPr>
      </w:pPr>
      <w:r>
        <w:rPr>
          <w:rFonts w:ascii="Arial" w:cs="Arial" w:eastAsia="Arial" w:hAnsi="Arial"/>
          <w:sz w:val="22"/>
          <w:szCs w:val="22"/>
          <w:u w:val="single" w:color="auto"/>
          <w:color w:val="auto"/>
        </w:rPr>
        <w:t>Debt, Investments and Restricted Payments</w:t>
      </w:r>
      <w:r>
        <w:rPr>
          <w:rFonts w:ascii="Arial" w:cs="Arial" w:eastAsia="Arial" w:hAnsi="Arial"/>
          <w:sz w:val="22"/>
          <w:szCs w:val="22"/>
          <w:color w:val="auto"/>
        </w:rPr>
        <w:t>. Create, incur, assume or permit to exist any Debt or make any Investments or Restricted Payments, or permit any of its Subsidiaries to do the same, except:</w:t>
      </w:r>
    </w:p>
    <w:p>
      <w:pPr>
        <w:spacing w:after="0" w:line="158" w:lineRule="exact"/>
        <w:rPr>
          <w:rFonts w:ascii="Arial" w:cs="Arial" w:eastAsia="Arial" w:hAnsi="Arial"/>
          <w:sz w:val="22"/>
          <w:szCs w:val="22"/>
          <w:color w:val="1F3763"/>
        </w:rPr>
      </w:pPr>
    </w:p>
    <w:p>
      <w:pPr>
        <w:ind w:left="1284" w:hanging="636"/>
        <w:spacing w:after="0"/>
        <w:tabs>
          <w:tab w:leader="none" w:pos="128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Debt arising or existing under this Agreement and the other Loan Documents;</w:t>
      </w:r>
    </w:p>
    <w:p>
      <w:pPr>
        <w:spacing w:after="0" w:line="179" w:lineRule="exact"/>
        <w:rPr>
          <w:rFonts w:ascii="Arial" w:cs="Arial" w:eastAsia="Arial" w:hAnsi="Arial"/>
          <w:sz w:val="22"/>
          <w:szCs w:val="22"/>
          <w:color w:val="auto"/>
        </w:rPr>
      </w:pPr>
    </w:p>
    <w:p>
      <w:pPr>
        <w:ind w:left="1284" w:hanging="636"/>
        <w:spacing w:after="0"/>
        <w:tabs>
          <w:tab w:leader="none" w:pos="128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Debt or Investments existing on the Effective Date and described on Schedule 5.02(d) hereto;</w:t>
      </w:r>
    </w:p>
    <w:p>
      <w:pPr>
        <w:spacing w:after="0" w:line="179" w:lineRule="exact"/>
        <w:rPr>
          <w:rFonts w:ascii="Arial" w:cs="Arial" w:eastAsia="Arial" w:hAnsi="Arial"/>
          <w:sz w:val="22"/>
          <w:szCs w:val="22"/>
          <w:color w:val="auto"/>
        </w:rPr>
      </w:pPr>
    </w:p>
    <w:p>
      <w:pPr>
        <w:jc w:val="both"/>
        <w:ind w:left="4" w:firstLine="644"/>
        <w:spacing w:after="0" w:line="246" w:lineRule="auto"/>
        <w:tabs>
          <w:tab w:leader="none" w:pos="130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Debt of the Company and/or its Subsidiaries incurred after the Effective Date consisting of capital leases or Debt incurred to provide all or a portion of the purchase price or cost of acquisition of any real property and/or construction and improvements thereon or equipment or other fixed assets acquired or held by the Company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Debt when incurred shall not exceed the purchase price or cost of acquisition, construction or improvement of such asset(s); (ii) no such Debt shall be renewed, refinanced or extended for a principal amount in excess of the principal balance outstanding thereon at the time of such renewal, refinancing or extension (other than with respect to reasonable fees and expenses in connection with any such renewal, refinancing or extension); and (iii) the total amount of all such Debt shall not exceed $15,000,000 at any time outstanding;</w:t>
      </w:r>
    </w:p>
    <w:p>
      <w:pPr>
        <w:spacing w:after="0" w:line="152" w:lineRule="exact"/>
        <w:rPr>
          <w:rFonts w:ascii="Arial" w:cs="Arial" w:eastAsia="Arial" w:hAnsi="Arial"/>
          <w:sz w:val="19"/>
          <w:szCs w:val="19"/>
          <w:color w:val="auto"/>
        </w:rPr>
      </w:pPr>
    </w:p>
    <w:p>
      <w:pPr>
        <w:ind w:left="1284" w:hanging="636"/>
        <w:spacing w:after="0"/>
        <w:tabs>
          <w:tab w:leader="none" w:pos="128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Guarantees of any Debt otherwise permitted to be incurred hereunder;</w:t>
      </w:r>
    </w:p>
    <w:p>
      <w:pPr>
        <w:spacing w:after="0" w:line="179" w:lineRule="exact"/>
        <w:rPr>
          <w:rFonts w:ascii="Arial" w:cs="Arial" w:eastAsia="Arial" w:hAnsi="Arial"/>
          <w:sz w:val="22"/>
          <w:szCs w:val="22"/>
          <w:color w:val="auto"/>
        </w:rPr>
      </w:pPr>
    </w:p>
    <w:p>
      <w:pPr>
        <w:ind w:left="1284" w:hanging="636"/>
        <w:spacing w:after="0"/>
        <w:tabs>
          <w:tab w:leader="none" w:pos="1284" w:val="left"/>
        </w:tabs>
        <w:numPr>
          <w:ilvl w:val="1"/>
          <w:numId w:val="169"/>
        </w:numPr>
        <w:rPr>
          <w:rFonts w:ascii="Arial" w:cs="Arial" w:eastAsia="Arial" w:hAnsi="Arial"/>
          <w:sz w:val="21"/>
          <w:szCs w:val="21"/>
          <w:color w:val="auto"/>
        </w:rPr>
      </w:pPr>
      <w:r>
        <w:rPr>
          <w:rFonts w:ascii="Arial" w:cs="Arial" w:eastAsia="Arial" w:hAnsi="Arial"/>
          <w:sz w:val="21"/>
          <w:szCs w:val="21"/>
          <w:color w:val="auto"/>
        </w:rPr>
        <w:t>Unsecured intercompany Debt among the Credit Parties or between Non-Guarantor Subsidiaries;</w:t>
      </w:r>
    </w:p>
    <w:p>
      <w:pPr>
        <w:spacing w:after="0" w:line="190" w:lineRule="exact"/>
        <w:rPr>
          <w:rFonts w:ascii="Arial" w:cs="Arial" w:eastAsia="Arial" w:hAnsi="Arial"/>
          <w:sz w:val="21"/>
          <w:szCs w:val="21"/>
          <w:color w:val="auto"/>
        </w:rPr>
      </w:pPr>
    </w:p>
    <w:p>
      <w:pPr>
        <w:ind w:left="1284" w:hanging="636"/>
        <w:spacing w:after="0"/>
        <w:tabs>
          <w:tab w:leader="none" w:pos="128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Investments in, and loans to, any Credit Party;</w:t>
      </w:r>
    </w:p>
    <w:p>
      <w:pPr>
        <w:spacing w:after="0" w:line="179" w:lineRule="exact"/>
        <w:rPr>
          <w:rFonts w:ascii="Arial" w:cs="Arial" w:eastAsia="Arial" w:hAnsi="Arial"/>
          <w:sz w:val="22"/>
          <w:szCs w:val="22"/>
          <w:color w:val="auto"/>
        </w:rPr>
      </w:pPr>
    </w:p>
    <w:p>
      <w:pPr>
        <w:ind w:left="4" w:firstLine="644"/>
        <w:spacing w:after="0" w:line="232" w:lineRule="auto"/>
        <w:tabs>
          <w:tab w:leader="none" w:pos="129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Investments in, and loans to, any Non-Guarantor Subsidiary in an aggregate amount not to exceed $25,000,000 at any time outstanding;</w:t>
      </w:r>
    </w:p>
    <w:p>
      <w:pPr>
        <w:spacing w:after="0" w:line="158" w:lineRule="exact"/>
        <w:rPr>
          <w:rFonts w:ascii="Arial" w:cs="Arial" w:eastAsia="Arial" w:hAnsi="Arial"/>
          <w:sz w:val="22"/>
          <w:szCs w:val="22"/>
          <w:color w:val="auto"/>
        </w:rPr>
      </w:pPr>
    </w:p>
    <w:p>
      <w:pPr>
        <w:ind w:left="1304" w:hanging="656"/>
        <w:spacing w:after="0"/>
        <w:tabs>
          <w:tab w:leader="none" w:pos="130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Investments by any Non-Guarantor Subsidiary in another Non-Guarantor Subsidiary;</w:t>
      </w:r>
    </w:p>
    <w:p>
      <w:pPr>
        <w:spacing w:after="0" w:line="179" w:lineRule="exact"/>
        <w:rPr>
          <w:rFonts w:ascii="Arial" w:cs="Arial" w:eastAsia="Arial" w:hAnsi="Arial"/>
          <w:sz w:val="22"/>
          <w:szCs w:val="22"/>
          <w:color w:val="auto"/>
        </w:rPr>
      </w:pPr>
    </w:p>
    <w:p>
      <w:pPr>
        <w:ind w:left="1284" w:hanging="636"/>
        <w:spacing w:after="0"/>
        <w:tabs>
          <w:tab w:leader="none" w:pos="128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179" w:lineRule="exact"/>
        <w:rPr>
          <w:rFonts w:ascii="Arial" w:cs="Arial" w:eastAsia="Arial" w:hAnsi="Arial"/>
          <w:sz w:val="22"/>
          <w:szCs w:val="22"/>
          <w:color w:val="auto"/>
        </w:rPr>
      </w:pPr>
    </w:p>
    <w:p>
      <w:pPr>
        <w:jc w:val="both"/>
        <w:ind w:left="4" w:firstLine="644"/>
        <w:spacing w:after="0" w:line="229" w:lineRule="auto"/>
        <w:tabs>
          <w:tab w:leader="none" w:pos="1295" w:val="left"/>
        </w:tabs>
        <w:numPr>
          <w:ilvl w:val="1"/>
          <w:numId w:val="169"/>
        </w:numPr>
        <w:rPr>
          <w:rFonts w:ascii="Arial" w:cs="Arial" w:eastAsia="Arial" w:hAnsi="Arial"/>
          <w:sz w:val="21"/>
          <w:szCs w:val="21"/>
          <w:color w:val="auto"/>
        </w:rPr>
      </w:pPr>
      <w:r>
        <w:rPr>
          <w:rFonts w:ascii="Arial" w:cs="Arial" w:eastAsia="Arial" w:hAnsi="Arial"/>
          <w:sz w:val="21"/>
          <w:szCs w:val="21"/>
          <w:color w:val="auto"/>
        </w:rPr>
        <w:t xml:space="preserve">other Debt, Investments and Restricted Payments of the Company and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the initial creation, incurrence or assumption thereof, the Company is in pro forma compliance with each of the financial covenants set forth in Section 5.03 after giving effect to such Debt, Investments and Restricted Payment,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further that any acquisition shall not be a “hostile” acquisition.</w:t>
      </w:r>
    </w:p>
    <w:p>
      <w:pPr>
        <w:spacing w:after="0" w:line="158" w:lineRule="exact"/>
        <w:rPr>
          <w:rFonts w:ascii="Arial" w:cs="Arial" w:eastAsia="Arial" w:hAnsi="Arial"/>
          <w:sz w:val="21"/>
          <w:szCs w:val="21"/>
          <w:color w:val="auto"/>
        </w:rPr>
      </w:pPr>
    </w:p>
    <w:p>
      <w:pPr>
        <w:jc w:val="both"/>
        <w:ind w:left="-656" w:firstLine="656"/>
        <w:spacing w:after="0" w:line="247" w:lineRule="auto"/>
        <w:tabs>
          <w:tab w:leader="none" w:pos="637" w:val="left"/>
        </w:tabs>
        <w:numPr>
          <w:ilvl w:val="0"/>
          <w:numId w:val="169"/>
        </w:numPr>
        <w:rPr>
          <w:rFonts w:ascii="Arial" w:cs="Arial" w:eastAsia="Arial" w:hAnsi="Arial"/>
          <w:sz w:val="19"/>
          <w:szCs w:val="19"/>
          <w:color w:val="1F3763"/>
        </w:rPr>
      </w:pP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Enter into, or permit any of their Subsidiaries to enter into, any transaction or series of transactions, whether or not in the ordinary course of business, with any officer, director, shareholder or Affiliate involving aggregate payments or consideration in excess of $5,000,000, except (i) transactions on terms and conditions not materially less favorable then would be obtainable in a comparable arm’s-length transaction with a Person other than an officer, director, shareholder or Affiliate, (ii) transactions solely between or among the Company and/or any of its Subsidiaries, (iii) any Debt, Investment or Restricted Payment permitted by Section 5.02(d), and (iv) reasonable and customary compensation and reimbursements of expenses and indemnities provided to any director, officer or employee.</w:t>
      </w:r>
    </w:p>
    <w:p>
      <w:pPr>
        <w:sectPr>
          <w:pgSz w:w="11900" w:h="16838" w:orient="portrait"/>
          <w:cols w:equalWidth="0" w:num="1">
            <w:col w:w="10584"/>
          </w:cols>
          <w:pgMar w:left="976" w:top="1401" w:right="339" w:bottom="1440" w:gutter="0" w:footer="0" w:header="0"/>
        </w:sectPr>
      </w:pPr>
    </w:p>
    <w:bookmarkStart w:id="205" w:name="page206"/>
    <w:bookmarkEnd w:id="205"/>
    <w:p>
      <w:pPr>
        <w:jc w:val="both"/>
        <w:ind w:firstLine="656"/>
        <w:spacing w:after="0" w:line="221" w:lineRule="auto"/>
        <w:tabs>
          <w:tab w:leader="none" w:pos="1296" w:val="left"/>
        </w:tabs>
        <w:numPr>
          <w:ilvl w:val="0"/>
          <w:numId w:val="170"/>
        </w:numPr>
        <w:rPr>
          <w:rFonts w:ascii="Arial" w:cs="Arial" w:eastAsia="Arial" w:hAnsi="Arial"/>
          <w:sz w:val="21"/>
          <w:szCs w:val="21"/>
          <w:color w:val="1F3763"/>
        </w:rPr>
      </w:pPr>
      <w:r>
        <w:rPr>
          <w:rFonts w:ascii="Arial" w:cs="Arial" w:eastAsia="Arial" w:hAnsi="Arial"/>
          <w:sz w:val="21"/>
          <w:szCs w:val="21"/>
          <w:u w:val="single" w:color="auto"/>
          <w:color w:val="auto"/>
        </w:rPr>
        <w:t>Sale Leasebacks</w:t>
      </w:r>
      <w:r>
        <w:rPr>
          <w:rFonts w:ascii="Arial" w:cs="Arial" w:eastAsia="Arial" w:hAnsi="Arial"/>
          <w:sz w:val="21"/>
          <w:szCs w:val="21"/>
          <w:color w:val="auto"/>
        </w:rPr>
        <w:t>. Will not, nor permit any of its Subsidiaries to, directly or indirectly, become or remain liable as lessee or as guarantor or other surety with respect to any lease, whether an operating lease or a capital lease, of any property (whether real, personal or mixed), whether now owned or hereafter acquired, (a) which any Credit Party or any Subsidiary has sold or transferred or is to sell or transfer to a Person which is not a Credit Party or (b) which any Credit Party or any Subsidiary intends to use for substantially the same purpose as any other property which has been sold or is to be sold or transferred by a Credit Party or a Subsidiary to another Person which is not a Credit Party in connection with such lease, in each case unless (i) any capital lease obligations arising in connection therewith are permitted under Section 5.02(d) and (ii) any Liens arising in connection therewith (including Liens deemed to arise in connection with any such capital lease obligations) are permitted under Section 5.02(a).</w:t>
      </w:r>
    </w:p>
    <w:p>
      <w:pPr>
        <w:spacing w:after="0" w:line="158" w:lineRule="exact"/>
        <w:rPr>
          <w:rFonts w:ascii="Arial" w:cs="Arial" w:eastAsia="Arial" w:hAnsi="Arial"/>
          <w:sz w:val="21"/>
          <w:szCs w:val="21"/>
          <w:color w:val="1F3763"/>
        </w:rPr>
      </w:pPr>
    </w:p>
    <w:p>
      <w:pPr>
        <w:jc w:val="both"/>
        <w:ind w:firstLine="656"/>
        <w:spacing w:after="0" w:line="241" w:lineRule="auto"/>
        <w:tabs>
          <w:tab w:leader="none" w:pos="1291" w:val="left"/>
        </w:tabs>
        <w:numPr>
          <w:ilvl w:val="0"/>
          <w:numId w:val="170"/>
        </w:numPr>
        <w:rPr>
          <w:rFonts w:ascii="Arial" w:cs="Arial" w:eastAsia="Arial" w:hAnsi="Arial"/>
          <w:sz w:val="19"/>
          <w:szCs w:val="19"/>
          <w:color w:val="1F3763"/>
        </w:rPr>
      </w:pPr>
      <w:r>
        <w:rPr>
          <w:rFonts w:ascii="Arial" w:cs="Arial" w:eastAsia="Arial" w:hAnsi="Arial"/>
          <w:sz w:val="19"/>
          <w:szCs w:val="19"/>
          <w:u w:val="single" w:color="auto"/>
          <w:color w:val="auto"/>
        </w:rPr>
        <w:t>No Further Negative Pledges</w:t>
      </w:r>
      <w:r>
        <w:rPr>
          <w:rFonts w:ascii="Arial" w:cs="Arial" w:eastAsia="Arial" w:hAnsi="Arial"/>
          <w:sz w:val="19"/>
          <w:szCs w:val="19"/>
          <w:color w:val="auto"/>
        </w:rPr>
        <w:t xml:space="preserve">. Assume or become, or permit any of its Subsidiaries to assume or become, subject to any agreement prohibiting or otherwise restricting the creation or assumption of any Lien upon any of their properties or assets, whether now owned or hereafter acquired, to secure any Borrower Obligations, except (i) pursuant to this Agreement and the other Loan Documents, (ii) restrictions and conditions imposed by Applicable Law or existing on the Effective Date, (iii) pursuant to any document or instrument governing Debt incurred pursuant to Section 5.02(d)(iii);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restrictions apply only to the assets securing such Debt, (iv) in connection with any Permitted Lien or Lien permitted under Section 5.02(a) or any document or instrument governing any Permitted Lien or such other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restriction contained therein relates only to the asset or assets subject to such Permitted Lien, (v) customary restrictions contained in agreements relating to the sale of assets that are applicable solely pending such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apply only to the assets to be sold, (vi) restrictions imposed by agreements relating to Debt of any Subsidiary in existence at the time such Subsidiary became a Subsidiary, (vii) customary provisions in leases and other agreements restricting the assignment thereof, (viii) in the case of any Subsidiary that is not a Wholly-Owned Subsidiary, restrictions imposed by its organizational documents or any related joint venture or similar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apply only to such Subsidiary and to any Equity Interests in such Subsidiary and (ix) restrictions imposed by the definitive documentation related to the Company’s 5.75% unsecured notes due 2026 and any refinancing thereof on terms substantially similar to such unsecured notes.</w:t>
      </w:r>
    </w:p>
    <w:p>
      <w:pPr>
        <w:spacing w:after="0" w:line="37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2F5496"/>
        </w:rPr>
        <w:t xml:space="preserve">SECTION 1.03. </w:t>
      </w:r>
      <w:r>
        <w:rPr>
          <w:rFonts w:ascii="Arial" w:cs="Arial" w:eastAsia="Arial" w:hAnsi="Arial"/>
          <w:sz w:val="23"/>
          <w:szCs w:val="23"/>
          <w:u w:val="single" w:color="auto"/>
          <w:color w:val="000000"/>
        </w:rPr>
        <w:t>Financial Covenants</w:t>
      </w:r>
      <w:r>
        <w:rPr>
          <w:rFonts w:ascii="Arial" w:cs="Arial" w:eastAsia="Arial" w:hAnsi="Arial"/>
          <w:sz w:val="22"/>
          <w:szCs w:val="22"/>
          <w:color w:val="000000"/>
        </w:rPr>
        <w:t>. So long as any Advance shall remain unpaid or any Lender shall have any</w:t>
      </w:r>
      <w:r>
        <w:rPr>
          <w:rFonts w:ascii="Arial" w:cs="Arial" w:eastAsia="Arial" w:hAnsi="Arial"/>
          <w:sz w:val="22"/>
          <w:szCs w:val="22"/>
          <w:color w:val="2F5496"/>
        </w:rPr>
        <w:t xml:space="preserve"> </w:t>
      </w:r>
      <w:r>
        <w:rPr>
          <w:rFonts w:ascii="Arial" w:cs="Arial" w:eastAsia="Arial" w:hAnsi="Arial"/>
          <w:sz w:val="22"/>
          <w:szCs w:val="22"/>
          <w:color w:val="000000"/>
        </w:rPr>
        <w:t>Commitment hereunder, the Company and its Subsidiaries will maintain, as of the end of each fiscal quarter beginning with the fiscal quarter ending June 30, 2018:</w:t>
      </w:r>
    </w:p>
    <w:p>
      <w:pPr>
        <w:spacing w:after="0" w:line="160" w:lineRule="exact"/>
        <w:rPr>
          <w:sz w:val="20"/>
          <w:szCs w:val="20"/>
          <w:color w:val="auto"/>
        </w:rPr>
      </w:pPr>
    </w:p>
    <w:p>
      <w:pPr>
        <w:ind w:left="1300" w:hanging="644"/>
        <w:spacing w:after="0"/>
        <w:tabs>
          <w:tab w:leader="none" w:pos="1300" w:val="left"/>
        </w:tabs>
        <w:numPr>
          <w:ilvl w:val="0"/>
          <w:numId w:val="171"/>
        </w:numPr>
        <w:rPr>
          <w:rFonts w:ascii="Arial" w:cs="Arial" w:eastAsia="Arial" w:hAnsi="Arial"/>
          <w:sz w:val="22"/>
          <w:szCs w:val="22"/>
          <w:color w:val="1F3763"/>
        </w:rPr>
      </w:pPr>
      <w:r>
        <w:rPr>
          <w:rFonts w:ascii="Arial" w:cs="Arial" w:eastAsia="Arial" w:hAnsi="Arial"/>
          <w:sz w:val="22"/>
          <w:szCs w:val="22"/>
          <w:color w:val="auto"/>
        </w:rPr>
        <w:t>a Total Net Leverage Ratio of not greater than 3.50 to 1.00; and</w:t>
      </w:r>
    </w:p>
    <w:p>
      <w:pPr>
        <w:spacing w:after="0" w:line="179" w:lineRule="exact"/>
        <w:rPr>
          <w:rFonts w:ascii="Arial" w:cs="Arial" w:eastAsia="Arial" w:hAnsi="Arial"/>
          <w:sz w:val="22"/>
          <w:szCs w:val="22"/>
          <w:color w:val="1F3763"/>
        </w:rPr>
      </w:pPr>
    </w:p>
    <w:p>
      <w:pPr>
        <w:ind w:left="1300" w:hanging="644"/>
        <w:spacing w:after="0"/>
        <w:tabs>
          <w:tab w:leader="none" w:pos="1300" w:val="left"/>
        </w:tabs>
        <w:numPr>
          <w:ilvl w:val="0"/>
          <w:numId w:val="171"/>
        </w:numPr>
        <w:rPr>
          <w:rFonts w:ascii="Arial" w:cs="Arial" w:eastAsia="Arial" w:hAnsi="Arial"/>
          <w:sz w:val="22"/>
          <w:szCs w:val="22"/>
          <w:color w:val="1F3763"/>
        </w:rPr>
      </w:pPr>
      <w:r>
        <w:rPr>
          <w:rFonts w:ascii="Arial" w:cs="Arial" w:eastAsia="Arial" w:hAnsi="Arial"/>
          <w:sz w:val="22"/>
          <w:szCs w:val="22"/>
          <w:color w:val="auto"/>
        </w:rPr>
        <w:t>a Consolidated Interest Coverage Ratio of not less than 3.50 to 1.00.</w:t>
      </w:r>
    </w:p>
    <w:p>
      <w:pPr>
        <w:spacing w:after="0" w:line="179" w:lineRule="exact"/>
        <w:rPr>
          <w:rFonts w:ascii="Arial" w:cs="Arial" w:eastAsia="Arial" w:hAnsi="Arial"/>
          <w:sz w:val="22"/>
          <w:szCs w:val="22"/>
          <w:color w:val="1F3763"/>
        </w:rPr>
      </w:pPr>
    </w:p>
    <w:p>
      <w:pPr>
        <w:ind w:left="4980"/>
        <w:spacing w:after="0"/>
        <w:rPr>
          <w:rFonts w:ascii="Arial" w:cs="Arial" w:eastAsia="Arial" w:hAnsi="Arial"/>
          <w:sz w:val="22"/>
          <w:szCs w:val="22"/>
          <w:color w:val="1F3763"/>
        </w:rPr>
      </w:pPr>
      <w:r>
        <w:rPr>
          <w:rFonts w:ascii="Arial" w:cs="Arial" w:eastAsia="Arial" w:hAnsi="Arial"/>
          <w:sz w:val="22"/>
          <w:szCs w:val="22"/>
          <w:color w:val="auto"/>
        </w:rPr>
        <w:t>ARTICLE VI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EVENTS OF DEFAULT</w:t>
      </w:r>
    </w:p>
    <w:p>
      <w:pPr>
        <w:spacing w:after="0" w:line="175"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2F5496"/>
        </w:rPr>
        <w:t xml:space="preserve">SECTION 1.01. </w:t>
      </w:r>
      <w:r>
        <w:rPr>
          <w:rFonts w:ascii="Arial" w:cs="Arial" w:eastAsia="Arial" w:hAnsi="Arial"/>
          <w:sz w:val="23"/>
          <w:szCs w:val="23"/>
          <w:u w:val="single" w:color="auto"/>
          <w:color w:val="000000"/>
        </w:rPr>
        <w:t>Events of Default</w:t>
      </w:r>
      <w:r>
        <w:rPr>
          <w:rFonts w:ascii="Arial" w:cs="Arial" w:eastAsia="Arial" w:hAnsi="Arial"/>
          <w:sz w:val="22"/>
          <w:szCs w:val="22"/>
          <w:color w:val="000000"/>
        </w:rPr>
        <w:t>. If any of the following events (“Events of Default”) shall occur and be</w:t>
      </w:r>
      <w:r>
        <w:rPr>
          <w:rFonts w:ascii="Arial" w:cs="Arial" w:eastAsia="Arial" w:hAnsi="Arial"/>
          <w:sz w:val="22"/>
          <w:szCs w:val="22"/>
          <w:color w:val="2F5496"/>
        </w:rPr>
        <w:t xml:space="preserve"> </w:t>
      </w:r>
      <w:r>
        <w:rPr>
          <w:rFonts w:ascii="Arial" w:cs="Arial" w:eastAsia="Arial" w:hAnsi="Arial"/>
          <w:sz w:val="22"/>
          <w:szCs w:val="22"/>
          <w:color w:val="000000"/>
        </w:rPr>
        <w:t>continuing:</w:t>
      </w:r>
    </w:p>
    <w:p>
      <w:pPr>
        <w:spacing w:after="0" w:line="159" w:lineRule="exact"/>
        <w:rPr>
          <w:sz w:val="20"/>
          <w:szCs w:val="20"/>
          <w:color w:val="auto"/>
        </w:rPr>
      </w:pPr>
    </w:p>
    <w:p>
      <w:pPr>
        <w:jc w:val="both"/>
        <w:ind w:firstLine="656"/>
        <w:spacing w:after="0" w:line="223" w:lineRule="auto"/>
        <w:tabs>
          <w:tab w:leader="none" w:pos="1293" w:val="left"/>
        </w:tabs>
        <w:numPr>
          <w:ilvl w:val="0"/>
          <w:numId w:val="172"/>
        </w:numPr>
        <w:rPr>
          <w:rFonts w:ascii="Arial" w:cs="Arial" w:eastAsia="Arial" w:hAnsi="Arial"/>
          <w:sz w:val="22"/>
          <w:szCs w:val="22"/>
          <w:color w:val="1F3763"/>
        </w:rPr>
      </w:pPr>
      <w:r>
        <w:rPr>
          <w:rFonts w:ascii="Arial" w:cs="Arial" w:eastAsia="Arial" w:hAnsi="Arial"/>
          <w:sz w:val="22"/>
          <w:szCs w:val="22"/>
          <w:color w:val="auto"/>
        </w:rPr>
        <w:t>Any principal of any Advance shall not be paid when the same becomes due and payable (or, if any such failure is due solely to technical or administrative difficulties relating to the transfer of such principal payment, within two Business Days after the same becomes due</w:t>
      </w:r>
    </w:p>
    <w:p>
      <w:pPr>
        <w:sectPr>
          <w:pgSz w:w="11900" w:h="16838" w:orient="portrait"/>
          <w:cols w:equalWidth="0" w:num="1">
            <w:col w:w="11240"/>
          </w:cols>
          <w:pgMar w:left="320" w:top="1401" w:right="339" w:bottom="1440" w:gutter="0" w:footer="0" w:header="0"/>
        </w:sectPr>
      </w:pPr>
    </w:p>
    <w:bookmarkStart w:id="206" w:name="page207"/>
    <w:bookmarkEnd w:id="206"/>
    <w:p>
      <w:pPr>
        <w:ind w:right="20"/>
        <w:spacing w:after="0" w:line="247" w:lineRule="auto"/>
        <w:rPr>
          <w:sz w:val="20"/>
          <w:szCs w:val="20"/>
          <w:color w:val="auto"/>
        </w:rPr>
      </w:pPr>
      <w:r>
        <w:rPr>
          <w:rFonts w:ascii="Arial" w:cs="Arial" w:eastAsia="Arial" w:hAnsi="Arial"/>
          <w:sz w:val="21"/>
          <w:szCs w:val="21"/>
          <w:color w:val="auto"/>
        </w:rPr>
        <w:t>and payable); or any interest on any Advance or any other fees or other amounts payable under this Agreement or any other Loan Document shall not be paid within three Business Days after the same becomes due and payable; or</w:t>
      </w:r>
    </w:p>
    <w:p>
      <w:pPr>
        <w:spacing w:after="0" w:line="151" w:lineRule="exact"/>
        <w:rPr>
          <w:sz w:val="20"/>
          <w:szCs w:val="20"/>
          <w:color w:val="auto"/>
        </w:rPr>
      </w:pPr>
    </w:p>
    <w:p>
      <w:pPr>
        <w:ind w:firstLine="656"/>
        <w:spacing w:after="0" w:line="298" w:lineRule="auto"/>
        <w:tabs>
          <w:tab w:leader="none" w:pos="1291" w:val="left"/>
        </w:tabs>
        <w:numPr>
          <w:ilvl w:val="0"/>
          <w:numId w:val="173"/>
        </w:numPr>
        <w:rPr>
          <w:rFonts w:ascii="Arial" w:cs="Arial" w:eastAsia="Arial" w:hAnsi="Arial"/>
          <w:sz w:val="19"/>
          <w:szCs w:val="19"/>
          <w:color w:val="1F3763"/>
        </w:rPr>
      </w:pPr>
      <w:r>
        <w:rPr>
          <w:rFonts w:ascii="Arial" w:cs="Arial" w:eastAsia="Arial" w:hAnsi="Arial"/>
          <w:sz w:val="19"/>
          <w:szCs w:val="19"/>
          <w:color w:val="auto"/>
        </w:rPr>
        <w:t>Any representation or warranty made by any Credit Party in any Loan Document or by any Credit Party (or any of its officers) in connection with any Loan Document shall prove to have been incorrect in any material respect when made; or</w:t>
      </w:r>
    </w:p>
    <w:p>
      <w:pPr>
        <w:spacing w:after="0" w:line="105" w:lineRule="exact"/>
        <w:rPr>
          <w:rFonts w:ascii="Arial" w:cs="Arial" w:eastAsia="Arial" w:hAnsi="Arial"/>
          <w:sz w:val="19"/>
          <w:szCs w:val="19"/>
          <w:color w:val="1F3763"/>
        </w:rPr>
      </w:pPr>
    </w:p>
    <w:p>
      <w:pPr>
        <w:jc w:val="both"/>
        <w:ind w:firstLine="656"/>
        <w:spacing w:after="0" w:line="257" w:lineRule="auto"/>
        <w:tabs>
          <w:tab w:leader="none" w:pos="1293" w:val="left"/>
        </w:tabs>
        <w:numPr>
          <w:ilvl w:val="0"/>
          <w:numId w:val="173"/>
        </w:numPr>
        <w:rPr>
          <w:rFonts w:ascii="Arial" w:cs="Arial" w:eastAsia="Arial" w:hAnsi="Arial"/>
          <w:sz w:val="19"/>
          <w:szCs w:val="19"/>
          <w:color w:val="1F3763"/>
        </w:rPr>
      </w:pPr>
      <w:r>
        <w:rPr>
          <w:rFonts w:ascii="Arial" w:cs="Arial" w:eastAsia="Arial" w:hAnsi="Arial"/>
          <w:sz w:val="19"/>
          <w:szCs w:val="19"/>
          <w:color w:val="auto"/>
        </w:rPr>
        <w:t>(i) Any Credit Party shall fail to perform or observe any term, covenant or agreement contained in Section 2.16, 5.01(d) or (i)(iii), 5.02 or 5.03, or (ii) any Credit Party shall fail to perform or observe any other term, covenant or agreement contained in this Agreement on its part to be performed or observed if such failure shall remain unremedied for 30 days after written notice thereof shall have been given to the Company by the Administrative Agent or any Lender; or</w:t>
      </w:r>
    </w:p>
    <w:p>
      <w:pPr>
        <w:spacing w:after="0" w:line="144" w:lineRule="exact"/>
        <w:rPr>
          <w:rFonts w:ascii="Arial" w:cs="Arial" w:eastAsia="Arial" w:hAnsi="Arial"/>
          <w:sz w:val="19"/>
          <w:szCs w:val="19"/>
          <w:color w:val="1F3763"/>
        </w:rPr>
      </w:pPr>
    </w:p>
    <w:p>
      <w:pPr>
        <w:jc w:val="both"/>
        <w:ind w:firstLine="656"/>
        <w:spacing w:after="0" w:line="220" w:lineRule="auto"/>
        <w:tabs>
          <w:tab w:leader="none" w:pos="1291" w:val="left"/>
        </w:tabs>
        <w:numPr>
          <w:ilvl w:val="0"/>
          <w:numId w:val="173"/>
        </w:numPr>
        <w:rPr>
          <w:rFonts w:ascii="Arial" w:cs="Arial" w:eastAsia="Arial" w:hAnsi="Arial"/>
          <w:sz w:val="21"/>
          <w:szCs w:val="21"/>
          <w:color w:val="1F3763"/>
        </w:rPr>
      </w:pPr>
      <w:r>
        <w:rPr>
          <w:rFonts w:ascii="Arial" w:cs="Arial" w:eastAsia="Arial" w:hAnsi="Arial"/>
          <w:sz w:val="21"/>
          <w:szCs w:val="21"/>
          <w:color w:val="auto"/>
        </w:rPr>
        <w:t xml:space="preserve">(i) The Company and/or any of its Subsidiaries shall fail to pay any principal of or premium or interest on any Debt (other than Non-Recourse Debt), individually or collectively, that is outstanding in a principal amount of at least $35,000,000 in the aggregate (but excluding Debt outstanding hereunder), when the same becomes due and payable (whether by scheduled maturity, required prepayment, acceleration, demand or otherwise),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(d)(ii) shall not apply to secured Debt that becomes due as a result of the voluntary sale or transfer of the property or assets securing such Debt if the amount that becomes due is promptly paid; or</w:t>
      </w:r>
    </w:p>
    <w:p>
      <w:pPr>
        <w:spacing w:after="0" w:line="162" w:lineRule="exact"/>
        <w:rPr>
          <w:rFonts w:ascii="Arial" w:cs="Arial" w:eastAsia="Arial" w:hAnsi="Arial"/>
          <w:sz w:val="21"/>
          <w:szCs w:val="21"/>
          <w:color w:val="1F3763"/>
        </w:rPr>
      </w:pPr>
    </w:p>
    <w:p>
      <w:pPr>
        <w:jc w:val="both"/>
        <w:ind w:firstLine="656"/>
        <w:spacing w:after="0" w:line="241" w:lineRule="auto"/>
        <w:tabs>
          <w:tab w:leader="none" w:pos="1293" w:val="left"/>
        </w:tabs>
        <w:numPr>
          <w:ilvl w:val="0"/>
          <w:numId w:val="173"/>
        </w:numPr>
        <w:rPr>
          <w:rFonts w:ascii="Arial" w:cs="Arial" w:eastAsia="Arial" w:hAnsi="Arial"/>
          <w:sz w:val="19"/>
          <w:szCs w:val="19"/>
          <w:color w:val="1F3763"/>
        </w:rPr>
      </w:pPr>
      <w:r>
        <w:rPr>
          <w:rFonts w:ascii="Arial" w:cs="Arial" w:eastAsia="Arial" w:hAnsi="Arial"/>
          <w:sz w:val="19"/>
          <w:szCs w:val="19"/>
          <w:color w:val="auto"/>
        </w:rPr>
        <w:t>Any Credit Party or any of the Company’s Significant Subsidiaries shall generally not pay its debts as such debts become due, or shall admit in writing its inability to pay its debts generally, or shall make a general assignment for the benefit of creditors; a moratorium is declared in respect of any indebtedness of any Credit Party or any of the Company’s Significant Subsidiaries or any proceeding shall be instituted by or against any Credit Party or any of the Company’s Significant Subsidiaries seeking to adjudicate it bankrupt or insolvent, or seeking liquidation, winding up, reorganization (by way of voluntary arrangement, scheme or otherwise), dissolution, administration, judicial management, provisional supervision, arrangement, adjustment, protection, relief, or composition of it or its debts or any analogous procedure or step taken under any Debtor Relief Laws, or seeking the entry of an order for relief or the appointment of a receiver, trustee, custodian, judicial manager, administrator, administrative receiver, compulsory manager, provisional supervisor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judicial manager, administrator, administrative receiver, compulsory manager, provisional supervisor, liquidator or other similar official for, it or for any substantial part of its property shall occur or, in the case of any Foreign Borrower formed under the laws of Australia, any corporate action or legal proceedings are taken in relation to the appointment of a liquidator, receiver, administrator, administrative receiver, compulsory manager or other similar officer in respect of it or any of its assets; or any Credit Party or any of the Company’s Significant Subsidiaries shall take any corporate action to authorize any of the actions set forth above in this subsection (e); or</w:t>
      </w:r>
    </w:p>
    <w:p>
      <w:pPr>
        <w:sectPr>
          <w:pgSz w:w="11900" w:h="16838" w:orient="portrait"/>
          <w:cols w:equalWidth="0" w:num="1">
            <w:col w:w="11240"/>
          </w:cols>
          <w:pgMar w:left="320" w:top="1401" w:right="339" w:bottom="1440" w:gutter="0" w:footer="0" w:header="0"/>
        </w:sectPr>
      </w:pPr>
    </w:p>
    <w:bookmarkStart w:id="207" w:name="page208"/>
    <w:bookmarkEnd w:id="207"/>
    <w:p>
      <w:pPr>
        <w:jc w:val="both"/>
        <w:ind w:firstLine="656"/>
        <w:spacing w:after="0" w:line="244" w:lineRule="auto"/>
        <w:tabs>
          <w:tab w:leader="none" w:pos="1296" w:val="left"/>
        </w:tabs>
        <w:numPr>
          <w:ilvl w:val="0"/>
          <w:numId w:val="174"/>
        </w:numPr>
        <w:rPr>
          <w:rFonts w:ascii="Arial" w:cs="Arial" w:eastAsia="Arial" w:hAnsi="Arial"/>
          <w:sz w:val="19"/>
          <w:szCs w:val="19"/>
          <w:color w:val="1F3763"/>
        </w:rPr>
      </w:pPr>
      <w:r>
        <w:rPr>
          <w:rFonts w:ascii="Arial" w:cs="Arial" w:eastAsia="Arial" w:hAnsi="Arial"/>
          <w:sz w:val="19"/>
          <w:szCs w:val="19"/>
          <w:color w:val="auto"/>
        </w:rPr>
        <w:t xml:space="preserve">Any judgment or order of a court of competent jurisdiction for the payment of money in excess of $35,000,000 shall be rendered against any Credit Party or any of the Company’s Significant Subsidiaries, such judgment shall not be satisfied or otherwise discharged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60" w:lineRule="exact"/>
        <w:rPr>
          <w:rFonts w:ascii="Arial" w:cs="Arial" w:eastAsia="Arial" w:hAnsi="Arial"/>
          <w:sz w:val="19"/>
          <w:szCs w:val="19"/>
          <w:color w:val="1F3763"/>
        </w:rPr>
      </w:pPr>
    </w:p>
    <w:p>
      <w:pPr>
        <w:jc w:val="both"/>
        <w:ind w:firstLine="656"/>
        <w:spacing w:after="0" w:line="214" w:lineRule="auto"/>
        <w:tabs>
          <w:tab w:leader="none" w:pos="1291" w:val="left"/>
        </w:tabs>
        <w:numPr>
          <w:ilvl w:val="0"/>
          <w:numId w:val="174"/>
        </w:numPr>
        <w:rPr>
          <w:rFonts w:ascii="Arial" w:cs="Arial" w:eastAsia="Arial" w:hAnsi="Arial"/>
          <w:sz w:val="22"/>
          <w:szCs w:val="22"/>
          <w:color w:val="1F3763"/>
        </w:rPr>
      </w:pPr>
      <w:r>
        <w:rPr>
          <w:rFonts w:ascii="Arial" w:cs="Arial" w:eastAsia="Arial" w:hAnsi="Arial"/>
          <w:sz w:val="22"/>
          <w:szCs w:val="22"/>
          <w:color w:val="auto"/>
        </w:rPr>
        <w:t>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Company (or other securities convertible into such Voting Stock) representing 30% or more of the combined voting power of all Voting Stock of the Company and such combined voting power exceeds the then current voting power of the Voting Stock of the Company (or other securities convertible into such Voting Stock) controlled by the Graham Interests; or</w:t>
      </w:r>
    </w:p>
    <w:p>
      <w:pPr>
        <w:spacing w:after="0" w:line="158" w:lineRule="exact"/>
        <w:rPr>
          <w:rFonts w:ascii="Arial" w:cs="Arial" w:eastAsia="Arial" w:hAnsi="Arial"/>
          <w:sz w:val="22"/>
          <w:szCs w:val="22"/>
          <w:color w:val="1F3763"/>
        </w:rPr>
      </w:pPr>
    </w:p>
    <w:p>
      <w:pPr>
        <w:jc w:val="both"/>
        <w:ind w:firstLine="656"/>
        <w:spacing w:after="0" w:line="211" w:lineRule="auto"/>
        <w:tabs>
          <w:tab w:leader="none" w:pos="1291" w:val="left"/>
        </w:tabs>
        <w:numPr>
          <w:ilvl w:val="0"/>
          <w:numId w:val="174"/>
        </w:numPr>
        <w:rPr>
          <w:rFonts w:ascii="Arial" w:cs="Arial" w:eastAsia="Arial" w:hAnsi="Arial"/>
          <w:sz w:val="22"/>
          <w:szCs w:val="22"/>
          <w:color w:val="1F3763"/>
        </w:rPr>
      </w:pPr>
      <w:r>
        <w:rPr>
          <w:rFonts w:ascii="Arial" w:cs="Arial" w:eastAsia="Arial" w:hAnsi="Arial"/>
          <w:sz w:val="22"/>
          <w:szCs w:val="22"/>
          <w:color w:val="auto"/>
        </w:rPr>
        <w:t xml:space="preserve">Any Credit Party or any of its ERISA Affiliates shall incur liability as a result of one or more of the following: (i) the occurrence of any ERISA Event; (ii) the partial or complete withdrawal of any Credit Party or any of its ERISA Affiliates from a Multiemployer Plan or a determination that a Multiemployer Plan is in “endangered” or “critical” status within the meaning of Section 432 of the Internal Revenue Code or Section 305 of ERISA; or (iii) the reorganization, insolvency or termination of a Multiemployer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event of any of the above and, in the reasonable opinion of the Required Lenders, such liability would reasonably be likely to result in a Material Adverse Effect, </w:t>
      </w:r>
      <w:r>
        <w:rPr>
          <w:rFonts w:ascii="Arial" w:cs="Arial" w:eastAsia="Arial" w:hAnsi="Arial"/>
          <w:sz w:val="22"/>
          <w:szCs w:val="22"/>
          <w:u w:val="single" w:color="auto"/>
          <w:color w:val="auto"/>
        </w:rPr>
        <w:t>provided</w:t>
      </w:r>
      <w:r>
        <w:rPr>
          <w:rFonts w:ascii="Arial" w:cs="Arial" w:eastAsia="Arial" w:hAnsi="Arial"/>
          <w:sz w:val="22"/>
          <w:szCs w:val="22"/>
          <w:color w:val="auto"/>
        </w:rPr>
        <w:t>, further, that any such liability in an amount not to exceed $35,000,000 shall be deemed not to be reasonably likely to result in a Material Adverse Effect;</w:t>
      </w:r>
    </w:p>
    <w:p>
      <w:pPr>
        <w:spacing w:after="0" w:line="164" w:lineRule="exact"/>
        <w:rPr>
          <w:rFonts w:ascii="Arial" w:cs="Arial" w:eastAsia="Arial" w:hAnsi="Arial"/>
          <w:sz w:val="22"/>
          <w:szCs w:val="22"/>
          <w:color w:val="1F3763"/>
        </w:rPr>
      </w:pPr>
    </w:p>
    <w:p>
      <w:pPr>
        <w:jc w:val="both"/>
        <w:ind w:firstLine="656"/>
        <w:spacing w:after="0" w:line="216" w:lineRule="auto"/>
        <w:tabs>
          <w:tab w:leader="none" w:pos="1284" w:val="left"/>
        </w:tabs>
        <w:numPr>
          <w:ilvl w:val="0"/>
          <w:numId w:val="174"/>
        </w:numPr>
        <w:rPr>
          <w:rFonts w:ascii="Arial" w:cs="Arial" w:eastAsia="Arial" w:hAnsi="Arial"/>
          <w:sz w:val="22"/>
          <w:szCs w:val="22"/>
          <w:color w:val="1F3763"/>
        </w:rPr>
      </w:pPr>
      <w:r>
        <w:rPr>
          <w:rFonts w:ascii="Arial" w:cs="Arial" w:eastAsia="Arial" w:hAnsi="Arial"/>
          <w:sz w:val="22"/>
          <w:szCs w:val="22"/>
          <w:color w:val="auto"/>
        </w:rPr>
        <w:t>At any time after the execution and delivery thereof, any Loan Document, for any reason other than the satisfaction in full of all Borrower Obligations, shall cease to be in full force and effect (other than in accordance with its terms) or shall be declared to be null and void, or any Credit Party shall contest the validity or enforceability of any Loan Document in writing or deny in writing that it has any further liability, including with respect to future advances by the Lenders, under any Loan Document to which it is a party; or</w:t>
      </w:r>
    </w:p>
    <w:p>
      <w:pPr>
        <w:spacing w:after="0" w:line="157" w:lineRule="exact"/>
        <w:rPr>
          <w:rFonts w:ascii="Arial" w:cs="Arial" w:eastAsia="Arial" w:hAnsi="Arial"/>
          <w:sz w:val="22"/>
          <w:szCs w:val="22"/>
          <w:color w:val="1F3763"/>
        </w:rPr>
      </w:pPr>
    </w:p>
    <w:p>
      <w:pPr>
        <w:jc w:val="both"/>
        <w:ind w:firstLine="656"/>
        <w:spacing w:after="0" w:line="268" w:lineRule="auto"/>
        <w:tabs>
          <w:tab w:leader="none" w:pos="1284" w:val="left"/>
        </w:tabs>
        <w:numPr>
          <w:ilvl w:val="0"/>
          <w:numId w:val="174"/>
        </w:numPr>
        <w:rPr>
          <w:rFonts w:ascii="Arial" w:cs="Arial" w:eastAsia="Arial" w:hAnsi="Arial"/>
          <w:sz w:val="19"/>
          <w:szCs w:val="19"/>
          <w:color w:val="1F3763"/>
        </w:rPr>
      </w:pPr>
      <w:r>
        <w:rPr>
          <w:rFonts w:ascii="Arial" w:cs="Arial" w:eastAsia="Arial" w:hAnsi="Arial"/>
          <w:sz w:val="19"/>
          <w:szCs w:val="19"/>
          <w:color w:val="auto"/>
        </w:rPr>
        <w:t>At any time after the Effective Date, the Guaranty, for any reason other than the satisfaction in full of all Borrower Obligations, shall cease to be in full force and effect (other than in accordance with its terms or the terms hereof) or shall be declared to be null and void, or any Credit Party shall contest the validity or enforceability of the Guaranty in writing;</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then, and in any such event, the Administrative Agent (i) shall at the request, or may with the consent, of the Required Lenders, by notice to the Company, declare the obligation of each Lender to make Advances to be terminated, whereupon the same shall forthwith terminate, (ii) shall at the request, or may with the consent, of the Required Lenders, by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each Credit Party, and (iii) shall at the request, or may with the consent, of the Required Lenders, exercise such other rights and</w:t>
      </w:r>
    </w:p>
    <w:p>
      <w:pPr>
        <w:sectPr>
          <w:pgSz w:w="11900" w:h="16838" w:orient="portrait"/>
          <w:cols w:equalWidth="0" w:num="1">
            <w:col w:w="11240"/>
          </w:cols>
          <w:pgMar w:left="320" w:top="1401" w:right="339" w:bottom="1440" w:gutter="0" w:footer="0" w:header="0"/>
        </w:sectPr>
      </w:pPr>
    </w:p>
    <w:bookmarkStart w:id="208" w:name="page209"/>
    <w:bookmarkEnd w:id="208"/>
    <w:p>
      <w:pPr>
        <w:jc w:val="both"/>
        <w:spacing w:after="0" w:line="216" w:lineRule="auto"/>
        <w:rPr>
          <w:sz w:val="20"/>
          <w:szCs w:val="20"/>
          <w:color w:val="auto"/>
        </w:rPr>
      </w:pPr>
      <w:r>
        <w:rPr>
          <w:rFonts w:ascii="Arial" w:cs="Arial" w:eastAsia="Arial" w:hAnsi="Arial"/>
          <w:sz w:val="22"/>
          <w:szCs w:val="22"/>
          <w:color w:val="auto"/>
        </w:rPr>
        <w:t xml:space="preserve">remedies as provided under the Loan Documents and under Applicable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of an actual or deemed entry of an order for relief with respect to any Credit Party under any Debtor Relief Laws, (A) the obligation of each Lender to make Advances shall automatically be terminated and (B) the Advances, all such interest and all such amounts shall automatically become and be due and payable, without presentment, demand, protest or any notice of any kind, all of which are hereby expressly waived by each Credit Party.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VII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ADMINISTRATIVE AGENT</w:t>
      </w:r>
    </w:p>
    <w:p>
      <w:pPr>
        <w:spacing w:after="0" w:line="17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2F5496"/>
        </w:rPr>
        <w:t xml:space="preserve">SECTION 1.01. </w:t>
      </w:r>
      <w:r>
        <w:rPr>
          <w:rFonts w:ascii="Arial" w:cs="Arial" w:eastAsia="Arial" w:hAnsi="Arial"/>
          <w:sz w:val="21"/>
          <w:szCs w:val="21"/>
          <w:u w:val="single" w:color="auto"/>
          <w:color w:val="000000"/>
        </w:rPr>
        <w:t>Appointment and Authority</w:t>
      </w:r>
      <w:r>
        <w:rPr>
          <w:rFonts w:ascii="Arial" w:cs="Arial" w:eastAsia="Arial" w:hAnsi="Arial"/>
          <w:sz w:val="20"/>
          <w:szCs w:val="20"/>
          <w:color w:val="000000"/>
        </w:rPr>
        <w:t>. Each of the Lenders hereby irrevocably appoints Wells Fargo Bank</w:t>
      </w:r>
      <w:r>
        <w:rPr>
          <w:rFonts w:ascii="Arial" w:cs="Arial" w:eastAsia="Arial" w:hAnsi="Arial"/>
          <w:sz w:val="20"/>
          <w:szCs w:val="20"/>
          <w:color w:val="2F5496"/>
        </w:rPr>
        <w:t xml:space="preserve"> </w:t>
      </w:r>
      <w:r>
        <w:rPr>
          <w:rFonts w:ascii="Arial" w:cs="Arial" w:eastAsia="Arial" w:hAnsi="Arial"/>
          <w:sz w:val="20"/>
          <w:szCs w:val="20"/>
          <w:color w:val="000000"/>
        </w:rPr>
        <w:t>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except as provided in Section 7.07, neither the Company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2F5496"/>
        </w:rPr>
        <w:t xml:space="preserve">SECTION 1.02. </w:t>
      </w:r>
      <w:r>
        <w:rPr>
          <w:rFonts w:ascii="Arial" w:cs="Arial" w:eastAsia="Arial" w:hAnsi="Arial"/>
          <w:sz w:val="21"/>
          <w:szCs w:val="21"/>
          <w:u w:val="single" w:color="auto"/>
          <w:color w:val="000000"/>
        </w:rPr>
        <w:t>Rights as a Lender</w:t>
      </w:r>
      <w:r>
        <w:rPr>
          <w:rFonts w:ascii="Arial" w:cs="Arial" w:eastAsia="Arial" w:hAnsi="Arial"/>
          <w:sz w:val="20"/>
          <w:szCs w:val="20"/>
          <w:color w:val="000000"/>
        </w:rPr>
        <w:t>. The Person serving as the Administrative Agent hereunder shall have the</w:t>
      </w:r>
      <w:r>
        <w:rPr>
          <w:rFonts w:ascii="Arial" w:cs="Arial" w:eastAsia="Arial" w:hAnsi="Arial"/>
          <w:sz w:val="20"/>
          <w:szCs w:val="20"/>
          <w:color w:val="2F5496"/>
        </w:rPr>
        <w:t xml:space="preserve"> </w:t>
      </w:r>
      <w:r>
        <w:rPr>
          <w:rFonts w:ascii="Arial" w:cs="Arial" w:eastAsia="Arial" w:hAnsi="Arial"/>
          <w:sz w:val="20"/>
          <w:szCs w:val="20"/>
          <w:color w:val="000000"/>
        </w:rPr>
        <w:t>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w:t>
      </w:r>
    </w:p>
    <w:p>
      <w:pPr>
        <w:spacing w:after="0" w:line="15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1.03.</w:t>
      </w:r>
      <w:r>
        <w:rPr>
          <w:sz w:val="20"/>
          <w:szCs w:val="20"/>
          <w:color w:val="auto"/>
        </w:rPr>
        <w:tab/>
      </w:r>
      <w:r>
        <w:rPr>
          <w:rFonts w:ascii="Arial" w:cs="Arial" w:eastAsia="Arial" w:hAnsi="Arial"/>
          <w:sz w:val="21"/>
          <w:szCs w:val="21"/>
          <w:u w:val="single" w:color="auto"/>
          <w:color w:val="auto"/>
        </w:rPr>
        <w:t>Exculpatory Provisions</w:t>
      </w:r>
      <w:r>
        <w:rPr>
          <w:rFonts w:ascii="Arial" w:cs="Arial" w:eastAsia="Arial" w:hAnsi="Arial"/>
          <w:sz w:val="19"/>
          <w:szCs w:val="19"/>
          <w:color w:val="auto"/>
        </w:rPr>
        <w:t>.</w:t>
      </w:r>
    </w:p>
    <w:p>
      <w:pPr>
        <w:spacing w:after="0" w:line="197" w:lineRule="exact"/>
        <w:rPr>
          <w:sz w:val="20"/>
          <w:szCs w:val="20"/>
          <w:color w:val="auto"/>
        </w:rPr>
      </w:pPr>
    </w:p>
    <w:p>
      <w:pPr>
        <w:jc w:val="both"/>
        <w:ind w:firstLine="656"/>
        <w:spacing w:after="0" w:line="223" w:lineRule="auto"/>
        <w:tabs>
          <w:tab w:leader="none" w:pos="1293" w:val="left"/>
        </w:tabs>
        <w:numPr>
          <w:ilvl w:val="0"/>
          <w:numId w:val="175"/>
        </w:numPr>
        <w:rPr>
          <w:rFonts w:ascii="Arial" w:cs="Arial" w:eastAsia="Arial" w:hAnsi="Arial"/>
          <w:sz w:val="22"/>
          <w:szCs w:val="22"/>
          <w:color w:val="1F3763"/>
        </w:rPr>
      </w:pPr>
      <w:r>
        <w:rPr>
          <w:rFonts w:ascii="Arial" w:cs="Arial" w:eastAsia="Arial" w:hAnsi="Arial"/>
          <w:sz w:val="22"/>
          <w:szCs w:val="22"/>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58" w:lineRule="exact"/>
        <w:rPr>
          <w:rFonts w:ascii="Arial" w:cs="Arial" w:eastAsia="Arial" w:hAnsi="Arial"/>
          <w:sz w:val="22"/>
          <w:szCs w:val="22"/>
          <w:color w:val="1F3763"/>
        </w:rPr>
      </w:pPr>
    </w:p>
    <w:p>
      <w:pPr>
        <w:ind w:left="660" w:firstLine="644"/>
        <w:spacing w:after="0" w:line="232" w:lineRule="auto"/>
        <w:tabs>
          <w:tab w:leader="none" w:pos="1944" w:val="left"/>
        </w:tabs>
        <w:numPr>
          <w:ilvl w:val="1"/>
          <w:numId w:val="175"/>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or Event of Default has occurred and is continuing;</w:t>
      </w:r>
    </w:p>
    <w:p>
      <w:pPr>
        <w:spacing w:after="0" w:line="158" w:lineRule="exact"/>
        <w:rPr>
          <w:rFonts w:ascii="Arial" w:cs="Arial" w:eastAsia="Arial" w:hAnsi="Arial"/>
          <w:sz w:val="22"/>
          <w:szCs w:val="22"/>
          <w:color w:val="auto"/>
        </w:rPr>
      </w:pPr>
    </w:p>
    <w:p>
      <w:pPr>
        <w:jc w:val="both"/>
        <w:ind w:left="660" w:firstLine="644"/>
        <w:spacing w:after="0" w:line="214" w:lineRule="auto"/>
        <w:tabs>
          <w:tab w:leader="none" w:pos="195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shall not be required to take any action that, in its opinion or the opinion of its counsel, may expose the Administrative</w:t>
      </w:r>
    </w:p>
    <w:p>
      <w:pPr>
        <w:sectPr>
          <w:pgSz w:w="11900" w:h="16838" w:orient="portrait"/>
          <w:cols w:equalWidth="0" w:num="1">
            <w:col w:w="11240"/>
          </w:cols>
          <w:pgMar w:left="320" w:top="1401" w:right="339" w:bottom="1440" w:gutter="0" w:footer="0" w:header="0"/>
        </w:sectPr>
      </w:pPr>
    </w:p>
    <w:bookmarkStart w:id="209" w:name="page210"/>
    <w:bookmarkEnd w:id="209"/>
    <w:p>
      <w:pPr>
        <w:jc w:val="both"/>
        <w:ind w:left="660"/>
        <w:spacing w:after="0" w:line="234" w:lineRule="auto"/>
        <w:rPr>
          <w:sz w:val="20"/>
          <w:szCs w:val="20"/>
          <w:color w:val="auto"/>
        </w:rPr>
      </w:pPr>
      <w:r>
        <w:rPr>
          <w:rFonts w:ascii="Arial" w:cs="Arial" w:eastAsia="Arial" w:hAnsi="Arial"/>
          <w:sz w:val="21"/>
          <w:szCs w:val="21"/>
          <w:color w:val="auto"/>
        </w:rPr>
        <w:t>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8" w:lineRule="exact"/>
        <w:rPr>
          <w:sz w:val="20"/>
          <w:szCs w:val="20"/>
          <w:color w:val="auto"/>
        </w:rPr>
      </w:pPr>
    </w:p>
    <w:p>
      <w:pPr>
        <w:jc w:val="both"/>
        <w:ind w:left="660" w:firstLine="644"/>
        <w:spacing w:after="0" w:line="218" w:lineRule="auto"/>
        <w:tabs>
          <w:tab w:leader="none" w:pos="1956" w:val="left"/>
        </w:tabs>
        <w:numPr>
          <w:ilvl w:val="2"/>
          <w:numId w:val="176"/>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other Loan Documents, have any duty to disclose, and shall not be liable for the failure to disclose, any information relating to the Company or any of its Subsidiaries or Affiliates that is communicated to or obtained by the Person serving as the Administrative Agent or any of its Affiliates in any capacity.</w:t>
      </w:r>
    </w:p>
    <w:p>
      <w:pPr>
        <w:spacing w:after="0" w:line="160" w:lineRule="exact"/>
        <w:rPr>
          <w:rFonts w:ascii="Arial" w:cs="Arial" w:eastAsia="Arial" w:hAnsi="Arial"/>
          <w:sz w:val="22"/>
          <w:szCs w:val="22"/>
          <w:color w:val="auto"/>
        </w:rPr>
      </w:pPr>
    </w:p>
    <w:p>
      <w:pPr>
        <w:jc w:val="both"/>
        <w:ind w:firstLine="656"/>
        <w:spacing w:after="0" w:line="212" w:lineRule="auto"/>
        <w:tabs>
          <w:tab w:leader="none" w:pos="1291" w:val="left"/>
        </w:tabs>
        <w:numPr>
          <w:ilvl w:val="1"/>
          <w:numId w:val="177"/>
        </w:numPr>
        <w:rPr>
          <w:rFonts w:ascii="Arial" w:cs="Arial" w:eastAsia="Arial" w:hAnsi="Arial"/>
          <w:sz w:val="22"/>
          <w:szCs w:val="22"/>
          <w:color w:val="1F3763"/>
        </w:rPr>
      </w:pPr>
      <w:r>
        <w:rPr>
          <w:rFonts w:ascii="Arial" w:cs="Arial" w:eastAsia="Arial" w:hAnsi="Arial"/>
          <w:sz w:val="22"/>
          <w:szCs w:val="22"/>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9.01 and 6.01)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in writing by any Borrower or a Lender.</w:t>
      </w:r>
    </w:p>
    <w:p>
      <w:pPr>
        <w:spacing w:after="0" w:line="163" w:lineRule="exact"/>
        <w:rPr>
          <w:rFonts w:ascii="Arial" w:cs="Arial" w:eastAsia="Arial" w:hAnsi="Arial"/>
          <w:sz w:val="22"/>
          <w:szCs w:val="22"/>
          <w:color w:val="1F3763"/>
        </w:rPr>
      </w:pPr>
    </w:p>
    <w:p>
      <w:pPr>
        <w:jc w:val="both"/>
        <w:ind w:firstLine="656"/>
        <w:spacing w:after="0" w:line="243" w:lineRule="auto"/>
        <w:tabs>
          <w:tab w:leader="none" w:pos="1293" w:val="left"/>
        </w:tabs>
        <w:numPr>
          <w:ilvl w:val="1"/>
          <w:numId w:val="177"/>
        </w:numPr>
        <w:rPr>
          <w:rFonts w:ascii="Arial" w:cs="Arial" w:eastAsia="Arial" w:hAnsi="Arial"/>
          <w:sz w:val="19"/>
          <w:szCs w:val="19"/>
          <w:color w:val="1F3763"/>
        </w:rPr>
      </w:pPr>
      <w:r>
        <w:rPr>
          <w:rFonts w:ascii="Arial" w:cs="Arial" w:eastAsia="Arial" w:hAnsi="Arial"/>
          <w:sz w:val="19"/>
          <w:szCs w:val="19"/>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2" w:lineRule="exact"/>
        <w:rPr>
          <w:rFonts w:ascii="Arial" w:cs="Arial" w:eastAsia="Arial" w:hAnsi="Arial"/>
          <w:sz w:val="19"/>
          <w:szCs w:val="19"/>
          <w:color w:val="1F3763"/>
        </w:rPr>
      </w:pPr>
    </w:p>
    <w:p>
      <w:pPr>
        <w:jc w:val="both"/>
        <w:ind w:firstLine="8"/>
        <w:spacing w:after="0" w:line="212" w:lineRule="auto"/>
        <w:tabs>
          <w:tab w:leader="none" w:pos="38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Administrative Agent.</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2F5496"/>
        </w:rPr>
        <w:t xml:space="preserve">SECTION 1.04. </w:t>
      </w:r>
      <w:r>
        <w:rPr>
          <w:rFonts w:ascii="Arial" w:cs="Arial" w:eastAsia="Arial" w:hAnsi="Arial"/>
          <w:sz w:val="21"/>
          <w:szCs w:val="21"/>
          <w:u w:val="single" w:color="auto"/>
          <w:color w:val="000000"/>
        </w:rPr>
        <w:t>Reliance by the Administrative Agent</w:t>
      </w:r>
      <w:r>
        <w:rPr>
          <w:rFonts w:ascii="Arial" w:cs="Arial" w:eastAsia="Arial" w:hAnsi="Arial"/>
          <w:sz w:val="20"/>
          <w:szCs w:val="20"/>
          <w:color w:val="000000"/>
        </w:rPr>
        <w:t>. The Administrative Agent shall be entitled to rely upon,</w:t>
      </w:r>
      <w:r>
        <w:rPr>
          <w:rFonts w:ascii="Arial" w:cs="Arial" w:eastAsia="Arial" w:hAnsi="Arial"/>
          <w:sz w:val="20"/>
          <w:szCs w:val="20"/>
          <w:color w:val="2F5496"/>
        </w:rPr>
        <w:t xml:space="preserve"> </w:t>
      </w:r>
      <w:r>
        <w:rPr>
          <w:rFonts w:ascii="Arial" w:cs="Arial" w:eastAsia="Arial" w:hAnsi="Arial"/>
          <w:sz w:val="20"/>
          <w:szCs w:val="20"/>
          <w:color w:val="000000"/>
        </w:rPr>
        <w:t>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Administrative Agent may presume that such condition is satisfactory to such Lender unless the Administrative Agent shall have received notice to the contrary from such Lender prior to the making of such Advance. The Administrative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16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2F5496"/>
        </w:rPr>
        <w:t xml:space="preserve">SECTION 1.05. </w:t>
      </w:r>
      <w:r>
        <w:rPr>
          <w:rFonts w:ascii="Arial" w:cs="Arial" w:eastAsia="Arial" w:hAnsi="Arial"/>
          <w:sz w:val="23"/>
          <w:szCs w:val="23"/>
          <w:u w:val="single" w:color="auto"/>
          <w:color w:val="000000"/>
        </w:rPr>
        <w:t>Indemnification</w:t>
      </w:r>
      <w:r>
        <w:rPr>
          <w:rFonts w:ascii="Arial" w:cs="Arial" w:eastAsia="Arial" w:hAnsi="Arial"/>
          <w:sz w:val="22"/>
          <w:szCs w:val="22"/>
          <w:color w:val="000000"/>
        </w:rPr>
        <w:t>. The Lenders agree to indemnify the Administrative Agent (to the extent not</w:t>
      </w:r>
      <w:r>
        <w:rPr>
          <w:rFonts w:ascii="Arial" w:cs="Arial" w:eastAsia="Arial" w:hAnsi="Arial"/>
          <w:sz w:val="22"/>
          <w:szCs w:val="22"/>
          <w:color w:val="2F5496"/>
        </w:rPr>
        <w:t xml:space="preserve"> </w:t>
      </w:r>
      <w:r>
        <w:rPr>
          <w:rFonts w:ascii="Arial" w:cs="Arial" w:eastAsia="Arial" w:hAnsi="Arial"/>
          <w:sz w:val="22"/>
          <w:szCs w:val="22"/>
          <w:color w:val="000000"/>
        </w:rPr>
        <w:t>reimbursed by the Credit Parties), ratably according to their Commitments, from and against any and all liabilities, obligations, losses, damages, penalties, actions, judgments, suits, costs, expenses or disbursements of any kind or nature whatsoever that may be imposed on, incurred by, or asserted against the Administrative Agent in</w:t>
      </w:r>
    </w:p>
    <w:p>
      <w:pPr>
        <w:sectPr>
          <w:pgSz w:w="11900" w:h="16838" w:orient="portrait"/>
          <w:cols w:equalWidth="0" w:num="1">
            <w:col w:w="11240"/>
          </w:cols>
          <w:pgMar w:left="320" w:top="1401" w:right="339" w:bottom="1440" w:gutter="0" w:footer="0" w:header="0"/>
        </w:sectPr>
      </w:pPr>
    </w:p>
    <w:bookmarkStart w:id="210" w:name="page211"/>
    <w:bookmarkEnd w:id="210"/>
    <w:p>
      <w:pPr>
        <w:jc w:val="both"/>
        <w:spacing w:after="0" w:line="246" w:lineRule="auto"/>
        <w:rPr>
          <w:sz w:val="20"/>
          <w:szCs w:val="20"/>
          <w:color w:val="auto"/>
        </w:rPr>
      </w:pPr>
      <w:r>
        <w:rPr>
          <w:rFonts w:ascii="Arial" w:cs="Arial" w:eastAsia="Arial" w:hAnsi="Arial"/>
          <w:sz w:val="19"/>
          <w:szCs w:val="19"/>
          <w:color w:val="auto"/>
        </w:rPr>
        <w:t xml:space="preserve">any way relating to or arising out of this Agreement or any action taken or omitted by the Administrative Agent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liable for any portion of such liabilities, obligations, losses, damages, penalties, actions, judgments, suits, costs, expenses or disbursements resulting from the Administrative Agent’s gross negligence or willful misconduct.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the Credit Parties.</w:t>
      </w:r>
    </w:p>
    <w:p>
      <w:pPr>
        <w:spacing w:after="0" w:line="14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2F5496"/>
        </w:rPr>
        <w:t xml:space="preserve">SECTION 1.06. </w:t>
      </w:r>
      <w:r>
        <w:rPr>
          <w:rFonts w:ascii="Arial" w:cs="Arial" w:eastAsia="Arial" w:hAnsi="Arial"/>
          <w:sz w:val="21"/>
          <w:szCs w:val="21"/>
          <w:u w:val="single" w:color="auto"/>
          <w:color w:val="000000"/>
        </w:rPr>
        <w:t>Delegation of Duties</w:t>
      </w:r>
      <w:r>
        <w:rPr>
          <w:rFonts w:ascii="Arial" w:cs="Arial" w:eastAsia="Arial" w:hAnsi="Arial"/>
          <w:sz w:val="20"/>
          <w:szCs w:val="20"/>
          <w:color w:val="000000"/>
        </w:rPr>
        <w:t>. The Administrative Agent may perform any and all of its duties and</w:t>
      </w:r>
      <w:r>
        <w:rPr>
          <w:rFonts w:ascii="Arial" w:cs="Arial" w:eastAsia="Arial" w:hAnsi="Arial"/>
          <w:sz w:val="20"/>
          <w:szCs w:val="20"/>
          <w:color w:val="2F5496"/>
        </w:rPr>
        <w:t xml:space="preserve"> </w:t>
      </w:r>
      <w:r>
        <w:rPr>
          <w:rFonts w:ascii="Arial" w:cs="Arial" w:eastAsia="Arial" w:hAnsi="Arial"/>
          <w:sz w:val="20"/>
          <w:szCs w:val="20"/>
          <w:color w:val="000000"/>
        </w:rPr>
        <w:t>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this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6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1.07.</w:t>
      </w:r>
      <w:r>
        <w:rPr>
          <w:sz w:val="20"/>
          <w:szCs w:val="20"/>
          <w:color w:val="auto"/>
        </w:rPr>
        <w:tab/>
      </w:r>
      <w:r>
        <w:rPr>
          <w:rFonts w:ascii="Arial" w:cs="Arial" w:eastAsia="Arial" w:hAnsi="Arial"/>
          <w:sz w:val="21"/>
          <w:szCs w:val="21"/>
          <w:u w:val="single" w:color="auto"/>
          <w:color w:val="auto"/>
        </w:rPr>
        <w:t>Resignation of Administrative Agent</w:t>
      </w:r>
      <w:r>
        <w:rPr>
          <w:rFonts w:ascii="Arial" w:cs="Arial" w:eastAsia="Arial" w:hAnsi="Arial"/>
          <w:sz w:val="19"/>
          <w:szCs w:val="19"/>
          <w:color w:val="auto"/>
        </w:rPr>
        <w:t>.</w:t>
      </w:r>
    </w:p>
    <w:p>
      <w:pPr>
        <w:spacing w:after="0" w:line="197" w:lineRule="exact"/>
        <w:rPr>
          <w:sz w:val="20"/>
          <w:szCs w:val="20"/>
          <w:color w:val="auto"/>
        </w:rPr>
      </w:pPr>
    </w:p>
    <w:p>
      <w:pPr>
        <w:jc w:val="both"/>
        <w:ind w:firstLine="656"/>
        <w:spacing w:after="0" w:line="221" w:lineRule="auto"/>
        <w:tabs>
          <w:tab w:leader="none" w:pos="1293" w:val="left"/>
        </w:tabs>
        <w:numPr>
          <w:ilvl w:val="0"/>
          <w:numId w:val="179"/>
        </w:numPr>
        <w:rPr>
          <w:rFonts w:ascii="Arial" w:cs="Arial" w:eastAsia="Arial" w:hAnsi="Arial"/>
          <w:sz w:val="21"/>
          <w:szCs w:val="21"/>
          <w:color w:val="1F3763"/>
        </w:rPr>
      </w:pPr>
      <w:r>
        <w:rPr>
          <w:rFonts w:ascii="Arial" w:cs="Arial" w:eastAsia="Arial" w:hAnsi="Arial"/>
          <w:sz w:val="21"/>
          <w:szCs w:val="21"/>
          <w:color w:val="auto"/>
        </w:rPr>
        <w:t>The Administrative Agent may at any time give notice of its resignation to the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21"/>
          <w:szCs w:val="21"/>
          <w:u w:val="single" w:color="auto"/>
          <w:color w:val="auto"/>
        </w:rPr>
        <w:t>Resignation Effective Date</w:t>
      </w:r>
      <w:r>
        <w:rPr>
          <w:rFonts w:ascii="Arial" w:cs="Arial" w:eastAsia="Arial" w:hAnsi="Arial"/>
          <w:sz w:val="21"/>
          <w:szCs w:val="21"/>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58" w:lineRule="exact"/>
        <w:rPr>
          <w:rFonts w:ascii="Arial" w:cs="Arial" w:eastAsia="Arial" w:hAnsi="Arial"/>
          <w:sz w:val="21"/>
          <w:szCs w:val="21"/>
          <w:color w:val="1F3763"/>
        </w:rPr>
      </w:pPr>
    </w:p>
    <w:p>
      <w:pPr>
        <w:jc w:val="both"/>
        <w:ind w:firstLine="656"/>
        <w:spacing w:after="0" w:line="247" w:lineRule="auto"/>
        <w:tabs>
          <w:tab w:leader="none" w:pos="1291" w:val="left"/>
        </w:tabs>
        <w:numPr>
          <w:ilvl w:val="0"/>
          <w:numId w:val="179"/>
        </w:numPr>
        <w:rPr>
          <w:rFonts w:ascii="Arial" w:cs="Arial" w:eastAsia="Arial" w:hAnsi="Arial"/>
          <w:sz w:val="19"/>
          <w:szCs w:val="19"/>
          <w:color w:val="1F3763"/>
        </w:rPr>
      </w:pPr>
      <w:r>
        <w:rPr>
          <w:rFonts w:ascii="Arial" w:cs="Arial" w:eastAsia="Arial" w:hAnsi="Arial"/>
          <w:sz w:val="19"/>
          <w:szCs w:val="19"/>
          <w:color w:val="auto"/>
        </w:rPr>
        <w:t>If the Person serving as Administrative Agent is a Defaulting Lender pursuant to clause (d) of the definition thereof, the Required Lenders or the Company, on behalf of the Borrowers, may, to the extent permitted by Applicable Law, by notice in writing to the Company, if being done by the Required Lenders, and such Person, remove such Person as Administrative Agent and, in consultation with the Company, appoint a successor. If no such successor shall have been so appointed by the Required Lenders or the Company, on behalf of the Borrowers, as applicable, and shall have accepted such appointment within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53" w:lineRule="exact"/>
        <w:rPr>
          <w:rFonts w:ascii="Arial" w:cs="Arial" w:eastAsia="Arial" w:hAnsi="Arial"/>
          <w:sz w:val="19"/>
          <w:szCs w:val="19"/>
          <w:color w:val="1F3763"/>
        </w:rPr>
      </w:pPr>
    </w:p>
    <w:p>
      <w:pPr>
        <w:jc w:val="both"/>
        <w:ind w:firstLine="656"/>
        <w:spacing w:after="0" w:line="223" w:lineRule="auto"/>
        <w:tabs>
          <w:tab w:leader="none" w:pos="1293" w:val="left"/>
        </w:tabs>
        <w:numPr>
          <w:ilvl w:val="0"/>
          <w:numId w:val="179"/>
        </w:numPr>
        <w:rPr>
          <w:rFonts w:ascii="Arial" w:cs="Arial" w:eastAsia="Arial" w:hAnsi="Arial"/>
          <w:sz w:val="22"/>
          <w:szCs w:val="22"/>
          <w:color w:val="1F3763"/>
        </w:rPr>
      </w:pPr>
      <w:r>
        <w:rPr>
          <w:rFonts w:ascii="Arial" w:cs="Arial" w:eastAsia="Arial" w:hAnsi="Arial"/>
          <w:sz w:val="22"/>
          <w:szCs w:val="22"/>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w:t>
      </w:r>
    </w:p>
    <w:p>
      <w:pPr>
        <w:sectPr>
          <w:pgSz w:w="11900" w:h="16838" w:orient="portrait"/>
          <w:cols w:equalWidth="0" w:num="1">
            <w:col w:w="11240"/>
          </w:cols>
          <w:pgMar w:left="320" w:top="1401" w:right="339" w:bottom="1440" w:gutter="0" w:footer="0" w:header="0"/>
        </w:sectPr>
      </w:pPr>
    </w:p>
    <w:bookmarkStart w:id="211" w:name="page212"/>
    <w:bookmarkEnd w:id="211"/>
    <w:p>
      <w:pPr>
        <w:jc w:val="both"/>
        <w:spacing w:after="0" w:line="242" w:lineRule="auto"/>
        <w:rPr>
          <w:sz w:val="20"/>
          <w:szCs w:val="20"/>
          <w:color w:val="auto"/>
        </w:rPr>
      </w:pPr>
      <w:r>
        <w:rPr>
          <w:rFonts w:ascii="Arial" w:cs="Arial" w:eastAsia="Arial" w:hAnsi="Arial"/>
          <w:sz w:val="19"/>
          <w:szCs w:val="19"/>
          <w:color w:val="auto"/>
        </w:rPr>
        <w:t>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Section 7.10 and Section 9.04 and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3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2F5496"/>
        </w:rPr>
        <w:t xml:space="preserve">SECTION 1.08. </w:t>
      </w:r>
      <w:r>
        <w:rPr>
          <w:rFonts w:ascii="Arial" w:cs="Arial" w:eastAsia="Arial" w:hAnsi="Arial"/>
          <w:sz w:val="21"/>
          <w:szCs w:val="21"/>
          <w:u w:val="single" w:color="auto"/>
          <w:color w:val="000000"/>
        </w:rPr>
        <w:t>Non-Reliance on Administrative Agent and Other Lenders</w:t>
      </w:r>
      <w:r>
        <w:rPr>
          <w:rFonts w:ascii="Arial" w:cs="Arial" w:eastAsia="Arial" w:hAnsi="Arial"/>
          <w:sz w:val="20"/>
          <w:szCs w:val="20"/>
          <w:color w:val="000000"/>
        </w:rPr>
        <w:t>. Each Lender acknowledges that it</w:t>
      </w:r>
      <w:r>
        <w:rPr>
          <w:rFonts w:ascii="Arial" w:cs="Arial" w:eastAsia="Arial" w:hAnsi="Arial"/>
          <w:sz w:val="20"/>
          <w:szCs w:val="20"/>
          <w:color w:val="2F5496"/>
        </w:rPr>
        <w:t xml:space="preserve"> </w:t>
      </w:r>
      <w:r>
        <w:rPr>
          <w:rFonts w:ascii="Arial" w:cs="Arial" w:eastAsia="Arial" w:hAnsi="Arial"/>
          <w:sz w:val="20"/>
          <w:szCs w:val="20"/>
          <w:color w:val="000000"/>
        </w:rPr>
        <w:t>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2F5496"/>
        </w:rPr>
        <w:t xml:space="preserve">SECTION 1.09. </w:t>
      </w:r>
      <w:r>
        <w:rPr>
          <w:rFonts w:ascii="Arial" w:cs="Arial" w:eastAsia="Arial" w:hAnsi="Arial"/>
          <w:sz w:val="23"/>
          <w:szCs w:val="23"/>
          <w:u w:val="single" w:color="auto"/>
          <w:color w:val="000000"/>
        </w:rPr>
        <w:t>No Other Duties, Etc</w:t>
      </w:r>
      <w:r>
        <w:rPr>
          <w:rFonts w:ascii="Arial" w:cs="Arial" w:eastAsia="Arial" w:hAnsi="Arial"/>
          <w:sz w:val="22"/>
          <w:szCs w:val="22"/>
          <w:color w:val="000000"/>
        </w:rPr>
        <w:t>. Anything herein to the contrary notwithstanding, none of the syndication</w:t>
      </w:r>
      <w:r>
        <w:rPr>
          <w:rFonts w:ascii="Arial" w:cs="Arial" w:eastAsia="Arial" w:hAnsi="Arial"/>
          <w:sz w:val="22"/>
          <w:szCs w:val="22"/>
          <w:color w:val="2F5496"/>
        </w:rPr>
        <w:t xml:space="preserve"> </w:t>
      </w:r>
      <w:r>
        <w:rPr>
          <w:rFonts w:ascii="Arial" w:cs="Arial" w:eastAsia="Arial" w:hAnsi="Arial"/>
          <w:sz w:val="22"/>
          <w:szCs w:val="22"/>
          <w:color w:val="000000"/>
        </w:rPr>
        <w:t>agents, documentation agents, co-agents, arrangers or bookrunners listed on the cover page hereof shall have any powers, duties or responsibilities under this Agreement or any of the other Loan Documents, except in its capacity, as applicable, as the Administrative Agent or a Lender.</w:t>
      </w:r>
    </w:p>
    <w:p>
      <w:pPr>
        <w:spacing w:after="0" w:line="1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2F5496"/>
        </w:rPr>
        <w:t xml:space="preserve">SECTION 1.10. </w:t>
      </w:r>
      <w:r>
        <w:rPr>
          <w:rFonts w:ascii="Arial" w:cs="Arial" w:eastAsia="Arial" w:hAnsi="Arial"/>
          <w:sz w:val="21"/>
          <w:szCs w:val="21"/>
          <w:u w:val="single" w:color="auto"/>
          <w:color w:val="000000"/>
        </w:rPr>
        <w:t>Guaranty Matters</w:t>
      </w:r>
      <w:r>
        <w:rPr>
          <w:rFonts w:ascii="Arial" w:cs="Arial" w:eastAsia="Arial" w:hAnsi="Arial"/>
          <w:sz w:val="20"/>
          <w:szCs w:val="20"/>
          <w:color w:val="000000"/>
        </w:rPr>
        <w:t>. Each of the Lenders irrevocably authorize the Administrative Agent, at its</w:t>
      </w:r>
      <w:r>
        <w:rPr>
          <w:rFonts w:ascii="Arial" w:cs="Arial" w:eastAsia="Arial" w:hAnsi="Arial"/>
          <w:sz w:val="20"/>
          <w:szCs w:val="20"/>
          <w:color w:val="2F5496"/>
        </w:rPr>
        <w:t xml:space="preserve"> </w:t>
      </w:r>
      <w:r>
        <w:rPr>
          <w:rFonts w:ascii="Arial" w:cs="Arial" w:eastAsia="Arial" w:hAnsi="Arial"/>
          <w:sz w:val="20"/>
          <w:szCs w:val="20"/>
          <w:color w:val="000000"/>
        </w:rPr>
        <w:t>option and in its discretion, to release any Guarantor from its obligations under any Loan Documents if such Person ceases to be a Material Domestic Subsidiary as a result of a transaction permitted under the Loan Documents. Upon request by the Administrative Agent at any time, the Required Lenders will confirm in writing the Administrative Agent’s authority to release any Guarantor from its obligations under this Agreement pursuant to this Section 7.10. In each case as specified in this Section 7.10, the Administrative Agent will, at the Borrowers’ expense, execute and deliver to the applicable Credit Party such documents as such Credit Party may reasonably request to release such Guarantor from its obligations under this Agreement, in each case in accordance with the terms of the Loan Documents and this Section 7.10.</w:t>
      </w:r>
    </w:p>
    <w:p>
      <w:pPr>
        <w:spacing w:after="0" w:line="160"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2"/>
          <w:szCs w:val="22"/>
          <w:color w:val="2F5496"/>
        </w:rPr>
        <w:t>SECTION 1.11.</w:t>
      </w:r>
      <w:r>
        <w:rPr>
          <w:sz w:val="20"/>
          <w:szCs w:val="20"/>
          <w:color w:val="auto"/>
        </w:rPr>
        <w:tab/>
      </w:r>
      <w:r>
        <w:rPr>
          <w:rFonts w:ascii="Arial" w:cs="Arial" w:eastAsia="Arial" w:hAnsi="Arial"/>
          <w:sz w:val="20"/>
          <w:szCs w:val="20"/>
          <w:u w:val="single" w:color="auto"/>
          <w:color w:val="auto"/>
        </w:rPr>
        <w:t>Erroneous Payments</w:t>
      </w:r>
      <w:r>
        <w:rPr>
          <w:rFonts w:ascii="Arial" w:cs="Arial" w:eastAsia="Arial" w:hAnsi="Arial"/>
          <w:sz w:val="18"/>
          <w:szCs w:val="18"/>
          <w:color w:val="auto"/>
        </w:rPr>
        <w:t>.</w:t>
      </w:r>
    </w:p>
    <w:p>
      <w:pPr>
        <w:spacing w:after="0" w:line="197" w:lineRule="exact"/>
        <w:rPr>
          <w:sz w:val="20"/>
          <w:szCs w:val="20"/>
          <w:color w:val="auto"/>
        </w:rPr>
      </w:pPr>
    </w:p>
    <w:p>
      <w:pPr>
        <w:jc w:val="both"/>
        <w:ind w:firstLine="656"/>
        <w:spacing w:after="0" w:line="268" w:lineRule="auto"/>
        <w:tabs>
          <w:tab w:leader="none" w:pos="1293" w:val="left"/>
        </w:tabs>
        <w:numPr>
          <w:ilvl w:val="0"/>
          <w:numId w:val="180"/>
        </w:numPr>
        <w:rPr>
          <w:rFonts w:ascii="Arial" w:cs="Arial" w:eastAsia="Arial" w:hAnsi="Arial"/>
          <w:sz w:val="19"/>
          <w:szCs w:val="19"/>
          <w:color w:val="1F3763"/>
        </w:rPr>
      </w:pPr>
      <w:r>
        <w:rPr>
          <w:rFonts w:ascii="Arial" w:cs="Arial" w:eastAsia="Arial" w:hAnsi="Arial"/>
          <w:sz w:val="19"/>
          <w:szCs w:val="19"/>
          <w:color w:val="auto"/>
        </w:rPr>
        <w:t>Each Lender and any other party hereto hereby severally agrees that if (i) the Administrative Agent notifies (which such notice shall be conclusive absent manifest error) such Lender or any other Person that has received funds from the Administrative Agent or any of its Affiliates, either for its own account or on behalf of a Lender (each such recipient, a “</w:t>
      </w:r>
      <w:r>
        <w:rPr>
          <w:rFonts w:ascii="Arial" w:cs="Arial" w:eastAsia="Arial" w:hAnsi="Arial"/>
          <w:sz w:val="19"/>
          <w:szCs w:val="19"/>
          <w:u w:val="single" w:color="auto"/>
          <w:color w:val="auto"/>
        </w:rPr>
        <w:t>Payment</w:t>
      </w:r>
    </w:p>
    <w:p>
      <w:pPr>
        <w:sectPr>
          <w:pgSz w:w="11900" w:h="16838" w:orient="portrait"/>
          <w:cols w:equalWidth="0" w:num="1">
            <w:col w:w="11240"/>
          </w:cols>
          <w:pgMar w:left="320" w:top="1401" w:right="339" w:bottom="1440" w:gutter="0" w:footer="0" w:header="0"/>
        </w:sectPr>
      </w:pPr>
    </w:p>
    <w:bookmarkStart w:id="212" w:name="page213"/>
    <w:bookmarkEnd w:id="212"/>
    <w:p>
      <w:pPr>
        <w:jc w:val="both"/>
        <w:spacing w:after="0" w:line="241" w:lineRule="auto"/>
        <w:rPr>
          <w:sz w:val="20"/>
          <w:szCs w:val="20"/>
          <w:color w:val="auto"/>
        </w:rPr>
      </w:pPr>
      <w:r>
        <w:rPr>
          <w:rFonts w:ascii="Arial" w:cs="Arial" w:eastAsia="Arial" w:hAnsi="Arial"/>
          <w:sz w:val="19"/>
          <w:szCs w:val="19"/>
          <w:u w:val="single" w:color="auto"/>
          <w:color w:val="auto"/>
        </w:rPr>
        <w:t>Recipient</w:t>
      </w:r>
      <w:r>
        <w:rPr>
          <w:rFonts w:ascii="Arial" w:cs="Arial" w:eastAsia="Arial" w:hAnsi="Arial"/>
          <w:sz w:val="19"/>
          <w:szCs w:val="19"/>
          <w:color w:val="auto"/>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7.11(a), whether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xml:space="preserve">”), then, in each case, such Payment Recipient is deemed to have knowledge of such error at the time of its receipt of such Erroneous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62" w:lineRule="exact"/>
        <w:rPr>
          <w:sz w:val="20"/>
          <w:szCs w:val="20"/>
          <w:color w:val="auto"/>
        </w:rPr>
      </w:pPr>
    </w:p>
    <w:p>
      <w:pPr>
        <w:ind w:firstLine="656"/>
        <w:spacing w:after="0" w:line="232" w:lineRule="auto"/>
        <w:tabs>
          <w:tab w:leader="none" w:pos="1291" w:val="left"/>
        </w:tabs>
        <w:numPr>
          <w:ilvl w:val="0"/>
          <w:numId w:val="181"/>
        </w:numPr>
        <w:rPr>
          <w:rFonts w:ascii="Arial" w:cs="Arial" w:eastAsia="Arial" w:hAnsi="Arial"/>
          <w:sz w:val="22"/>
          <w:szCs w:val="22"/>
          <w:color w:val="1F3763"/>
        </w:rPr>
      </w:pPr>
      <w:r>
        <w:rPr>
          <w:rFonts w:ascii="Arial" w:cs="Arial" w:eastAsia="Arial" w:hAnsi="Arial"/>
          <w:sz w:val="22"/>
          <w:szCs w:val="22"/>
          <w:color w:val="auto"/>
        </w:rPr>
        <w:t>Without limiting the immediately preceding clause (a), each Payment Recipient agrees that, in the case of clause (a)(ii) above, it shall promptly notify the Administrative Agent in writing of such occurrence.</w:t>
      </w:r>
    </w:p>
    <w:p>
      <w:pPr>
        <w:spacing w:after="0" w:line="158" w:lineRule="exact"/>
        <w:rPr>
          <w:rFonts w:ascii="Arial" w:cs="Arial" w:eastAsia="Arial" w:hAnsi="Arial"/>
          <w:sz w:val="22"/>
          <w:szCs w:val="22"/>
          <w:color w:val="1F3763"/>
        </w:rPr>
      </w:pPr>
    </w:p>
    <w:p>
      <w:pPr>
        <w:jc w:val="both"/>
        <w:ind w:firstLine="656"/>
        <w:spacing w:after="0" w:line="246" w:lineRule="auto"/>
        <w:tabs>
          <w:tab w:leader="none" w:pos="1293" w:val="left"/>
        </w:tabs>
        <w:numPr>
          <w:ilvl w:val="0"/>
          <w:numId w:val="181"/>
        </w:numPr>
        <w:rPr>
          <w:rFonts w:ascii="Arial" w:cs="Arial" w:eastAsia="Arial" w:hAnsi="Arial"/>
          <w:sz w:val="19"/>
          <w:szCs w:val="19"/>
          <w:color w:val="1F3763"/>
        </w:rPr>
      </w:pPr>
      <w:r>
        <w:rPr>
          <w:rFonts w:ascii="Arial" w:cs="Arial" w:eastAsia="Arial" w:hAnsi="Arial"/>
          <w:sz w:val="19"/>
          <w:szCs w:val="19"/>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52" w:lineRule="exact"/>
        <w:rPr>
          <w:rFonts w:ascii="Arial" w:cs="Arial" w:eastAsia="Arial" w:hAnsi="Arial"/>
          <w:sz w:val="19"/>
          <w:szCs w:val="19"/>
          <w:color w:val="1F3763"/>
        </w:rPr>
      </w:pPr>
    </w:p>
    <w:p>
      <w:pPr>
        <w:jc w:val="both"/>
        <w:ind w:firstLine="656"/>
        <w:spacing w:after="0" w:line="219" w:lineRule="auto"/>
        <w:tabs>
          <w:tab w:leader="none" w:pos="1291" w:val="left"/>
        </w:tabs>
        <w:numPr>
          <w:ilvl w:val="0"/>
          <w:numId w:val="181"/>
        </w:numPr>
        <w:rPr>
          <w:rFonts w:ascii="Arial" w:cs="Arial" w:eastAsia="Arial" w:hAnsi="Arial"/>
          <w:sz w:val="21"/>
          <w:szCs w:val="21"/>
          <w:color w:val="1F3763"/>
        </w:rPr>
      </w:pPr>
      <w:r>
        <w:rPr>
          <w:rFonts w:ascii="Arial" w:cs="Arial" w:eastAsia="Arial" w:hAnsi="Arial"/>
          <w:sz w:val="21"/>
          <w:szCs w:val="21"/>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Arial" w:cs="Arial" w:eastAsia="Arial" w:hAnsi="Arial"/>
          <w:sz w:val="21"/>
          <w:szCs w:val="21"/>
          <w:u w:val="single" w:color="auto"/>
          <w:color w:val="auto"/>
        </w:rPr>
        <w:t>Erroneous Payment Return Deficiency</w:t>
      </w:r>
      <w:r>
        <w:rPr>
          <w:rFonts w:ascii="Arial" w:cs="Arial" w:eastAsia="Arial" w:hAnsi="Arial"/>
          <w:sz w:val="21"/>
          <w:szCs w:val="21"/>
          <w:color w:val="auto"/>
        </w:rPr>
        <w:t>”), then at the sole discretion of the Administrative Agent and upon the Administrative Agent’s written notice to such Lender (i) such Lender shall be deemed to have made a cashless assignment of the full face amount of the portion of its Advances (but not its Commitments) of the relevant Class with respect to which such Erroneous Payment was made (the “</w:t>
      </w:r>
      <w:r>
        <w:rPr>
          <w:rFonts w:ascii="Arial" w:cs="Arial" w:eastAsia="Arial" w:hAnsi="Arial"/>
          <w:sz w:val="21"/>
          <w:szCs w:val="21"/>
          <w:u w:val="single" w:color="auto"/>
          <w:color w:val="auto"/>
        </w:rPr>
        <w:t>Erroneous Payment Impacted Class</w:t>
      </w:r>
      <w:r>
        <w:rPr>
          <w:rFonts w:ascii="Arial" w:cs="Arial" w:eastAsia="Arial" w:hAnsi="Arial"/>
          <w:sz w:val="21"/>
          <w:szCs w:val="21"/>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Advances (but not Commitments) of the Erroneous Payment Impacted Class, the “</w:t>
      </w:r>
      <w:r>
        <w:rPr>
          <w:rFonts w:ascii="Arial" w:cs="Arial" w:eastAsia="Arial" w:hAnsi="Arial"/>
          <w:sz w:val="21"/>
          <w:szCs w:val="21"/>
          <w:u w:val="single" w:color="auto"/>
          <w:color w:val="auto"/>
        </w:rPr>
        <w:t>Erroneous Payment Deficiency Assignment</w:t>
      </w:r>
      <w:r>
        <w:rPr>
          <w:rFonts w:ascii="Arial" w:cs="Arial" w:eastAsia="Arial" w:hAnsi="Arial"/>
          <w:sz w:val="21"/>
          <w:szCs w:val="21"/>
          <w:color w:val="auto"/>
        </w:rPr>
        <w:t>”) plus any accrued and unpaid interest on such assigned amount, without further consent or approval of any party hereto and without any payment by the Administrative Agent or</w:t>
      </w:r>
    </w:p>
    <w:p>
      <w:pPr>
        <w:sectPr>
          <w:pgSz w:w="11900" w:h="16838" w:orient="portrait"/>
          <w:cols w:equalWidth="0" w:num="1">
            <w:col w:w="11240"/>
          </w:cols>
          <w:pgMar w:left="320" w:top="1401" w:right="339" w:bottom="1440" w:gutter="0" w:footer="0" w:header="0"/>
        </w:sectPr>
      </w:pPr>
    </w:p>
    <w:bookmarkStart w:id="213" w:name="page214"/>
    <w:bookmarkEnd w:id="213"/>
    <w:p>
      <w:pPr>
        <w:jc w:val="both"/>
        <w:spacing w:after="0" w:line="226" w:lineRule="auto"/>
        <w:rPr>
          <w:sz w:val="20"/>
          <w:szCs w:val="20"/>
          <w:color w:val="auto"/>
        </w:rPr>
      </w:pPr>
      <w:r>
        <w:rPr>
          <w:rFonts w:ascii="Arial" w:cs="Arial" w:eastAsia="Arial" w:hAnsi="Arial"/>
          <w:sz w:val="21"/>
          <w:szCs w:val="21"/>
          <w:color w:val="auto"/>
        </w:rPr>
        <w:t>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9.07 and (3) the Administrative Agent may reflect such assignments in the Register without further consent or action by any other Person.</w:t>
      </w:r>
    </w:p>
    <w:p>
      <w:pPr>
        <w:spacing w:after="0" w:line="159" w:lineRule="exact"/>
        <w:rPr>
          <w:sz w:val="20"/>
          <w:szCs w:val="20"/>
          <w:color w:val="auto"/>
        </w:rPr>
      </w:pPr>
    </w:p>
    <w:p>
      <w:pPr>
        <w:jc w:val="both"/>
        <w:ind w:firstLine="656"/>
        <w:spacing w:after="0" w:line="242" w:lineRule="auto"/>
        <w:tabs>
          <w:tab w:leader="none" w:pos="1293" w:val="left"/>
        </w:tabs>
        <w:numPr>
          <w:ilvl w:val="0"/>
          <w:numId w:val="182"/>
        </w:numPr>
        <w:rPr>
          <w:rFonts w:ascii="Arial" w:cs="Arial" w:eastAsia="Arial" w:hAnsi="Arial"/>
          <w:sz w:val="19"/>
          <w:szCs w:val="19"/>
          <w:color w:val="1F3763"/>
        </w:rPr>
      </w:pPr>
      <w:r>
        <w:rPr>
          <w:rFonts w:ascii="Arial" w:cs="Arial" w:eastAsia="Arial" w:hAnsi="Arial"/>
          <w:sz w:val="19"/>
          <w:szCs w:val="19"/>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Borrower Obligations owed by the Borrower or any other Credit Party, except, in each case, to the extent such Erroneous Payment is, and solely with respect to the amount of such Erroneous Payment that is, comprised of funds received by the Administrative Agent from a Borrower or any other Credit Party for the purpose of making for a payment on the Borrower Obligations and (z) to the extent that an Erroneous Payment was in any way or at any time credited as payment or satisfaction of any of the Borrower Obligations, the Borrower Obligations or any part thereof that were so credited, and all rights of the Payment Recipient, as the case may be, shall be reinstated and continue in full force and effect as if such payment or satisfaction had never been received.</w:t>
      </w:r>
    </w:p>
    <w:p>
      <w:pPr>
        <w:spacing w:after="0" w:line="376" w:lineRule="exact"/>
        <w:rPr>
          <w:rFonts w:ascii="Arial" w:cs="Arial" w:eastAsia="Arial" w:hAnsi="Arial"/>
          <w:sz w:val="19"/>
          <w:szCs w:val="19"/>
          <w:color w:val="1F3763"/>
        </w:rPr>
      </w:pPr>
    </w:p>
    <w:p>
      <w:pPr>
        <w:jc w:val="both"/>
        <w:ind w:firstLine="656"/>
        <w:spacing w:after="0" w:line="268" w:lineRule="auto"/>
        <w:tabs>
          <w:tab w:leader="none" w:pos="1296" w:val="left"/>
        </w:tabs>
        <w:numPr>
          <w:ilvl w:val="0"/>
          <w:numId w:val="182"/>
        </w:numPr>
        <w:rPr>
          <w:rFonts w:ascii="Arial" w:cs="Arial" w:eastAsia="Arial" w:hAnsi="Arial"/>
          <w:sz w:val="19"/>
          <w:szCs w:val="19"/>
          <w:color w:val="1F3763"/>
        </w:rPr>
      </w:pPr>
      <w:r>
        <w:rPr>
          <w:rFonts w:ascii="Arial" w:cs="Arial" w:eastAsia="Arial" w:hAnsi="Arial"/>
          <w:sz w:val="19"/>
          <w:szCs w:val="19"/>
          <w:color w:val="auto"/>
        </w:rPr>
        <w:t>Each party’s obligations under this Section 7.11 shall survive the resignation or replacement of the Administrative Agent or any transfer of right or obligations by, or the replacement of, a Lender, the termination of the Commitments or the repayment, satisfaction or discharge of all Borrower Obligations (or any portion thereof) under any Loan Document.</w:t>
      </w:r>
    </w:p>
    <w:p>
      <w:pPr>
        <w:spacing w:after="0" w:line="132" w:lineRule="exact"/>
        <w:rPr>
          <w:rFonts w:ascii="Arial" w:cs="Arial" w:eastAsia="Arial" w:hAnsi="Arial"/>
          <w:sz w:val="19"/>
          <w:szCs w:val="19"/>
          <w:color w:val="1F3763"/>
        </w:rPr>
      </w:pPr>
    </w:p>
    <w:p>
      <w:pPr>
        <w:ind w:firstLine="656"/>
        <w:spacing w:after="0" w:line="232" w:lineRule="auto"/>
        <w:tabs>
          <w:tab w:leader="none" w:pos="1291" w:val="left"/>
        </w:tabs>
        <w:numPr>
          <w:ilvl w:val="0"/>
          <w:numId w:val="182"/>
        </w:numPr>
        <w:rPr>
          <w:rFonts w:ascii="Arial" w:cs="Arial" w:eastAsia="Arial" w:hAnsi="Arial"/>
          <w:sz w:val="22"/>
          <w:szCs w:val="22"/>
          <w:color w:val="1F3763"/>
        </w:rPr>
      </w:pPr>
      <w:r>
        <w:rPr>
          <w:rFonts w:ascii="Arial" w:cs="Arial" w:eastAsia="Arial" w:hAnsi="Arial"/>
          <w:sz w:val="22"/>
          <w:szCs w:val="22"/>
          <w:color w:val="auto"/>
        </w:rPr>
        <w:t>Nothing in this Section 7.11 will constitute a waiver or release of any claim of the Administrative Agent hereunder arising from any Payment Recipient’s receipt of an Erroneous Payment.</w:t>
      </w:r>
    </w:p>
    <w:p>
      <w:pPr>
        <w:spacing w:after="0" w:line="15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1.12.</w:t>
      </w:r>
      <w:r>
        <w:rPr>
          <w:sz w:val="20"/>
          <w:szCs w:val="20"/>
          <w:color w:val="auto"/>
        </w:rPr>
        <w:tab/>
      </w:r>
      <w:r>
        <w:rPr>
          <w:rFonts w:ascii="Arial" w:cs="Arial" w:eastAsia="Arial" w:hAnsi="Arial"/>
          <w:sz w:val="21"/>
          <w:szCs w:val="21"/>
          <w:u w:val="single" w:color="auto"/>
          <w:color w:val="auto"/>
        </w:rPr>
        <w:t>Certain ERISA Matters</w:t>
      </w:r>
      <w:r>
        <w:rPr>
          <w:rFonts w:ascii="Arial" w:cs="Arial" w:eastAsia="Arial" w:hAnsi="Arial"/>
          <w:sz w:val="19"/>
          <w:szCs w:val="19"/>
          <w:color w:val="auto"/>
        </w:rPr>
        <w:t>.</w:t>
      </w:r>
    </w:p>
    <w:p>
      <w:pPr>
        <w:spacing w:after="0" w:line="197" w:lineRule="exact"/>
        <w:rPr>
          <w:sz w:val="20"/>
          <w:szCs w:val="20"/>
          <w:color w:val="auto"/>
        </w:rPr>
      </w:pPr>
    </w:p>
    <w:p>
      <w:pPr>
        <w:jc w:val="both"/>
        <w:ind w:firstLine="656"/>
        <w:spacing w:after="0" w:line="229" w:lineRule="auto"/>
        <w:tabs>
          <w:tab w:leader="none" w:pos="1293" w:val="left"/>
        </w:tabs>
        <w:numPr>
          <w:ilvl w:val="0"/>
          <w:numId w:val="183"/>
        </w:numPr>
        <w:rPr>
          <w:rFonts w:ascii="Arial" w:cs="Arial" w:eastAsia="Arial" w:hAnsi="Arial"/>
          <w:sz w:val="21"/>
          <w:szCs w:val="21"/>
          <w:color w:val="1F3763"/>
        </w:rPr>
      </w:pPr>
      <w:r>
        <w:rPr>
          <w:rFonts w:ascii="Arial" w:cs="Arial" w:eastAsia="Arial" w:hAnsi="Arial"/>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Credit Party, that at least one of the following is and will be true:</w:t>
      </w:r>
    </w:p>
    <w:p>
      <w:pPr>
        <w:spacing w:after="0" w:line="158" w:lineRule="exact"/>
        <w:rPr>
          <w:rFonts w:ascii="Arial" w:cs="Arial" w:eastAsia="Arial" w:hAnsi="Arial"/>
          <w:sz w:val="21"/>
          <w:szCs w:val="21"/>
          <w:color w:val="1F3763"/>
        </w:rPr>
      </w:pPr>
    </w:p>
    <w:p>
      <w:pPr>
        <w:jc w:val="both"/>
        <w:ind w:left="660" w:firstLine="644"/>
        <w:spacing w:after="0" w:line="218" w:lineRule="auto"/>
        <w:tabs>
          <w:tab w:leader="none" w:pos="1944" w:val="left"/>
        </w:tabs>
        <w:numPr>
          <w:ilvl w:val="1"/>
          <w:numId w:val="183"/>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Advances or the Commitments or this Agreement;</w:t>
      </w:r>
    </w:p>
    <w:p>
      <w:pPr>
        <w:spacing w:after="0" w:line="160" w:lineRule="exact"/>
        <w:rPr>
          <w:rFonts w:ascii="Arial" w:cs="Arial" w:eastAsia="Arial" w:hAnsi="Arial"/>
          <w:sz w:val="22"/>
          <w:szCs w:val="22"/>
          <w:color w:val="auto"/>
        </w:rPr>
      </w:pPr>
    </w:p>
    <w:p>
      <w:pPr>
        <w:jc w:val="both"/>
        <w:ind w:left="660" w:firstLine="644"/>
        <w:spacing w:after="0" w:line="234" w:lineRule="auto"/>
        <w:tabs>
          <w:tab w:leader="none" w:pos="1955" w:val="left"/>
        </w:tabs>
        <w:numPr>
          <w:ilvl w:val="1"/>
          <w:numId w:val="183"/>
        </w:numPr>
        <w:rPr>
          <w:rFonts w:ascii="Arial" w:cs="Arial" w:eastAsia="Arial" w:hAnsi="Arial"/>
          <w:sz w:val="19"/>
          <w:szCs w:val="19"/>
          <w:color w:val="auto"/>
        </w:rPr>
      </w:pPr>
      <w:r>
        <w:rPr>
          <w:rFonts w:ascii="Arial" w:cs="Arial" w:eastAsia="Arial" w:hAnsi="Arial"/>
          <w:sz w:val="21"/>
          <w:szCs w:val="21"/>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w:t>
      </w:r>
    </w:p>
    <w:p>
      <w:pPr>
        <w:sectPr>
          <w:pgSz w:w="11900" w:h="16838" w:orient="portrait"/>
          <w:cols w:equalWidth="0" w:num="1">
            <w:col w:w="11240"/>
          </w:cols>
          <w:pgMar w:left="320" w:top="1401" w:right="339" w:bottom="1440" w:gutter="0" w:footer="0" w:header="0"/>
        </w:sectPr>
      </w:pPr>
    </w:p>
    <w:bookmarkStart w:id="214" w:name="page215"/>
    <w:bookmarkEnd w:id="214"/>
    <w:p>
      <w:pPr>
        <w:jc w:val="both"/>
        <w:ind w:left="660"/>
        <w:spacing w:after="0" w:line="226" w:lineRule="auto"/>
        <w:rPr>
          <w:sz w:val="20"/>
          <w:szCs w:val="20"/>
          <w:color w:val="auto"/>
        </w:rPr>
      </w:pPr>
      <w:r>
        <w:rPr>
          <w:rFonts w:ascii="Arial" w:cs="Arial" w:eastAsia="Arial" w:hAnsi="Arial"/>
          <w:sz w:val="21"/>
          <w:szCs w:val="21"/>
          <w:color w:val="auto"/>
        </w:rPr>
        <w:t>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Advances or the Commitments and this Agreement;</w:t>
      </w:r>
    </w:p>
    <w:p>
      <w:pPr>
        <w:spacing w:after="0" w:line="159" w:lineRule="exact"/>
        <w:rPr>
          <w:sz w:val="20"/>
          <w:szCs w:val="20"/>
          <w:color w:val="auto"/>
        </w:rPr>
      </w:pPr>
    </w:p>
    <w:p>
      <w:pPr>
        <w:jc w:val="both"/>
        <w:ind w:left="660" w:firstLine="644"/>
        <w:spacing w:after="0" w:line="221" w:lineRule="auto"/>
        <w:tabs>
          <w:tab w:leader="none" w:pos="1956" w:val="left"/>
        </w:tabs>
        <w:numPr>
          <w:ilvl w:val="1"/>
          <w:numId w:val="184"/>
        </w:numPr>
        <w:rPr>
          <w:rFonts w:ascii="Arial" w:cs="Arial" w:eastAsia="Arial" w:hAnsi="Arial"/>
          <w:sz w:val="19"/>
          <w:szCs w:val="19"/>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65" w:lineRule="exact"/>
        <w:rPr>
          <w:rFonts w:ascii="Arial" w:cs="Arial" w:eastAsia="Arial" w:hAnsi="Arial"/>
          <w:sz w:val="19"/>
          <w:szCs w:val="19"/>
          <w:color w:val="auto"/>
        </w:rPr>
      </w:pPr>
    </w:p>
    <w:p>
      <w:pPr>
        <w:ind w:left="660" w:firstLine="644"/>
        <w:spacing w:after="0" w:line="232" w:lineRule="auto"/>
        <w:tabs>
          <w:tab w:leader="none" w:pos="1945" w:val="left"/>
        </w:tabs>
        <w:numPr>
          <w:ilvl w:val="1"/>
          <w:numId w:val="184"/>
        </w:numPr>
        <w:rPr>
          <w:rFonts w:ascii="Arial" w:cs="Arial" w:eastAsia="Arial" w:hAnsi="Arial"/>
          <w:sz w:val="20"/>
          <w:szCs w:val="20"/>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58" w:lineRule="exact"/>
        <w:rPr>
          <w:rFonts w:ascii="Arial" w:cs="Arial" w:eastAsia="Arial" w:hAnsi="Arial"/>
          <w:sz w:val="20"/>
          <w:szCs w:val="20"/>
          <w:color w:val="auto"/>
        </w:rPr>
      </w:pPr>
    </w:p>
    <w:p>
      <w:pPr>
        <w:jc w:val="both"/>
        <w:ind w:firstLine="656"/>
        <w:spacing w:after="0" w:line="244" w:lineRule="auto"/>
        <w:tabs>
          <w:tab w:leader="none" w:pos="1291" w:val="left"/>
        </w:tabs>
        <w:numPr>
          <w:ilvl w:val="0"/>
          <w:numId w:val="185"/>
        </w:numPr>
        <w:rPr>
          <w:rFonts w:ascii="Arial" w:cs="Arial" w:eastAsia="Arial" w:hAnsi="Arial"/>
          <w:sz w:val="19"/>
          <w:szCs w:val="19"/>
          <w:color w:val="1F3763"/>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Credit Party, that none of the Administrative Agent and its Affiliates is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Loan Document or any documents related hereto or thereto).</w:t>
      </w:r>
    </w:p>
    <w:p>
      <w:pPr>
        <w:spacing w:after="0" w:line="161"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ARTICLE VIII</w:t>
      </w:r>
    </w:p>
    <w:p>
      <w:pPr>
        <w:spacing w:after="0" w:line="179"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GUARANTY</w:t>
      </w:r>
    </w:p>
    <w:p>
      <w:pPr>
        <w:spacing w:after="0" w:line="17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2F5496"/>
        </w:rPr>
        <w:t xml:space="preserve">SECTION 1.01. </w:t>
      </w:r>
      <w:r>
        <w:rPr>
          <w:rFonts w:ascii="Arial" w:cs="Arial" w:eastAsia="Arial" w:hAnsi="Arial"/>
          <w:sz w:val="21"/>
          <w:szCs w:val="21"/>
          <w:u w:val="single" w:color="auto"/>
          <w:color w:val="000000"/>
        </w:rPr>
        <w:t>The Guaranty</w:t>
      </w:r>
      <w:r>
        <w:rPr>
          <w:rFonts w:ascii="Arial" w:cs="Arial" w:eastAsia="Arial" w:hAnsi="Arial"/>
          <w:sz w:val="20"/>
          <w:szCs w:val="20"/>
          <w:color w:val="000000"/>
        </w:rPr>
        <w:t>. In order to induce the Lenders to enter into this Agreement and to extend credit</w:t>
      </w:r>
      <w:r>
        <w:rPr>
          <w:rFonts w:ascii="Arial" w:cs="Arial" w:eastAsia="Arial" w:hAnsi="Arial"/>
          <w:sz w:val="20"/>
          <w:szCs w:val="20"/>
          <w:color w:val="2F5496"/>
        </w:rPr>
        <w:t xml:space="preserve"> </w:t>
      </w:r>
      <w:r>
        <w:rPr>
          <w:rFonts w:ascii="Arial" w:cs="Arial" w:eastAsia="Arial" w:hAnsi="Arial"/>
          <w:sz w:val="20"/>
          <w:szCs w:val="20"/>
          <w:color w:val="000000"/>
        </w:rPr>
        <w:t>hereunder and in recognition of the direct benefits to be received by the Guarantors from the Advances hereunder, each of the Guarantors and the Company hereby agrees with the Administrative Agent, the Lenders as follows: (a) each Guarantor hereby unconditionally and irrevocably jointly and severally guarantees as primary obligor and not merely as surety the full and prompt payment when due, whether upon maturity, by acceleration or otherwise, of any and all of the Borrower Obligations hereunder and under the other Loan Documents and (b) the Company hereby unconditionally and irrevocably jointly and severally guarantees as primary obligor and not merely as surety the full and prompt payment when due, whether upon maturity, by acceleration or otherwise, of any and all of the Foreign Borrower Obligations hereunder and under the other Loan Documents.</w:t>
      </w:r>
    </w:p>
    <w:p>
      <w:pPr>
        <w:spacing w:after="0" w:line="16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any or all of the indebtedness becomes due and payable hereunder, each Guarantor unconditionally promises to pay such indebtedness to the Administrative Agent, the Lenders, or their respective order, on demand, together with any and all reasonable expenses which may be</w:t>
      </w:r>
    </w:p>
    <w:p>
      <w:pPr>
        <w:sectPr>
          <w:pgSz w:w="11900" w:h="16838" w:orient="portrait"/>
          <w:cols w:equalWidth="0" w:num="1">
            <w:col w:w="11240"/>
          </w:cols>
          <w:pgMar w:left="320" w:top="1401" w:right="339" w:bottom="1440" w:gutter="0" w:footer="0" w:header="0"/>
        </w:sectPr>
      </w:pPr>
    </w:p>
    <w:bookmarkStart w:id="215" w:name="page216"/>
    <w:bookmarkEnd w:id="215"/>
    <w:p>
      <w:pPr>
        <w:jc w:val="both"/>
        <w:spacing w:after="0" w:line="244" w:lineRule="auto"/>
        <w:rPr>
          <w:sz w:val="20"/>
          <w:szCs w:val="20"/>
          <w:color w:val="auto"/>
        </w:rPr>
      </w:pPr>
      <w:r>
        <w:rPr>
          <w:rFonts w:ascii="Arial" w:cs="Arial" w:eastAsia="Arial" w:hAnsi="Arial"/>
          <w:sz w:val="19"/>
          <w:szCs w:val="19"/>
          <w:color w:val="auto"/>
        </w:rPr>
        <w:t xml:space="preserve">incurred by the Administrative Agent or the Lenders in collecting any of the Borrower Obligations. The Guaranty set forth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is a guaranty of payment when due and not of collection. The word “indebtedness” is used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in its most comprehensive sense and includes any and all advances, debts, obligations and liabilities of the Borrowers, including specifically all Borrower Obligations, arising in connection with this Agreement or the other Loan Documents,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any Borrower may be liable individually or jointly with others, whether or not recovery upon such indebtedness may be or hereafter become barred by any statute of limitations, and whether or not such indebtedness may be or hereafter becomes otherwise unenforceable.</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Notwithstanding any provision to the contrary contained herein or in any other of the Loan Documents, to the extent the obligations of a Guarantor shall be adjudicated to be invalid or unenforceable for any reason (including, without limitation, because of any applicable state or federal law relating to fraudulent conveyances or transfers) then the obligations of each such Guarantor hereunder shall be limited to the maximum amount that is permissible under Applicable Law (whether federal or state and including, without limitation, the Bankruptcy Code).</w:t>
      </w:r>
    </w:p>
    <w:p>
      <w:pPr>
        <w:spacing w:after="0" w:line="15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2F5496"/>
        </w:rPr>
        <w:t xml:space="preserve">SECTION 1.02. </w:t>
      </w:r>
      <w:r>
        <w:rPr>
          <w:rFonts w:ascii="Arial" w:cs="Arial" w:eastAsia="Arial" w:hAnsi="Arial"/>
          <w:sz w:val="21"/>
          <w:szCs w:val="21"/>
          <w:u w:val="single" w:color="auto"/>
          <w:color w:val="000000"/>
        </w:rPr>
        <w:t>Bankruptcy</w:t>
      </w:r>
      <w:r>
        <w:rPr>
          <w:rFonts w:ascii="Arial" w:cs="Arial" w:eastAsia="Arial" w:hAnsi="Arial"/>
          <w:sz w:val="20"/>
          <w:szCs w:val="20"/>
          <w:color w:val="000000"/>
        </w:rPr>
        <w:t>. Additionally: (a) each of the Guarantors unconditionally and irrevocably guarantees</w:t>
      </w:r>
      <w:r>
        <w:rPr>
          <w:rFonts w:ascii="Arial" w:cs="Arial" w:eastAsia="Arial" w:hAnsi="Arial"/>
          <w:sz w:val="20"/>
          <w:szCs w:val="20"/>
          <w:color w:val="2F5496"/>
        </w:rPr>
        <w:t xml:space="preserve"> </w:t>
      </w:r>
      <w:r>
        <w:rPr>
          <w:rFonts w:ascii="Arial" w:cs="Arial" w:eastAsia="Arial" w:hAnsi="Arial"/>
          <w:sz w:val="20"/>
          <w:szCs w:val="20"/>
          <w:color w:val="000000"/>
        </w:rPr>
        <w:t>jointly and severally the payment of any and all Borrower Obligations of any Borrower to the Lenders whether or not due or payable by any Borrower upon the occurrence of any bankruptcy, reorganization, arrangement, moratorium or other proceeding or procedure under any Debtor Relief Law and unconditionally promises to pay such Borrower Obligations to the Administrative Agent for the account of the Lenders, or order, on demand, in lawful money of the United States, and (b) the Company unconditionally and irrevocably guarantees jointly and severally the payment of any and all Foreign Borrower Obligations of any Foreign Borrower to the Lenders whether or not due or payable by any Foreign Borrower upon the occurrence of any bankruptcy, reorganization, arrangement, moratorium or other proceeding or procedure under any Debtor Relief Law and unconditionally promises to pay such Foreign Borrower Obligations to the Administrative Agent for the account of the Lenders, or order, on demand, in lawful money of the United States. Each of the Guarantors further agrees that to the extent that any Borrower or a Guarantor shall make a payment or a transfer of an interest in any property to the Administrative Agent or any Lender, which payment or transfer or any part thereof is subsequently invalidated, declared to be fraudulent or preferential, or otherwise is avoided, and/or required to be repaid to any Borrower or a Guarantor, the estate of any Borrower or a Guarantor, a trustee, receiver or any other party under any Debtor Relief Laws, state or federal law, common law or equitable cause, then to the extent of such avoidance or repayment, the obligation or part thereof intended to be satisfied shall be revived and continued in full force and effect as if said payment had not been made.</w:t>
      </w:r>
    </w:p>
    <w:p>
      <w:pPr>
        <w:spacing w:after="0" w:line="16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the avoidance of doubt, no Foreign Borrower shall guaranty or be liable for any Borrower Obligations of the Company, any of its Domestic Subsidiaries or any other Foreign Borrower.</w:t>
      </w:r>
    </w:p>
    <w:p>
      <w:pPr>
        <w:spacing w:after="0" w:line="15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2F5496"/>
        </w:rPr>
        <w:t xml:space="preserve">SECTION 1.03. </w:t>
      </w:r>
      <w:r>
        <w:rPr>
          <w:rFonts w:ascii="Arial" w:cs="Arial" w:eastAsia="Arial" w:hAnsi="Arial"/>
          <w:sz w:val="23"/>
          <w:szCs w:val="23"/>
          <w:u w:val="single" w:color="auto"/>
          <w:color w:val="000000"/>
        </w:rPr>
        <w:t>Nature of Liability</w:t>
      </w:r>
      <w:r>
        <w:rPr>
          <w:rFonts w:ascii="Arial" w:cs="Arial" w:eastAsia="Arial" w:hAnsi="Arial"/>
          <w:sz w:val="22"/>
          <w:szCs w:val="22"/>
          <w:color w:val="000000"/>
        </w:rPr>
        <w:t>. The liability of each Guarantor hereunder is exclusive and independent of any</w:t>
      </w:r>
      <w:r>
        <w:rPr>
          <w:rFonts w:ascii="Arial" w:cs="Arial" w:eastAsia="Arial" w:hAnsi="Arial"/>
          <w:sz w:val="22"/>
          <w:szCs w:val="22"/>
          <w:color w:val="2F5496"/>
        </w:rPr>
        <w:t xml:space="preserve"> </w:t>
      </w:r>
      <w:r>
        <w:rPr>
          <w:rFonts w:ascii="Arial" w:cs="Arial" w:eastAsia="Arial" w:hAnsi="Arial"/>
          <w:sz w:val="22"/>
          <w:szCs w:val="22"/>
          <w:color w:val="000000"/>
        </w:rPr>
        <w:t>security for or other guaranty of the relevant Borrower Obligations whether executed by any such Guarantor, any other guarantor or by any other party, and no Guarantor’s liability hereunder shall be affected or impaired by (a) any direction as to application of payment by any Borrower or by any other party, or (b) any other continuing or other guaranty, undertaking or maximum liability of a guarantor or of any other party as to the</w:t>
      </w:r>
    </w:p>
    <w:p>
      <w:pPr>
        <w:sectPr>
          <w:pgSz w:w="11900" w:h="16838" w:orient="portrait"/>
          <w:cols w:equalWidth="0" w:num="1">
            <w:col w:w="11240"/>
          </w:cols>
          <w:pgMar w:left="320" w:top="1401" w:right="339" w:bottom="1440" w:gutter="0" w:footer="0" w:header="0"/>
        </w:sectPr>
      </w:pPr>
    </w:p>
    <w:bookmarkStart w:id="216" w:name="page217"/>
    <w:bookmarkEnd w:id="216"/>
    <w:p>
      <w:pPr>
        <w:jc w:val="both"/>
        <w:spacing w:after="0" w:line="214" w:lineRule="auto"/>
        <w:rPr>
          <w:sz w:val="20"/>
          <w:szCs w:val="20"/>
          <w:color w:val="auto"/>
        </w:rPr>
      </w:pPr>
      <w:r>
        <w:rPr>
          <w:rFonts w:ascii="Arial" w:cs="Arial" w:eastAsia="Arial" w:hAnsi="Arial"/>
          <w:sz w:val="22"/>
          <w:szCs w:val="22"/>
          <w:color w:val="auto"/>
        </w:rPr>
        <w:t>Borrower Obligations, or (c) any payment on or in reduction of any such other guaranty or undertaking, or (d) any dissolution, termination or increase, decrease or change in personnel by any Borrower, or (e) any payment made to the Administrative Agent or the Lenders on the applicable Borrower Obligations which the Administrative Agent or such Lenders provides to any Borrower pursuant to court order in any bankruptcy, reorganization, arrangement, moratorium or other debtor relief proceeding, and each of the Guarantors waives any right to the deferral or modification of its obligations hereunder by reason of any such proceeding.</w:t>
      </w:r>
    </w:p>
    <w:p>
      <w:pPr>
        <w:spacing w:after="0" w:line="15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2F5496"/>
        </w:rPr>
        <w:t xml:space="preserve">SECTION 1.04. </w:t>
      </w:r>
      <w:r>
        <w:rPr>
          <w:rFonts w:ascii="Arial" w:cs="Arial" w:eastAsia="Arial" w:hAnsi="Arial"/>
          <w:sz w:val="22"/>
          <w:szCs w:val="22"/>
          <w:u w:val="single" w:color="auto"/>
          <w:color w:val="000000"/>
        </w:rPr>
        <w:t>Independent Obligation</w:t>
      </w:r>
      <w:r>
        <w:rPr>
          <w:rFonts w:ascii="Arial" w:cs="Arial" w:eastAsia="Arial" w:hAnsi="Arial"/>
          <w:sz w:val="21"/>
          <w:szCs w:val="21"/>
          <w:color w:val="000000"/>
        </w:rPr>
        <w:t>. The obligations of each Guarantor hereunder are independent of the</w:t>
      </w:r>
      <w:r>
        <w:rPr>
          <w:rFonts w:ascii="Arial" w:cs="Arial" w:eastAsia="Arial" w:hAnsi="Arial"/>
          <w:sz w:val="21"/>
          <w:szCs w:val="21"/>
          <w:color w:val="2F5496"/>
        </w:rPr>
        <w:t xml:space="preserve"> </w:t>
      </w:r>
      <w:r>
        <w:rPr>
          <w:rFonts w:ascii="Arial" w:cs="Arial" w:eastAsia="Arial" w:hAnsi="Arial"/>
          <w:sz w:val="21"/>
          <w:szCs w:val="21"/>
          <w:color w:val="000000"/>
        </w:rPr>
        <w:t>obligations of any other Guarantor or any applicable Borrower, and a separate action or actions may be brought and prosecuted against each Guarantor whether or not action is brought against any other Guarantor or any applicable Borrower and whether or not any other Guarantor or any other Borrower is joined in any such action or actions.</w:t>
      </w:r>
    </w:p>
    <w:p>
      <w:pPr>
        <w:spacing w:after="0" w:line="15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2F5496"/>
        </w:rPr>
        <w:t xml:space="preserve">SECTION 1.05. </w:t>
      </w:r>
      <w:r>
        <w:rPr>
          <w:rFonts w:ascii="Arial" w:cs="Arial" w:eastAsia="Arial" w:hAnsi="Arial"/>
          <w:sz w:val="21"/>
          <w:szCs w:val="21"/>
          <w:u w:val="single" w:color="auto"/>
          <w:color w:val="000000"/>
        </w:rPr>
        <w:t>Authorization</w:t>
      </w:r>
      <w:r>
        <w:rPr>
          <w:rFonts w:ascii="Arial" w:cs="Arial" w:eastAsia="Arial" w:hAnsi="Arial"/>
          <w:sz w:val="20"/>
          <w:szCs w:val="20"/>
          <w:color w:val="000000"/>
        </w:rPr>
        <w:t>. Each of the Guarantors authorizes the Administrative Agent, each Lender without</w:t>
      </w:r>
      <w:r>
        <w:rPr>
          <w:rFonts w:ascii="Arial" w:cs="Arial" w:eastAsia="Arial" w:hAnsi="Arial"/>
          <w:sz w:val="20"/>
          <w:szCs w:val="20"/>
          <w:color w:val="2F5496"/>
        </w:rPr>
        <w:t xml:space="preserve"> </w:t>
      </w:r>
      <w:r>
        <w:rPr>
          <w:rFonts w:ascii="Arial" w:cs="Arial" w:eastAsia="Arial" w:hAnsi="Arial"/>
          <w:sz w:val="20"/>
          <w:szCs w:val="20"/>
          <w:color w:val="000000"/>
        </w:rPr>
        <w:t>notice or demand (except as shall be required by applicable statute and cannot be waived), and without affecting or impairing its liability hereunder, from time to time to (a) renew, compromise, extend, increase, accelerate or otherwise change the time for payment of, or otherwise change the terms of the Borrower Obligations, the Foreign Borrower Obligations or any part thereof in accordance with this Agreement, including any increase or decrease of the rate of interest thereon, (b) take and hold security from any Guarantor or any other party for the payment of this Guaranty, the Borrower Obligations or the Foreign Borrower Obligations and exchange, enforce waive and release any such security, (c) apply such security and direct the order or manner of sale thereof as the Administrative Agent and the Lenders in their discretion may determine and (d) release or substitute any one or more endorsers, Guarantors, Borrowers or other obligors.</w:t>
      </w:r>
    </w:p>
    <w:p>
      <w:pPr>
        <w:spacing w:after="0" w:line="16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2F5496"/>
        </w:rPr>
        <w:t xml:space="preserve">SECTION 1.06. </w:t>
      </w:r>
      <w:r>
        <w:rPr>
          <w:rFonts w:ascii="Arial" w:cs="Arial" w:eastAsia="Arial" w:hAnsi="Arial"/>
          <w:sz w:val="23"/>
          <w:szCs w:val="23"/>
          <w:u w:val="single" w:color="auto"/>
          <w:color w:val="000000"/>
        </w:rPr>
        <w:t>Reliance</w:t>
      </w:r>
      <w:r>
        <w:rPr>
          <w:rFonts w:ascii="Arial" w:cs="Arial" w:eastAsia="Arial" w:hAnsi="Arial"/>
          <w:sz w:val="22"/>
          <w:szCs w:val="22"/>
          <w:color w:val="000000"/>
        </w:rPr>
        <w:t>. It is not necessary for the Administrative Agent or the Lenders to inquire into the</w:t>
      </w:r>
      <w:r>
        <w:rPr>
          <w:rFonts w:ascii="Arial" w:cs="Arial" w:eastAsia="Arial" w:hAnsi="Arial"/>
          <w:sz w:val="22"/>
          <w:szCs w:val="22"/>
          <w:color w:val="2F5496"/>
        </w:rPr>
        <w:t xml:space="preserve"> </w:t>
      </w:r>
      <w:r>
        <w:rPr>
          <w:rFonts w:ascii="Arial" w:cs="Arial" w:eastAsia="Arial" w:hAnsi="Arial"/>
          <w:sz w:val="22"/>
          <w:szCs w:val="22"/>
          <w:color w:val="000000"/>
        </w:rPr>
        <w:t>capacity or powers of any Borrower or the officers, directors, members, partners or agents acting or purporting to act on its behalf, and any Borrower Obligations made or created in reliance upon the professed exercise of such powers shall be guaranteed hereunder.</w:t>
      </w:r>
    </w:p>
    <w:p>
      <w:pPr>
        <w:spacing w:after="0" w:line="15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1.07.</w:t>
      </w:r>
      <w:r>
        <w:rPr>
          <w:sz w:val="20"/>
          <w:szCs w:val="20"/>
          <w:color w:val="auto"/>
        </w:rPr>
        <w:tab/>
      </w:r>
      <w:r>
        <w:rPr>
          <w:rFonts w:ascii="Arial" w:cs="Arial" w:eastAsia="Arial" w:hAnsi="Arial"/>
          <w:sz w:val="21"/>
          <w:szCs w:val="21"/>
          <w:u w:val="single" w:color="auto"/>
          <w:color w:val="auto"/>
        </w:rPr>
        <w:t>Waiver</w:t>
      </w:r>
      <w:r>
        <w:rPr>
          <w:rFonts w:ascii="Arial" w:cs="Arial" w:eastAsia="Arial" w:hAnsi="Arial"/>
          <w:sz w:val="19"/>
          <w:szCs w:val="19"/>
          <w:color w:val="auto"/>
        </w:rPr>
        <w:t>.</w:t>
      </w:r>
    </w:p>
    <w:p>
      <w:pPr>
        <w:spacing w:after="0" w:line="197" w:lineRule="exact"/>
        <w:rPr>
          <w:sz w:val="20"/>
          <w:szCs w:val="20"/>
          <w:color w:val="auto"/>
        </w:rPr>
      </w:pPr>
    </w:p>
    <w:p>
      <w:pPr>
        <w:jc w:val="both"/>
        <w:ind w:firstLine="656"/>
        <w:spacing w:after="0" w:line="247" w:lineRule="auto"/>
        <w:tabs>
          <w:tab w:leader="none" w:pos="1293" w:val="left"/>
        </w:tabs>
        <w:numPr>
          <w:ilvl w:val="1"/>
          <w:numId w:val="186"/>
        </w:numPr>
        <w:rPr>
          <w:rFonts w:ascii="Arial" w:cs="Arial" w:eastAsia="Arial" w:hAnsi="Arial"/>
          <w:sz w:val="19"/>
          <w:szCs w:val="19"/>
          <w:color w:val="1F3763"/>
        </w:rPr>
      </w:pPr>
      <w:r>
        <w:rPr>
          <w:rFonts w:ascii="Arial" w:cs="Arial" w:eastAsia="Arial" w:hAnsi="Arial"/>
          <w:sz w:val="19"/>
          <w:szCs w:val="19"/>
          <w:color w:val="auto"/>
        </w:rPr>
        <w:t>Each of the Guarantors waives any right (except as shall be required by applicable statute and cannot be waived) to require the Administrative Agent or any Lender to (i) proceed against any Borrower, any other guarantor or any other party,</w:t>
      </w:r>
    </w:p>
    <w:p>
      <w:pPr>
        <w:jc w:val="both"/>
        <w:ind w:firstLine="8"/>
        <w:spacing w:after="0" w:line="218" w:lineRule="auto"/>
        <w:tabs>
          <w:tab w:leader="none" w:pos="333" w:val="left"/>
        </w:tabs>
        <w:numPr>
          <w:ilvl w:val="0"/>
          <w:numId w:val="187"/>
        </w:numPr>
        <w:rPr>
          <w:rFonts w:ascii="Arial" w:cs="Arial" w:eastAsia="Arial" w:hAnsi="Arial"/>
          <w:sz w:val="21"/>
          <w:szCs w:val="21"/>
          <w:color w:val="auto"/>
        </w:rPr>
      </w:pPr>
      <w:r>
        <w:rPr>
          <w:rFonts w:ascii="Arial" w:cs="Arial" w:eastAsia="Arial" w:hAnsi="Arial"/>
          <w:sz w:val="21"/>
          <w:szCs w:val="21"/>
          <w:color w:val="auto"/>
        </w:rPr>
        <w:t>proceed against or exhaust any security held from any Borrower, any other guarantor or any other party, or (iii) pursue any other remedy in the Administrative Agent’s or any Lender’s rights whatsoever. Each of the Guarantors waives any defense based on or arising out of any defense of any Borrower, any other guarantor or any other party other than payment in full of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including, without limitation, any defense based on or arising out of the disability of any Borrower, any other guarantor or any other party, or the unenforceability of the Borrower Obligations or the Foreign Borrower Obligations, as applicable, or any part thereof from any cause, or the cessation from any cause of the liability of any Borrower other than payment in full of the Borrower Obligations or the Foreign Borrower Obligations, as applicable. The Administrative Agent may, at its election, exercise any right or remedy the Administrative Agent or any Lender may have against any Borrower or any other party without affecting or impairing in any way the liability of any Guarantor hereunder except to the extent the Borrower Obligations or the Foreign Borrower</w:t>
      </w:r>
    </w:p>
    <w:p>
      <w:pPr>
        <w:sectPr>
          <w:pgSz w:w="11900" w:h="16838" w:orient="portrait"/>
          <w:cols w:equalWidth="0" w:num="1">
            <w:col w:w="11240"/>
          </w:cols>
          <w:pgMar w:left="320" w:top="1401" w:right="339" w:bottom="1440" w:gutter="0" w:footer="0" w:header="0"/>
        </w:sectPr>
      </w:pPr>
    </w:p>
    <w:bookmarkStart w:id="217" w:name="page218"/>
    <w:bookmarkEnd w:id="217"/>
    <w:p>
      <w:pPr>
        <w:jc w:val="both"/>
        <w:spacing w:after="0" w:line="218" w:lineRule="auto"/>
        <w:rPr>
          <w:sz w:val="20"/>
          <w:szCs w:val="20"/>
          <w:color w:val="auto"/>
        </w:rPr>
      </w:pPr>
      <w:r>
        <w:rPr>
          <w:rFonts w:ascii="Arial" w:cs="Arial" w:eastAsia="Arial" w:hAnsi="Arial"/>
          <w:sz w:val="22"/>
          <w:szCs w:val="22"/>
          <w:color w:val="auto"/>
        </w:rPr>
        <w:t>Obligations, as applicable, have been paid in full and the Commitments have been terminated. Each of the Guarantors waives any defense arising out of any such election by the Administrative Agent or any of the Lenders, even though such election operates to impair or extinguish any right of reimbursement or subrogation or other right or remedy of the Guarantors against any Borrower or any other party.</w:t>
      </w:r>
    </w:p>
    <w:p>
      <w:pPr>
        <w:spacing w:after="0" w:line="161" w:lineRule="exact"/>
        <w:rPr>
          <w:sz w:val="20"/>
          <w:szCs w:val="20"/>
          <w:color w:val="auto"/>
        </w:rPr>
      </w:pPr>
    </w:p>
    <w:p>
      <w:pPr>
        <w:jc w:val="both"/>
        <w:ind w:firstLine="656"/>
        <w:spacing w:after="0" w:line="221" w:lineRule="auto"/>
        <w:tabs>
          <w:tab w:leader="none" w:pos="1284" w:val="left"/>
        </w:tabs>
        <w:numPr>
          <w:ilvl w:val="0"/>
          <w:numId w:val="188"/>
        </w:numPr>
        <w:rPr>
          <w:rFonts w:ascii="Arial" w:cs="Arial" w:eastAsia="Arial" w:hAnsi="Arial"/>
          <w:sz w:val="19"/>
          <w:szCs w:val="19"/>
          <w:color w:val="auto"/>
        </w:rPr>
      </w:pPr>
      <w:r>
        <w:rPr>
          <w:rFonts w:ascii="Arial" w:cs="Arial" w:eastAsia="Arial" w:hAnsi="Arial"/>
          <w:sz w:val="21"/>
          <w:szCs w:val="21"/>
          <w:color w:val="auto"/>
        </w:rPr>
        <w:t>Each of the Guarantors waives all presentments, demands for performance, protests and notices, including, without limitation, notices of nonperformance, notice of protest, notices of dishonor, notices of acceptance of this Guaranty, and notices of the existence, creation or incurring of new or additional Borrower Obligations or the Foreign Borrower Obligations, as applicable. Each Guarantor assumes all responsibility for being and keeping itself informed of the financial condition and assets, and of all other circumstances bearing upon the risk of nonpayment of the Borrower Obligations or the Foreign Borrower Obligations, as applicable, and the nature, scope and extent of the risks which such Guarantor assumes and incurs hereunder, and agrees that neither the Administrative Agent nor any Lender shall have any duty to advise such Guarantor of information known to it regarding such circumstances or risks.</w:t>
      </w:r>
    </w:p>
    <w:p>
      <w:pPr>
        <w:spacing w:after="0" w:line="165" w:lineRule="exact"/>
        <w:rPr>
          <w:rFonts w:ascii="Arial" w:cs="Arial" w:eastAsia="Arial" w:hAnsi="Arial"/>
          <w:sz w:val="19"/>
          <w:szCs w:val="19"/>
          <w:color w:val="auto"/>
        </w:rPr>
      </w:pPr>
    </w:p>
    <w:p>
      <w:pPr>
        <w:jc w:val="both"/>
        <w:ind w:firstLine="656"/>
        <w:spacing w:after="0" w:line="241" w:lineRule="auto"/>
        <w:tabs>
          <w:tab w:leader="none" w:pos="1286" w:val="left"/>
        </w:tabs>
        <w:numPr>
          <w:ilvl w:val="0"/>
          <w:numId w:val="188"/>
        </w:numPr>
        <w:rPr>
          <w:rFonts w:ascii="Arial" w:cs="Arial" w:eastAsia="Arial" w:hAnsi="Arial"/>
          <w:sz w:val="18"/>
          <w:szCs w:val="18"/>
          <w:color w:val="auto"/>
        </w:rPr>
      </w:pPr>
      <w:r>
        <w:rPr>
          <w:rFonts w:ascii="Arial" w:cs="Arial" w:eastAsia="Arial" w:hAnsi="Arial"/>
          <w:sz w:val="19"/>
          <w:szCs w:val="19"/>
          <w:color w:val="auto"/>
        </w:rPr>
        <w:t>Each of the Guarantors hereby agrees it will not exercise any rights of subrogation which it may at any time otherwise have as a result of this Guaranty (whether contractual, under Section 509 of the Bankruptcy Code, or otherwise) to the claims of the Lenders against any Borrower or any other guarantor of the Borrower Obligations or the Foreign Borrower Obligations, as applicable, owing to the Lenders (collectively, the “</w:t>
      </w:r>
      <w:r>
        <w:rPr>
          <w:rFonts w:ascii="Arial" w:cs="Arial" w:eastAsia="Arial" w:hAnsi="Arial"/>
          <w:sz w:val="19"/>
          <w:szCs w:val="19"/>
          <w:u w:val="single" w:color="auto"/>
          <w:color w:val="auto"/>
        </w:rPr>
        <w:t>Other Parties</w:t>
      </w:r>
      <w:r>
        <w:rPr>
          <w:rFonts w:ascii="Arial" w:cs="Arial" w:eastAsia="Arial" w:hAnsi="Arial"/>
          <w:sz w:val="19"/>
          <w:szCs w:val="19"/>
          <w:color w:val="auto"/>
        </w:rPr>
        <w:t>”) and all contractual, statutory or common law rights of reimbursement, contribution or indemnity from any Other Party which it may at any time otherwise have as a result of this Guaranty until such time as the Borrower Obligations or the Foreign Borrower Obligations, as applicable, shall have been paid in full and the Commitments have been terminated. Each of the Guarantors hereby further agrees not to exercise any right to enforce any other remedy which the Administrative Agent, the Lenders now have or may hereafter have against any Other Party, any endorser or any other guarantor of all or any part of the Borrower Obligations or the Foreign Borrower Obligations, as applicable, and any benefit of, and any right to participate in, any security or collateral given to or for the benefit of the Lenders to secure payment of the Borrower Obligations or the Foreign Borrower Obligations, as applicable, until such time as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shall have been paid in full and the Commitments have been terminated.</w:t>
      </w:r>
    </w:p>
    <w:p>
      <w:pPr>
        <w:spacing w:after="0" w:line="16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color w:val="2F5496"/>
        </w:rPr>
        <w:t xml:space="preserve">SECTION 1.08. </w:t>
      </w:r>
      <w:r>
        <w:rPr>
          <w:rFonts w:ascii="Arial" w:cs="Arial" w:eastAsia="Arial" w:hAnsi="Arial"/>
          <w:sz w:val="21"/>
          <w:szCs w:val="21"/>
          <w:u w:val="single" w:color="auto"/>
          <w:color w:val="000000"/>
        </w:rPr>
        <w:t>Limitation on Enforcement</w:t>
      </w:r>
      <w:r>
        <w:rPr>
          <w:rFonts w:ascii="Arial" w:cs="Arial" w:eastAsia="Arial" w:hAnsi="Arial"/>
          <w:sz w:val="20"/>
          <w:szCs w:val="20"/>
          <w:color w:val="000000"/>
        </w:rPr>
        <w:t>. The Lenders agree that this Guaranty may be enforced only by the</w:t>
      </w:r>
      <w:r>
        <w:rPr>
          <w:rFonts w:ascii="Arial" w:cs="Arial" w:eastAsia="Arial" w:hAnsi="Arial"/>
          <w:sz w:val="20"/>
          <w:szCs w:val="20"/>
          <w:color w:val="2F5496"/>
        </w:rPr>
        <w:t xml:space="preserve"> </w:t>
      </w:r>
      <w:r>
        <w:rPr>
          <w:rFonts w:ascii="Arial" w:cs="Arial" w:eastAsia="Arial" w:hAnsi="Arial"/>
          <w:sz w:val="20"/>
          <w:szCs w:val="20"/>
          <w:color w:val="000000"/>
        </w:rPr>
        <w:t>action of the Administrative Agent acting upon the instructions of the Required Lenders and that no Lender shall have any right individually to seek to enforce or to enforce this Guaranty, it being understood and agreed that such rights and remedies may be exercised by the Administrative Agent for the benefit of the Lenders under the terms of this Agreement. The Lenders further agree that this Guaranty may not be enforced against any director, officer, employee or stockholder of the Guarantors.</w:t>
      </w:r>
    </w:p>
    <w:p>
      <w:pPr>
        <w:spacing w:after="0" w:line="15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2F5496"/>
        </w:rPr>
        <w:t xml:space="preserve">SECTION 1.09. </w:t>
      </w:r>
      <w:r>
        <w:rPr>
          <w:rFonts w:ascii="Arial" w:cs="Arial" w:eastAsia="Arial" w:hAnsi="Arial"/>
          <w:sz w:val="22"/>
          <w:szCs w:val="22"/>
          <w:u w:val="single" w:color="auto"/>
          <w:color w:val="000000"/>
        </w:rPr>
        <w:t>Confirmation of Payment</w:t>
      </w:r>
      <w:r>
        <w:rPr>
          <w:rFonts w:ascii="Arial" w:cs="Arial" w:eastAsia="Arial" w:hAnsi="Arial"/>
          <w:sz w:val="21"/>
          <w:szCs w:val="21"/>
          <w:color w:val="000000"/>
        </w:rPr>
        <w:t>. The Administrative Agent and the Lenders will, upon request after</w:t>
      </w:r>
      <w:r>
        <w:rPr>
          <w:rFonts w:ascii="Arial" w:cs="Arial" w:eastAsia="Arial" w:hAnsi="Arial"/>
          <w:sz w:val="21"/>
          <w:szCs w:val="21"/>
          <w:color w:val="2F5496"/>
        </w:rPr>
        <w:t xml:space="preserve"> </w:t>
      </w:r>
      <w:r>
        <w:rPr>
          <w:rFonts w:ascii="Arial" w:cs="Arial" w:eastAsia="Arial" w:hAnsi="Arial"/>
          <w:sz w:val="21"/>
          <w:szCs w:val="21"/>
          <w:color w:val="000000"/>
        </w:rPr>
        <w:t>payment of the Borrower Obligations which are the subject of this Guaranty and termination of the Commitments relating thereto, confirm to the Company, the Guarantors or any other Person that such indebtedness and obligations have been paid and the Commitments relating thereto terminated, subject to the provisions of Section 8.02.</w:t>
      </w:r>
    </w:p>
    <w:p>
      <w:pPr>
        <w:sectPr>
          <w:pgSz w:w="11900" w:h="16838" w:orient="portrait"/>
          <w:cols w:equalWidth="0" w:num="1">
            <w:col w:w="11240"/>
          </w:cols>
          <w:pgMar w:left="320" w:top="1401" w:right="339" w:bottom="1440" w:gutter="0" w:footer="0" w:header="0"/>
        </w:sectPr>
      </w:pPr>
    </w:p>
    <w:bookmarkStart w:id="218" w:name="page219"/>
    <w:bookmarkEnd w:id="218"/>
    <w:p>
      <w:pPr>
        <w:ind w:left="4980"/>
        <w:spacing w:after="0"/>
        <w:rPr>
          <w:sz w:val="20"/>
          <w:szCs w:val="20"/>
          <w:color w:val="auto"/>
        </w:rPr>
      </w:pPr>
      <w:r>
        <w:rPr>
          <w:rFonts w:ascii="Arial" w:cs="Arial" w:eastAsia="Arial" w:hAnsi="Arial"/>
          <w:sz w:val="22"/>
          <w:szCs w:val="22"/>
          <w:color w:val="auto"/>
        </w:rPr>
        <w:t>ARTICLE IX</w:t>
      </w:r>
    </w:p>
    <w:p>
      <w:pPr>
        <w:spacing w:after="0" w:line="179"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2F5496"/>
        </w:rPr>
        <w:t xml:space="preserve">SECTION 1.01. </w:t>
      </w:r>
      <w:r>
        <w:rPr>
          <w:rFonts w:ascii="Arial" w:cs="Arial" w:eastAsia="Arial" w:hAnsi="Arial"/>
          <w:sz w:val="20"/>
          <w:szCs w:val="20"/>
          <w:u w:val="single" w:color="auto"/>
          <w:color w:val="000000"/>
        </w:rPr>
        <w:t>Amendments, Etc</w:t>
      </w:r>
      <w:r>
        <w:rPr>
          <w:rFonts w:ascii="Arial" w:cs="Arial" w:eastAsia="Arial" w:hAnsi="Arial"/>
          <w:sz w:val="19"/>
          <w:szCs w:val="19"/>
          <w:u w:val="single" w:color="auto"/>
          <w:color w:val="000000"/>
        </w:rPr>
        <w:t>.</w:t>
      </w:r>
      <w:r>
        <w:rPr>
          <w:rFonts w:ascii="Arial" w:cs="Arial" w:eastAsia="Arial" w:hAnsi="Arial"/>
          <w:sz w:val="19"/>
          <w:szCs w:val="19"/>
          <w:color w:val="2F5496"/>
        </w:rPr>
        <w:t xml:space="preserve"> </w:t>
      </w:r>
      <w:r>
        <w:rPr>
          <w:rFonts w:ascii="Arial" w:cs="Arial" w:eastAsia="Arial" w:hAnsi="Arial"/>
          <w:sz w:val="19"/>
          <w:szCs w:val="19"/>
          <w:color w:val="000000"/>
        </w:rPr>
        <w:t>No amendment or waiver of any provision of any Loan Documents, nor</w:t>
      </w:r>
      <w:r>
        <w:rPr>
          <w:rFonts w:ascii="Arial" w:cs="Arial" w:eastAsia="Arial" w:hAnsi="Arial"/>
          <w:sz w:val="19"/>
          <w:szCs w:val="19"/>
          <w:color w:val="2F5496"/>
        </w:rPr>
        <w:t xml:space="preserve"> </w:t>
      </w:r>
      <w:r>
        <w:rPr>
          <w:rFonts w:ascii="Arial" w:cs="Arial" w:eastAsia="Arial" w:hAnsi="Arial"/>
          <w:sz w:val="19"/>
          <w:szCs w:val="19"/>
          <w:color w:val="000000"/>
        </w:rPr>
        <w:t xml:space="preserve">consent to any departure by the Borrowers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(a) no amendment, waiver or consent shall, unless in writing and signed by all the Lenders, do any of the following: (i) waive any of the conditions specified in Section 3.01, (ii) change the percentage of the Commitments or of the aggregate unpaid principal amount of the Advances that shall be required for the Lenders or any of them to take any action hereunder (including the definition of “Required Lenders”), (iii) amend this Section 9.01, (iv) release (A) all of the Guarantors or (B) Guarantors comprising substantially all of the credit support for the Borrower Obligations, in any case, from the Guaranty hereunder (other than as authorized in Section 7.10), without the written consent of each Lender, (v) change any pro rata payment provisions, including as provided in Section 2.15, (vi) amend the definition of “Foreign Currency” or (vii) change any other provision of any Loan Document specifying the number or percentage of Lenders required to amend, waive or otherwise modify any rights hereunder or thereunder or make any determination or grant any consent hereunder without the written consent of each Lender; and (b) no amendment, waiver or consent shall, unless in writing and signed by each Lender directly and adversely affected thereby, do any of the following: (i) increase or extend the Commitments of such Lender, (ii) reduce the principal of, or interest on, the Advances or any fees or other amounts payable to such Lender hereunder or (iii) postpone any date fixed for any payment of principal of, or interest on, the Advances or any fees or other amounts payable to such Lender hereunder, </w:t>
      </w:r>
      <w:r>
        <w:rPr>
          <w:rFonts w:ascii="Arial" w:cs="Arial" w:eastAsia="Arial" w:hAnsi="Arial"/>
          <w:sz w:val="19"/>
          <w:szCs w:val="19"/>
          <w:u w:val="single" w:color="auto"/>
          <w:color w:val="000000"/>
        </w:rPr>
        <w:t>provided further</w:t>
      </w:r>
      <w:r>
        <w:rPr>
          <w:rFonts w:ascii="Arial" w:cs="Arial" w:eastAsia="Arial" w:hAnsi="Arial"/>
          <w:sz w:val="19"/>
          <w:szCs w:val="19"/>
          <w:color w:val="000000"/>
        </w:rPr>
        <w:t xml:space="preserve"> that no amendment, waiver or consent shall, unless in writing and signed by the Administrative Agent in addition to the Lenders required above to take such action, affect the rights or duties of the Administrative Agent under this Agreement or any other Loan Document. The Administrative Agent and the Borrowers may, without the consent of any Lender, enter into amendments or modifications of this Agreement or any other Loan Document as the Administrative Agent deems reasonably appropriate in order to implement (1) the terms of Section 2.20 in accordance with the terms of Section 2.20 and (2) the terms related to a new Foreign Borrower contemplated by Section 5.01(j)(ii).</w:t>
      </w:r>
    </w:p>
    <w:p>
      <w:pPr>
        <w:spacing w:after="0" w:line="38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2F5496"/>
        </w:rPr>
        <w:t xml:space="preserve">SECTION 1.02. </w:t>
      </w:r>
      <w:r>
        <w:rPr>
          <w:rFonts w:ascii="Arial" w:cs="Arial" w:eastAsia="Arial" w:hAnsi="Arial"/>
          <w:sz w:val="23"/>
          <w:szCs w:val="23"/>
          <w:u w:val="single" w:color="auto"/>
          <w:color w:val="000000"/>
        </w:rPr>
        <w:t>Notices, Etc</w:t>
      </w:r>
      <w:r>
        <w:rPr>
          <w:rFonts w:ascii="Arial" w:cs="Arial" w:eastAsia="Arial" w:hAnsi="Arial"/>
          <w:sz w:val="22"/>
          <w:szCs w:val="22"/>
          <w:u w:val="single" w:color="auto"/>
          <w:color w:val="000000"/>
        </w:rPr>
        <w:t>. Notices Generally</w:t>
      </w:r>
      <w:r>
        <w:rPr>
          <w:rFonts w:ascii="Arial" w:cs="Arial" w:eastAsia="Arial" w:hAnsi="Arial"/>
          <w:sz w:val="22"/>
          <w:szCs w:val="22"/>
          <w:color w:val="000000"/>
        </w:rPr>
        <w:t>. Except in the case of notices and other communications expressly</w:t>
      </w:r>
      <w:r>
        <w:rPr>
          <w:rFonts w:ascii="Arial" w:cs="Arial" w:eastAsia="Arial" w:hAnsi="Arial"/>
          <w:sz w:val="22"/>
          <w:szCs w:val="22"/>
          <w:color w:val="2F5496"/>
        </w:rPr>
        <w:t xml:space="preserve"> </w:t>
      </w:r>
      <w:r>
        <w:rPr>
          <w:rFonts w:ascii="Arial" w:cs="Arial" w:eastAsia="Arial" w:hAnsi="Arial"/>
          <w:sz w:val="22"/>
          <w:szCs w:val="22"/>
          <w:color w:val="000000"/>
        </w:rPr>
        <w:t>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60" w:lineRule="exact"/>
        <w:rPr>
          <w:sz w:val="20"/>
          <w:szCs w:val="20"/>
          <w:color w:val="auto"/>
        </w:rPr>
      </w:pPr>
    </w:p>
    <w:p>
      <w:pPr>
        <w:jc w:val="both"/>
        <w:ind w:left="660" w:firstLine="644"/>
        <w:spacing w:after="0" w:line="223" w:lineRule="auto"/>
        <w:tabs>
          <w:tab w:leader="none" w:pos="194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if to the Company or any other Credit Party, to it at Graham Holdings Company, 1300 North 17th Street, Suite 1700, Arlington, VA 22209, Attention of Treasurer – Daniel J. Lynch (Facsimile No. 703-345-6299; Telephone No. 703-345-6410; email: daniel.lynch@ghco.com);</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95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if to the Administrative Agent, to Wells Fargo Bank, National Association, as Administrative Agent at 1525 W. W.T. Harris Blvd., 1st Floor, Charlotte, NC 28262-8522, with a copy to Wells Fargo Bank, National Association, 7475 Wisconsin Avenue, Suite 400, Bethesda, MD 20814, Attention of Barbara Angel; and</w:t>
      </w:r>
    </w:p>
    <w:p>
      <w:pPr>
        <w:spacing w:after="0" w:line="157" w:lineRule="exact"/>
        <w:rPr>
          <w:rFonts w:ascii="Arial" w:cs="Arial" w:eastAsia="Arial" w:hAnsi="Arial"/>
          <w:sz w:val="21"/>
          <w:szCs w:val="21"/>
          <w:color w:val="auto"/>
        </w:rPr>
      </w:pPr>
    </w:p>
    <w:p>
      <w:pPr>
        <w:ind w:left="1960" w:hanging="656"/>
        <w:spacing w:after="0"/>
        <w:tabs>
          <w:tab w:leader="none" w:pos="196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if to a Lender, to it at its address (or facsimile number) set forth in its Administrative Questionnaire.</w:t>
      </w:r>
    </w:p>
    <w:p>
      <w:pPr>
        <w:sectPr>
          <w:pgSz w:w="11900" w:h="16838" w:orient="portrait"/>
          <w:cols w:equalWidth="0" w:num="1">
            <w:col w:w="11240"/>
          </w:cols>
          <w:pgMar w:left="320" w:top="1401" w:right="339" w:bottom="1440" w:gutter="0" w:footer="0" w:header="0"/>
        </w:sectPr>
      </w:pPr>
    </w:p>
    <w:bookmarkStart w:id="219" w:name="page220"/>
    <w:bookmarkEnd w:id="219"/>
    <w:p>
      <w:pPr>
        <w:jc w:val="both"/>
        <w:spacing w:after="0" w:line="216" w:lineRule="auto"/>
        <w:rPr>
          <w:sz w:val="20"/>
          <w:szCs w:val="20"/>
          <w:color w:val="auto"/>
        </w:rPr>
      </w:pPr>
      <w:r>
        <w:rPr>
          <w:rFonts w:ascii="Arial" w:cs="Arial" w:eastAsia="Arial" w:hAnsi="Arial"/>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58" w:lineRule="exact"/>
        <w:rPr>
          <w:sz w:val="20"/>
          <w:szCs w:val="20"/>
          <w:color w:val="auto"/>
        </w:rPr>
      </w:pPr>
    </w:p>
    <w:p>
      <w:pPr>
        <w:jc w:val="both"/>
        <w:ind w:firstLine="656"/>
        <w:spacing w:after="0" w:line="247" w:lineRule="auto"/>
        <w:tabs>
          <w:tab w:leader="none" w:pos="1291" w:val="left"/>
        </w:tabs>
        <w:numPr>
          <w:ilvl w:val="0"/>
          <w:numId w:val="190"/>
        </w:numPr>
        <w:rPr>
          <w:rFonts w:ascii="Arial" w:cs="Arial" w:eastAsia="Arial" w:hAnsi="Arial"/>
          <w:sz w:val="19"/>
          <w:szCs w:val="19"/>
          <w:color w:val="1F3763"/>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Company, on or behalf of itself or any other Credit Party,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5" w:lineRule="exact"/>
        <w:rPr>
          <w:sz w:val="20"/>
          <w:szCs w:val="20"/>
          <w:color w:val="auto"/>
        </w:rPr>
      </w:pPr>
    </w:p>
    <w:p>
      <w:pPr>
        <w:ind w:firstLine="656"/>
        <w:spacing w:after="0" w:line="232" w:lineRule="auto"/>
        <w:tabs>
          <w:tab w:leader="none" w:pos="1293" w:val="left"/>
        </w:tabs>
        <w:numPr>
          <w:ilvl w:val="0"/>
          <w:numId w:val="191"/>
        </w:numPr>
        <w:rPr>
          <w:rFonts w:ascii="Arial" w:cs="Arial" w:eastAsia="Arial" w:hAnsi="Arial"/>
          <w:sz w:val="22"/>
          <w:szCs w:val="22"/>
          <w:color w:val="1F3763"/>
        </w:rPr>
      </w:pPr>
      <w:r>
        <w:rPr>
          <w:rFonts w:ascii="Arial" w:cs="Arial" w:eastAsia="Arial" w:hAnsi="Arial"/>
          <w:sz w:val="22"/>
          <w:szCs w:val="22"/>
          <w:u w:val="single" w:color="auto"/>
          <w:color w:val="auto"/>
        </w:rPr>
        <w:t>Change of Address, Etc.</w:t>
      </w:r>
      <w:r>
        <w:rPr>
          <w:rFonts w:ascii="Arial" w:cs="Arial" w:eastAsia="Arial" w:hAnsi="Arial"/>
          <w:sz w:val="22"/>
          <w:szCs w:val="22"/>
          <w:color w:val="auto"/>
        </w:rPr>
        <w:t xml:space="preserve"> Any party hereto may change its address or facsimile number for notices and other communications hereunder by notice to the other parties hereto.</w:t>
      </w:r>
    </w:p>
    <w:p>
      <w:pPr>
        <w:spacing w:after="0" w:line="158" w:lineRule="exact"/>
        <w:rPr>
          <w:rFonts w:ascii="Arial" w:cs="Arial" w:eastAsia="Arial" w:hAnsi="Arial"/>
          <w:sz w:val="22"/>
          <w:szCs w:val="22"/>
          <w:color w:val="1F3763"/>
        </w:rPr>
      </w:pPr>
    </w:p>
    <w:p>
      <w:pPr>
        <w:ind w:left="1300" w:hanging="644"/>
        <w:spacing w:after="0"/>
        <w:tabs>
          <w:tab w:leader="none" w:pos="1300" w:val="left"/>
        </w:tabs>
        <w:numPr>
          <w:ilvl w:val="0"/>
          <w:numId w:val="191"/>
        </w:numPr>
        <w:rPr>
          <w:rFonts w:ascii="Arial" w:cs="Arial" w:eastAsia="Arial" w:hAnsi="Arial"/>
          <w:sz w:val="22"/>
          <w:szCs w:val="22"/>
          <w:color w:val="1F3763"/>
        </w:rPr>
      </w:pPr>
      <w:r>
        <w:rPr>
          <w:rFonts w:ascii="Arial" w:cs="Arial" w:eastAsia="Arial" w:hAnsi="Arial"/>
          <w:sz w:val="22"/>
          <w:szCs w:val="22"/>
          <w:u w:val="single" w:color="auto"/>
          <w:color w:val="auto"/>
        </w:rPr>
        <w:t>Platform</w:t>
      </w:r>
      <w:r>
        <w:rPr>
          <w:rFonts w:ascii="Arial" w:cs="Arial" w:eastAsia="Arial" w:hAnsi="Arial"/>
          <w:sz w:val="22"/>
          <w:szCs w:val="22"/>
          <w:color w:val="auto"/>
        </w:rPr>
        <w:t>.</w:t>
      </w:r>
    </w:p>
    <w:p>
      <w:pPr>
        <w:spacing w:after="0" w:line="179" w:lineRule="exact"/>
        <w:rPr>
          <w:rFonts w:ascii="Arial" w:cs="Arial" w:eastAsia="Arial" w:hAnsi="Arial"/>
          <w:sz w:val="22"/>
          <w:szCs w:val="22"/>
          <w:color w:val="1F3763"/>
        </w:rPr>
      </w:pPr>
    </w:p>
    <w:p>
      <w:pPr>
        <w:jc w:val="both"/>
        <w:ind w:left="660" w:firstLine="644"/>
        <w:spacing w:after="0" w:line="223" w:lineRule="auto"/>
        <w:tabs>
          <w:tab w:leader="none" w:pos="194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Borrowers agree that the Administrative Agent may, but shall not be obligated to, make the Communications (as defined below) available to the Lenders by posting the Communications on Debt Domain, Intralinks, Syndtrak or a substantially similar electronic transmission system (the “</w:t>
      </w:r>
      <w:r>
        <w:rPr>
          <w:rFonts w:ascii="Arial" w:cs="Arial" w:eastAsia="Arial" w:hAnsi="Arial"/>
          <w:sz w:val="22"/>
          <w:szCs w:val="22"/>
          <w:u w:val="single" w:color="auto"/>
          <w:color w:val="auto"/>
        </w:rPr>
        <w:t>Platform</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line="244" w:lineRule="auto"/>
        <w:tabs>
          <w:tab w:leader="none" w:pos="195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Borrowers, any Lender or any other Person or entity for damages of any kind, including, without limitation, direct or indirect, special, incidental or consequential damages, losses or expenses (whether in tort, contract or otherwise) arising out of any Borrowers’ or the Administrative Agent’s transmission of communications through the Platform. “</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that any Borrower provides to the</w:t>
      </w:r>
    </w:p>
    <w:p>
      <w:pPr>
        <w:sectPr>
          <w:pgSz w:w="11900" w:h="16838" w:orient="portrait"/>
          <w:cols w:equalWidth="0" w:num="1">
            <w:col w:w="11240"/>
          </w:cols>
          <w:pgMar w:left="320" w:top="1401" w:right="339" w:bottom="1440" w:gutter="0" w:footer="0" w:header="0"/>
        </w:sectPr>
      </w:pPr>
    </w:p>
    <w:bookmarkStart w:id="220" w:name="page221"/>
    <w:bookmarkEnd w:id="220"/>
    <w:p>
      <w:pPr>
        <w:jc w:val="both"/>
        <w:ind w:left="660"/>
        <w:spacing w:after="0" w:line="223" w:lineRule="auto"/>
        <w:rPr>
          <w:sz w:val="20"/>
          <w:szCs w:val="20"/>
          <w:color w:val="auto"/>
        </w:rPr>
      </w:pPr>
      <w:r>
        <w:rPr>
          <w:rFonts w:ascii="Arial" w:cs="Arial" w:eastAsia="Arial" w:hAnsi="Arial"/>
          <w:sz w:val="22"/>
          <w:szCs w:val="22"/>
          <w:color w:val="auto"/>
        </w:rPr>
        <w:t>Administrative Agent pursuant to any Loan Document or the transactions contemplated therein which is distributed to the Administrative Agent or any Lender by means of electronic communications pursuant to this Section, including through the Platform.</w:t>
      </w:r>
    </w:p>
    <w:p>
      <w:pPr>
        <w:spacing w:after="0" w:line="15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F5496"/>
        </w:rPr>
        <w:t xml:space="preserve">SECTION 1.03. </w:t>
      </w:r>
      <w:r>
        <w:rPr>
          <w:rFonts w:ascii="Arial" w:cs="Arial" w:eastAsia="Arial" w:hAnsi="Arial"/>
          <w:sz w:val="21"/>
          <w:szCs w:val="21"/>
          <w:u w:val="single" w:color="auto"/>
          <w:color w:val="000000"/>
        </w:rPr>
        <w:t>No Waiver; Remedies</w:t>
      </w:r>
      <w:r>
        <w:rPr>
          <w:rFonts w:ascii="Arial" w:cs="Arial" w:eastAsia="Arial" w:hAnsi="Arial"/>
          <w:sz w:val="20"/>
          <w:szCs w:val="20"/>
          <w:color w:val="000000"/>
        </w:rPr>
        <w:t>. No failure on the part of any Lender or the Administrative Agent to</w:t>
      </w:r>
      <w:r>
        <w:rPr>
          <w:rFonts w:ascii="Arial" w:cs="Arial" w:eastAsia="Arial" w:hAnsi="Arial"/>
          <w:sz w:val="20"/>
          <w:szCs w:val="20"/>
          <w:color w:val="2F5496"/>
        </w:rPr>
        <w:t xml:space="preserve"> </w:t>
      </w:r>
      <w:r>
        <w:rPr>
          <w:rFonts w:ascii="Arial" w:cs="Arial" w:eastAsia="Arial" w:hAnsi="Arial"/>
          <w:sz w:val="20"/>
          <w:szCs w:val="20"/>
          <w:color w:val="000000"/>
        </w:rPr>
        <w:t>exercise, and no delay in 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15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2F5496"/>
        </w:rPr>
        <w:t xml:space="preserve">SECTION 1.04. </w:t>
      </w:r>
      <w:r>
        <w:rPr>
          <w:rFonts w:ascii="Arial" w:cs="Arial" w:eastAsia="Arial" w:hAnsi="Arial"/>
          <w:sz w:val="20"/>
          <w:szCs w:val="20"/>
          <w:u w:val="single" w:color="auto"/>
          <w:color w:val="000000"/>
        </w:rPr>
        <w:t>Costs and Expenses</w:t>
      </w:r>
      <w:r>
        <w:rPr>
          <w:rFonts w:ascii="Arial" w:cs="Arial" w:eastAsia="Arial" w:hAnsi="Arial"/>
          <w:sz w:val="19"/>
          <w:szCs w:val="19"/>
          <w:color w:val="000000"/>
        </w:rPr>
        <w:t>. The Company and the Guarantors, jointly and severally, agree to pay on</w:t>
      </w:r>
      <w:r>
        <w:rPr>
          <w:rFonts w:ascii="Arial" w:cs="Arial" w:eastAsia="Arial" w:hAnsi="Arial"/>
          <w:sz w:val="19"/>
          <w:szCs w:val="19"/>
          <w:color w:val="2F5496"/>
        </w:rPr>
        <w:t xml:space="preserve"> </w:t>
      </w:r>
      <w:r>
        <w:rPr>
          <w:rFonts w:ascii="Arial" w:cs="Arial" w:eastAsia="Arial" w:hAnsi="Arial"/>
          <w:sz w:val="19"/>
          <w:szCs w:val="19"/>
          <w:color w:val="000000"/>
        </w:rPr>
        <w:t>demand all reasonable and documented (in summary form) legal and other out-of-pocket costs and expenses of the Administrative Agent in connection with the preparation, execution, delivery, administration, modification and amendment of this Agreement and the other documents to be delivered hereunder, including, without limitation, (A) all due diligence, syndication (including printing, distribution and bank meetings), transportation and duplication expenses, and (B) the reasonable fees, charges and disbursements of counsel for the Administrative Agent (limited in the case of legal expenses, to one firm of counsel (and one local counsel in each applicable jurisdiction and any reasonably necessary specialty area counsel)) with respect thereto and with respect to advising the Administrative Agent as to its rights and responsibilities under this Agreement. The Company and the Guarantors, jointly and severally, further agree to pay on demand all reasonable and documented (in summary form) legal or other out-of-pocket costs and expenses of the Administrative Agent and the Lenders, if any (limited in the case of legal expenses, to one firm of counsel (and one local counsel in each applicable jurisdiction and any reasonably necessary specialty area counsel)), in connection with the enforcement (whether through negotiations, legal proceedings or otherwise) of this Agreement and the other documents to be delivered hereunder, including, without limitation, reasonable fees and expenses of counsel for the Administrative Agent and each Lender in connection with the enforcement of rights under this Section 9.04(a).</w:t>
      </w:r>
    </w:p>
    <w:p>
      <w:pPr>
        <w:spacing w:after="0" w:line="162" w:lineRule="exact"/>
        <w:rPr>
          <w:sz w:val="20"/>
          <w:szCs w:val="20"/>
          <w:color w:val="auto"/>
        </w:rPr>
      </w:pPr>
    </w:p>
    <w:p>
      <w:pPr>
        <w:jc w:val="both"/>
        <w:ind w:firstLine="656"/>
        <w:spacing w:after="0" w:line="241" w:lineRule="auto"/>
        <w:tabs>
          <w:tab w:leader="none" w:pos="1291" w:val="left"/>
        </w:tabs>
        <w:numPr>
          <w:ilvl w:val="0"/>
          <w:numId w:val="192"/>
        </w:numPr>
        <w:rPr>
          <w:rFonts w:ascii="Arial" w:cs="Arial" w:eastAsia="Arial" w:hAnsi="Arial"/>
          <w:sz w:val="19"/>
          <w:szCs w:val="19"/>
          <w:color w:val="1F3763"/>
        </w:rPr>
      </w:pPr>
      <w:r>
        <w:rPr>
          <w:rFonts w:ascii="Arial" w:cs="Arial" w:eastAsia="Arial" w:hAnsi="Arial"/>
          <w:sz w:val="19"/>
          <w:szCs w:val="19"/>
          <w:color w:val="auto"/>
        </w:rPr>
        <w:t>The Company and the Guarantors, jointly and severally, agree to indemnify and hold harmless the Administrative Agent and each Lender and each of their Affiliates and their officers, directors, employees, agents and advisors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from and against any and all claims, damages, losses, liabilities and expenses (including, without limitation, reasonable and documented (in summary form) legal and other out-of-pocket fees and expenses (limited, in the case of legal expenses, to one firm of counsel for all Indemnified Parties taken as a whole (and one local counsel in each applicable jurisdiction and any reasonably necessary specialty area counsel for all Indemnified Parties taken as a whole and, in the event of any actual conflict of interest, one additional counsel of each type to each group of similarly affected Indemnified Parties))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Advances, this Agreement, any of the transactions contemplated herein or the actual or proposed use of the proceeds of the Advances, whether or not such investigation, litigation or proceeding is brought by any Credit Party, its directors, shareholders or creditors or an Indemnified Party or any other Person or any Indemnified Party is otherwise a party thereto and whether or not the transactions contemplated hereby are consummated, except to the extent such claim, damage, loss, liability or related expense is found in a final, non-appealable judgment by a court of competent jurisdiction to have resulted from the gross negligence or willful misconduct of such Indemnified Party or any of its Related Parties or breach of a material obligation by such Indemnified Party or any of its Related Parties under this Agreement.</w:t>
      </w:r>
    </w:p>
    <w:p>
      <w:pPr>
        <w:sectPr>
          <w:pgSz w:w="11900" w:h="16838" w:orient="portrait"/>
          <w:cols w:equalWidth="0" w:num="1">
            <w:col w:w="11240"/>
          </w:cols>
          <w:pgMar w:left="320" w:top="1401" w:right="339" w:bottom="1440" w:gutter="0" w:footer="0" w:header="0"/>
        </w:sectPr>
      </w:pPr>
    </w:p>
    <w:bookmarkStart w:id="221" w:name="page222"/>
    <w:bookmarkEnd w:id="221"/>
    <w:p>
      <w:pPr>
        <w:jc w:val="both"/>
        <w:ind w:firstLine="656"/>
        <w:spacing w:after="0" w:line="244" w:lineRule="auto"/>
        <w:tabs>
          <w:tab w:leader="none" w:pos="1293" w:val="left"/>
        </w:tabs>
        <w:numPr>
          <w:ilvl w:val="0"/>
          <w:numId w:val="193"/>
        </w:numPr>
        <w:rPr>
          <w:rFonts w:ascii="Arial" w:cs="Arial" w:eastAsia="Arial" w:hAnsi="Arial"/>
          <w:sz w:val="19"/>
          <w:szCs w:val="19"/>
          <w:color w:val="1F3763"/>
        </w:rPr>
      </w:pPr>
      <w:r>
        <w:rPr>
          <w:rFonts w:ascii="Arial" w:cs="Arial" w:eastAsia="Arial" w:hAnsi="Arial"/>
          <w:sz w:val="19"/>
          <w:szCs w:val="19"/>
          <w:color w:val="auto"/>
        </w:rPr>
        <w:t>If any payment of principal of, or Conversion of, any Eurocurrency Rate Advance or Term RFR Advance is made by any Borrower to or for the account of a Lender other than on the last day of the Interest Period for such Advance, as a result of a payment or Conversion pursuant to Section 2.08(d) or (e), 2.09, 2.10 or 2.12, acceleration of the maturity of the Advances pursuant to Section 6.01 or for any other reason, or by an Eligible Assignee to a Lender other than on the last day of an Interest Period for such Advance upon an assignment of rights and obligations under this Agreement pursuant to Section 9.07 as a result of a demand by the Company pursuant to Section 2.19, the applicable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54" w:lineRule="exact"/>
        <w:rPr>
          <w:rFonts w:ascii="Arial" w:cs="Arial" w:eastAsia="Arial" w:hAnsi="Arial"/>
          <w:sz w:val="19"/>
          <w:szCs w:val="19"/>
          <w:color w:val="1F3763"/>
        </w:rPr>
      </w:pPr>
    </w:p>
    <w:p>
      <w:pPr>
        <w:jc w:val="both"/>
        <w:ind w:firstLine="656"/>
        <w:spacing w:after="0" w:line="223" w:lineRule="auto"/>
        <w:tabs>
          <w:tab w:leader="none" w:pos="1291" w:val="left"/>
        </w:tabs>
        <w:numPr>
          <w:ilvl w:val="0"/>
          <w:numId w:val="193"/>
        </w:numPr>
        <w:rPr>
          <w:rFonts w:ascii="Arial" w:cs="Arial" w:eastAsia="Arial" w:hAnsi="Arial"/>
          <w:sz w:val="22"/>
          <w:szCs w:val="22"/>
          <w:color w:val="1F3763"/>
        </w:rPr>
      </w:pPr>
      <w:r>
        <w:rPr>
          <w:rFonts w:ascii="Arial" w:cs="Arial" w:eastAsia="Arial" w:hAnsi="Arial"/>
          <w:sz w:val="22"/>
          <w:szCs w:val="22"/>
          <w:color w:val="auto"/>
        </w:rPr>
        <w:t>Without prejudice to the survival of any other agreement of any Credit Party hereunder, the agreements and obligations of any Credit Party contained in Sections 2.11, 2.14 and 9.04 shall survive the payment in full of principal, interest and all other amounts payable hereunder.</w:t>
      </w:r>
    </w:p>
    <w:p>
      <w:pPr>
        <w:spacing w:after="0" w:line="13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2F5496"/>
        </w:rPr>
        <w:t>SECTION 1.05.</w:t>
      </w:r>
      <w:r>
        <w:rPr>
          <w:sz w:val="20"/>
          <w:szCs w:val="20"/>
          <w:color w:val="auto"/>
        </w:rPr>
        <w:tab/>
      </w:r>
      <w:r>
        <w:rPr>
          <w:rFonts w:ascii="Arial" w:cs="Arial" w:eastAsia="Arial" w:hAnsi="Arial"/>
          <w:sz w:val="22"/>
          <w:szCs w:val="22"/>
          <w:u w:val="single" w:color="auto"/>
          <w:color w:val="auto"/>
        </w:rPr>
        <w:t>Right of Set-off</w:t>
      </w:r>
      <w:r>
        <w:rPr>
          <w:rFonts w:ascii="Arial" w:cs="Arial" w:eastAsia="Arial" w:hAnsi="Arial"/>
          <w:sz w:val="20"/>
          <w:szCs w:val="20"/>
          <w:color w:val="auto"/>
        </w:rPr>
        <w:t>. Upon (i) the occurrence and during the continuance of any Event of Default and</w:t>
      </w:r>
    </w:p>
    <w:p>
      <w:pPr>
        <w:jc w:val="both"/>
        <w:ind w:firstLine="8"/>
        <w:spacing w:after="0"/>
        <w:tabs>
          <w:tab w:leader="none" w:pos="33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the making of the request or the granting of the consent specified by Section 6.01 to authorize the Administrative Agent to declare the Advances due and payable pursuant to the provisions of Section 6.01, each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or such Affiliate to or for the credit or the account of any Credit Party against any and all of the obligations of any Credit Party now or hereafter existing under this Agreement held by such Lender, whether or not such Lender shall have made any demand under this Agreement and although such obligations may be unmatured, and regardless of the place of payment, booking branch or currency of either obligation. If the obligations subject to set off are in different currencies, the Lender or its Affiliate may convert either obligation at a market rate of exchange in its usual course of business for the purpose of the set-off. Each Lender agrees promptly to notify the applicable Credit Party,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38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2F5496"/>
        </w:rPr>
        <w:t xml:space="preserve">SECTION 1.06. </w:t>
      </w:r>
      <w:r>
        <w:rPr>
          <w:rFonts w:ascii="Arial" w:cs="Arial" w:eastAsia="Arial" w:hAnsi="Arial"/>
          <w:sz w:val="22"/>
          <w:szCs w:val="22"/>
          <w:u w:val="single" w:color="auto"/>
          <w:color w:val="000000"/>
        </w:rPr>
        <w:t>Binding Effect</w:t>
      </w:r>
      <w:r>
        <w:rPr>
          <w:rFonts w:ascii="Arial" w:cs="Arial" w:eastAsia="Arial" w:hAnsi="Arial"/>
          <w:sz w:val="21"/>
          <w:szCs w:val="21"/>
          <w:color w:val="000000"/>
        </w:rPr>
        <w:t>. This Agreement shall become effective upon satisfaction of the conditions</w:t>
      </w:r>
      <w:r>
        <w:rPr>
          <w:rFonts w:ascii="Arial" w:cs="Arial" w:eastAsia="Arial" w:hAnsi="Arial"/>
          <w:sz w:val="21"/>
          <w:szCs w:val="21"/>
          <w:color w:val="2F5496"/>
        </w:rPr>
        <w:t xml:space="preserve"> </w:t>
      </w:r>
      <w:r>
        <w:rPr>
          <w:rFonts w:ascii="Arial" w:cs="Arial" w:eastAsia="Arial" w:hAnsi="Arial"/>
          <w:sz w:val="21"/>
          <w:szCs w:val="21"/>
          <w:color w:val="000000"/>
        </w:rPr>
        <w:t>precedent set forth in Section 3.01 and thereafter shall be binding upon and inure to the benefit of each Credit Party, the Administrative Agent and each Lender and their respective successors and assigns, except that no Credit Party shall have the right to assign its rights hereunder or any interest herein without the prior written consent of each Lender (and any other attempted assignment or transfer by any Credit Party shall be null and void).</w:t>
      </w:r>
    </w:p>
    <w:p>
      <w:pPr>
        <w:spacing w:after="0" w:line="15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2F5496"/>
        </w:rPr>
        <w:t xml:space="preserve">SECTION 1.07. </w:t>
      </w:r>
      <w:r>
        <w:rPr>
          <w:rFonts w:ascii="Arial" w:cs="Arial" w:eastAsia="Arial" w:hAnsi="Arial"/>
          <w:sz w:val="21"/>
          <w:szCs w:val="21"/>
          <w:u w:val="single" w:color="auto"/>
          <w:color w:val="000000"/>
        </w:rPr>
        <w:t>Assignments and Participations</w:t>
      </w:r>
      <w:r>
        <w:rPr>
          <w:rFonts w:ascii="Arial" w:cs="Arial" w:eastAsia="Arial" w:hAnsi="Arial"/>
          <w:sz w:val="20"/>
          <w:szCs w:val="20"/>
          <w:color w:val="000000"/>
        </w:rPr>
        <w:t>. Successors and Assigns Generally. No Lender may assign or</w:t>
      </w:r>
      <w:r>
        <w:rPr>
          <w:rFonts w:ascii="Arial" w:cs="Arial" w:eastAsia="Arial" w:hAnsi="Arial"/>
          <w:sz w:val="20"/>
          <w:szCs w:val="20"/>
          <w:color w:val="2F5496"/>
        </w:rPr>
        <w:t xml:space="preserve"> </w:t>
      </w:r>
      <w:r>
        <w:rPr>
          <w:rFonts w:ascii="Arial" w:cs="Arial" w:eastAsia="Arial" w:hAnsi="Arial"/>
          <w:sz w:val="20"/>
          <w:szCs w:val="20"/>
          <w:color w:val="000000"/>
        </w:rPr>
        <w:t>otherwise transfer any of its rights or obligations hereunder except (i) to an Eligible Assignee in accordance with the provisions of paragraph (b) of this Section, (ii) by way of participation in accordance with the provisions of paragraph (d) of this Section, or</w:t>
      </w:r>
    </w:p>
    <w:p>
      <w:pPr>
        <w:ind w:firstLine="8"/>
        <w:spacing w:after="0" w:line="224" w:lineRule="auto"/>
        <w:tabs>
          <w:tab w:leader="none" w:pos="3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by way of pledge or assignment of a security interest subject to the restrictions of paragraph (f) of this Section (and any other attempted assignment or transfer by any Lender shall</w:t>
      </w:r>
    </w:p>
    <w:p>
      <w:pPr>
        <w:sectPr>
          <w:pgSz w:w="11900" w:h="16838" w:orient="portrait"/>
          <w:cols w:equalWidth="0" w:num="1">
            <w:col w:w="11240"/>
          </w:cols>
          <w:pgMar w:left="320" w:top="1401" w:right="339" w:bottom="1440" w:gutter="0" w:footer="0" w:header="0"/>
        </w:sectPr>
      </w:pPr>
    </w:p>
    <w:bookmarkStart w:id="222" w:name="page223"/>
    <w:bookmarkEnd w:id="222"/>
    <w:p>
      <w:pPr>
        <w:jc w:val="both"/>
        <w:spacing w:after="0" w:line="257" w:lineRule="auto"/>
        <w:rPr>
          <w:sz w:val="20"/>
          <w:szCs w:val="20"/>
          <w:color w:val="auto"/>
        </w:rPr>
      </w:pPr>
      <w:r>
        <w:rPr>
          <w:rFonts w:ascii="Arial" w:cs="Arial" w:eastAsia="Arial" w:hAnsi="Arial"/>
          <w:sz w:val="19"/>
          <w:szCs w:val="19"/>
          <w:color w:val="auto"/>
        </w:rPr>
        <w:t>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44" w:lineRule="exact"/>
        <w:rPr>
          <w:sz w:val="20"/>
          <w:szCs w:val="20"/>
          <w:color w:val="auto"/>
        </w:rPr>
      </w:pPr>
    </w:p>
    <w:p>
      <w:pPr>
        <w:jc w:val="both"/>
        <w:ind w:firstLine="656"/>
        <w:spacing w:after="0" w:line="252" w:lineRule="auto"/>
        <w:tabs>
          <w:tab w:leader="none" w:pos="1291" w:val="left"/>
        </w:tabs>
        <w:numPr>
          <w:ilvl w:val="0"/>
          <w:numId w:val="196"/>
        </w:numPr>
        <w:rPr>
          <w:rFonts w:ascii="Arial" w:cs="Arial" w:eastAsia="Arial" w:hAnsi="Arial"/>
          <w:sz w:val="19"/>
          <w:szCs w:val="19"/>
          <w:color w:val="1F3763"/>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and, if demanded by the Company in accordance with Section 2.17 or 2.19 at a time when no Default has occurred and is continuing upon at least five Business Days’ notice to such Lender and the Administrative Agent, will assign to one or more Eligible Assignees all or a portion of its rights and obligations under this Agreement (including all or a portion of its Commitment and the Advances at the time owing to it, in each case under any Tranche);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assignment shall be subject to the following conditions:</w:t>
      </w:r>
    </w:p>
    <w:p>
      <w:pPr>
        <w:spacing w:after="0" w:line="148" w:lineRule="exact"/>
        <w:rPr>
          <w:rFonts w:ascii="Arial" w:cs="Arial" w:eastAsia="Arial" w:hAnsi="Arial"/>
          <w:sz w:val="19"/>
          <w:szCs w:val="19"/>
          <w:color w:val="1F3763"/>
        </w:rPr>
      </w:pPr>
    </w:p>
    <w:p>
      <w:pPr>
        <w:ind w:left="1940" w:hanging="636"/>
        <w:spacing w:after="0"/>
        <w:tabs>
          <w:tab w:leader="none" w:pos="1940" w:val="left"/>
        </w:tabs>
        <w:numPr>
          <w:ilvl w:val="1"/>
          <w:numId w:val="196"/>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0" w:firstLine="652"/>
        <w:spacing w:after="0" w:line="223" w:lineRule="auto"/>
        <w:tabs>
          <w:tab w:leader="none" w:pos="2585" w:val="left"/>
        </w:tabs>
        <w:numPr>
          <w:ilvl w:val="2"/>
          <w:numId w:val="196"/>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and/or the Advances at the time owing to it, in each case under any Tranche, no minimum amount need be assigned; and</w:t>
      </w:r>
    </w:p>
    <w:p>
      <w:pPr>
        <w:spacing w:after="0" w:line="158" w:lineRule="exact"/>
        <w:rPr>
          <w:rFonts w:ascii="Arial" w:cs="Arial" w:eastAsia="Arial" w:hAnsi="Arial"/>
          <w:sz w:val="22"/>
          <w:szCs w:val="22"/>
          <w:color w:val="auto"/>
        </w:rPr>
      </w:pPr>
    </w:p>
    <w:p>
      <w:pPr>
        <w:jc w:val="both"/>
        <w:ind w:left="1300" w:firstLine="652"/>
        <w:spacing w:after="0" w:line="246" w:lineRule="auto"/>
        <w:tabs>
          <w:tab w:leader="none" w:pos="2587" w:val="left"/>
        </w:tabs>
        <w:numPr>
          <w:ilvl w:val="2"/>
          <w:numId w:val="196"/>
        </w:numPr>
        <w:rPr>
          <w:rFonts w:ascii="Arial" w:cs="Arial" w:eastAsia="Arial" w:hAnsi="Arial"/>
          <w:sz w:val="19"/>
          <w:szCs w:val="19"/>
          <w:color w:val="auto"/>
        </w:rPr>
      </w:pPr>
      <w:r>
        <w:rPr>
          <w:rFonts w:ascii="Arial" w:cs="Arial" w:eastAsia="Arial" w:hAnsi="Arial"/>
          <w:sz w:val="19"/>
          <w:szCs w:val="19"/>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Arial" w:cs="Arial" w:eastAsia="Arial" w:hAnsi="Arial"/>
          <w:sz w:val="19"/>
          <w:szCs w:val="19"/>
          <w:u w:val="single" w:color="auto"/>
          <w:color w:val="auto"/>
        </w:rPr>
        <w:t>Trade Date</w:t>
      </w:r>
      <w:r>
        <w:rPr>
          <w:rFonts w:ascii="Arial" w:cs="Arial" w:eastAsia="Arial" w:hAnsi="Arial"/>
          <w:sz w:val="19"/>
          <w:szCs w:val="19"/>
          <w:color w:val="auto"/>
        </w:rPr>
        <w:t>” is specified in the Assignment and Assumption, as of the Trade Date) shall not be less than $5,000,000, unless each of the Administrative Agent and, so long as no Event of Default pursuant to clause (a) or (e) of Section 6.01 has occurred and is continuing, the Company, on behalf of the Borrowers, otherwise consents (each such consent not to be unreasonably withheld or delayed).</w:t>
      </w:r>
    </w:p>
    <w:p>
      <w:pPr>
        <w:spacing w:after="0" w:line="152" w:lineRule="exact"/>
        <w:rPr>
          <w:rFonts w:ascii="Arial" w:cs="Arial" w:eastAsia="Arial" w:hAnsi="Arial"/>
          <w:sz w:val="19"/>
          <w:szCs w:val="19"/>
          <w:color w:val="auto"/>
        </w:rPr>
      </w:pPr>
    </w:p>
    <w:p>
      <w:pPr>
        <w:jc w:val="both"/>
        <w:ind w:left="660" w:firstLine="644"/>
        <w:spacing w:after="0" w:line="257" w:lineRule="auto"/>
        <w:tabs>
          <w:tab w:leader="none" w:pos="1950"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Advance or the Commitment of any Tranche assigned, except that this clause (ii) shall not prohibit any Lender from assigning all or a proportionate part of all of its rights and obligations among separate Facilities or Tranches on a non-pro rata basis.</w:t>
      </w:r>
    </w:p>
    <w:p>
      <w:pPr>
        <w:spacing w:after="0" w:line="144" w:lineRule="exact"/>
        <w:rPr>
          <w:rFonts w:ascii="Arial" w:cs="Arial" w:eastAsia="Arial" w:hAnsi="Arial"/>
          <w:sz w:val="19"/>
          <w:szCs w:val="19"/>
          <w:color w:val="auto"/>
        </w:rPr>
      </w:pPr>
    </w:p>
    <w:p>
      <w:pPr>
        <w:ind w:left="660" w:right="20" w:firstLine="644"/>
        <w:spacing w:after="0" w:line="232" w:lineRule="auto"/>
        <w:tabs>
          <w:tab w:leader="none" w:pos="1956" w:val="left"/>
        </w:tabs>
        <w:numPr>
          <w:ilvl w:val="1"/>
          <w:numId w:val="196"/>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to the extent required by paragraph (b)(i)(B) of this Section and, in addition:</w:t>
      </w:r>
    </w:p>
    <w:p>
      <w:pPr>
        <w:spacing w:after="0" w:line="158" w:lineRule="exact"/>
        <w:rPr>
          <w:rFonts w:ascii="Arial" w:cs="Arial" w:eastAsia="Arial" w:hAnsi="Arial"/>
          <w:sz w:val="22"/>
          <w:szCs w:val="22"/>
          <w:color w:val="auto"/>
        </w:rPr>
      </w:pPr>
    </w:p>
    <w:p>
      <w:pPr>
        <w:jc w:val="both"/>
        <w:ind w:left="1300" w:firstLine="652"/>
        <w:spacing w:after="0" w:line="249" w:lineRule="auto"/>
        <w:tabs>
          <w:tab w:leader="none" w:pos="2585" w:val="left"/>
        </w:tabs>
        <w:numPr>
          <w:ilvl w:val="2"/>
          <w:numId w:val="196"/>
        </w:numPr>
        <w:rPr>
          <w:rFonts w:ascii="Arial" w:cs="Arial" w:eastAsia="Arial" w:hAnsi="Arial"/>
          <w:sz w:val="19"/>
          <w:szCs w:val="19"/>
          <w:color w:val="auto"/>
        </w:rPr>
      </w:pPr>
      <w:r>
        <w:rPr>
          <w:rFonts w:ascii="Arial" w:cs="Arial" w:eastAsia="Arial" w:hAnsi="Arial"/>
          <w:sz w:val="19"/>
          <w:szCs w:val="19"/>
          <w:color w:val="auto"/>
        </w:rPr>
        <w:t xml:space="preserve">the consent of the Company, on behalf of the Borrowers (such consent not to be unreasonably withheld or delayed) shall be required unless (x) an Event of Default pursuant to clause (a) or (e) of Section 6.01 has occurred and is continuing at the time of such assignment, or (y) such assignment is to a Lender or an Affiliate of a Lender organized 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on behalf of the Borrowers shall be deemed to have consented to any such assignment unless it shall object thereto by written notice to the Administrative Agent within ten Business Days after having received notice thereof; and</w:t>
      </w:r>
    </w:p>
    <w:p>
      <w:pPr>
        <w:sectPr>
          <w:pgSz w:w="11900" w:h="16838" w:orient="portrait"/>
          <w:cols w:equalWidth="0" w:num="1">
            <w:col w:w="11240"/>
          </w:cols>
          <w:pgMar w:left="320" w:top="1401" w:right="339" w:bottom="1440" w:gutter="0" w:footer="0" w:header="0"/>
        </w:sectPr>
      </w:pPr>
    </w:p>
    <w:bookmarkStart w:id="223" w:name="page224"/>
    <w:bookmarkEnd w:id="223"/>
    <w:p>
      <w:pPr>
        <w:jc w:val="both"/>
        <w:ind w:left="1300" w:firstLine="652"/>
        <w:spacing w:after="0" w:line="223" w:lineRule="auto"/>
        <w:tabs>
          <w:tab w:leader="none" w:pos="2587"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consent of the Administrative Agent (such consent not to be unreasonably withheld or delayed) shall be required for assignments if such assignment is to a Person that is not a Lender with a Commitment or an Affiliate of such Lender;</w:t>
      </w:r>
    </w:p>
    <w:p>
      <w:pPr>
        <w:spacing w:after="0" w:line="158" w:lineRule="exact"/>
        <w:rPr>
          <w:rFonts w:ascii="Arial" w:cs="Arial" w:eastAsia="Arial" w:hAnsi="Arial"/>
          <w:sz w:val="22"/>
          <w:szCs w:val="22"/>
          <w:color w:val="auto"/>
        </w:rPr>
      </w:pPr>
    </w:p>
    <w:p>
      <w:pPr>
        <w:jc w:val="both"/>
        <w:ind w:left="660" w:firstLine="644"/>
        <w:spacing w:after="0" w:line="214" w:lineRule="auto"/>
        <w:tabs>
          <w:tab w:leader="none" w:pos="1944"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may, in its sole discretion, elect to waive such processing and recordation fee in the case of any assignment;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such processing and recordation fee shall be paid in connection with an assignment made pursuant to Section 2.19. The assignee, if it is not a Lender, shall deliver to the Administrative Agent an Administrative Questionnaire.</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951"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No such assignment shall be made to (A) any person that is not an Eligible Assignee or (B) any Defaulting Lender or any of its Subsidiaries or any Person who, upon becoming a Lender hereunder, would constitute any of the foregoing Persons described in this clause (B).</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and 9.04, and subject to the obligations of Section 7.05, in each case,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380" w:lineRule="exact"/>
        <w:rPr>
          <w:sz w:val="20"/>
          <w:szCs w:val="20"/>
          <w:color w:val="auto"/>
        </w:rPr>
      </w:pPr>
    </w:p>
    <w:p>
      <w:pPr>
        <w:jc w:val="both"/>
        <w:ind w:firstLine="656"/>
        <w:spacing w:after="0" w:line="246" w:lineRule="auto"/>
        <w:tabs>
          <w:tab w:leader="none" w:pos="1293" w:val="left"/>
        </w:tabs>
        <w:numPr>
          <w:ilvl w:val="0"/>
          <w:numId w:val="199"/>
        </w:numPr>
        <w:rPr>
          <w:rFonts w:ascii="Arial" w:cs="Arial" w:eastAsia="Arial" w:hAnsi="Arial"/>
          <w:sz w:val="19"/>
          <w:szCs w:val="19"/>
          <w:color w:val="1F3763"/>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Borrowers, shall maintain at one of its offices in the United States a copy of each Assumption Agreement and each Assignment and Assumption delivered to it and a register for the recordation of the names and addresses of the Lenders, and the Commitments (including the relevant Tranche) of, and principal amounts of the Advances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The Register shall be available for inspection by the Company, on behalf of the Borrowers, and any Lender, at any reasonable time and from time to time upon reasonable prior notice.</w:t>
      </w:r>
    </w:p>
    <w:p>
      <w:pPr>
        <w:spacing w:after="0" w:line="152" w:lineRule="exact"/>
        <w:rPr>
          <w:rFonts w:ascii="Arial" w:cs="Arial" w:eastAsia="Arial" w:hAnsi="Arial"/>
          <w:sz w:val="19"/>
          <w:szCs w:val="19"/>
          <w:color w:val="1F3763"/>
        </w:rPr>
      </w:pPr>
    </w:p>
    <w:p>
      <w:pPr>
        <w:jc w:val="both"/>
        <w:ind w:firstLine="656"/>
        <w:spacing w:after="0" w:line="229" w:lineRule="auto"/>
        <w:tabs>
          <w:tab w:leader="none" w:pos="1291" w:val="left"/>
        </w:tabs>
        <w:numPr>
          <w:ilvl w:val="0"/>
          <w:numId w:val="199"/>
        </w:numPr>
        <w:rPr>
          <w:rFonts w:ascii="Arial" w:cs="Arial" w:eastAsia="Arial" w:hAnsi="Arial"/>
          <w:sz w:val="21"/>
          <w:szCs w:val="21"/>
          <w:color w:val="1F3763"/>
        </w:rPr>
      </w:pPr>
      <w:r>
        <w:rPr>
          <w:rFonts w:ascii="Arial" w:cs="Arial" w:eastAsia="Arial" w:hAnsi="Arial"/>
          <w:sz w:val="21"/>
          <w:szCs w:val="21"/>
          <w:u w:val="single" w:color="auto"/>
          <w:color w:val="auto"/>
        </w:rPr>
        <w:t>Participations</w:t>
      </w:r>
      <w:r>
        <w:rPr>
          <w:rFonts w:ascii="Arial" w:cs="Arial" w:eastAsia="Arial" w:hAnsi="Arial"/>
          <w:sz w:val="21"/>
          <w:szCs w:val="21"/>
          <w:color w:val="auto"/>
        </w:rPr>
        <w:t>. Any Lender may at any time, without the consent of, or notice to, any Credit Party or the Administrative Agent, sell participations to any Person (other than a natural Person or any Credit Party or any of their Affiliates or Subsidiaries) (each, a “</w:t>
      </w:r>
      <w:r>
        <w:rPr>
          <w:rFonts w:ascii="Arial" w:cs="Arial" w:eastAsia="Arial" w:hAnsi="Arial"/>
          <w:sz w:val="21"/>
          <w:szCs w:val="21"/>
          <w:u w:val="single" w:color="auto"/>
          <w:color w:val="auto"/>
        </w:rPr>
        <w:t>Participant</w:t>
      </w:r>
      <w:r>
        <w:rPr>
          <w:rFonts w:ascii="Arial" w:cs="Arial" w:eastAsia="Arial" w:hAnsi="Arial"/>
          <w:sz w:val="21"/>
          <w:szCs w:val="21"/>
          <w:color w:val="auto"/>
        </w:rPr>
        <w:t xml:space="preserve">”) in all or a portion of such Lender’s rights and/or obligations under this Agreement (including all or a portion of its Commitment and/or the Advances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w:t>
      </w:r>
    </w:p>
    <w:p>
      <w:pPr>
        <w:sectPr>
          <w:pgSz w:w="11900" w:h="16838" w:orient="portrait"/>
          <w:cols w:equalWidth="0" w:num="1">
            <w:col w:w="11240"/>
          </w:cols>
          <w:pgMar w:left="320" w:top="1401" w:right="339" w:bottom="1440" w:gutter="0" w:footer="0" w:header="0"/>
        </w:sectPr>
      </w:pPr>
    </w:p>
    <w:bookmarkStart w:id="224" w:name="page225"/>
    <w:bookmarkEnd w:id="224"/>
    <w:p>
      <w:pPr>
        <w:jc w:val="both"/>
        <w:spacing w:after="0" w:line="241" w:lineRule="auto"/>
        <w:rPr>
          <w:sz w:val="20"/>
          <w:szCs w:val="20"/>
          <w:color w:val="auto"/>
        </w:rPr>
      </w:pPr>
      <w:r>
        <w:rPr>
          <w:rFonts w:ascii="Arial" w:cs="Arial" w:eastAsia="Arial" w:hAnsi="Arial"/>
          <w:sz w:val="19"/>
          <w:szCs w:val="19"/>
          <w:color w:val="auto"/>
        </w:rPr>
        <w:t>such Lender’s obligations under this Agreement shall remain unchanged, (ii) such Lender shall remain solely responsible to the other parties hereto for the performance of such obligations, and (iii) the Borrowers, the Administrative Agent and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 Each Lender that sells a participation shall, acting solely for this purpose as an agent of the Borrowers, maintain a register on which it enters the name and address of each Participant and the principal amounts (and stated interest) of each Participant’s interest in the Multicurrency Tranche Commitments, US Tranche Commitments or other obligations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or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w:t>
      </w:r>
    </w:p>
    <w:p>
      <w:pPr>
        <w:spacing w:after="0" w:line="168" w:lineRule="exact"/>
        <w:rPr>
          <w:sz w:val="20"/>
          <w:szCs w:val="20"/>
          <w:color w:val="auto"/>
        </w:rPr>
      </w:pPr>
    </w:p>
    <w:p>
      <w:pPr>
        <w:jc w:val="both"/>
        <w:ind w:firstLine="656"/>
        <w:spacing w:after="0" w:line="244" w:lineRule="auto"/>
        <w:tabs>
          <w:tab w:leader="none" w:pos="1293" w:val="left"/>
        </w:tabs>
        <w:numPr>
          <w:ilvl w:val="0"/>
          <w:numId w:val="200"/>
        </w:numPr>
        <w:rPr>
          <w:rFonts w:ascii="Arial" w:cs="Arial" w:eastAsia="Arial" w:hAnsi="Arial"/>
          <w:sz w:val="19"/>
          <w:szCs w:val="19"/>
          <w:color w:val="1F3763"/>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clauses (b)(ii) and (iii) of the first proviso of Section 9.01 that directly and adversely affects such Participant. The Borrowers agree that, subject to paragraph (f) below, each Participant shall be entitled to the benefits of Sections 2.11 and 2.14 to the same extent as if it were a Lender and had acquired its interest by assignment pursuant to paragraph (b)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the provisions of Section 2.19 as if it were an assignee under paragraph (b) of this Section. To the extent permitted by Applicable Law, each Participant also shall be entitled to the benefits of Section 9.05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Section 2.15 as though it were a Lender.</w:t>
      </w:r>
    </w:p>
    <w:p>
      <w:pPr>
        <w:spacing w:after="0" w:line="154" w:lineRule="exact"/>
        <w:rPr>
          <w:rFonts w:ascii="Arial" w:cs="Arial" w:eastAsia="Arial" w:hAnsi="Arial"/>
          <w:sz w:val="19"/>
          <w:szCs w:val="19"/>
          <w:color w:val="1F3763"/>
        </w:rPr>
      </w:pPr>
    </w:p>
    <w:p>
      <w:pPr>
        <w:jc w:val="both"/>
        <w:ind w:firstLine="656"/>
        <w:spacing w:after="0" w:line="222" w:lineRule="auto"/>
        <w:tabs>
          <w:tab w:leader="none" w:pos="1296" w:val="left"/>
        </w:tabs>
        <w:numPr>
          <w:ilvl w:val="0"/>
          <w:numId w:val="200"/>
        </w:numPr>
        <w:rPr>
          <w:rFonts w:ascii="Arial" w:cs="Arial" w:eastAsia="Arial" w:hAnsi="Arial"/>
          <w:sz w:val="21"/>
          <w:szCs w:val="21"/>
          <w:color w:val="1F3763"/>
        </w:rPr>
      </w:pPr>
      <w:r>
        <w:rPr>
          <w:rFonts w:ascii="Arial" w:cs="Arial" w:eastAsia="Arial" w:hAnsi="Arial"/>
          <w:sz w:val="21"/>
          <w:szCs w:val="21"/>
          <w:u w:val="single" w:color="auto"/>
          <w:color w:val="auto"/>
        </w:rPr>
        <w:t>Limitations upon Participant Rights</w:t>
      </w:r>
      <w:r>
        <w:rPr>
          <w:rFonts w:ascii="Arial" w:cs="Arial" w:eastAsia="Arial" w:hAnsi="Arial"/>
          <w:sz w:val="21"/>
          <w:szCs w:val="21"/>
          <w:color w:val="auto"/>
        </w:rPr>
        <w:t xml:space="preserve">. A Participant shall not be entitled to receive any greater payment under Sections 2.11 and 2.14 than the applicable Lender would have been entitled to receive with respect to the participation sold to such Participant, unless the sale of the participation to such Participant is made with the Company’s, on behalf of the Borrowers, prior written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Participant shall be subject to the provisions of Sections 2.15 and 2.19. A Participant that would be a Foreign Lender if it were a Lender shall not be entitled to the benefits of Section 2.14 unless the Company is notified of the participation sold to such Participant and such Participant agrees, for the benefit of each Borrower, to comply with Section 2.14(e) as though it were a Lender.</w:t>
      </w:r>
    </w:p>
    <w:p>
      <w:pPr>
        <w:spacing w:after="0" w:line="164" w:lineRule="exact"/>
        <w:rPr>
          <w:rFonts w:ascii="Arial" w:cs="Arial" w:eastAsia="Arial" w:hAnsi="Arial"/>
          <w:sz w:val="21"/>
          <w:szCs w:val="21"/>
          <w:color w:val="1F3763"/>
        </w:rPr>
      </w:pPr>
    </w:p>
    <w:p>
      <w:pPr>
        <w:jc w:val="both"/>
        <w:ind w:firstLine="656"/>
        <w:spacing w:after="0" w:line="229" w:lineRule="auto"/>
        <w:tabs>
          <w:tab w:leader="none" w:pos="1291" w:val="left"/>
        </w:tabs>
        <w:numPr>
          <w:ilvl w:val="0"/>
          <w:numId w:val="200"/>
        </w:numPr>
        <w:rPr>
          <w:rFonts w:ascii="Arial" w:cs="Arial" w:eastAsia="Arial" w:hAnsi="Arial"/>
          <w:sz w:val="21"/>
          <w:szCs w:val="21"/>
          <w:color w:val="1F3763"/>
        </w:rPr>
      </w:pPr>
      <w:r>
        <w:rPr>
          <w:rFonts w:ascii="Arial" w:cs="Arial" w:eastAsia="Arial" w:hAnsi="Arial"/>
          <w:sz w:val="21"/>
          <w:szCs w:val="21"/>
          <w:u w:val="single" w:color="auto"/>
          <w:color w:val="auto"/>
        </w:rPr>
        <w:t>Certain Pledges</w:t>
      </w:r>
      <w:r>
        <w:rPr>
          <w:rFonts w:ascii="Arial" w:cs="Arial" w:eastAsia="Arial" w:hAnsi="Arial"/>
          <w:sz w:val="21"/>
          <w:szCs w:val="21"/>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2F5496"/>
        </w:rPr>
        <w:t xml:space="preserve">SECTION 1.08. </w:t>
      </w:r>
      <w:r>
        <w:rPr>
          <w:rFonts w:ascii="Arial" w:cs="Arial" w:eastAsia="Arial" w:hAnsi="Arial"/>
          <w:sz w:val="21"/>
          <w:szCs w:val="21"/>
          <w:u w:val="single" w:color="auto"/>
          <w:color w:val="000000"/>
        </w:rPr>
        <w:t>Confidentiality</w:t>
      </w:r>
      <w:r>
        <w:rPr>
          <w:rFonts w:ascii="Arial" w:cs="Arial" w:eastAsia="Arial" w:hAnsi="Arial"/>
          <w:sz w:val="20"/>
          <w:szCs w:val="20"/>
          <w:color w:val="000000"/>
        </w:rPr>
        <w:t>. Neither the Administrative Agent nor any Lender shall disclose any Confidential</w:t>
      </w:r>
      <w:r>
        <w:rPr>
          <w:rFonts w:ascii="Arial" w:cs="Arial" w:eastAsia="Arial" w:hAnsi="Arial"/>
          <w:sz w:val="20"/>
          <w:szCs w:val="20"/>
          <w:color w:val="2F5496"/>
        </w:rPr>
        <w:t xml:space="preserve"> </w:t>
      </w:r>
      <w:r>
        <w:rPr>
          <w:rFonts w:ascii="Arial" w:cs="Arial" w:eastAsia="Arial" w:hAnsi="Arial"/>
          <w:sz w:val="20"/>
          <w:szCs w:val="20"/>
          <w:color w:val="000000"/>
        </w:rPr>
        <w:t>Information to any other Person without the consent of the Company, on behalf of the Borrowers, except that Confidential Information may be disclosed (a) to the Administrative Agent’s or such Lender’s Affiliates and to its Related Parties (it being</w:t>
      </w:r>
    </w:p>
    <w:p>
      <w:pPr>
        <w:sectPr>
          <w:pgSz w:w="11900" w:h="16838" w:orient="portrait"/>
          <w:cols w:equalWidth="0" w:num="1">
            <w:col w:w="11240"/>
          </w:cols>
          <w:pgMar w:left="320" w:top="1401" w:right="339" w:bottom="1440" w:gutter="0" w:footer="0" w:header="0"/>
        </w:sectPr>
      </w:pPr>
    </w:p>
    <w:bookmarkStart w:id="225" w:name="page226"/>
    <w:bookmarkEnd w:id="225"/>
    <w:p>
      <w:pPr>
        <w:jc w:val="both"/>
        <w:spacing w:after="0" w:line="242" w:lineRule="auto"/>
        <w:rPr>
          <w:sz w:val="20"/>
          <w:szCs w:val="20"/>
          <w:color w:val="auto"/>
        </w:rPr>
      </w:pPr>
      <w:r>
        <w:rPr>
          <w:rFonts w:ascii="Arial" w:cs="Arial" w:eastAsia="Arial" w:hAnsi="Arial"/>
          <w:sz w:val="19"/>
          <w:szCs w:val="19"/>
          <w:color w:val="auto"/>
        </w:rPr>
        <w:t>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any Borrower and its obligations, this Agreement or payments hereunder; or (g) on a confidential basis to (i) any rating agency in connection with rating any Borrower or its Subsidiaries or this credit facility or (ii) the CUSIP Service Bureau or any similar agency in connection with the issuance and monitoring of CUSIP numbers with respect to the facilities.</w:t>
      </w:r>
    </w:p>
    <w:p>
      <w:pPr>
        <w:spacing w:after="0" w:line="15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2F5496"/>
        </w:rPr>
        <w:t xml:space="preserve">SECTION 1.09. </w:t>
      </w:r>
      <w:r>
        <w:rPr>
          <w:rFonts w:ascii="Arial" w:cs="Arial" w:eastAsia="Arial" w:hAnsi="Arial"/>
          <w:sz w:val="23"/>
          <w:szCs w:val="23"/>
          <w:u w:val="single" w:color="auto"/>
          <w:color w:val="000000"/>
        </w:rPr>
        <w:t>Governing Law</w:t>
      </w:r>
      <w:r>
        <w:rPr>
          <w:rFonts w:ascii="Arial" w:cs="Arial" w:eastAsia="Arial" w:hAnsi="Arial"/>
          <w:sz w:val="22"/>
          <w:szCs w:val="22"/>
          <w:color w:val="000000"/>
        </w:rPr>
        <w:t>. This Agreement and the other Loan Documents and any claims, controversy,</w:t>
      </w:r>
      <w:r>
        <w:rPr>
          <w:rFonts w:ascii="Arial" w:cs="Arial" w:eastAsia="Arial" w:hAnsi="Arial"/>
          <w:sz w:val="22"/>
          <w:szCs w:val="22"/>
          <w:color w:val="2F5496"/>
        </w:rPr>
        <w:t xml:space="preserve"> </w:t>
      </w:r>
      <w:r>
        <w:rPr>
          <w:rFonts w:ascii="Arial" w:cs="Arial" w:eastAsia="Arial" w:hAnsi="Arial"/>
          <w:sz w:val="22"/>
          <w:szCs w:val="22"/>
          <w:color w:val="000000"/>
        </w:rPr>
        <w:t>dispute or cause of action (whether in contract or tort or otherwise) based upon, arising out of or relating to this Agreement or any other Loan Document and the transactions contemplated hereby and thereby shall be governed by, and construed in accordance with, the law of the State of New York.</w:t>
      </w:r>
    </w:p>
    <w:p>
      <w:pPr>
        <w:spacing w:after="0" w:line="15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2F5496"/>
        </w:rPr>
        <w:t xml:space="preserve">SECTION 1.10. </w:t>
      </w:r>
      <w:r>
        <w:rPr>
          <w:rFonts w:ascii="Arial" w:cs="Arial" w:eastAsia="Arial" w:hAnsi="Arial"/>
          <w:sz w:val="23"/>
          <w:szCs w:val="23"/>
          <w:u w:val="single" w:color="auto"/>
          <w:color w:val="000000"/>
        </w:rPr>
        <w:t>Execution in Counterparts</w:t>
      </w:r>
      <w:r>
        <w:rPr>
          <w:rFonts w:ascii="Arial" w:cs="Arial" w:eastAsia="Arial" w:hAnsi="Arial"/>
          <w:sz w:val="22"/>
          <w:szCs w:val="22"/>
          <w:color w:val="000000"/>
        </w:rPr>
        <w:t>. This Agreement may be executed in any number of counterparts and</w:t>
      </w:r>
      <w:r>
        <w:rPr>
          <w:rFonts w:ascii="Arial" w:cs="Arial" w:eastAsia="Arial" w:hAnsi="Arial"/>
          <w:sz w:val="22"/>
          <w:szCs w:val="22"/>
          <w:color w:val="2F5496"/>
        </w:rPr>
        <w:t xml:space="preserve"> </w:t>
      </w:r>
      <w:r>
        <w:rPr>
          <w:rFonts w:ascii="Arial" w:cs="Arial" w:eastAsia="Arial" w:hAnsi="Arial"/>
          <w:sz w:val="22"/>
          <w:szCs w:val="22"/>
          <w:color w:val="000000"/>
        </w:rPr>
        <w:t>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electronic transmission shall be effective as delivery of a manually executed counterpart of this Agreement.</w:t>
      </w:r>
    </w:p>
    <w:p>
      <w:pPr>
        <w:spacing w:after="0" w:line="15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2F5496"/>
        </w:rPr>
        <w:t xml:space="preserve">SECTION 1.11. </w:t>
      </w:r>
      <w:r>
        <w:rPr>
          <w:rFonts w:ascii="Arial" w:cs="Arial" w:eastAsia="Arial" w:hAnsi="Arial"/>
          <w:sz w:val="22"/>
          <w:szCs w:val="22"/>
          <w:u w:val="single" w:color="auto"/>
          <w:color w:val="000000"/>
        </w:rPr>
        <w:t>Jurisdiction, Etc</w:t>
      </w:r>
      <w:r>
        <w:rPr>
          <w:rFonts w:ascii="Arial" w:cs="Arial" w:eastAsia="Arial" w:hAnsi="Arial"/>
          <w:sz w:val="21"/>
          <w:szCs w:val="21"/>
          <w:u w:val="single" w:color="auto"/>
          <w:color w:val="000000"/>
        </w:rPr>
        <w:t>.</w:t>
      </w:r>
      <w:r>
        <w:rPr>
          <w:rFonts w:ascii="Arial" w:cs="Arial" w:eastAsia="Arial" w:hAnsi="Arial"/>
          <w:sz w:val="21"/>
          <w:szCs w:val="21"/>
          <w:color w:val="2F5496"/>
        </w:rPr>
        <w:t xml:space="preserve"> </w:t>
      </w:r>
      <w:r>
        <w:rPr>
          <w:rFonts w:ascii="Arial" w:cs="Arial" w:eastAsia="Arial" w:hAnsi="Arial"/>
          <w:sz w:val="21"/>
          <w:szCs w:val="21"/>
          <w:color w:val="000000"/>
        </w:rPr>
        <w:t>Each Credit Party irrevocably and unconditionally agrees that it will not</w:t>
      </w:r>
      <w:r>
        <w:rPr>
          <w:rFonts w:ascii="Arial" w:cs="Arial" w:eastAsia="Arial" w:hAnsi="Arial"/>
          <w:sz w:val="21"/>
          <w:szCs w:val="21"/>
          <w:color w:val="2F5496"/>
        </w:rPr>
        <w:t xml:space="preserve"> </w:t>
      </w:r>
      <w:r>
        <w:rPr>
          <w:rFonts w:ascii="Arial" w:cs="Arial" w:eastAsia="Arial" w:hAnsi="Arial"/>
          <w:sz w:val="21"/>
          <w:szCs w:val="21"/>
          <w:color w:val="000000"/>
        </w:rPr>
        <w:t>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Applicable Law. Nothing in this Agreement or in any other Loan Document shall affect any right that the Administrative Agent or any Lender may otherwise have to bring any action or proceeding relating to this Agreement or any other Loan Document against any Credit Party or its properties in the courts of any jurisdiction.</w:t>
      </w:r>
    </w:p>
    <w:p>
      <w:pPr>
        <w:spacing w:after="0" w:line="167" w:lineRule="exact"/>
        <w:rPr>
          <w:sz w:val="20"/>
          <w:szCs w:val="20"/>
          <w:color w:val="auto"/>
        </w:rPr>
      </w:pPr>
    </w:p>
    <w:p>
      <w:pPr>
        <w:jc w:val="both"/>
        <w:ind w:firstLine="656"/>
        <w:spacing w:after="0" w:line="218" w:lineRule="auto"/>
        <w:tabs>
          <w:tab w:leader="none" w:pos="1291" w:val="left"/>
        </w:tabs>
        <w:numPr>
          <w:ilvl w:val="0"/>
          <w:numId w:val="201"/>
        </w:numPr>
        <w:rPr>
          <w:rFonts w:ascii="Arial" w:cs="Arial" w:eastAsia="Arial" w:hAnsi="Arial"/>
          <w:sz w:val="22"/>
          <w:szCs w:val="22"/>
          <w:color w:val="1F3763"/>
        </w:rPr>
      </w:pPr>
      <w:r>
        <w:rPr>
          <w:rFonts w:ascii="Arial" w:cs="Arial" w:eastAsia="Arial" w:hAnsi="Arial"/>
          <w:sz w:val="22"/>
          <w:szCs w:val="22"/>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New York State or federal court. Each of the parties hereto</w:t>
      </w:r>
    </w:p>
    <w:p>
      <w:pPr>
        <w:sectPr>
          <w:pgSz w:w="11900" w:h="16838" w:orient="portrait"/>
          <w:cols w:equalWidth="0" w:num="1">
            <w:col w:w="11240"/>
          </w:cols>
          <w:pgMar w:left="320" w:top="1401" w:right="339" w:bottom="1440" w:gutter="0" w:footer="0" w:header="0"/>
        </w:sectPr>
      </w:pPr>
    </w:p>
    <w:bookmarkStart w:id="226" w:name="page227"/>
    <w:bookmarkEnd w:id="226"/>
    <w:p>
      <w:pPr>
        <w:spacing w:after="0" w:line="232" w:lineRule="auto"/>
        <w:rPr>
          <w:sz w:val="20"/>
          <w:szCs w:val="20"/>
          <w:color w:val="auto"/>
        </w:rPr>
      </w:pPr>
      <w:r>
        <w:rPr>
          <w:rFonts w:ascii="Arial" w:cs="Arial" w:eastAsia="Arial" w:hAnsi="Arial"/>
          <w:sz w:val="22"/>
          <w:szCs w:val="22"/>
          <w:color w:val="auto"/>
        </w:rPr>
        <w:t>hereby irrevocably waives, to the fullest extent permitted by Applicable Law, the defense of an inconvenient forum to the maintenance of such action or proceeding in any such court.</w:t>
      </w:r>
    </w:p>
    <w:p>
      <w:pPr>
        <w:spacing w:after="0" w:line="159" w:lineRule="exact"/>
        <w:rPr>
          <w:sz w:val="20"/>
          <w:szCs w:val="20"/>
          <w:color w:val="auto"/>
        </w:rPr>
      </w:pPr>
    </w:p>
    <w:p>
      <w:pPr>
        <w:jc w:val="both"/>
        <w:ind w:firstLine="656"/>
        <w:spacing w:after="0" w:line="223" w:lineRule="auto"/>
        <w:tabs>
          <w:tab w:leader="none" w:pos="1293" w:val="left"/>
        </w:tabs>
        <w:numPr>
          <w:ilvl w:val="0"/>
          <w:numId w:val="202"/>
        </w:numPr>
        <w:rPr>
          <w:rFonts w:ascii="Arial" w:cs="Arial" w:eastAsia="Arial" w:hAnsi="Arial"/>
          <w:sz w:val="22"/>
          <w:szCs w:val="22"/>
          <w:color w:val="1F3763"/>
        </w:rPr>
      </w:pPr>
      <w:r>
        <w:rPr>
          <w:rFonts w:ascii="Arial" w:cs="Arial" w:eastAsia="Arial" w:hAnsi="Arial"/>
          <w:sz w:val="22"/>
          <w:szCs w:val="22"/>
          <w:color w:val="auto"/>
        </w:rPr>
        <w:t>Each party hereto irrevocably consents to service of process in the manner provided for notices in Section 9.02. Nothing in this Agreement will affect the right of any party hereto to serve process in any other manner permitted by Applicable Law.</w:t>
      </w:r>
    </w:p>
    <w:p>
      <w:pPr>
        <w:spacing w:after="0" w:line="154"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2F5496"/>
        </w:rPr>
        <w:t xml:space="preserve">SECTION 1.12. </w:t>
      </w:r>
      <w:r>
        <w:rPr>
          <w:rFonts w:ascii="Arial" w:cs="Arial" w:eastAsia="Arial" w:hAnsi="Arial"/>
          <w:sz w:val="23"/>
          <w:szCs w:val="23"/>
          <w:u w:val="single" w:color="auto"/>
          <w:color w:val="000000"/>
        </w:rPr>
        <w:t>Patriot Act Notice</w:t>
      </w:r>
      <w:r>
        <w:rPr>
          <w:rFonts w:ascii="Arial" w:cs="Arial" w:eastAsia="Arial" w:hAnsi="Arial"/>
          <w:sz w:val="22"/>
          <w:szCs w:val="22"/>
          <w:color w:val="000000"/>
        </w:rPr>
        <w:t>. Each Lender that is subject to the Patriot Act (as hereinafter defined) and the</w:t>
      </w:r>
      <w:r>
        <w:rPr>
          <w:rFonts w:ascii="Arial" w:cs="Arial" w:eastAsia="Arial" w:hAnsi="Arial"/>
          <w:sz w:val="22"/>
          <w:szCs w:val="22"/>
          <w:color w:val="2F5496"/>
        </w:rPr>
        <w:t xml:space="preserve"> </w:t>
      </w:r>
      <w:r>
        <w:rPr>
          <w:rFonts w:ascii="Arial" w:cs="Arial" w:eastAsia="Arial" w:hAnsi="Arial"/>
          <w:sz w:val="22"/>
          <w:szCs w:val="22"/>
          <w:color w:val="000000"/>
        </w:rPr>
        <w:t>Administrative Agent (for itself and not on behalf of any Lender) hereby notifies the Borrowers that, pursuant to the requirements of the USA Patriot Act (Title III of Pub. L. 107-56 (signed into law October 26, 2001)) (the “</w:t>
      </w:r>
      <w:r>
        <w:rPr>
          <w:rFonts w:ascii="Arial" w:cs="Arial" w:eastAsia="Arial" w:hAnsi="Arial"/>
          <w:sz w:val="22"/>
          <w:szCs w:val="22"/>
          <w:u w:val="single" w:color="auto"/>
          <w:color w:val="000000"/>
        </w:rPr>
        <w:t>Patriot Act</w:t>
      </w:r>
      <w:r>
        <w:rPr>
          <w:rFonts w:ascii="Arial" w:cs="Arial" w:eastAsia="Arial" w:hAnsi="Arial"/>
          <w:sz w:val="22"/>
          <w:szCs w:val="22"/>
          <w:color w:val="000000"/>
        </w:rPr>
        <w:t>”), it is required to obtain, verify and record information that identifies each Credit Party, which information includes the name and address of each Credit Party and other information that will allow such Lender or the Administrative Agent, as applicable, to identify each Credit Party in accordance with the Patriot Act.</w:t>
      </w:r>
    </w:p>
    <w:p>
      <w:pPr>
        <w:spacing w:after="0" w:line="15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2F5496"/>
        </w:rPr>
        <w:t xml:space="preserve">SECTION 1.13. </w:t>
      </w:r>
      <w:r>
        <w:rPr>
          <w:rFonts w:ascii="Arial" w:cs="Arial" w:eastAsia="Arial" w:hAnsi="Arial"/>
          <w:sz w:val="23"/>
          <w:szCs w:val="23"/>
          <w:u w:val="single" w:color="auto"/>
          <w:color w:val="000000"/>
        </w:rPr>
        <w:t>Waiver of Jury Trial</w:t>
      </w:r>
      <w:r>
        <w:rPr>
          <w:rFonts w:ascii="Arial" w:cs="Arial" w:eastAsia="Arial" w:hAnsi="Arial"/>
          <w:sz w:val="22"/>
          <w:szCs w:val="22"/>
          <w:color w:val="000000"/>
        </w:rPr>
        <w:t>. Each of the Credit Parties, the Administrative Agent and the Lenders hereby</w:t>
      </w:r>
      <w:r>
        <w:rPr>
          <w:rFonts w:ascii="Arial" w:cs="Arial" w:eastAsia="Arial" w:hAnsi="Arial"/>
          <w:sz w:val="22"/>
          <w:szCs w:val="22"/>
          <w:color w:val="2F5496"/>
        </w:rPr>
        <w:t xml:space="preserve"> </w:t>
      </w:r>
      <w:r>
        <w:rPr>
          <w:rFonts w:ascii="Arial" w:cs="Arial" w:eastAsia="Arial" w:hAnsi="Arial"/>
          <w:sz w:val="22"/>
          <w:szCs w:val="22"/>
          <w:color w:val="000000"/>
        </w:rPr>
        <w:t>irrevocably waives all right to trial by jury in any action, proceeding or counterclaim (whether based on contract, tort or otherwise) arising out of or relating to this Agreement or any other Loan Document or the actions of the Administrative Agent or any Lender in the negotiation, administration, performance or enforcement thereof.</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2F5496"/>
        </w:rPr>
        <w:t xml:space="preserve">SECTION 1.14. </w:t>
      </w:r>
      <w:r>
        <w:rPr>
          <w:rFonts w:ascii="Arial" w:cs="Arial" w:eastAsia="Arial" w:hAnsi="Arial"/>
          <w:sz w:val="22"/>
          <w:szCs w:val="22"/>
          <w:u w:val="single" w:color="auto"/>
          <w:color w:val="000000"/>
        </w:rPr>
        <w:t>Acknowledgement and Consent to Bail-In of Affected Financial Institutions</w:t>
      </w:r>
      <w:r>
        <w:rPr>
          <w:rFonts w:ascii="Arial" w:cs="Arial" w:eastAsia="Arial" w:hAnsi="Arial"/>
          <w:sz w:val="21"/>
          <w:szCs w:val="21"/>
          <w:color w:val="000000"/>
        </w:rPr>
        <w:t>.</w:t>
      </w:r>
      <w:r>
        <w:rPr>
          <w:rFonts w:ascii="Arial" w:cs="Arial" w:eastAsia="Arial" w:hAnsi="Arial"/>
          <w:sz w:val="21"/>
          <w:szCs w:val="21"/>
          <w:color w:val="2F5496"/>
        </w:rPr>
        <w:t xml:space="preserve"> </w:t>
      </w:r>
      <w:r>
        <w:rPr>
          <w:rFonts w:ascii="Arial" w:cs="Arial" w:eastAsia="Arial" w:hAnsi="Arial"/>
          <w:sz w:val="21"/>
          <w:szCs w:val="21"/>
          <w:color w:val="000000"/>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1" w:lineRule="exact"/>
        <w:rPr>
          <w:sz w:val="20"/>
          <w:szCs w:val="20"/>
          <w:color w:val="auto"/>
        </w:rPr>
      </w:pPr>
    </w:p>
    <w:p>
      <w:pPr>
        <w:ind w:firstLine="656"/>
        <w:spacing w:after="0" w:line="298" w:lineRule="auto"/>
        <w:tabs>
          <w:tab w:leader="none" w:pos="1293" w:val="left"/>
        </w:tabs>
        <w:numPr>
          <w:ilvl w:val="0"/>
          <w:numId w:val="203"/>
        </w:numPr>
        <w:rPr>
          <w:rFonts w:ascii="Arial" w:cs="Arial" w:eastAsia="Arial" w:hAnsi="Arial"/>
          <w:sz w:val="19"/>
          <w:szCs w:val="19"/>
          <w:color w:val="1F3763"/>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5" w:lineRule="exact"/>
        <w:rPr>
          <w:rFonts w:ascii="Arial" w:cs="Arial" w:eastAsia="Arial" w:hAnsi="Arial"/>
          <w:sz w:val="19"/>
          <w:szCs w:val="19"/>
          <w:color w:val="1F3763"/>
        </w:rPr>
      </w:pPr>
    </w:p>
    <w:p>
      <w:pPr>
        <w:ind w:left="1300" w:hanging="644"/>
        <w:spacing w:after="0"/>
        <w:tabs>
          <w:tab w:leader="none" w:pos="1300" w:val="left"/>
        </w:tabs>
        <w:numPr>
          <w:ilvl w:val="0"/>
          <w:numId w:val="203"/>
        </w:numPr>
        <w:rPr>
          <w:rFonts w:ascii="Arial" w:cs="Arial" w:eastAsia="Arial" w:hAnsi="Arial"/>
          <w:sz w:val="22"/>
          <w:szCs w:val="22"/>
          <w:color w:val="1F3763"/>
        </w:rPr>
      </w:pPr>
      <w:r>
        <w:rPr>
          <w:rFonts w:ascii="Arial" w:cs="Arial" w:eastAsia="Arial" w:hAnsi="Arial"/>
          <w:sz w:val="22"/>
          <w:szCs w:val="22"/>
          <w:color w:val="auto"/>
        </w:rPr>
        <w:t>the effects of any Bail-In Action on any such liability, including, if applicable:</w:t>
      </w:r>
    </w:p>
    <w:p>
      <w:pPr>
        <w:spacing w:after="0" w:line="179" w:lineRule="exact"/>
        <w:rPr>
          <w:rFonts w:ascii="Arial" w:cs="Arial" w:eastAsia="Arial" w:hAnsi="Arial"/>
          <w:sz w:val="22"/>
          <w:szCs w:val="22"/>
          <w:color w:val="1F3763"/>
        </w:rPr>
      </w:pPr>
    </w:p>
    <w:p>
      <w:pPr>
        <w:ind w:left="1940" w:hanging="636"/>
        <w:spacing w:after="0"/>
        <w:tabs>
          <w:tab w:leader="none" w:pos="194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left="660" w:firstLine="644"/>
        <w:spacing w:after="0" w:line="218" w:lineRule="auto"/>
        <w:tabs>
          <w:tab w:leader="none" w:pos="195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rFonts w:ascii="Arial" w:cs="Arial" w:eastAsia="Arial" w:hAnsi="Arial"/>
          <w:sz w:val="22"/>
          <w:szCs w:val="22"/>
          <w:color w:val="auto"/>
        </w:rPr>
      </w:pPr>
    </w:p>
    <w:p>
      <w:pPr>
        <w:ind w:left="660" w:firstLine="644"/>
        <w:spacing w:after="0" w:line="232" w:lineRule="auto"/>
        <w:tabs>
          <w:tab w:leader="none" w:pos="1956" w:val="left"/>
        </w:tabs>
        <w:numPr>
          <w:ilvl w:val="1"/>
          <w:numId w:val="203"/>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5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2F5496"/>
        </w:rPr>
        <w:t xml:space="preserve">SECTION 1.15. </w:t>
      </w:r>
      <w:r>
        <w:rPr>
          <w:rFonts w:ascii="Arial" w:cs="Arial" w:eastAsia="Arial" w:hAnsi="Arial"/>
          <w:sz w:val="23"/>
          <w:szCs w:val="23"/>
          <w:u w:val="single" w:color="auto"/>
          <w:color w:val="000000"/>
        </w:rPr>
        <w:t>Amendment and Restatement</w:t>
      </w:r>
      <w:r>
        <w:rPr>
          <w:rFonts w:ascii="Arial" w:cs="Arial" w:eastAsia="Arial" w:hAnsi="Arial"/>
          <w:sz w:val="22"/>
          <w:szCs w:val="22"/>
          <w:color w:val="000000"/>
        </w:rPr>
        <w:t>. This Agreement is intended to amend and restate the Existing</w:t>
      </w:r>
      <w:r>
        <w:rPr>
          <w:rFonts w:ascii="Arial" w:cs="Arial" w:eastAsia="Arial" w:hAnsi="Arial"/>
          <w:sz w:val="22"/>
          <w:szCs w:val="22"/>
          <w:color w:val="2F5496"/>
        </w:rPr>
        <w:t xml:space="preserve"> </w:t>
      </w:r>
      <w:r>
        <w:rPr>
          <w:rFonts w:ascii="Arial" w:cs="Arial" w:eastAsia="Arial" w:hAnsi="Arial"/>
          <w:sz w:val="22"/>
          <w:szCs w:val="22"/>
          <w:color w:val="000000"/>
        </w:rPr>
        <w:t>Credit Agreement, without novation, with the Commitments set forth herein and the Lenders party hereto. The applicable Credit Parties hereby ratify, affirm and acknowledge all of their obligations in respect of the Existing Credit Agreement and the related documents and agreements delivered by them thereunder, as amended by this Agreement. The Lenders hereby agree that the commitments with respect to the Existing Credit Agreement are</w:t>
      </w:r>
    </w:p>
    <w:p>
      <w:pPr>
        <w:sectPr>
          <w:pgSz w:w="11900" w:h="16838" w:orient="portrait"/>
          <w:cols w:equalWidth="0" w:num="1">
            <w:col w:w="11240"/>
          </w:cols>
          <w:pgMar w:left="320" w:top="1401" w:right="339" w:bottom="1440" w:gutter="0" w:footer="0" w:header="0"/>
        </w:sectPr>
      </w:pPr>
    </w:p>
    <w:bookmarkStart w:id="227" w:name="page228"/>
    <w:bookmarkEnd w:id="227"/>
    <w:p>
      <w:pPr>
        <w:jc w:val="both"/>
        <w:spacing w:after="0" w:line="234" w:lineRule="auto"/>
        <w:rPr>
          <w:sz w:val="20"/>
          <w:szCs w:val="20"/>
          <w:color w:val="auto"/>
        </w:rPr>
      </w:pPr>
      <w:r>
        <w:rPr>
          <w:rFonts w:ascii="Arial" w:cs="Arial" w:eastAsia="Arial" w:hAnsi="Arial"/>
          <w:sz w:val="21"/>
          <w:szCs w:val="21"/>
          <w:color w:val="auto"/>
        </w:rPr>
        <w:t>amended and restated to be the Commitments of this Agreement and hereby waive, on the Effective Date only, any pro rata payment provisions of this Agreement to the extent any such payments are required to repay any obligations owing to any lender under the Existing Credit Agreement that will not continue as a Lender under this Agreement.</w:t>
      </w:r>
    </w:p>
    <w:p>
      <w:pPr>
        <w:spacing w:after="0" w:line="15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2F5496"/>
        </w:rPr>
        <w:t xml:space="preserve">SECTION 1.16. </w:t>
      </w:r>
      <w:r>
        <w:rPr>
          <w:rFonts w:ascii="Arial" w:cs="Arial" w:eastAsia="Arial" w:hAnsi="Arial"/>
          <w:sz w:val="21"/>
          <w:szCs w:val="21"/>
          <w:u w:val="single" w:color="auto"/>
          <w:color w:val="000000"/>
        </w:rPr>
        <w:t>Judgment Currency</w:t>
      </w:r>
      <w:r>
        <w:rPr>
          <w:rFonts w:ascii="Arial" w:cs="Arial" w:eastAsia="Arial" w:hAnsi="Arial"/>
          <w:sz w:val="20"/>
          <w:szCs w:val="20"/>
          <w:color w:val="000000"/>
        </w:rPr>
        <w:t>. If, for the purposes of obtaining judgment in any court, it is necessary to</w:t>
      </w:r>
      <w:r>
        <w:rPr>
          <w:rFonts w:ascii="Arial" w:cs="Arial" w:eastAsia="Arial" w:hAnsi="Arial"/>
          <w:sz w:val="20"/>
          <w:szCs w:val="20"/>
          <w:color w:val="2F5496"/>
        </w:rPr>
        <w:t xml:space="preserve"> </w:t>
      </w:r>
      <w:r>
        <w:rPr>
          <w:rFonts w:ascii="Arial" w:cs="Arial" w:eastAsia="Arial" w:hAnsi="Arial"/>
          <w:sz w:val="20"/>
          <w:szCs w:val="20"/>
          <w:color w:val="000000"/>
        </w:rPr>
        <w:t>convert a sum due hereunder or under any other Loan Document in one currency into another currency, the rate of exchange used shall be the Spot Rate. The obligation of any Credit Party in respect of any such sum due from it to the Administrative Agent or any Lender hereunder or under the other Loan Documents shall, notwithstanding any judgment in a currency (the “</w:t>
      </w:r>
      <w:r>
        <w:rPr>
          <w:rFonts w:ascii="Arial" w:cs="Arial" w:eastAsia="Arial" w:hAnsi="Arial"/>
          <w:sz w:val="20"/>
          <w:szCs w:val="20"/>
          <w:u w:val="single" w:color="auto"/>
          <w:color w:val="000000"/>
        </w:rPr>
        <w:t>Judgment</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Currency</w:t>
      </w:r>
      <w:r>
        <w:rPr>
          <w:rFonts w:ascii="Arial" w:cs="Arial" w:eastAsia="Arial" w:hAnsi="Arial"/>
          <w:sz w:val="20"/>
          <w:szCs w:val="20"/>
          <w:color w:val="000000"/>
        </w:rPr>
        <w:t>”) other than that in which such sum is denominated in accordance with the applicable provisions of this Agreement (the “</w:t>
      </w:r>
      <w:r>
        <w:rPr>
          <w:rFonts w:ascii="Arial" w:cs="Arial" w:eastAsia="Arial" w:hAnsi="Arial"/>
          <w:sz w:val="20"/>
          <w:szCs w:val="20"/>
          <w:u w:val="single" w:color="auto"/>
          <w:color w:val="000000"/>
        </w:rPr>
        <w:t>Agreement Currency</w:t>
      </w:r>
      <w:r>
        <w:rPr>
          <w:rFonts w:ascii="Arial" w:cs="Arial" w:eastAsia="Arial" w:hAnsi="Arial"/>
          <w:sz w:val="20"/>
          <w:szCs w:val="20"/>
          <w:color w:val="000000"/>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each Credit Party agrees, as a separate obligation and notwithstanding any such judgment, to indemnify the Administrative Agent or such Lender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Company, for itself or another Borrower (or to any other Person who may be entitled thereto under Applicable Law).</w:t>
      </w:r>
    </w:p>
    <w:p>
      <w:pPr>
        <w:spacing w:after="0" w:line="157"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2F5496"/>
        </w:rPr>
        <w:t xml:space="preserve">SECTION 1.17. </w:t>
      </w:r>
      <w:r>
        <w:rPr>
          <w:rFonts w:ascii="Arial" w:cs="Arial" w:eastAsia="Arial" w:hAnsi="Arial"/>
          <w:sz w:val="22"/>
          <w:szCs w:val="22"/>
          <w:u w:val="single" w:color="auto"/>
          <w:color w:val="000000"/>
        </w:rPr>
        <w:t>Appointment of the Company</w:t>
      </w:r>
      <w:r>
        <w:rPr>
          <w:rFonts w:ascii="Arial" w:cs="Arial" w:eastAsia="Arial" w:hAnsi="Arial"/>
          <w:sz w:val="21"/>
          <w:szCs w:val="21"/>
          <w:color w:val="000000"/>
        </w:rPr>
        <w:t>. Each Foreign Borrower hereby irrevocably appoints the Company</w:t>
      </w:r>
      <w:r>
        <w:rPr>
          <w:rFonts w:ascii="Arial" w:cs="Arial" w:eastAsia="Arial" w:hAnsi="Arial"/>
          <w:sz w:val="21"/>
          <w:szCs w:val="21"/>
          <w:color w:val="2F5496"/>
        </w:rPr>
        <w:t xml:space="preserve"> </w:t>
      </w:r>
      <w:r>
        <w:rPr>
          <w:rFonts w:ascii="Arial" w:cs="Arial" w:eastAsia="Arial" w:hAnsi="Arial"/>
          <w:sz w:val="21"/>
          <w:szCs w:val="21"/>
          <w:color w:val="000000"/>
        </w:rPr>
        <w:t>as its agent to act as specified in the Loan Documents, and the Company hereby accepts such appointment. Each Foreign Borrower hereby irrevocably authorizes and directs the Company to take on its behalf all actions required of such Person under the Loan Documents, and to exercise all powers and to perform all duties of such Person thereunder, including, (a) to submit and receive all certificates, notices, elections and communications and (b) to receive and disburse the proceeds of all Advances. Any of the foregoing taken or received by the Company on behalf of any Foreign Borrower will be deemed for all purposes to have been taken or received by such Foreign Borrower and will be binding on such Person to the same extent as if directly taken or received by such Foreign Borrower.</w:t>
      </w:r>
    </w:p>
    <w:p>
      <w:pPr>
        <w:spacing w:after="0" w:line="160"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2F5496"/>
        </w:rPr>
        <w:t xml:space="preserve">SECTION 1.18. </w:t>
      </w:r>
      <w:r>
        <w:rPr>
          <w:rFonts w:ascii="Arial" w:cs="Arial" w:eastAsia="Arial" w:hAnsi="Arial"/>
          <w:sz w:val="23"/>
          <w:szCs w:val="23"/>
          <w:u w:val="single" w:color="auto"/>
          <w:color w:val="000000"/>
        </w:rPr>
        <w:t>Lender-Specific Provisions</w:t>
      </w:r>
      <w:r>
        <w:rPr>
          <w:rFonts w:ascii="Arial" w:cs="Arial" w:eastAsia="Arial" w:hAnsi="Arial"/>
          <w:sz w:val="22"/>
          <w:szCs w:val="22"/>
          <w:color w:val="000000"/>
        </w:rPr>
        <w:t>. Bank of America Merrill Lynch International is a designated</w:t>
      </w:r>
      <w:r>
        <w:rPr>
          <w:rFonts w:ascii="Arial" w:cs="Arial" w:eastAsia="Arial" w:hAnsi="Arial"/>
          <w:sz w:val="22"/>
          <w:szCs w:val="22"/>
          <w:color w:val="2F5496"/>
        </w:rPr>
        <w:t xml:space="preserve"> </w:t>
      </w:r>
      <w:r>
        <w:rPr>
          <w:rFonts w:ascii="Arial" w:cs="Arial" w:eastAsia="Arial" w:hAnsi="Arial"/>
          <w:sz w:val="22"/>
          <w:szCs w:val="22"/>
          <w:color w:val="000000"/>
        </w:rPr>
        <w:t>Affiliate of Bank of America, N.A. for the purpose of lending to certain Foreign Borrowers.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1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2F5496"/>
        </w:rPr>
        <w:t xml:space="preserve">SECTION 1.19. </w:t>
      </w:r>
      <w:r>
        <w:rPr>
          <w:rFonts w:ascii="Arial" w:cs="Arial" w:eastAsia="Arial" w:hAnsi="Arial"/>
          <w:sz w:val="23"/>
          <w:szCs w:val="23"/>
          <w:u w:val="single" w:color="auto"/>
          <w:color w:val="000000"/>
        </w:rPr>
        <w:t>Australian Code of Banking Practice</w:t>
      </w:r>
      <w:r>
        <w:rPr>
          <w:rFonts w:ascii="Arial" w:cs="Arial" w:eastAsia="Arial" w:hAnsi="Arial"/>
          <w:sz w:val="22"/>
          <w:szCs w:val="22"/>
          <w:color w:val="000000"/>
        </w:rPr>
        <w:t>. The Australian Bankers' Association Code of Banking</w:t>
      </w:r>
      <w:r>
        <w:rPr>
          <w:rFonts w:ascii="Arial" w:cs="Arial" w:eastAsia="Arial" w:hAnsi="Arial"/>
          <w:sz w:val="22"/>
          <w:szCs w:val="22"/>
          <w:color w:val="2F5496"/>
        </w:rPr>
        <w:t xml:space="preserve"> </w:t>
      </w:r>
      <w:r>
        <w:rPr>
          <w:rFonts w:ascii="Arial" w:cs="Arial" w:eastAsia="Arial" w:hAnsi="Arial"/>
          <w:sz w:val="22"/>
          <w:szCs w:val="22"/>
          <w:color w:val="000000"/>
        </w:rPr>
        <w:t>Practice does not apply to the Loan Documents and the transactions under them.</w:t>
      </w:r>
    </w:p>
    <w:p>
      <w:pPr>
        <w:sectPr>
          <w:pgSz w:w="11900" w:h="16838" w:orient="portrait"/>
          <w:cols w:equalWidth="0" w:num="1">
            <w:col w:w="11240"/>
          </w:cols>
          <w:pgMar w:left="320" w:top="1401" w:right="339" w:bottom="1440" w:gutter="0" w:footer="0" w:header="0"/>
        </w:sectPr>
      </w:pPr>
    </w:p>
    <w:bookmarkStart w:id="228" w:name="page229"/>
    <w:bookmarkEnd w:id="228"/>
    <w:p>
      <w:pPr>
        <w:jc w:val="both"/>
        <w:ind w:firstLine="648"/>
        <w:spacing w:after="0" w:line="222" w:lineRule="auto"/>
        <w:rPr>
          <w:sz w:val="20"/>
          <w:szCs w:val="20"/>
          <w:color w:val="auto"/>
        </w:rPr>
      </w:pPr>
      <w:r>
        <w:rPr>
          <w:rFonts w:ascii="Arial" w:cs="Arial" w:eastAsia="Arial" w:hAnsi="Arial"/>
          <w:sz w:val="21"/>
          <w:szCs w:val="21"/>
          <w:color w:val="2F5496"/>
        </w:rPr>
        <w:t xml:space="preserve">SECTION 1.20. </w:t>
      </w:r>
      <w:r>
        <w:rPr>
          <w:rFonts w:ascii="Arial" w:cs="Arial" w:eastAsia="Arial" w:hAnsi="Arial"/>
          <w:sz w:val="22"/>
          <w:szCs w:val="22"/>
          <w:u w:val="single" w:color="auto"/>
          <w:color w:val="000000"/>
        </w:rPr>
        <w:t>Acknowledgement Regarding Any Supported QFCs</w:t>
      </w:r>
      <w:r>
        <w:rPr>
          <w:rFonts w:ascii="Arial" w:cs="Arial" w:eastAsia="Arial" w:hAnsi="Arial"/>
          <w:sz w:val="21"/>
          <w:szCs w:val="21"/>
          <w:color w:val="000000"/>
        </w:rPr>
        <w:t>. To the extent that the Loan Documents</w:t>
      </w:r>
      <w:r>
        <w:rPr>
          <w:rFonts w:ascii="Arial" w:cs="Arial" w:eastAsia="Arial" w:hAnsi="Arial"/>
          <w:sz w:val="21"/>
          <w:szCs w:val="21"/>
          <w:color w:val="2F5496"/>
        </w:rPr>
        <w:t xml:space="preserve"> </w:t>
      </w:r>
      <w:r>
        <w:rPr>
          <w:rFonts w:ascii="Arial" w:cs="Arial" w:eastAsia="Arial" w:hAnsi="Arial"/>
          <w:sz w:val="21"/>
          <w:szCs w:val="21"/>
          <w:u w:val="single" w:color="auto"/>
          <w:color w:val="000000"/>
        </w:rPr>
        <w:t>provide</w:t>
      </w:r>
      <w:r>
        <w:rPr>
          <w:rFonts w:ascii="Arial" w:cs="Arial" w:eastAsia="Arial" w:hAnsi="Arial"/>
          <w:sz w:val="21"/>
          <w:szCs w:val="21"/>
          <w:color w:val="000000"/>
        </w:rPr>
        <w:t xml:space="preserve"> support, through a guarantee or otherwise, for hedge agreements or any other agreement or instrument that is a QFC (such support, “</w:t>
      </w:r>
      <w:r>
        <w:rPr>
          <w:rFonts w:ascii="Arial" w:cs="Arial" w:eastAsia="Arial" w:hAnsi="Arial"/>
          <w:sz w:val="21"/>
          <w:szCs w:val="21"/>
          <w:u w:val="single" w:color="auto"/>
          <w:color w:val="000000"/>
        </w:rPr>
        <w:t>QFC Credit Support</w:t>
      </w:r>
      <w:r>
        <w:rPr>
          <w:rFonts w:ascii="Arial" w:cs="Arial" w:eastAsia="Arial" w:hAnsi="Arial"/>
          <w:sz w:val="21"/>
          <w:szCs w:val="21"/>
          <w:color w:val="000000"/>
        </w:rPr>
        <w:t>” and, each such QFC, a “</w:t>
      </w:r>
      <w:r>
        <w:rPr>
          <w:rFonts w:ascii="Arial" w:cs="Arial" w:eastAsia="Arial" w:hAnsi="Arial"/>
          <w:sz w:val="21"/>
          <w:szCs w:val="21"/>
          <w:u w:val="single" w:color="auto"/>
          <w:color w:val="000000"/>
        </w:rPr>
        <w:t>Supported QFC</w:t>
      </w:r>
      <w:r>
        <w:rPr>
          <w:rFonts w:ascii="Arial" w:cs="Arial" w:eastAsia="Arial" w:hAnsi="Arial"/>
          <w:sz w:val="21"/>
          <w:szCs w:val="21"/>
          <w:color w:val="000000"/>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21"/>
          <w:szCs w:val="21"/>
          <w:u w:val="single" w:color="auto"/>
          <w:color w:val="000000"/>
        </w:rPr>
        <w:t>U.S. Special Resolution</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Regimes</w:t>
      </w:r>
      <w:r>
        <w:rPr>
          <w:rFonts w:ascii="Arial" w:cs="Arial" w:eastAsia="Arial" w:hAnsi="Arial"/>
          <w:sz w:val="21"/>
          <w:szCs w:val="21"/>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4" w:lineRule="exact"/>
        <w:rPr>
          <w:sz w:val="20"/>
          <w:szCs w:val="20"/>
          <w:color w:val="auto"/>
        </w:rPr>
      </w:pPr>
    </w:p>
    <w:p>
      <w:pPr>
        <w:jc w:val="both"/>
        <w:ind w:firstLine="656"/>
        <w:spacing w:after="0" w:line="242" w:lineRule="auto"/>
        <w:tabs>
          <w:tab w:leader="none" w:pos="1293" w:val="left"/>
        </w:tabs>
        <w:numPr>
          <w:ilvl w:val="0"/>
          <w:numId w:val="204"/>
        </w:numPr>
        <w:rPr>
          <w:rFonts w:ascii="Arial" w:cs="Arial" w:eastAsia="Arial" w:hAnsi="Arial"/>
          <w:sz w:val="19"/>
          <w:szCs w:val="19"/>
          <w:color w:val="1F3763"/>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0" w:lineRule="exact"/>
        <w:rPr>
          <w:rFonts w:ascii="Arial" w:cs="Arial" w:eastAsia="Arial" w:hAnsi="Arial"/>
          <w:sz w:val="19"/>
          <w:szCs w:val="19"/>
          <w:color w:val="1F3763"/>
        </w:rPr>
      </w:pPr>
    </w:p>
    <w:p>
      <w:pPr>
        <w:ind w:left="1300" w:hanging="644"/>
        <w:spacing w:after="0"/>
        <w:tabs>
          <w:tab w:leader="none" w:pos="1300" w:val="left"/>
        </w:tabs>
        <w:numPr>
          <w:ilvl w:val="0"/>
          <w:numId w:val="204"/>
        </w:numPr>
        <w:rPr>
          <w:rFonts w:ascii="Arial" w:cs="Arial" w:eastAsia="Arial" w:hAnsi="Arial"/>
          <w:sz w:val="22"/>
          <w:szCs w:val="22"/>
          <w:color w:val="1F3763"/>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9.20</w:t>
      </w:r>
      <w:r>
        <w:rPr>
          <w:rFonts w:ascii="Arial" w:cs="Arial" w:eastAsia="Arial" w:hAnsi="Arial"/>
          <w:sz w:val="22"/>
          <w:szCs w:val="22"/>
          <w:color w:val="auto"/>
        </w:rPr>
        <w:t>, the following terms have the following meanings:</w:t>
      </w:r>
    </w:p>
    <w:p>
      <w:pPr>
        <w:spacing w:after="0" w:line="179" w:lineRule="exact"/>
        <w:rPr>
          <w:sz w:val="20"/>
          <w:szCs w:val="20"/>
          <w:color w:val="auto"/>
        </w:rPr>
      </w:pPr>
    </w:p>
    <w:p>
      <w:pPr>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172" w:lineRule="exact"/>
        <w:rPr>
          <w:sz w:val="20"/>
          <w:szCs w:val="20"/>
          <w:color w:val="auto"/>
        </w:rPr>
      </w:pPr>
    </w:p>
    <w:p>
      <w:pPr>
        <w:ind w:left="2580" w:hanging="547"/>
        <w:spacing w:after="0"/>
        <w:tabs>
          <w:tab w:leader="none" w:pos="258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w:t>
      </w:r>
    </w:p>
    <w:p>
      <w:pPr>
        <w:ind w:left="1380"/>
        <w:spacing w:after="0"/>
        <w:rPr>
          <w:rFonts w:ascii="Arial" w:cs="Arial" w:eastAsia="Arial" w:hAnsi="Arial"/>
          <w:sz w:val="21"/>
          <w:szCs w:val="21"/>
          <w:color w:val="auto"/>
        </w:rPr>
      </w:pPr>
      <w:r>
        <w:rPr>
          <w:rFonts w:ascii="Arial" w:cs="Arial" w:eastAsia="Arial" w:hAnsi="Arial"/>
          <w:sz w:val="22"/>
          <w:szCs w:val="22"/>
          <w:color w:val="auto"/>
        </w:rPr>
        <w:t>252.82(b);</w:t>
      </w:r>
    </w:p>
    <w:p>
      <w:pPr>
        <w:spacing w:after="0" w:line="161" w:lineRule="exact"/>
        <w:rPr>
          <w:rFonts w:ascii="Arial" w:cs="Arial" w:eastAsia="Arial" w:hAnsi="Arial"/>
          <w:sz w:val="21"/>
          <w:szCs w:val="21"/>
          <w:color w:val="auto"/>
        </w:rPr>
      </w:pPr>
    </w:p>
    <w:p>
      <w:pPr>
        <w:ind w:left="2600" w:hanging="567"/>
        <w:spacing w:after="0"/>
        <w:tabs>
          <w:tab w:leader="none" w:pos="260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w:t>
      </w:r>
    </w:p>
    <w:p>
      <w:pPr>
        <w:spacing w:after="0" w:line="15" w:lineRule="exact"/>
        <w:rPr>
          <w:rFonts w:ascii="Arial" w:cs="Arial" w:eastAsia="Arial" w:hAnsi="Arial"/>
          <w:sz w:val="19"/>
          <w:szCs w:val="19"/>
          <w:color w:val="auto"/>
        </w:rPr>
      </w:pPr>
    </w:p>
    <w:p>
      <w:pPr>
        <w:ind w:left="138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61" w:lineRule="exact"/>
        <w:rPr>
          <w:rFonts w:ascii="Arial" w:cs="Arial" w:eastAsia="Arial" w:hAnsi="Arial"/>
          <w:sz w:val="19"/>
          <w:szCs w:val="19"/>
          <w:color w:val="auto"/>
        </w:rPr>
      </w:pPr>
    </w:p>
    <w:p>
      <w:pPr>
        <w:ind w:left="2600" w:hanging="567"/>
        <w:spacing w:after="0"/>
        <w:tabs>
          <w:tab w:leader="none" w:pos="260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214" w:lineRule="exact"/>
        <w:rPr>
          <w:sz w:val="20"/>
          <w:szCs w:val="20"/>
          <w:color w:val="auto"/>
        </w:rPr>
      </w:pPr>
    </w:p>
    <w:p>
      <w:pPr>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59" w:lineRule="exact"/>
        <w:rPr>
          <w:sz w:val="20"/>
          <w:szCs w:val="20"/>
          <w:color w:val="auto"/>
        </w:rPr>
      </w:pPr>
    </w:p>
    <w:p>
      <w:pPr>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ectPr>
          <w:pgSz w:w="11900" w:h="16838" w:orient="portrait"/>
          <w:cols w:equalWidth="0" w:num="1">
            <w:col w:w="11240"/>
          </w:cols>
          <w:pgMar w:left="320" w:top="1396" w:right="339" w:bottom="1440" w:gutter="0" w:footer="0" w:header="0"/>
        </w:sectPr>
      </w:pPr>
    </w:p>
    <w:bookmarkStart w:id="229" w:name="page230"/>
    <w:bookmarkEnd w:id="229"/>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pacing w:after="0" w:line="159" w:lineRule="exact"/>
        <w:rPr>
          <w:sz w:val="20"/>
          <w:szCs w:val="20"/>
          <w:color w:val="auto"/>
        </w:rPr>
      </w:pPr>
    </w:p>
    <w:p>
      <w:pPr>
        <w:spacing w:after="0"/>
        <w:tabs>
          <w:tab w:leader="none" w:pos="216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22"/>
          <w:szCs w:val="22"/>
          <w:color w:val="auto"/>
        </w:rPr>
        <w:t>GRAHAM HOLDINGS COMPANY</w:t>
      </w: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Wallace R. Cooney</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188"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color w:val="auto"/>
        </w:rPr>
        <w:t>GUARANTORS:</w:t>
      </w:r>
      <w:r>
        <w:rPr>
          <w:sz w:val="20"/>
          <w:szCs w:val="20"/>
          <w:color w:val="auto"/>
        </w:rPr>
        <w:tab/>
      </w:r>
      <w:r>
        <w:rPr>
          <w:rFonts w:ascii="Arial" w:cs="Arial" w:eastAsia="Arial" w:hAnsi="Arial"/>
          <w:sz w:val="22"/>
          <w:szCs w:val="22"/>
          <w:color w:val="auto"/>
        </w:rPr>
        <w:t>GRAHAM MEDIA GROUP, INC.</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GRAHAM MEDIA GROUP, FLORIDA, INC.</w:t>
      </w: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GRAHAM MEDIA GROUP, HOUSTON, INC.</w:t>
      </w: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GRAHAM MEDIA GROUP, MICHIGAN, INC.</w:t>
      </w: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40"/>
          </w:cols>
          <w:pgMar w:left="320" w:top="1401" w:right="339" w:bottom="1440" w:gutter="0" w:footer="0" w:header="0"/>
        </w:sectPr>
      </w:pPr>
    </w:p>
    <w:bookmarkStart w:id="230" w:name="page231"/>
    <w:bookmarkEnd w:id="230"/>
    <w:p>
      <w:pPr>
        <w:ind w:left="2780"/>
        <w:spacing w:after="0"/>
        <w:rPr>
          <w:sz w:val="20"/>
          <w:szCs w:val="20"/>
          <w:color w:val="auto"/>
        </w:rPr>
      </w:pPr>
      <w:r>
        <w:rPr>
          <w:rFonts w:ascii="Arial" w:cs="Arial" w:eastAsia="Arial" w:hAnsi="Arial"/>
          <w:sz w:val="22"/>
          <w:szCs w:val="22"/>
          <w:color w:val="auto"/>
        </w:rPr>
        <w:t>GRAHAM MEDIA GROUP, ORLANDO, INC.</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GRAHAM MEDIA GROUP, SAN ANTONIO, INC.</w:t>
      </w:r>
    </w:p>
    <w:p>
      <w:pPr>
        <w:spacing w:after="0" w:line="200" w:lineRule="exact"/>
        <w:rPr>
          <w:sz w:val="20"/>
          <w:szCs w:val="20"/>
          <w:color w:val="auto"/>
        </w:rPr>
      </w:pP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GROUP DEKKO INC.</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GROUP DEKKO HOLDINGS INC.</w:t>
      </w:r>
    </w:p>
    <w:p>
      <w:pPr>
        <w:spacing w:after="0" w:line="200" w:lineRule="exact"/>
        <w:rPr>
          <w:sz w:val="20"/>
          <w:szCs w:val="20"/>
          <w:color w:val="auto"/>
        </w:rPr>
      </w:pPr>
    </w:p>
    <w:p>
      <w:pPr>
        <w:spacing w:after="0" w:line="26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FRTW HOLDINGS LLC</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01" w:right="1440" w:bottom="1440" w:gutter="0" w:footer="0" w:header="0"/>
        </w:sectPr>
      </w:pPr>
    </w:p>
    <w:bookmarkStart w:id="231" w:name="page232"/>
    <w:bookmarkEnd w:id="231"/>
    <w:p>
      <w:pPr>
        <w:ind w:left="2780"/>
        <w:spacing w:after="0"/>
        <w:rPr>
          <w:sz w:val="20"/>
          <w:szCs w:val="20"/>
          <w:color w:val="auto"/>
        </w:rPr>
      </w:pPr>
      <w:r>
        <w:rPr>
          <w:rFonts w:ascii="Arial" w:cs="Arial" w:eastAsia="Arial" w:hAnsi="Arial"/>
          <w:sz w:val="22"/>
          <w:szCs w:val="22"/>
          <w:color w:val="auto"/>
        </w:rPr>
        <w:t>KAPLAN, INC.</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IOWA COLLEGE ACQUISITION, LLC</w:t>
      </w:r>
    </w:p>
    <w:p>
      <w:pPr>
        <w:spacing w:after="0" w:line="200" w:lineRule="exact"/>
        <w:rPr>
          <w:sz w:val="20"/>
          <w:szCs w:val="20"/>
          <w:color w:val="auto"/>
        </w:rPr>
      </w:pP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DF INSTITUTE, LLC</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KAPLAN INTERNATIONAL NORTH AMERICA, LLC</w:t>
      </w:r>
    </w:p>
    <w:p>
      <w:pPr>
        <w:spacing w:after="0" w:line="200" w:lineRule="exact"/>
        <w:rPr>
          <w:sz w:val="20"/>
          <w:szCs w:val="20"/>
          <w:color w:val="auto"/>
        </w:rPr>
      </w:pP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01" w:right="1440" w:bottom="1440" w:gutter="0" w:footer="0" w:header="0"/>
        </w:sectPr>
      </w:pPr>
    </w:p>
    <w:bookmarkStart w:id="232" w:name="page233"/>
    <w:bookmarkEnd w:id="232"/>
    <w:p>
      <w:pPr>
        <w:ind w:left="3100" w:right="1419" w:hanging="323"/>
        <w:spacing w:after="0" w:line="232" w:lineRule="auto"/>
        <w:rPr>
          <w:sz w:val="20"/>
          <w:szCs w:val="20"/>
          <w:color w:val="auto"/>
        </w:rPr>
      </w:pPr>
      <w:r>
        <w:rPr>
          <w:rFonts w:ascii="Arial" w:cs="Arial" w:eastAsia="Arial" w:hAnsi="Arial"/>
          <w:sz w:val="22"/>
          <w:szCs w:val="22"/>
          <w:color w:val="auto"/>
        </w:rPr>
        <w:t>WELLS FARGO BANK, NATIONAL ASSOCIATION as Administrative Agent</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01" w:right="1440" w:bottom="1440" w:gutter="0" w:footer="0" w:header="0"/>
        </w:sectPr>
      </w:pPr>
    </w:p>
    <w:bookmarkStart w:id="233" w:name="page234"/>
    <w:bookmarkEnd w:id="233"/>
    <w:p>
      <w:pPr>
        <w:ind w:left="2780"/>
        <w:spacing w:after="0"/>
        <w:rPr>
          <w:sz w:val="20"/>
          <w:szCs w:val="20"/>
          <w:color w:val="auto"/>
        </w:rPr>
      </w:pPr>
      <w:r>
        <w:rPr>
          <w:rFonts w:ascii="Arial" w:cs="Arial" w:eastAsia="Arial" w:hAnsi="Arial"/>
          <w:sz w:val="22"/>
          <w:szCs w:val="22"/>
          <w:color w:val="auto"/>
        </w:rPr>
        <w:t>Initial Lenders</w:t>
      </w:r>
    </w:p>
    <w:p>
      <w:pPr>
        <w:spacing w:after="0" w:line="20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JPMORGAN CHASE BANK, N.A.</w:t>
      </w:r>
    </w:p>
    <w:p>
      <w:pPr>
        <w:spacing w:after="0" w:line="18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WELLS FARGO BANK, NATIONAL ASSOCIATION</w:t>
      </w:r>
    </w:p>
    <w:p>
      <w:pPr>
        <w:spacing w:after="0" w:line="1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HSBC BANK USA, NATIONAL ASSOCIATION</w:t>
      </w:r>
    </w:p>
    <w:p>
      <w:pPr>
        <w:spacing w:after="0" w:line="18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BANK OF AMERICA, N.A.</w:t>
      </w:r>
    </w:p>
    <w:p>
      <w:pPr>
        <w:spacing w:after="0" w:line="18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PNC BANK, NATIONAL ASSOCIATION</w:t>
      </w:r>
    </w:p>
    <w:p>
      <w:pPr>
        <w:spacing w:after="0" w:line="18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THE BANK OF NEW YORK MELLON</w:t>
      </w:r>
    </w:p>
    <w:p>
      <w:pPr>
        <w:spacing w:after="0" w:line="18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01" w:right="1440" w:bottom="1440" w:gutter="0" w:footer="0" w:header="0"/>
        </w:sectPr>
      </w:pPr>
    </w:p>
    <w:bookmarkStart w:id="234" w:name="page235"/>
    <w:bookmarkEnd w:id="234"/>
    <w:p>
      <w:pPr>
        <w:ind w:left="2780"/>
        <w:spacing w:after="0"/>
        <w:rPr>
          <w:sz w:val="20"/>
          <w:szCs w:val="20"/>
          <w:color w:val="auto"/>
        </w:rPr>
      </w:pPr>
      <w:r>
        <w:rPr>
          <w:rFonts w:ascii="Arial" w:cs="Arial" w:eastAsia="Arial" w:hAnsi="Arial"/>
          <w:sz w:val="22"/>
          <w:szCs w:val="22"/>
          <w:color w:val="auto"/>
        </w:rPr>
        <w:t>PNC BANK CANADA BRANCH,</w:t>
      </w:r>
    </w:p>
    <w:p>
      <w:pPr>
        <w:ind w:left="2780"/>
        <w:spacing w:after="0" w:line="217" w:lineRule="auto"/>
        <w:rPr>
          <w:sz w:val="20"/>
          <w:szCs w:val="20"/>
          <w:color w:val="auto"/>
        </w:rPr>
      </w:pPr>
      <w:r>
        <w:rPr>
          <w:rFonts w:ascii="Arial" w:cs="Arial" w:eastAsia="Arial" w:hAnsi="Arial"/>
          <w:sz w:val="22"/>
          <w:szCs w:val="22"/>
          <w:color w:val="auto"/>
        </w:rPr>
        <w:t>as PNC Bank, National Association’s Applicable Lending Office for Multicurrency Tranche Advances made to any Foreign Borrower organized under the laws of Canada</w:t>
      </w:r>
    </w:p>
    <w:p>
      <w:pPr>
        <w:spacing w:after="0" w:line="16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980"/>
          </w:cols>
          <w:pgMar w:left="1440" w:top="1382" w:right="47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940" w:type="dxa"/>
            <w:vAlign w:val="bottom"/>
          </w:tcPr>
          <w:p>
            <w:pPr>
              <w:jc w:val="center"/>
              <w:ind w:left="1139"/>
              <w:spacing w:after="0"/>
              <w:rPr>
                <w:sz w:val="20"/>
                <w:szCs w:val="20"/>
                <w:color w:val="auto"/>
              </w:rPr>
            </w:pPr>
            <w:r>
              <w:rPr>
                <w:rFonts w:ascii="Arial" w:cs="Arial" w:eastAsia="Arial" w:hAnsi="Arial"/>
                <w:sz w:val="14"/>
                <w:szCs w:val="14"/>
                <w:color w:val="auto"/>
              </w:rPr>
              <w:t>Jurisdiction of</w:t>
            </w:r>
          </w:p>
        </w:tc>
        <w:tc>
          <w:tcPr>
            <w:tcW w:w="1920" w:type="dxa"/>
            <w:vAlign w:val="bottom"/>
            <w:vMerge w:val="restart"/>
          </w:tcPr>
          <w:p>
            <w:pPr>
              <w:jc w:val="right"/>
              <w:ind w:right="379"/>
              <w:spacing w:after="0"/>
              <w:rPr>
                <w:sz w:val="20"/>
                <w:szCs w:val="20"/>
                <w:color w:val="auto"/>
              </w:rPr>
            </w:pPr>
            <w:r>
              <w:rPr>
                <w:rFonts w:ascii="Arial" w:cs="Arial" w:eastAsia="Arial" w:hAnsi="Arial"/>
                <w:sz w:val="14"/>
                <w:szCs w:val="14"/>
                <w:color w:val="auto"/>
              </w:rPr>
              <w:t>% of Voting Equity</w:t>
            </w:r>
          </w:p>
        </w:tc>
        <w:tc>
          <w:tcPr>
            <w:tcW w:w="0" w:type="dxa"/>
            <w:vAlign w:val="bottom"/>
          </w:tcPr>
          <w:p>
            <w:pPr>
              <w:spacing w:after="0"/>
              <w:rPr>
                <w:sz w:val="1"/>
                <w:szCs w:val="1"/>
                <w:color w:val="auto"/>
              </w:rPr>
            </w:pPr>
          </w:p>
        </w:tc>
      </w:tr>
      <w:tr>
        <w:trPr>
          <w:trHeight w:val="68"/>
        </w:trPr>
        <w:tc>
          <w:tcPr>
            <w:tcW w:w="4600" w:type="dxa"/>
            <w:vAlign w:val="bottom"/>
            <w:vMerge w:val="restart"/>
          </w:tcPr>
          <w:p>
            <w:pPr>
              <w:spacing w:after="0" w:line="135" w:lineRule="exact"/>
              <w:rPr>
                <w:sz w:val="20"/>
                <w:szCs w:val="20"/>
                <w:color w:val="auto"/>
              </w:rPr>
            </w:pPr>
            <w:r>
              <w:rPr>
                <w:rFonts w:ascii="Arial" w:cs="Arial" w:eastAsia="Arial" w:hAnsi="Arial"/>
                <w:sz w:val="14"/>
                <w:szCs w:val="14"/>
                <w:color w:val="auto"/>
              </w:rPr>
              <w:t>Name of Subsidiary</w:t>
            </w:r>
          </w:p>
        </w:tc>
        <w:tc>
          <w:tcPr>
            <w:tcW w:w="2940" w:type="dxa"/>
            <w:vAlign w:val="bottom"/>
            <w:vMerge w:val="restart"/>
          </w:tcPr>
          <w:p>
            <w:pPr>
              <w:jc w:val="center"/>
              <w:ind w:left="1119"/>
              <w:spacing w:after="0" w:line="135" w:lineRule="exact"/>
              <w:rPr>
                <w:sz w:val="20"/>
                <w:szCs w:val="20"/>
                <w:color w:val="auto"/>
              </w:rPr>
            </w:pPr>
            <w:r>
              <w:rPr>
                <w:rFonts w:ascii="Arial" w:cs="Arial" w:eastAsia="Arial" w:hAnsi="Arial"/>
                <w:sz w:val="14"/>
                <w:szCs w:val="14"/>
                <w:color w:val="auto"/>
              </w:rPr>
              <w:t>Incorporation or</w:t>
            </w: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60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1920" w:type="dxa"/>
            <w:vAlign w:val="bottom"/>
            <w:vMerge w:val="restart"/>
          </w:tcPr>
          <w:p>
            <w:pPr>
              <w:jc w:val="right"/>
              <w:ind w:right="399"/>
              <w:spacing w:after="0"/>
              <w:rPr>
                <w:sz w:val="20"/>
                <w:szCs w:val="20"/>
                <w:color w:val="auto"/>
              </w:rPr>
            </w:pPr>
            <w:r>
              <w:rPr>
                <w:rFonts w:ascii="Arial" w:cs="Arial" w:eastAsia="Arial" w:hAnsi="Arial"/>
                <w:sz w:val="14"/>
                <w:szCs w:val="14"/>
                <w:color w:val="auto"/>
              </w:rPr>
              <w:t>Owned by Parent</w:t>
            </w:r>
          </w:p>
        </w:tc>
        <w:tc>
          <w:tcPr>
            <w:tcW w:w="0" w:type="dxa"/>
            <w:vAlign w:val="bottom"/>
          </w:tcPr>
          <w:p>
            <w:pPr>
              <w:spacing w:after="0"/>
              <w:rPr>
                <w:sz w:val="1"/>
                <w:szCs w:val="1"/>
                <w:color w:val="auto"/>
              </w:rPr>
            </w:pPr>
          </w:p>
        </w:tc>
      </w:tr>
      <w:tr>
        <w:trPr>
          <w:trHeight w:val="105"/>
        </w:trPr>
        <w:tc>
          <w:tcPr>
            <w:tcW w:w="4600" w:type="dxa"/>
            <w:vAlign w:val="bottom"/>
          </w:tcPr>
          <w:p>
            <w:pPr>
              <w:spacing w:after="0"/>
              <w:rPr>
                <w:sz w:val="9"/>
                <w:szCs w:val="9"/>
                <w:color w:val="auto"/>
              </w:rPr>
            </w:pPr>
          </w:p>
        </w:tc>
        <w:tc>
          <w:tcPr>
            <w:tcW w:w="2940" w:type="dxa"/>
            <w:vAlign w:val="bottom"/>
            <w:vMerge w:val="restart"/>
          </w:tcPr>
          <w:p>
            <w:pPr>
              <w:jc w:val="center"/>
              <w:ind w:left="1119"/>
              <w:spacing w:after="0"/>
              <w:rPr>
                <w:sz w:val="20"/>
                <w:szCs w:val="20"/>
                <w:color w:val="auto"/>
              </w:rPr>
            </w:pPr>
            <w:r>
              <w:rPr>
                <w:rFonts w:ascii="Arial" w:cs="Arial" w:eastAsia="Arial" w:hAnsi="Arial"/>
                <w:sz w:val="14"/>
                <w:szCs w:val="14"/>
                <w:color w:val="auto"/>
              </w:rPr>
              <w:t>Organization</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6"/>
                <w:szCs w:val="16"/>
                <w:color w:val="auto"/>
              </w:rPr>
              <w:t>199 Sunbeam Realty,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CGRH,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Clyde's of Broadland, LLC</w:t>
            </w:r>
          </w:p>
        </w:tc>
        <w:tc>
          <w:tcPr>
            <w:tcW w:w="2940" w:type="dxa"/>
            <w:vAlign w:val="bottom"/>
          </w:tcPr>
          <w:p>
            <w:pPr>
              <w:ind w:left="1240"/>
              <w:spacing w:after="0"/>
              <w:rPr>
                <w:sz w:val="20"/>
                <w:szCs w:val="20"/>
                <w:color w:val="auto"/>
              </w:rPr>
            </w:pPr>
            <w:r>
              <w:rPr>
                <w:rFonts w:ascii="Arial" w:cs="Arial" w:eastAsia="Arial" w:hAnsi="Arial"/>
                <w:sz w:val="16"/>
                <w:szCs w:val="16"/>
                <w:color w:val="auto"/>
              </w:rPr>
              <w:t>Virginia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Clyde's of Chevy Chase,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Clyde's Tower Oaks Lodge,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Clyde's of Columbia,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Clyde's of Gallery Place,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District of Columbia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Clyde's of Georgetown,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District of Columbia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Clyde's at Mark Center, LLC</w:t>
            </w:r>
          </w:p>
        </w:tc>
        <w:tc>
          <w:tcPr>
            <w:tcW w:w="2940" w:type="dxa"/>
            <w:vAlign w:val="bottom"/>
          </w:tcPr>
          <w:p>
            <w:pPr>
              <w:ind w:left="1240"/>
              <w:spacing w:after="0"/>
              <w:rPr>
                <w:sz w:val="20"/>
                <w:szCs w:val="20"/>
                <w:color w:val="auto"/>
              </w:rPr>
            </w:pPr>
            <w:r>
              <w:rPr>
                <w:rFonts w:ascii="Arial" w:cs="Arial" w:eastAsia="Arial" w:hAnsi="Arial"/>
                <w:sz w:val="16"/>
                <w:szCs w:val="16"/>
                <w:color w:val="auto"/>
              </w:rPr>
              <w:t>Virginia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Clyde's of Reston, LLC</w:t>
            </w:r>
          </w:p>
        </w:tc>
        <w:tc>
          <w:tcPr>
            <w:tcW w:w="2940" w:type="dxa"/>
            <w:vAlign w:val="bottom"/>
          </w:tcPr>
          <w:p>
            <w:pPr>
              <w:ind w:left="1240"/>
              <w:spacing w:after="0"/>
              <w:rPr>
                <w:sz w:val="20"/>
                <w:szCs w:val="20"/>
                <w:color w:val="auto"/>
              </w:rPr>
            </w:pPr>
            <w:r>
              <w:rPr>
                <w:rFonts w:ascii="Arial" w:cs="Arial" w:eastAsia="Arial" w:hAnsi="Arial"/>
                <w:sz w:val="16"/>
                <w:szCs w:val="16"/>
                <w:color w:val="auto"/>
              </w:rPr>
              <w:t>Virginia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Clyde's Management,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District of Columbia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The City Limit,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District of Columbia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The Walrus Company,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District of Columbia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Cybervista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Forney Corporation</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Forney Shanghai Trading Company</w:t>
            </w:r>
          </w:p>
        </w:tc>
        <w:tc>
          <w:tcPr>
            <w:tcW w:w="2940" w:type="dxa"/>
            <w:vAlign w:val="bottom"/>
          </w:tcPr>
          <w:p>
            <w:pPr>
              <w:ind w:left="1240"/>
              <w:spacing w:after="0"/>
              <w:rPr>
                <w:sz w:val="20"/>
                <w:szCs w:val="20"/>
                <w:color w:val="auto"/>
              </w:rPr>
            </w:pPr>
            <w:r>
              <w:rPr>
                <w:rFonts w:ascii="Arial" w:cs="Arial" w:eastAsia="Arial" w:hAnsi="Arial"/>
                <w:sz w:val="16"/>
                <w:szCs w:val="16"/>
                <w:color w:val="auto"/>
              </w:rPr>
              <w:t>China (PR)</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Forney Maquila,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FMMX S. de R.L. de C.V.</w:t>
            </w:r>
          </w:p>
        </w:tc>
        <w:tc>
          <w:tcPr>
            <w:tcW w:w="2940" w:type="dxa"/>
            <w:vAlign w:val="bottom"/>
          </w:tcPr>
          <w:p>
            <w:pPr>
              <w:ind w:left="1240"/>
              <w:spacing w:after="0"/>
              <w:rPr>
                <w:sz w:val="20"/>
                <w:szCs w:val="20"/>
                <w:color w:val="auto"/>
              </w:rPr>
            </w:pPr>
            <w:r>
              <w:rPr>
                <w:rFonts w:ascii="Arial" w:cs="Arial" w:eastAsia="Arial" w:hAnsi="Arial"/>
                <w:sz w:val="16"/>
                <w:szCs w:val="16"/>
                <w:color w:val="auto"/>
              </w:rPr>
              <w:t>Mexico</w:t>
            </w:r>
          </w:p>
        </w:tc>
        <w:tc>
          <w:tcPr>
            <w:tcW w:w="1920" w:type="dxa"/>
            <w:vAlign w:val="bottom"/>
          </w:tcPr>
          <w:p>
            <w:pPr>
              <w:jc w:val="right"/>
              <w:spacing w:after="0"/>
              <w:rPr>
                <w:sz w:val="20"/>
                <w:szCs w:val="20"/>
                <w:color w:val="auto"/>
              </w:rPr>
            </w:pPr>
            <w:r>
              <w:rPr>
                <w:rFonts w:ascii="Arial" w:cs="Arial" w:eastAsia="Arial" w:hAnsi="Arial"/>
                <w:sz w:val="16"/>
                <w:szCs w:val="16"/>
                <w:color w:val="auto"/>
              </w:rPr>
              <w:t>100 % (a)</w:t>
            </w:r>
          </w:p>
        </w:tc>
        <w:tc>
          <w:tcPr>
            <w:tcW w:w="0" w:type="dxa"/>
            <w:vAlign w:val="bottom"/>
          </w:tcPr>
          <w:p>
            <w:pPr>
              <w:spacing w:after="0"/>
              <w:rPr>
                <w:sz w:val="1"/>
                <w:szCs w:val="1"/>
                <w:color w:val="auto"/>
              </w:rPr>
            </w:pPr>
          </w:p>
        </w:tc>
      </w:tr>
      <w:tr>
        <w:trPr>
          <w:trHeight w:val="216"/>
        </w:trPr>
        <w:tc>
          <w:tcPr>
            <w:tcW w:w="4600" w:type="dxa"/>
            <w:vAlign w:val="bottom"/>
          </w:tcPr>
          <w:p>
            <w:pPr>
              <w:ind w:left="620"/>
              <w:spacing w:after="0"/>
              <w:rPr>
                <w:sz w:val="20"/>
                <w:szCs w:val="20"/>
                <w:color w:val="auto"/>
              </w:rPr>
            </w:pPr>
            <w:r>
              <w:rPr>
                <w:rFonts w:ascii="Arial" w:cs="Arial" w:eastAsia="Arial" w:hAnsi="Arial"/>
                <w:sz w:val="16"/>
                <w:szCs w:val="16"/>
                <w:color w:val="auto"/>
              </w:rPr>
              <w:t>FSM S. de R.L. de C.V.</w:t>
            </w:r>
          </w:p>
        </w:tc>
        <w:tc>
          <w:tcPr>
            <w:tcW w:w="2940" w:type="dxa"/>
            <w:vAlign w:val="bottom"/>
          </w:tcPr>
          <w:p>
            <w:pPr>
              <w:ind w:left="1240"/>
              <w:spacing w:after="0"/>
              <w:rPr>
                <w:sz w:val="20"/>
                <w:szCs w:val="20"/>
                <w:color w:val="auto"/>
              </w:rPr>
            </w:pPr>
            <w:r>
              <w:rPr>
                <w:rFonts w:ascii="Arial" w:cs="Arial" w:eastAsia="Arial" w:hAnsi="Arial"/>
                <w:sz w:val="16"/>
                <w:szCs w:val="16"/>
                <w:color w:val="auto"/>
              </w:rPr>
              <w:t>Mexico</w:t>
            </w:r>
          </w:p>
        </w:tc>
        <w:tc>
          <w:tcPr>
            <w:tcW w:w="1920" w:type="dxa"/>
            <w:vAlign w:val="bottom"/>
          </w:tcPr>
          <w:p>
            <w:pPr>
              <w:jc w:val="right"/>
              <w:spacing w:after="0"/>
              <w:rPr>
                <w:sz w:val="20"/>
                <w:szCs w:val="20"/>
                <w:color w:val="auto"/>
              </w:rPr>
            </w:pPr>
            <w:r>
              <w:rPr>
                <w:rFonts w:ascii="Arial" w:cs="Arial" w:eastAsia="Arial" w:hAnsi="Arial"/>
                <w:sz w:val="16"/>
                <w:szCs w:val="16"/>
                <w:color w:val="auto"/>
              </w:rPr>
              <w:t>100 % (b)</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FRTW Holdings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Hoover Wood Products Holdings, Inc.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Hoover Treated Wood Products, Inc.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FBHCO, Inc.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Framebridge, Inc.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Framebridge Retail Stores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Graham Automotive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Graham-Ourisman Automotive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EDR Protected Cell of medTRANS</w:t>
            </w:r>
          </w:p>
        </w:tc>
        <w:tc>
          <w:tcPr>
            <w:tcW w:w="2940" w:type="dxa"/>
            <w:vAlign w:val="bottom"/>
          </w:tcPr>
          <w:p>
            <w:pPr>
              <w:ind w:left="1240"/>
              <w:spacing w:after="0"/>
              <w:rPr>
                <w:sz w:val="20"/>
                <w:szCs w:val="20"/>
                <w:color w:val="auto"/>
              </w:rPr>
            </w:pPr>
            <w:r>
              <w:rPr>
                <w:rFonts w:ascii="Arial" w:cs="Arial" w:eastAsia="Arial" w:hAnsi="Arial"/>
                <w:sz w:val="16"/>
                <w:szCs w:val="16"/>
                <w:color w:val="auto"/>
              </w:rPr>
              <w:t>Nevada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Endor,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Lando, LLC</w:t>
            </w:r>
          </w:p>
        </w:tc>
        <w:tc>
          <w:tcPr>
            <w:tcW w:w="2940" w:type="dxa"/>
            <w:vAlign w:val="bottom"/>
          </w:tcPr>
          <w:p>
            <w:pPr>
              <w:ind w:left="1240"/>
              <w:spacing w:after="0"/>
              <w:rPr>
                <w:sz w:val="20"/>
                <w:szCs w:val="20"/>
                <w:color w:val="auto"/>
              </w:rPr>
            </w:pPr>
            <w:r>
              <w:rPr>
                <w:rFonts w:ascii="Arial" w:cs="Arial" w:eastAsia="Arial" w:hAnsi="Arial"/>
                <w:sz w:val="16"/>
                <w:szCs w:val="16"/>
                <w:color w:val="auto"/>
              </w:rPr>
              <w:t>Virginia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C3PO,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620"/>
              <w:spacing w:after="0"/>
              <w:rPr>
                <w:sz w:val="20"/>
                <w:szCs w:val="20"/>
                <w:color w:val="auto"/>
              </w:rPr>
            </w:pPr>
            <w:r>
              <w:rPr>
                <w:rFonts w:ascii="Arial" w:cs="Arial" w:eastAsia="Arial" w:hAnsi="Arial"/>
                <w:sz w:val="16"/>
                <w:szCs w:val="16"/>
                <w:color w:val="auto"/>
              </w:rPr>
              <w:t>Boba Fett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620"/>
              <w:spacing w:after="0"/>
              <w:rPr>
                <w:sz w:val="20"/>
                <w:szCs w:val="20"/>
                <w:color w:val="auto"/>
              </w:rPr>
            </w:pPr>
            <w:r>
              <w:rPr>
                <w:rFonts w:ascii="Arial" w:cs="Arial" w:eastAsia="Arial" w:hAnsi="Arial"/>
                <w:sz w:val="16"/>
                <w:szCs w:val="16"/>
                <w:color w:val="auto"/>
              </w:rPr>
              <w:t>Hoth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Palpatine,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Corellia, LLC</w:t>
            </w:r>
          </w:p>
        </w:tc>
        <w:tc>
          <w:tcPr>
            <w:tcW w:w="2940" w:type="dxa"/>
            <w:vAlign w:val="bottom"/>
          </w:tcPr>
          <w:p>
            <w:pPr>
              <w:ind w:left="124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Vader, LLC</w:t>
            </w:r>
          </w:p>
        </w:tc>
        <w:tc>
          <w:tcPr>
            <w:tcW w:w="2940" w:type="dxa"/>
            <w:vAlign w:val="bottom"/>
          </w:tcPr>
          <w:p>
            <w:pPr>
              <w:ind w:left="1240"/>
              <w:spacing w:after="0"/>
              <w:rPr>
                <w:sz w:val="20"/>
                <w:szCs w:val="20"/>
                <w:color w:val="auto"/>
              </w:rPr>
            </w:pPr>
            <w:r>
              <w:rPr>
                <w:rFonts w:ascii="Arial" w:cs="Arial" w:eastAsia="Arial" w:hAnsi="Arial"/>
                <w:sz w:val="16"/>
                <w:szCs w:val="16"/>
                <w:color w:val="auto"/>
              </w:rPr>
              <w:t>Virginia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Mon Mothma, LLC</w:t>
            </w:r>
          </w:p>
        </w:tc>
        <w:tc>
          <w:tcPr>
            <w:tcW w:w="2940" w:type="dxa"/>
            <w:vAlign w:val="bottom"/>
          </w:tcPr>
          <w:p>
            <w:pPr>
              <w:ind w:left="1240"/>
              <w:spacing w:after="0"/>
              <w:rPr>
                <w:sz w:val="20"/>
                <w:szCs w:val="20"/>
                <w:color w:val="auto"/>
              </w:rPr>
            </w:pPr>
            <w:r>
              <w:rPr>
                <w:rFonts w:ascii="Arial" w:cs="Arial" w:eastAsia="Arial" w:hAnsi="Arial"/>
                <w:sz w:val="16"/>
                <w:szCs w:val="16"/>
                <w:color w:val="auto"/>
              </w:rPr>
              <w:t>Virginia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Graham Digital Holding Company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City Cast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Decile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The Slate Group,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Social Code LLC dba Code 3</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Social Code Holdings,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JKR Ventures, LLC</w:t>
            </w:r>
          </w:p>
        </w:tc>
        <w:tc>
          <w:tcPr>
            <w:tcW w:w="2940" w:type="dxa"/>
            <w:vAlign w:val="bottom"/>
          </w:tcPr>
          <w:p>
            <w:pPr>
              <w:ind w:left="1240"/>
              <w:spacing w:after="0"/>
              <w:rPr>
                <w:sz w:val="20"/>
                <w:szCs w:val="20"/>
                <w:color w:val="auto"/>
              </w:rPr>
            </w:pPr>
            <w:r>
              <w:rPr>
                <w:rFonts w:ascii="Arial" w:cs="Arial" w:eastAsia="Arial" w:hAnsi="Arial"/>
                <w:sz w:val="16"/>
                <w:szCs w:val="16"/>
                <w:color w:val="auto"/>
              </w:rPr>
              <w:t>Ohio</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Marketplace Strategy, LLC</w:t>
            </w:r>
          </w:p>
        </w:tc>
        <w:tc>
          <w:tcPr>
            <w:tcW w:w="2940" w:type="dxa"/>
            <w:vAlign w:val="bottom"/>
          </w:tcPr>
          <w:p>
            <w:pPr>
              <w:ind w:left="1240"/>
              <w:spacing w:after="0"/>
              <w:rPr>
                <w:sz w:val="20"/>
                <w:szCs w:val="20"/>
                <w:color w:val="auto"/>
              </w:rPr>
            </w:pPr>
            <w:r>
              <w:rPr>
                <w:rFonts w:ascii="Arial" w:cs="Arial" w:eastAsia="Arial" w:hAnsi="Arial"/>
                <w:sz w:val="16"/>
                <w:szCs w:val="16"/>
                <w:color w:val="auto"/>
              </w:rPr>
              <w:t>Ohio</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Marketplace Direct, LLC</w:t>
            </w:r>
          </w:p>
        </w:tc>
        <w:tc>
          <w:tcPr>
            <w:tcW w:w="2940" w:type="dxa"/>
            <w:vAlign w:val="bottom"/>
          </w:tcPr>
          <w:p>
            <w:pPr>
              <w:ind w:left="1240"/>
              <w:spacing w:after="0"/>
              <w:rPr>
                <w:sz w:val="20"/>
                <w:szCs w:val="20"/>
                <w:color w:val="auto"/>
              </w:rPr>
            </w:pPr>
            <w:r>
              <w:rPr>
                <w:rFonts w:ascii="Arial" w:cs="Arial" w:eastAsia="Arial" w:hAnsi="Arial"/>
                <w:sz w:val="16"/>
                <w:szCs w:val="16"/>
                <w:color w:val="auto"/>
              </w:rPr>
              <w:t>Ohio</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Pinna LLC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Graham Healthcare Group, Inc.</w:t>
            </w:r>
          </w:p>
        </w:tc>
        <w:tc>
          <w:tcPr>
            <w:tcW w:w="294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Celtic Healthcare, Inc.</w:t>
            </w:r>
          </w:p>
        </w:tc>
        <w:tc>
          <w:tcPr>
            <w:tcW w:w="2940" w:type="dxa"/>
            <w:vAlign w:val="bottom"/>
          </w:tcPr>
          <w:p>
            <w:pPr>
              <w:ind w:left="1240"/>
              <w:spacing w:after="0"/>
              <w:rPr>
                <w:sz w:val="20"/>
                <w:szCs w:val="20"/>
                <w:color w:val="auto"/>
              </w:rPr>
            </w:pPr>
            <w:r>
              <w:rPr>
                <w:rFonts w:ascii="Arial" w:cs="Arial" w:eastAsia="Arial" w:hAnsi="Arial"/>
                <w:sz w:val="16"/>
                <w:szCs w:val="16"/>
                <w:color w:val="auto"/>
              </w:rPr>
              <w:t>Nevada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Residential Home Health of Carlisle, LLC</w:t>
            </w:r>
          </w:p>
        </w:tc>
        <w:tc>
          <w:tcPr>
            <w:tcW w:w="2940" w:type="dxa"/>
            <w:vAlign w:val="bottom"/>
          </w:tcPr>
          <w:p>
            <w:pPr>
              <w:ind w:left="124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Celtic Living Assistance Services, LLC</w:t>
            </w:r>
          </w:p>
        </w:tc>
        <w:tc>
          <w:tcPr>
            <w:tcW w:w="2940" w:type="dxa"/>
            <w:vAlign w:val="bottom"/>
          </w:tcPr>
          <w:p>
            <w:pPr>
              <w:ind w:left="124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Celtic Homecare, Inc.</w:t>
            </w:r>
          </w:p>
        </w:tc>
        <w:tc>
          <w:tcPr>
            <w:tcW w:w="2940" w:type="dxa"/>
            <w:vAlign w:val="bottom"/>
          </w:tcPr>
          <w:p>
            <w:pPr>
              <w:ind w:left="124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6"/>
                <w:szCs w:val="16"/>
                <w:color w:val="auto"/>
              </w:rPr>
              <w:t>Graham Health Services, LLC</w:t>
            </w:r>
          </w:p>
        </w:tc>
        <w:tc>
          <w:tcPr>
            <w:tcW w:w="2940" w:type="dxa"/>
            <w:vAlign w:val="bottom"/>
          </w:tcPr>
          <w:p>
            <w:pPr>
              <w:ind w:left="124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1220"/>
          </w:cols>
          <w:pgMar w:left="340" w:top="126" w:right="339" w:bottom="1440" w:gutter="0" w:footer="0" w:header="0"/>
        </w:sectPr>
      </w:pPr>
    </w:p>
    <w:bookmarkStart w:id="236" w:name="page237"/>
    <w:bookmarkEnd w:id="2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20" w:type="dxa"/>
            <w:vAlign w:val="bottom"/>
          </w:tcPr>
          <w:p>
            <w:pPr>
              <w:jc w:val="center"/>
              <w:ind w:left="59"/>
              <w:spacing w:after="0"/>
              <w:rPr>
                <w:sz w:val="20"/>
                <w:szCs w:val="20"/>
                <w:color w:val="auto"/>
              </w:rPr>
            </w:pPr>
            <w:r>
              <w:rPr>
                <w:rFonts w:ascii="Arial" w:cs="Arial" w:eastAsia="Arial" w:hAnsi="Arial"/>
                <w:sz w:val="14"/>
                <w:szCs w:val="14"/>
                <w:color w:val="auto"/>
              </w:rPr>
              <w:t>Jurisdiction of</w:t>
            </w:r>
          </w:p>
        </w:tc>
        <w:tc>
          <w:tcPr>
            <w:tcW w:w="1920" w:type="dxa"/>
            <w:vAlign w:val="bottom"/>
            <w:vMerge w:val="restart"/>
          </w:tcPr>
          <w:p>
            <w:pPr>
              <w:jc w:val="right"/>
              <w:ind w:right="359"/>
              <w:spacing w:after="0"/>
              <w:rPr>
                <w:sz w:val="20"/>
                <w:szCs w:val="20"/>
                <w:color w:val="auto"/>
              </w:rPr>
            </w:pPr>
            <w:r>
              <w:rPr>
                <w:rFonts w:ascii="Arial" w:cs="Arial" w:eastAsia="Arial" w:hAnsi="Arial"/>
                <w:sz w:val="14"/>
                <w:szCs w:val="14"/>
                <w:color w:val="auto"/>
              </w:rPr>
              <w:t>% of Voting Equity</w:t>
            </w:r>
          </w:p>
        </w:tc>
        <w:tc>
          <w:tcPr>
            <w:tcW w:w="0" w:type="dxa"/>
            <w:vAlign w:val="bottom"/>
          </w:tcPr>
          <w:p>
            <w:pPr>
              <w:spacing w:after="0"/>
              <w:rPr>
                <w:sz w:val="1"/>
                <w:szCs w:val="1"/>
                <w:color w:val="auto"/>
              </w:rPr>
            </w:pPr>
          </w:p>
        </w:tc>
      </w:tr>
      <w:tr>
        <w:trPr>
          <w:trHeight w:val="68"/>
        </w:trPr>
        <w:tc>
          <w:tcPr>
            <w:tcW w:w="5700" w:type="dxa"/>
            <w:vAlign w:val="bottom"/>
            <w:vMerge w:val="restart"/>
          </w:tcPr>
          <w:p>
            <w:pPr>
              <w:spacing w:after="0" w:line="135" w:lineRule="exact"/>
              <w:rPr>
                <w:sz w:val="20"/>
                <w:szCs w:val="20"/>
                <w:color w:val="auto"/>
              </w:rPr>
            </w:pPr>
            <w:r>
              <w:rPr>
                <w:rFonts w:ascii="Arial" w:cs="Arial" w:eastAsia="Arial" w:hAnsi="Arial"/>
                <w:sz w:val="14"/>
                <w:szCs w:val="14"/>
                <w:color w:val="auto"/>
              </w:rPr>
              <w:t>Name of Subsidiary</w:t>
            </w:r>
          </w:p>
        </w:tc>
        <w:tc>
          <w:tcPr>
            <w:tcW w:w="1820" w:type="dxa"/>
            <w:vAlign w:val="bottom"/>
            <w:vMerge w:val="restart"/>
          </w:tcPr>
          <w:p>
            <w:pPr>
              <w:jc w:val="center"/>
              <w:ind w:left="59"/>
              <w:spacing w:after="0" w:line="135" w:lineRule="exact"/>
              <w:rPr>
                <w:sz w:val="20"/>
                <w:szCs w:val="20"/>
                <w:color w:val="auto"/>
              </w:rPr>
            </w:pPr>
            <w:r>
              <w:rPr>
                <w:rFonts w:ascii="Arial" w:cs="Arial" w:eastAsia="Arial" w:hAnsi="Arial"/>
                <w:sz w:val="14"/>
                <w:szCs w:val="14"/>
                <w:color w:val="auto"/>
              </w:rPr>
              <w:t>Incorporation or</w:t>
            </w: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700" w:type="dxa"/>
            <w:vAlign w:val="bottom"/>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1920" w:type="dxa"/>
            <w:vAlign w:val="bottom"/>
            <w:vMerge w:val="restart"/>
          </w:tcPr>
          <w:p>
            <w:pPr>
              <w:jc w:val="right"/>
              <w:ind w:right="379"/>
              <w:spacing w:after="0"/>
              <w:rPr>
                <w:sz w:val="20"/>
                <w:szCs w:val="20"/>
                <w:color w:val="auto"/>
              </w:rPr>
            </w:pPr>
            <w:r>
              <w:rPr>
                <w:rFonts w:ascii="Arial" w:cs="Arial" w:eastAsia="Arial" w:hAnsi="Arial"/>
                <w:sz w:val="14"/>
                <w:szCs w:val="14"/>
                <w:color w:val="auto"/>
              </w:rPr>
              <w:t>Owned by Parent</w:t>
            </w:r>
          </w:p>
        </w:tc>
        <w:tc>
          <w:tcPr>
            <w:tcW w:w="0" w:type="dxa"/>
            <w:vAlign w:val="bottom"/>
          </w:tcPr>
          <w:p>
            <w:pPr>
              <w:spacing w:after="0"/>
              <w:rPr>
                <w:sz w:val="1"/>
                <w:szCs w:val="1"/>
                <w:color w:val="auto"/>
              </w:rPr>
            </w:pPr>
          </w:p>
        </w:tc>
      </w:tr>
      <w:tr>
        <w:trPr>
          <w:trHeight w:val="105"/>
        </w:trPr>
        <w:tc>
          <w:tcPr>
            <w:tcW w:w="5700" w:type="dxa"/>
            <w:vAlign w:val="bottom"/>
          </w:tcPr>
          <w:p>
            <w:pPr>
              <w:spacing w:after="0"/>
              <w:rPr>
                <w:sz w:val="9"/>
                <w:szCs w:val="9"/>
                <w:color w:val="auto"/>
              </w:rPr>
            </w:pPr>
          </w:p>
        </w:tc>
        <w:tc>
          <w:tcPr>
            <w:tcW w:w="1820" w:type="dxa"/>
            <w:vAlign w:val="bottom"/>
            <w:vMerge w:val="restart"/>
          </w:tcPr>
          <w:p>
            <w:pPr>
              <w:jc w:val="center"/>
              <w:ind w:left="39"/>
              <w:spacing w:after="0"/>
              <w:rPr>
                <w:sz w:val="20"/>
                <w:szCs w:val="20"/>
                <w:color w:val="auto"/>
              </w:rPr>
            </w:pPr>
            <w:r>
              <w:rPr>
                <w:rFonts w:ascii="Arial" w:cs="Arial" w:eastAsia="Arial" w:hAnsi="Arial"/>
                <w:sz w:val="14"/>
                <w:szCs w:val="14"/>
                <w:color w:val="auto"/>
              </w:rPr>
              <w:t>Organization</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7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420"/>
              <w:spacing w:after="0"/>
              <w:rPr>
                <w:sz w:val="20"/>
                <w:szCs w:val="20"/>
                <w:color w:val="auto"/>
              </w:rPr>
            </w:pPr>
            <w:r>
              <w:rPr>
                <w:rFonts w:ascii="Arial" w:cs="Arial" w:eastAsia="Arial" w:hAnsi="Arial"/>
                <w:sz w:val="16"/>
                <w:szCs w:val="16"/>
                <w:color w:val="auto"/>
              </w:rPr>
              <w:t>Celtic Rehabilitation Services, Inc.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Residential Home Health of NC PA, LLC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Residential Healthcare of NE PA, LLC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Residential Hospice of Carlisle, LLC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Celtic Hospice &amp; Palliative Care Services of NC PA, LLC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Residential Hospice of Southern Illinois LLC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Celtic Healthcare of Maryland, Inc.</w:t>
            </w:r>
          </w:p>
        </w:tc>
        <w:tc>
          <w:tcPr>
            <w:tcW w:w="1820" w:type="dxa"/>
            <w:vAlign w:val="bottom"/>
          </w:tcPr>
          <w:p>
            <w:pPr>
              <w:ind w:left="160"/>
              <w:spacing w:after="0"/>
              <w:rPr>
                <w:sz w:val="20"/>
                <w:szCs w:val="20"/>
                <w:color w:val="auto"/>
              </w:rPr>
            </w:pPr>
            <w:r>
              <w:rPr>
                <w:rFonts w:ascii="Arial" w:cs="Arial" w:eastAsia="Arial" w:hAnsi="Arial"/>
                <w:sz w:val="16"/>
                <w:szCs w:val="16"/>
                <w:color w:val="auto"/>
              </w:rPr>
              <w:t>Maryland</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Home Health Utilization Management, LLC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Residential Home Health of Southern Illinois, LLC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Celtic Healthcare Technology Solutions, LLC</w:t>
            </w:r>
          </w:p>
        </w:tc>
        <w:tc>
          <w:tcPr>
            <w:tcW w:w="1820" w:type="dxa"/>
            <w:vAlign w:val="bottom"/>
          </w:tcPr>
          <w:p>
            <w:pPr>
              <w:ind w:left="160"/>
              <w:spacing w:after="0"/>
              <w:rPr>
                <w:sz w:val="20"/>
                <w:szCs w:val="20"/>
                <w:color w:val="auto"/>
              </w:rPr>
            </w:pPr>
            <w:r>
              <w:rPr>
                <w:rFonts w:ascii="Arial" w:cs="Arial" w:eastAsia="Arial" w:hAnsi="Arial"/>
                <w:sz w:val="16"/>
                <w:szCs w:val="16"/>
                <w:color w:val="auto"/>
              </w:rPr>
              <w:t>Pennsylvania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InTelicare Services FL1, LLC</w:t>
            </w:r>
          </w:p>
        </w:tc>
        <w:tc>
          <w:tcPr>
            <w:tcW w:w="1820" w:type="dxa"/>
            <w:vAlign w:val="bottom"/>
          </w:tcPr>
          <w:p>
            <w:pPr>
              <w:ind w:left="160"/>
              <w:spacing w:after="0"/>
              <w:rPr>
                <w:sz w:val="20"/>
                <w:szCs w:val="20"/>
                <w:color w:val="auto"/>
              </w:rPr>
            </w:pPr>
            <w:r>
              <w:rPr>
                <w:rFonts w:ascii="Arial" w:cs="Arial" w:eastAsia="Arial" w:hAnsi="Arial"/>
                <w:sz w:val="16"/>
                <w:szCs w:val="16"/>
                <w:color w:val="auto"/>
              </w:rPr>
              <w:t>Florida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Home Care of Tampa Bay, LLC</w:t>
            </w:r>
          </w:p>
        </w:tc>
        <w:tc>
          <w:tcPr>
            <w:tcW w:w="1820" w:type="dxa"/>
            <w:vAlign w:val="bottom"/>
          </w:tcPr>
          <w:p>
            <w:pPr>
              <w:ind w:left="160"/>
              <w:spacing w:after="0"/>
              <w:rPr>
                <w:sz w:val="20"/>
                <w:szCs w:val="20"/>
                <w:color w:val="auto"/>
              </w:rPr>
            </w:pPr>
            <w:r>
              <w:rPr>
                <w:rFonts w:ascii="Arial" w:cs="Arial" w:eastAsia="Arial" w:hAnsi="Arial"/>
                <w:sz w:val="16"/>
                <w:szCs w:val="16"/>
                <w:color w:val="auto"/>
              </w:rPr>
              <w:t>Florida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InTelicare Services FL2, LLC</w:t>
            </w:r>
          </w:p>
        </w:tc>
        <w:tc>
          <w:tcPr>
            <w:tcW w:w="1820" w:type="dxa"/>
            <w:vAlign w:val="bottom"/>
          </w:tcPr>
          <w:p>
            <w:pPr>
              <w:ind w:left="160"/>
              <w:spacing w:after="0"/>
              <w:rPr>
                <w:sz w:val="20"/>
                <w:szCs w:val="20"/>
                <w:color w:val="auto"/>
              </w:rPr>
            </w:pPr>
            <w:r>
              <w:rPr>
                <w:rFonts w:ascii="Arial" w:cs="Arial" w:eastAsia="Arial" w:hAnsi="Arial"/>
                <w:sz w:val="16"/>
                <w:szCs w:val="16"/>
                <w:color w:val="auto"/>
              </w:rPr>
              <w:t>Florida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Compassionate Home Care, Inc.</w:t>
            </w:r>
          </w:p>
        </w:tc>
        <w:tc>
          <w:tcPr>
            <w:tcW w:w="1820" w:type="dxa"/>
            <w:vAlign w:val="bottom"/>
          </w:tcPr>
          <w:p>
            <w:pPr>
              <w:ind w:left="160"/>
              <w:spacing w:after="0"/>
              <w:rPr>
                <w:sz w:val="20"/>
                <w:szCs w:val="20"/>
                <w:color w:val="auto"/>
              </w:rPr>
            </w:pPr>
            <w:r>
              <w:rPr>
                <w:rFonts w:ascii="Arial" w:cs="Arial" w:eastAsia="Arial" w:hAnsi="Arial"/>
                <w:sz w:val="16"/>
                <w:szCs w:val="16"/>
                <w:color w:val="auto"/>
              </w:rPr>
              <w:t>Florida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AllPro Home Health, LLC</w:t>
            </w:r>
          </w:p>
        </w:tc>
        <w:tc>
          <w:tcPr>
            <w:tcW w:w="1820" w:type="dxa"/>
            <w:vAlign w:val="bottom"/>
          </w:tcPr>
          <w:p>
            <w:pPr>
              <w:ind w:left="160"/>
              <w:spacing w:after="0"/>
              <w:rPr>
                <w:sz w:val="20"/>
                <w:szCs w:val="20"/>
                <w:color w:val="auto"/>
              </w:rPr>
            </w:pPr>
            <w:r>
              <w:rPr>
                <w:rFonts w:ascii="Arial" w:cs="Arial" w:eastAsia="Arial" w:hAnsi="Arial"/>
                <w:sz w:val="16"/>
                <w:szCs w:val="16"/>
                <w:color w:val="auto"/>
              </w:rPr>
              <w:t>Florida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Graham Healthcare Capital,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GHC One,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GHC One Clarus,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700" w:type="dxa"/>
            <w:vAlign w:val="bottom"/>
          </w:tcPr>
          <w:p>
            <w:pPr>
              <w:ind w:left="820"/>
              <w:spacing w:after="0"/>
              <w:rPr>
                <w:sz w:val="20"/>
                <w:szCs w:val="20"/>
                <w:color w:val="auto"/>
              </w:rPr>
            </w:pPr>
            <w:r>
              <w:rPr>
                <w:rFonts w:ascii="Arial" w:cs="Arial" w:eastAsia="Arial" w:hAnsi="Arial"/>
                <w:sz w:val="16"/>
                <w:szCs w:val="16"/>
                <w:color w:val="auto"/>
              </w:rPr>
              <w:t>Clarus Care,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GHC One CSI,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700" w:type="dxa"/>
            <w:vAlign w:val="bottom"/>
          </w:tcPr>
          <w:p>
            <w:pPr>
              <w:ind w:left="820"/>
              <w:spacing w:after="0"/>
              <w:rPr>
                <w:sz w:val="20"/>
                <w:szCs w:val="20"/>
                <w:color w:val="auto"/>
              </w:rPr>
            </w:pPr>
            <w:r>
              <w:rPr>
                <w:rFonts w:ascii="Arial" w:cs="Arial" w:eastAsia="Arial" w:hAnsi="Arial"/>
                <w:sz w:val="16"/>
                <w:szCs w:val="16"/>
                <w:color w:val="auto"/>
              </w:rPr>
              <w:t>CSI Pharmacy Holding,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GHC One Weiss,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700" w:type="dxa"/>
            <w:vAlign w:val="bottom"/>
          </w:tcPr>
          <w:p>
            <w:pPr>
              <w:ind w:left="820"/>
              <w:spacing w:after="0"/>
              <w:rPr>
                <w:sz w:val="20"/>
                <w:szCs w:val="20"/>
                <w:color w:val="auto"/>
              </w:rPr>
            </w:pPr>
            <w:r>
              <w:rPr>
                <w:rFonts w:ascii="Arial" w:cs="Arial" w:eastAsia="Arial" w:hAnsi="Arial"/>
                <w:sz w:val="16"/>
                <w:szCs w:val="16"/>
                <w:color w:val="auto"/>
              </w:rPr>
              <w:t>Weiss Co. Invest.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6"/>
        </w:trPr>
        <w:tc>
          <w:tcPr>
            <w:tcW w:w="5700" w:type="dxa"/>
            <w:vAlign w:val="bottom"/>
          </w:tcPr>
          <w:p>
            <w:pPr>
              <w:ind w:left="1040"/>
              <w:spacing w:after="0"/>
              <w:rPr>
                <w:sz w:val="20"/>
                <w:szCs w:val="20"/>
                <w:color w:val="auto"/>
              </w:rPr>
            </w:pPr>
            <w:r>
              <w:rPr>
                <w:rFonts w:ascii="Arial" w:cs="Arial" w:eastAsia="Arial" w:hAnsi="Arial"/>
                <w:sz w:val="16"/>
                <w:szCs w:val="16"/>
                <w:color w:val="auto"/>
              </w:rPr>
              <w:t>Weiss MSO,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6"/>
        </w:trPr>
        <w:tc>
          <w:tcPr>
            <w:tcW w:w="5700" w:type="dxa"/>
            <w:vAlign w:val="bottom"/>
          </w:tcPr>
          <w:p>
            <w:pPr>
              <w:ind w:left="1240"/>
              <w:spacing w:after="0"/>
              <w:rPr>
                <w:sz w:val="20"/>
                <w:szCs w:val="20"/>
                <w:color w:val="auto"/>
              </w:rPr>
            </w:pPr>
            <w:r>
              <w:rPr>
                <w:rFonts w:ascii="Arial" w:cs="Arial" w:eastAsia="Arial" w:hAnsi="Arial"/>
                <w:sz w:val="16"/>
                <w:szCs w:val="16"/>
                <w:color w:val="auto"/>
              </w:rPr>
              <w:t>Weiss NJ MSO,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Residential Healthcare Group,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Hometown Home Health Care Inc.</w:t>
            </w:r>
          </w:p>
        </w:tc>
        <w:tc>
          <w:tcPr>
            <w:tcW w:w="1820" w:type="dxa"/>
            <w:vAlign w:val="bottom"/>
          </w:tcPr>
          <w:p>
            <w:pPr>
              <w:ind w:left="160"/>
              <w:spacing w:after="0"/>
              <w:rPr>
                <w:sz w:val="20"/>
                <w:szCs w:val="20"/>
                <w:color w:val="auto"/>
              </w:rPr>
            </w:pPr>
            <w:r>
              <w:rPr>
                <w:rFonts w:ascii="Arial" w:cs="Arial" w:eastAsia="Arial" w:hAnsi="Arial"/>
                <w:sz w:val="16"/>
                <w:szCs w:val="16"/>
                <w:color w:val="auto"/>
              </w:rPr>
              <w:t>Michigan</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RHH Holdings Co</w:t>
            </w:r>
          </w:p>
        </w:tc>
        <w:tc>
          <w:tcPr>
            <w:tcW w:w="1820" w:type="dxa"/>
            <w:vAlign w:val="bottom"/>
          </w:tcPr>
          <w:p>
            <w:pPr>
              <w:ind w:left="160"/>
              <w:spacing w:after="0"/>
              <w:rPr>
                <w:sz w:val="20"/>
                <w:szCs w:val="20"/>
                <w:color w:val="auto"/>
              </w:rPr>
            </w:pPr>
            <w:r>
              <w:rPr>
                <w:rFonts w:ascii="Arial" w:cs="Arial" w:eastAsia="Arial" w:hAnsi="Arial"/>
                <w:sz w:val="16"/>
                <w:szCs w:val="16"/>
                <w:color w:val="auto"/>
              </w:rPr>
              <w:t>Michigan</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Residential Home Health, LLC</w:t>
            </w:r>
          </w:p>
        </w:tc>
        <w:tc>
          <w:tcPr>
            <w:tcW w:w="1820" w:type="dxa"/>
            <w:vAlign w:val="bottom"/>
          </w:tcPr>
          <w:p>
            <w:pPr>
              <w:ind w:left="160"/>
              <w:spacing w:after="0"/>
              <w:rPr>
                <w:sz w:val="20"/>
                <w:szCs w:val="20"/>
                <w:color w:val="auto"/>
              </w:rPr>
            </w:pPr>
            <w:r>
              <w:rPr>
                <w:rFonts w:ascii="Arial" w:cs="Arial" w:eastAsia="Arial" w:hAnsi="Arial"/>
                <w:sz w:val="16"/>
                <w:szCs w:val="16"/>
                <w:color w:val="auto"/>
              </w:rPr>
              <w:t>Michigan</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Residential Hospice, LLC</w:t>
            </w:r>
          </w:p>
        </w:tc>
        <w:tc>
          <w:tcPr>
            <w:tcW w:w="1820" w:type="dxa"/>
            <w:vAlign w:val="bottom"/>
          </w:tcPr>
          <w:p>
            <w:pPr>
              <w:ind w:left="160"/>
              <w:spacing w:after="0"/>
              <w:rPr>
                <w:sz w:val="20"/>
                <w:szCs w:val="20"/>
                <w:color w:val="auto"/>
              </w:rPr>
            </w:pPr>
            <w:r>
              <w:rPr>
                <w:rFonts w:ascii="Arial" w:cs="Arial" w:eastAsia="Arial" w:hAnsi="Arial"/>
                <w:sz w:val="16"/>
                <w:szCs w:val="16"/>
                <w:color w:val="auto"/>
              </w:rPr>
              <w:t>Michigan</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RHM-KCINO, LLC</w:t>
            </w:r>
          </w:p>
        </w:tc>
        <w:tc>
          <w:tcPr>
            <w:tcW w:w="1820" w:type="dxa"/>
            <w:vAlign w:val="bottom"/>
          </w:tcPr>
          <w:p>
            <w:pPr>
              <w:ind w:left="160"/>
              <w:spacing w:after="0"/>
              <w:rPr>
                <w:sz w:val="20"/>
                <w:szCs w:val="20"/>
                <w:color w:val="auto"/>
              </w:rPr>
            </w:pPr>
            <w:r>
              <w:rPr>
                <w:rFonts w:ascii="Arial" w:cs="Arial" w:eastAsia="Arial" w:hAnsi="Arial"/>
                <w:sz w:val="16"/>
                <w:szCs w:val="16"/>
                <w:color w:val="auto"/>
              </w:rPr>
              <w:t>Michigan</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420"/>
              <w:spacing w:after="0"/>
              <w:rPr>
                <w:sz w:val="20"/>
                <w:szCs w:val="20"/>
                <w:color w:val="auto"/>
              </w:rPr>
            </w:pPr>
            <w:r>
              <w:rPr>
                <w:rFonts w:ascii="Arial" w:cs="Arial" w:eastAsia="Arial" w:hAnsi="Arial"/>
                <w:sz w:val="16"/>
                <w:szCs w:val="16"/>
                <w:color w:val="auto"/>
              </w:rPr>
              <w:t>RHH Ventures Illinois, LLC</w:t>
            </w:r>
          </w:p>
        </w:tc>
        <w:tc>
          <w:tcPr>
            <w:tcW w:w="1820" w:type="dxa"/>
            <w:vAlign w:val="bottom"/>
          </w:tcPr>
          <w:p>
            <w:pPr>
              <w:ind w:left="160"/>
              <w:spacing w:after="0"/>
              <w:rPr>
                <w:sz w:val="20"/>
                <w:szCs w:val="20"/>
                <w:color w:val="auto"/>
              </w:rPr>
            </w:pPr>
            <w:r>
              <w:rPr>
                <w:rFonts w:ascii="Arial" w:cs="Arial" w:eastAsia="Arial" w:hAnsi="Arial"/>
                <w:sz w:val="16"/>
                <w:szCs w:val="16"/>
                <w:color w:val="auto"/>
              </w:rPr>
              <w:t>Illinois</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Graham Media Group,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Graham Media Group, Florida, Inc.</w:t>
            </w:r>
          </w:p>
        </w:tc>
        <w:tc>
          <w:tcPr>
            <w:tcW w:w="1820" w:type="dxa"/>
            <w:vAlign w:val="bottom"/>
          </w:tcPr>
          <w:p>
            <w:pPr>
              <w:ind w:left="160"/>
              <w:spacing w:after="0"/>
              <w:rPr>
                <w:sz w:val="20"/>
                <w:szCs w:val="20"/>
                <w:color w:val="auto"/>
              </w:rPr>
            </w:pPr>
            <w:r>
              <w:rPr>
                <w:rFonts w:ascii="Arial" w:cs="Arial" w:eastAsia="Arial" w:hAnsi="Arial"/>
                <w:sz w:val="16"/>
                <w:szCs w:val="16"/>
                <w:color w:val="auto"/>
              </w:rPr>
              <w:t>Florida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Graham Media Group, Houston,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Graham Media Group, Michigan,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Graham Media Group, Orlando,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Graham Media Group, San Antonio,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Graham Media Group, Virginia, LLC</w:t>
            </w:r>
          </w:p>
        </w:tc>
        <w:tc>
          <w:tcPr>
            <w:tcW w:w="1820" w:type="dxa"/>
            <w:vAlign w:val="bottom"/>
          </w:tcPr>
          <w:p>
            <w:pPr>
              <w:ind w:left="160"/>
              <w:spacing w:after="0"/>
              <w:rPr>
                <w:sz w:val="20"/>
                <w:szCs w:val="20"/>
                <w:color w:val="auto"/>
              </w:rPr>
            </w:pPr>
            <w:r>
              <w:rPr>
                <w:rFonts w:ascii="Arial" w:cs="Arial" w:eastAsia="Arial" w:hAnsi="Arial"/>
                <w:sz w:val="16"/>
                <w:szCs w:val="16"/>
                <w:color w:val="auto"/>
              </w:rPr>
              <w:t>Virginia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Social News Desk, Inc.</w:t>
            </w:r>
          </w:p>
        </w:tc>
        <w:tc>
          <w:tcPr>
            <w:tcW w:w="1820" w:type="dxa"/>
            <w:vAlign w:val="bottom"/>
          </w:tcPr>
          <w:p>
            <w:pPr>
              <w:ind w:left="160"/>
              <w:spacing w:after="0"/>
              <w:rPr>
                <w:sz w:val="20"/>
                <w:szCs w:val="20"/>
                <w:color w:val="auto"/>
              </w:rPr>
            </w:pPr>
            <w:r>
              <w:rPr>
                <w:rFonts w:ascii="Arial" w:cs="Arial" w:eastAsia="Arial" w:hAnsi="Arial"/>
                <w:sz w:val="16"/>
                <w:szCs w:val="16"/>
                <w:color w:val="auto"/>
              </w:rPr>
              <w:t>Florida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Group Dekko Holdings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Group Dekko Inc.</w:t>
            </w:r>
          </w:p>
        </w:tc>
        <w:tc>
          <w:tcPr>
            <w:tcW w:w="1820" w:type="dxa"/>
            <w:vAlign w:val="bottom"/>
          </w:tcPr>
          <w:p>
            <w:pPr>
              <w:ind w:left="160"/>
              <w:spacing w:after="0"/>
              <w:rPr>
                <w:sz w:val="20"/>
                <w:szCs w:val="20"/>
                <w:color w:val="auto"/>
              </w:rPr>
            </w:pPr>
            <w:r>
              <w:rPr>
                <w:rFonts w:ascii="Arial" w:cs="Arial" w:eastAsia="Arial" w:hAnsi="Arial"/>
                <w:sz w:val="16"/>
                <w:szCs w:val="16"/>
                <w:color w:val="auto"/>
              </w:rPr>
              <w:t>Indiana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Premier Manufacturing Group, Inc. (d/b/a Electric-Cable Assemblies)</w:t>
            </w:r>
          </w:p>
        </w:tc>
        <w:tc>
          <w:tcPr>
            <w:tcW w:w="1820" w:type="dxa"/>
            <w:vAlign w:val="bottom"/>
          </w:tcPr>
          <w:p>
            <w:pPr>
              <w:ind w:left="160"/>
              <w:spacing w:after="0"/>
              <w:rPr>
                <w:sz w:val="20"/>
                <w:szCs w:val="20"/>
                <w:color w:val="auto"/>
              </w:rPr>
            </w:pPr>
            <w:r>
              <w:rPr>
                <w:rFonts w:ascii="Arial" w:cs="Arial" w:eastAsia="Arial" w:hAnsi="Arial"/>
                <w:sz w:val="16"/>
                <w:szCs w:val="16"/>
                <w:color w:val="auto"/>
              </w:rPr>
              <w:t>Connecticut</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Dekko Global Enterprise LLC</w:t>
            </w:r>
          </w:p>
        </w:tc>
        <w:tc>
          <w:tcPr>
            <w:tcW w:w="1820" w:type="dxa"/>
            <w:vAlign w:val="bottom"/>
          </w:tcPr>
          <w:p>
            <w:pPr>
              <w:ind w:left="160"/>
              <w:spacing w:after="0"/>
              <w:rPr>
                <w:sz w:val="20"/>
                <w:szCs w:val="20"/>
                <w:color w:val="auto"/>
              </w:rPr>
            </w:pPr>
            <w:r>
              <w:rPr>
                <w:rFonts w:ascii="Arial" w:cs="Arial" w:eastAsia="Arial" w:hAnsi="Arial"/>
                <w:sz w:val="16"/>
                <w:szCs w:val="16"/>
                <w:color w:val="auto"/>
              </w:rPr>
              <w:t>Indiana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820"/>
              <w:spacing w:after="0"/>
              <w:rPr>
                <w:sz w:val="20"/>
                <w:szCs w:val="20"/>
                <w:color w:val="auto"/>
              </w:rPr>
            </w:pPr>
            <w:r>
              <w:rPr>
                <w:rFonts w:ascii="Arial" w:cs="Arial" w:eastAsia="Arial" w:hAnsi="Arial"/>
                <w:sz w:val="16"/>
                <w:szCs w:val="16"/>
                <w:color w:val="auto"/>
              </w:rPr>
              <w:t>Grupo Dekko Mexico S.A, de C.V.</w:t>
            </w:r>
          </w:p>
        </w:tc>
        <w:tc>
          <w:tcPr>
            <w:tcW w:w="1820" w:type="dxa"/>
            <w:vAlign w:val="bottom"/>
          </w:tcPr>
          <w:p>
            <w:pPr>
              <w:ind w:left="160"/>
              <w:spacing w:after="0"/>
              <w:rPr>
                <w:sz w:val="20"/>
                <w:szCs w:val="20"/>
                <w:color w:val="auto"/>
              </w:rPr>
            </w:pPr>
            <w:r>
              <w:rPr>
                <w:rFonts w:ascii="Arial" w:cs="Arial" w:eastAsia="Arial" w:hAnsi="Arial"/>
                <w:sz w:val="16"/>
                <w:szCs w:val="16"/>
                <w:color w:val="auto"/>
              </w:rPr>
              <w:t>Mexico</w:t>
            </w:r>
          </w:p>
        </w:tc>
        <w:tc>
          <w:tcPr>
            <w:tcW w:w="1920" w:type="dxa"/>
            <w:vAlign w:val="bottom"/>
          </w:tcPr>
          <w:p>
            <w:pPr>
              <w:jc w:val="right"/>
              <w:spacing w:after="0"/>
              <w:rPr>
                <w:sz w:val="20"/>
                <w:szCs w:val="20"/>
                <w:color w:val="auto"/>
              </w:rPr>
            </w:pPr>
            <w:r>
              <w:rPr>
                <w:rFonts w:ascii="Arial" w:cs="Arial" w:eastAsia="Arial" w:hAnsi="Arial"/>
                <w:sz w:val="16"/>
                <w:szCs w:val="16"/>
                <w:color w:val="auto"/>
              </w:rPr>
              <w:t>100 % (c)</w:t>
            </w:r>
          </w:p>
        </w:tc>
        <w:tc>
          <w:tcPr>
            <w:tcW w:w="0" w:type="dxa"/>
            <w:vAlign w:val="bottom"/>
          </w:tcPr>
          <w:p>
            <w:pPr>
              <w:spacing w:after="0"/>
              <w:rPr>
                <w:sz w:val="1"/>
                <w:szCs w:val="1"/>
                <w:color w:val="auto"/>
              </w:rPr>
            </w:pPr>
          </w:p>
        </w:tc>
      </w:tr>
      <w:tr>
        <w:trPr>
          <w:trHeight w:val="216"/>
        </w:trPr>
        <w:tc>
          <w:tcPr>
            <w:tcW w:w="5700" w:type="dxa"/>
            <w:vAlign w:val="bottom"/>
          </w:tcPr>
          <w:p>
            <w:pPr>
              <w:ind w:left="620"/>
              <w:spacing w:after="0"/>
              <w:rPr>
                <w:sz w:val="20"/>
                <w:szCs w:val="20"/>
                <w:color w:val="auto"/>
              </w:rPr>
            </w:pPr>
            <w:r>
              <w:rPr>
                <w:rFonts w:ascii="Arial" w:cs="Arial" w:eastAsia="Arial" w:hAnsi="Arial"/>
                <w:sz w:val="16"/>
                <w:szCs w:val="16"/>
                <w:color w:val="auto"/>
              </w:rPr>
              <w:t>Furnlite Inc.</w:t>
            </w:r>
          </w:p>
        </w:tc>
        <w:tc>
          <w:tcPr>
            <w:tcW w:w="1820" w:type="dxa"/>
            <w:vAlign w:val="bottom"/>
          </w:tcPr>
          <w:p>
            <w:pPr>
              <w:ind w:left="160"/>
              <w:spacing w:after="0"/>
              <w:rPr>
                <w:sz w:val="20"/>
                <w:szCs w:val="20"/>
                <w:color w:val="auto"/>
              </w:rPr>
            </w:pPr>
            <w:r>
              <w:rPr>
                <w:rFonts w:ascii="Arial" w:cs="Arial" w:eastAsia="Arial" w:hAnsi="Arial"/>
                <w:sz w:val="16"/>
                <w:szCs w:val="16"/>
                <w:color w:val="auto"/>
              </w:rPr>
              <w:t>North Carolina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Joyce/Dayton Corporation</w:t>
            </w:r>
          </w:p>
        </w:tc>
        <w:tc>
          <w:tcPr>
            <w:tcW w:w="1820" w:type="dxa"/>
            <w:vAlign w:val="bottom"/>
          </w:tcPr>
          <w:p>
            <w:pPr>
              <w:ind w:left="160"/>
              <w:spacing w:after="0"/>
              <w:rPr>
                <w:sz w:val="20"/>
                <w:szCs w:val="20"/>
                <w:color w:val="auto"/>
              </w:rPr>
            </w:pPr>
            <w:r>
              <w:rPr>
                <w:rFonts w:ascii="Arial" w:cs="Arial" w:eastAsia="Arial" w:hAnsi="Arial"/>
                <w:sz w:val="16"/>
                <w:szCs w:val="16"/>
                <w:color w:val="auto"/>
              </w:rPr>
              <w:t>Ohio</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EDrive Actuators, Inc.</w:t>
            </w:r>
          </w:p>
        </w:tc>
        <w:tc>
          <w:tcPr>
            <w:tcW w:w="1820" w:type="dxa"/>
            <w:vAlign w:val="bottom"/>
          </w:tcPr>
          <w:p>
            <w:pPr>
              <w:ind w:left="160"/>
              <w:spacing w:after="0"/>
              <w:rPr>
                <w:sz w:val="20"/>
                <w:szCs w:val="20"/>
                <w:color w:val="auto"/>
              </w:rPr>
            </w:pPr>
            <w:r>
              <w:rPr>
                <w:rFonts w:ascii="Arial" w:cs="Arial" w:eastAsia="Arial" w:hAnsi="Arial"/>
                <w:sz w:val="16"/>
                <w:szCs w:val="16"/>
                <w:color w:val="auto"/>
              </w:rPr>
              <w:t>Connecticut</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Lowly Worm Holdings,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UNI-LIFT LLC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Kaplan, Inc.</w:t>
            </w:r>
          </w:p>
        </w:tc>
        <w:tc>
          <w:tcPr>
            <w:tcW w:w="1820" w:type="dxa"/>
            <w:vAlign w:val="bottom"/>
          </w:tcPr>
          <w:p>
            <w:pPr>
              <w:ind w:left="160"/>
              <w:spacing w:after="0"/>
              <w:rPr>
                <w:sz w:val="20"/>
                <w:szCs w:val="20"/>
                <w:color w:val="auto"/>
              </w:rPr>
            </w:pPr>
            <w:r>
              <w:rPr>
                <w:rFonts w:ascii="Arial" w:cs="Arial" w:eastAsia="Arial" w:hAnsi="Arial"/>
                <w:sz w:val="16"/>
                <w:szCs w:val="16"/>
                <w:color w:val="auto"/>
              </w:rPr>
              <w:t>Delaware</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99.44 %</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Dev Bootcamp, Inc.</w:t>
            </w:r>
          </w:p>
        </w:tc>
        <w:tc>
          <w:tcPr>
            <w:tcW w:w="1820" w:type="dxa"/>
            <w:vAlign w:val="bottom"/>
          </w:tcPr>
          <w:p>
            <w:pPr>
              <w:ind w:left="160"/>
              <w:spacing w:after="0"/>
              <w:rPr>
                <w:sz w:val="20"/>
                <w:szCs w:val="20"/>
                <w:color w:val="auto"/>
              </w:rPr>
            </w:pPr>
            <w:r>
              <w:rPr>
                <w:rFonts w:ascii="Arial" w:cs="Arial" w:eastAsia="Arial" w:hAnsi="Arial"/>
                <w:sz w:val="16"/>
                <w:szCs w:val="16"/>
                <w:color w:val="auto"/>
              </w:rPr>
              <w:t>California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119"/>
          </w:cols>
          <w:pgMar w:left="340" w:top="1090" w:right="1440" w:bottom="1440" w:gutter="0" w:footer="0" w:header="0"/>
        </w:sectPr>
      </w:pPr>
    </w:p>
    <w:bookmarkStart w:id="237" w:name="page238"/>
    <w:bookmarkEnd w:id="2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0" w:type="dxa"/>
            <w:vAlign w:val="bottom"/>
          </w:tcPr>
          <w:p>
            <w:pPr>
              <w:jc w:val="center"/>
              <w:ind w:left="439"/>
              <w:spacing w:after="0"/>
              <w:rPr>
                <w:sz w:val="20"/>
                <w:szCs w:val="20"/>
                <w:color w:val="auto"/>
              </w:rPr>
            </w:pPr>
            <w:r>
              <w:rPr>
                <w:rFonts w:ascii="Arial" w:cs="Arial" w:eastAsia="Arial" w:hAnsi="Arial"/>
                <w:sz w:val="14"/>
                <w:szCs w:val="14"/>
                <w:color w:val="auto"/>
              </w:rPr>
              <w:t>Jurisdiction of</w:t>
            </w:r>
          </w:p>
        </w:tc>
        <w:tc>
          <w:tcPr>
            <w:tcW w:w="1940" w:type="dxa"/>
            <w:vAlign w:val="bottom"/>
            <w:vMerge w:val="restart"/>
          </w:tcPr>
          <w:p>
            <w:pPr>
              <w:ind w:left="320"/>
              <w:spacing w:after="0"/>
              <w:rPr>
                <w:sz w:val="20"/>
                <w:szCs w:val="20"/>
                <w:color w:val="auto"/>
              </w:rPr>
            </w:pPr>
            <w:r>
              <w:rPr>
                <w:rFonts w:ascii="Arial" w:cs="Arial" w:eastAsia="Arial" w:hAnsi="Arial"/>
                <w:sz w:val="14"/>
                <w:szCs w:val="14"/>
                <w:color w:val="auto"/>
              </w:rPr>
              <w:t>% of Voting Equity</w:t>
            </w:r>
          </w:p>
        </w:tc>
        <w:tc>
          <w:tcPr>
            <w:tcW w:w="0" w:type="dxa"/>
            <w:vAlign w:val="bottom"/>
          </w:tcPr>
          <w:p>
            <w:pPr>
              <w:spacing w:after="0"/>
              <w:rPr>
                <w:sz w:val="1"/>
                <w:szCs w:val="1"/>
                <w:color w:val="auto"/>
              </w:rPr>
            </w:pPr>
          </w:p>
        </w:tc>
      </w:tr>
      <w:tr>
        <w:trPr>
          <w:trHeight w:val="68"/>
        </w:trPr>
        <w:tc>
          <w:tcPr>
            <w:tcW w:w="5320" w:type="dxa"/>
            <w:vAlign w:val="bottom"/>
            <w:vMerge w:val="restart"/>
          </w:tcPr>
          <w:p>
            <w:pPr>
              <w:spacing w:after="0" w:line="135" w:lineRule="exact"/>
              <w:rPr>
                <w:sz w:val="20"/>
                <w:szCs w:val="20"/>
                <w:color w:val="auto"/>
              </w:rPr>
            </w:pPr>
            <w:r>
              <w:rPr>
                <w:rFonts w:ascii="Arial" w:cs="Arial" w:eastAsia="Arial" w:hAnsi="Arial"/>
                <w:sz w:val="14"/>
                <w:szCs w:val="14"/>
                <w:color w:val="auto"/>
              </w:rPr>
              <w:t>Name of Subsidiary</w:t>
            </w:r>
          </w:p>
        </w:tc>
        <w:tc>
          <w:tcPr>
            <w:tcW w:w="2200" w:type="dxa"/>
            <w:vAlign w:val="bottom"/>
            <w:vMerge w:val="restart"/>
          </w:tcPr>
          <w:p>
            <w:pPr>
              <w:jc w:val="center"/>
              <w:ind w:left="439"/>
              <w:spacing w:after="0" w:line="135" w:lineRule="exact"/>
              <w:rPr>
                <w:sz w:val="20"/>
                <w:szCs w:val="20"/>
                <w:color w:val="auto"/>
              </w:rPr>
            </w:pPr>
            <w:r>
              <w:rPr>
                <w:rFonts w:ascii="Arial" w:cs="Arial" w:eastAsia="Arial" w:hAnsi="Arial"/>
                <w:sz w:val="14"/>
                <w:szCs w:val="14"/>
                <w:color w:val="auto"/>
              </w:rPr>
              <w:t>Incorporation or</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320" w:type="dxa"/>
            <w:vAlign w:val="bottom"/>
            <w:vMerge w:val="continue"/>
          </w:tcPr>
          <w:p>
            <w:pPr>
              <w:spacing w:after="0"/>
              <w:rPr>
                <w:sz w:val="5"/>
                <w:szCs w:val="5"/>
                <w:color w:val="auto"/>
              </w:rPr>
            </w:pPr>
          </w:p>
        </w:tc>
        <w:tc>
          <w:tcPr>
            <w:tcW w:w="2200" w:type="dxa"/>
            <w:vAlign w:val="bottom"/>
            <w:vMerge w:val="continue"/>
          </w:tcPr>
          <w:p>
            <w:pPr>
              <w:spacing w:after="0"/>
              <w:rPr>
                <w:sz w:val="5"/>
                <w:szCs w:val="5"/>
                <w:color w:val="auto"/>
              </w:rPr>
            </w:pPr>
          </w:p>
        </w:tc>
        <w:tc>
          <w:tcPr>
            <w:tcW w:w="1940" w:type="dxa"/>
            <w:vAlign w:val="bottom"/>
            <w:vMerge w:val="restart"/>
          </w:tcPr>
          <w:p>
            <w:pPr>
              <w:ind w:left="340"/>
              <w:spacing w:after="0"/>
              <w:rPr>
                <w:sz w:val="20"/>
                <w:szCs w:val="20"/>
                <w:color w:val="auto"/>
              </w:rPr>
            </w:pPr>
            <w:r>
              <w:rPr>
                <w:rFonts w:ascii="Arial" w:cs="Arial" w:eastAsia="Arial" w:hAnsi="Arial"/>
                <w:sz w:val="14"/>
                <w:szCs w:val="14"/>
                <w:color w:val="auto"/>
              </w:rPr>
              <w:t>Owned by Parent</w:t>
            </w:r>
          </w:p>
        </w:tc>
        <w:tc>
          <w:tcPr>
            <w:tcW w:w="0" w:type="dxa"/>
            <w:vAlign w:val="bottom"/>
          </w:tcPr>
          <w:p>
            <w:pPr>
              <w:spacing w:after="0"/>
              <w:rPr>
                <w:sz w:val="1"/>
                <w:szCs w:val="1"/>
                <w:color w:val="auto"/>
              </w:rPr>
            </w:pPr>
          </w:p>
        </w:tc>
      </w:tr>
      <w:tr>
        <w:trPr>
          <w:trHeight w:val="105"/>
        </w:trPr>
        <w:tc>
          <w:tcPr>
            <w:tcW w:w="5320" w:type="dxa"/>
            <w:vAlign w:val="bottom"/>
          </w:tcPr>
          <w:p>
            <w:pPr>
              <w:spacing w:after="0"/>
              <w:rPr>
                <w:sz w:val="9"/>
                <w:szCs w:val="9"/>
                <w:color w:val="auto"/>
              </w:rPr>
            </w:pPr>
          </w:p>
        </w:tc>
        <w:tc>
          <w:tcPr>
            <w:tcW w:w="2200" w:type="dxa"/>
            <w:vAlign w:val="bottom"/>
            <w:vMerge w:val="restart"/>
          </w:tcPr>
          <w:p>
            <w:pPr>
              <w:jc w:val="center"/>
              <w:ind w:left="419"/>
              <w:spacing w:after="0"/>
              <w:rPr>
                <w:sz w:val="20"/>
                <w:szCs w:val="20"/>
                <w:color w:val="auto"/>
              </w:rPr>
            </w:pPr>
            <w:r>
              <w:rPr>
                <w:rFonts w:ascii="Arial" w:cs="Arial" w:eastAsia="Arial" w:hAnsi="Arial"/>
                <w:sz w:val="14"/>
                <w:szCs w:val="14"/>
                <w:color w:val="auto"/>
              </w:rPr>
              <w:t>Organization</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32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320" w:type="dxa"/>
            <w:vAlign w:val="bottom"/>
          </w:tcPr>
          <w:p>
            <w:pPr>
              <w:ind w:left="220"/>
              <w:spacing w:after="0"/>
              <w:rPr>
                <w:sz w:val="20"/>
                <w:szCs w:val="20"/>
                <w:color w:val="auto"/>
              </w:rPr>
            </w:pPr>
            <w:r>
              <w:rPr>
                <w:rFonts w:ascii="Arial" w:cs="Arial" w:eastAsia="Arial" w:hAnsi="Arial"/>
                <w:sz w:val="16"/>
                <w:szCs w:val="16"/>
                <w:color w:val="auto"/>
              </w:rPr>
              <w:t>Graham Holdings Retired Employee Payroll Master,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International,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(Canada) Ltd.</w:t>
            </w:r>
          </w:p>
        </w:tc>
        <w:tc>
          <w:tcPr>
            <w:tcW w:w="2200" w:type="dxa"/>
            <w:vAlign w:val="bottom"/>
          </w:tcPr>
          <w:p>
            <w:pPr>
              <w:ind w:left="540"/>
              <w:spacing w:after="0"/>
              <w:rPr>
                <w:sz w:val="20"/>
                <w:szCs w:val="20"/>
                <w:color w:val="auto"/>
              </w:rPr>
            </w:pPr>
            <w:r>
              <w:rPr>
                <w:rFonts w:ascii="Arial" w:cs="Arial" w:eastAsia="Arial" w:hAnsi="Arial"/>
                <w:sz w:val="16"/>
                <w:szCs w:val="16"/>
                <w:color w:val="auto"/>
              </w:rPr>
              <w:t>Ontario</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U.S. CPA ExamPrep, Inc.</w:t>
            </w:r>
          </w:p>
        </w:tc>
        <w:tc>
          <w:tcPr>
            <w:tcW w:w="2200" w:type="dxa"/>
            <w:vAlign w:val="bottom"/>
          </w:tcPr>
          <w:p>
            <w:pPr>
              <w:ind w:left="540"/>
              <w:spacing w:after="0"/>
              <w:rPr>
                <w:sz w:val="20"/>
                <w:szCs w:val="20"/>
                <w:color w:val="auto"/>
              </w:rPr>
            </w:pPr>
            <w:r>
              <w:rPr>
                <w:rFonts w:ascii="Arial" w:cs="Arial" w:eastAsia="Arial" w:hAnsi="Arial"/>
                <w:sz w:val="16"/>
                <w:szCs w:val="16"/>
                <w:color w:val="auto"/>
              </w:rPr>
              <w:t>Ontario</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Educational Services de Mexico, S. de R.L. de C.V.</w:t>
            </w:r>
          </w:p>
        </w:tc>
        <w:tc>
          <w:tcPr>
            <w:tcW w:w="2200" w:type="dxa"/>
            <w:vAlign w:val="bottom"/>
          </w:tcPr>
          <w:p>
            <w:pPr>
              <w:ind w:left="540"/>
              <w:spacing w:after="0"/>
              <w:rPr>
                <w:sz w:val="20"/>
                <w:szCs w:val="20"/>
                <w:color w:val="auto"/>
              </w:rPr>
            </w:pPr>
            <w:r>
              <w:rPr>
                <w:rFonts w:ascii="Arial" w:cs="Arial" w:eastAsia="Arial" w:hAnsi="Arial"/>
                <w:sz w:val="16"/>
                <w:szCs w:val="16"/>
                <w:color w:val="auto"/>
              </w:rPr>
              <w:t>Mexico</w:t>
            </w:r>
          </w:p>
        </w:tc>
        <w:tc>
          <w:tcPr>
            <w:tcW w:w="1940" w:type="dxa"/>
            <w:vAlign w:val="bottom"/>
          </w:tcPr>
          <w:p>
            <w:pPr>
              <w:ind w:left="1240"/>
              <w:spacing w:after="0"/>
              <w:rPr>
                <w:sz w:val="20"/>
                <w:szCs w:val="20"/>
                <w:color w:val="auto"/>
              </w:rPr>
            </w:pPr>
            <w:r>
              <w:rPr>
                <w:rFonts w:ascii="Arial" w:cs="Arial" w:eastAsia="Arial" w:hAnsi="Arial"/>
                <w:sz w:val="16"/>
                <w:szCs w:val="16"/>
                <w:color w:val="auto"/>
                <w:w w:val="97"/>
              </w:rPr>
              <w:t>100 % (d)</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Education HR Services Mexico, S. de R.L. de C.V.</w:t>
            </w:r>
          </w:p>
        </w:tc>
        <w:tc>
          <w:tcPr>
            <w:tcW w:w="2200" w:type="dxa"/>
            <w:vAlign w:val="bottom"/>
          </w:tcPr>
          <w:p>
            <w:pPr>
              <w:ind w:left="540"/>
              <w:spacing w:after="0"/>
              <w:rPr>
                <w:sz w:val="20"/>
                <w:szCs w:val="20"/>
                <w:color w:val="auto"/>
              </w:rPr>
            </w:pPr>
            <w:r>
              <w:rPr>
                <w:rFonts w:ascii="Arial" w:cs="Arial" w:eastAsia="Arial" w:hAnsi="Arial"/>
                <w:sz w:val="16"/>
                <w:szCs w:val="16"/>
                <w:color w:val="auto"/>
              </w:rPr>
              <w:t>Mexico</w:t>
            </w:r>
          </w:p>
        </w:tc>
        <w:tc>
          <w:tcPr>
            <w:tcW w:w="1940" w:type="dxa"/>
            <w:vAlign w:val="bottom"/>
          </w:tcPr>
          <w:p>
            <w:pPr>
              <w:ind w:left="1240"/>
              <w:spacing w:after="0"/>
              <w:rPr>
                <w:sz w:val="20"/>
                <w:szCs w:val="20"/>
                <w:color w:val="auto"/>
              </w:rPr>
            </w:pPr>
            <w:r>
              <w:rPr>
                <w:rFonts w:ascii="Arial" w:cs="Arial" w:eastAsia="Arial" w:hAnsi="Arial"/>
                <w:sz w:val="16"/>
                <w:szCs w:val="16"/>
                <w:color w:val="auto"/>
                <w:w w:val="97"/>
              </w:rPr>
              <w:t>100 % (d)</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Higher Education,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Texas Educational Ventures, LP</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Kaplan North America,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DF Institute, LLC</w:t>
            </w:r>
          </w:p>
        </w:tc>
        <w:tc>
          <w:tcPr>
            <w:tcW w:w="2200" w:type="dxa"/>
            <w:vAlign w:val="bottom"/>
          </w:tcPr>
          <w:p>
            <w:pPr>
              <w:ind w:left="540"/>
              <w:spacing w:after="0"/>
              <w:rPr>
                <w:sz w:val="20"/>
                <w:szCs w:val="20"/>
                <w:color w:val="auto"/>
              </w:rPr>
            </w:pPr>
            <w:r>
              <w:rPr>
                <w:rFonts w:ascii="Arial" w:cs="Arial" w:eastAsia="Arial" w:hAnsi="Arial"/>
                <w:sz w:val="16"/>
                <w:szCs w:val="16"/>
                <w:color w:val="auto"/>
              </w:rPr>
              <w:t>Illinois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6"/>
                <w:szCs w:val="16"/>
                <w:color w:val="auto"/>
              </w:rPr>
              <w:t>SmartPros,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6"/>
                <w:szCs w:val="16"/>
                <w:color w:val="auto"/>
              </w:rPr>
              <w:t>The College for Financial Planning Institutes Corp.</w:t>
            </w:r>
          </w:p>
        </w:tc>
        <w:tc>
          <w:tcPr>
            <w:tcW w:w="2200" w:type="dxa"/>
            <w:vAlign w:val="bottom"/>
          </w:tcPr>
          <w:p>
            <w:pPr>
              <w:ind w:left="540"/>
              <w:spacing w:after="0"/>
              <w:rPr>
                <w:sz w:val="20"/>
                <w:szCs w:val="20"/>
                <w:color w:val="auto"/>
              </w:rPr>
            </w:pPr>
            <w:r>
              <w:rPr>
                <w:rFonts w:ascii="Arial" w:cs="Arial" w:eastAsia="Arial" w:hAnsi="Arial"/>
                <w:sz w:val="16"/>
                <w:szCs w:val="16"/>
                <w:color w:val="auto"/>
              </w:rPr>
              <w:t>Arizona</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1040"/>
              <w:spacing w:after="0"/>
              <w:rPr>
                <w:sz w:val="20"/>
                <w:szCs w:val="20"/>
                <w:color w:val="auto"/>
              </w:rPr>
            </w:pPr>
            <w:r>
              <w:rPr>
                <w:rFonts w:ascii="Arial" w:cs="Arial" w:eastAsia="Arial" w:hAnsi="Arial"/>
                <w:sz w:val="16"/>
                <w:szCs w:val="16"/>
                <w:color w:val="auto"/>
              </w:rPr>
              <w:t>The College for Financial Planning, Inc.</w:t>
            </w:r>
          </w:p>
        </w:tc>
        <w:tc>
          <w:tcPr>
            <w:tcW w:w="2200" w:type="dxa"/>
            <w:vAlign w:val="bottom"/>
          </w:tcPr>
          <w:p>
            <w:pPr>
              <w:ind w:left="540"/>
              <w:spacing w:after="0"/>
              <w:rPr>
                <w:sz w:val="20"/>
                <w:szCs w:val="20"/>
                <w:color w:val="auto"/>
              </w:rPr>
            </w:pPr>
            <w:r>
              <w:rPr>
                <w:rFonts w:ascii="Arial" w:cs="Arial" w:eastAsia="Arial" w:hAnsi="Arial"/>
                <w:sz w:val="16"/>
                <w:szCs w:val="16"/>
                <w:color w:val="auto"/>
              </w:rPr>
              <w:t>Arizona</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KV EdTech Partners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Mexico Holdings,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Kaplan (India) Private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India</w:t>
            </w:r>
          </w:p>
        </w:tc>
        <w:tc>
          <w:tcPr>
            <w:tcW w:w="1940" w:type="dxa"/>
            <w:vAlign w:val="bottom"/>
          </w:tcPr>
          <w:p>
            <w:pPr>
              <w:ind w:left="1240"/>
              <w:spacing w:after="0"/>
              <w:rPr>
                <w:sz w:val="20"/>
                <w:szCs w:val="20"/>
                <w:color w:val="auto"/>
              </w:rPr>
            </w:pPr>
            <w:r>
              <w:rPr>
                <w:rFonts w:ascii="Arial" w:cs="Arial" w:eastAsia="Arial" w:hAnsi="Arial"/>
                <w:sz w:val="16"/>
                <w:szCs w:val="16"/>
                <w:color w:val="auto"/>
                <w:w w:val="97"/>
              </w:rPr>
              <w:t>100 % (e)</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(PR) Inc.</w:t>
            </w:r>
          </w:p>
        </w:tc>
        <w:tc>
          <w:tcPr>
            <w:tcW w:w="2200" w:type="dxa"/>
            <w:vAlign w:val="bottom"/>
          </w:tcPr>
          <w:p>
            <w:pPr>
              <w:ind w:left="540"/>
              <w:spacing w:after="0"/>
              <w:rPr>
                <w:sz w:val="20"/>
                <w:szCs w:val="20"/>
                <w:color w:val="auto"/>
              </w:rPr>
            </w:pPr>
            <w:r>
              <w:rPr>
                <w:rFonts w:ascii="Arial" w:cs="Arial" w:eastAsia="Arial" w:hAnsi="Arial"/>
                <w:sz w:val="16"/>
                <w:szCs w:val="16"/>
                <w:color w:val="auto"/>
              </w:rPr>
              <w:t>Puerto Rico</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Medical Prep, LLC</w:t>
            </w:r>
          </w:p>
        </w:tc>
        <w:tc>
          <w:tcPr>
            <w:tcW w:w="2200" w:type="dxa"/>
            <w:vAlign w:val="bottom"/>
          </w:tcPr>
          <w:p>
            <w:pPr>
              <w:ind w:left="540"/>
              <w:spacing w:after="0"/>
              <w:rPr>
                <w:sz w:val="20"/>
                <w:szCs w:val="20"/>
                <w:color w:val="auto"/>
              </w:rPr>
            </w:pPr>
            <w:r>
              <w:rPr>
                <w:rFonts w:ascii="Arial" w:cs="Arial" w:eastAsia="Arial" w:hAnsi="Arial"/>
                <w:sz w:val="16"/>
                <w:szCs w:val="16"/>
                <w:color w:val="auto"/>
              </w:rPr>
              <w:t>New York</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K12 Learning Services,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Test Prep International, LLC</w:t>
            </w:r>
          </w:p>
        </w:tc>
        <w:tc>
          <w:tcPr>
            <w:tcW w:w="2200" w:type="dxa"/>
            <w:vAlign w:val="bottom"/>
          </w:tcPr>
          <w:p>
            <w:pPr>
              <w:ind w:left="540"/>
              <w:spacing w:after="0"/>
              <w:rPr>
                <w:sz w:val="20"/>
                <w:szCs w:val="20"/>
                <w:color w:val="auto"/>
              </w:rPr>
            </w:pPr>
            <w:r>
              <w:rPr>
                <w:rFonts w:ascii="Arial" w:cs="Arial" w:eastAsia="Arial" w:hAnsi="Arial"/>
                <w:sz w:val="16"/>
                <w:szCs w:val="16"/>
                <w:color w:val="auto"/>
              </w:rPr>
              <w:t>California</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International North America, LLC</w:t>
            </w:r>
          </w:p>
        </w:tc>
        <w:tc>
          <w:tcPr>
            <w:tcW w:w="2200" w:type="dxa"/>
            <w:vAlign w:val="bottom"/>
          </w:tcPr>
          <w:p>
            <w:pPr>
              <w:ind w:left="540"/>
              <w:spacing w:after="0"/>
              <w:rPr>
                <w:sz w:val="20"/>
                <w:szCs w:val="20"/>
                <w:color w:val="auto"/>
              </w:rPr>
            </w:pPr>
            <w:r>
              <w:rPr>
                <w:rFonts w:ascii="Arial" w:cs="Arial" w:eastAsia="Arial" w:hAnsi="Arial"/>
                <w:sz w:val="16"/>
                <w:szCs w:val="16"/>
                <w:color w:val="auto"/>
              </w:rPr>
              <w:t>California</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International Pathways North America, LLC</w:t>
            </w:r>
          </w:p>
        </w:tc>
        <w:tc>
          <w:tcPr>
            <w:tcW w:w="2200" w:type="dxa"/>
            <w:vAlign w:val="bottom"/>
          </w:tcPr>
          <w:p>
            <w:pPr>
              <w:ind w:left="540"/>
              <w:spacing w:after="0"/>
              <w:rPr>
                <w:sz w:val="20"/>
                <w:szCs w:val="20"/>
                <w:color w:val="auto"/>
              </w:rPr>
            </w:pPr>
            <w:r>
              <w:rPr>
                <w:rFonts w:ascii="Arial" w:cs="Arial" w:eastAsia="Arial" w:hAnsi="Arial"/>
                <w:sz w:val="16"/>
                <w:szCs w:val="16"/>
                <w:color w:val="auto"/>
              </w:rPr>
              <w:t>Delaware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International English (Thailand), Co. Ltd.</w:t>
            </w:r>
          </w:p>
        </w:tc>
        <w:tc>
          <w:tcPr>
            <w:tcW w:w="2200" w:type="dxa"/>
            <w:vAlign w:val="bottom"/>
          </w:tcPr>
          <w:p>
            <w:pPr>
              <w:ind w:left="540"/>
              <w:spacing w:after="0"/>
              <w:rPr>
                <w:sz w:val="20"/>
                <w:szCs w:val="20"/>
                <w:color w:val="auto"/>
              </w:rPr>
            </w:pPr>
            <w:r>
              <w:rPr>
                <w:rFonts w:ascii="Arial" w:cs="Arial" w:eastAsia="Arial" w:hAnsi="Arial"/>
                <w:sz w:val="16"/>
                <w:szCs w:val="16"/>
                <w:color w:val="auto"/>
              </w:rPr>
              <w:t>Thailand</w:t>
            </w:r>
          </w:p>
        </w:tc>
        <w:tc>
          <w:tcPr>
            <w:tcW w:w="1940" w:type="dxa"/>
            <w:vAlign w:val="bottom"/>
          </w:tcPr>
          <w:p>
            <w:pPr>
              <w:ind w:left="1100"/>
              <w:spacing w:after="0"/>
              <w:rPr>
                <w:sz w:val="20"/>
                <w:szCs w:val="20"/>
                <w:color w:val="auto"/>
              </w:rPr>
            </w:pPr>
            <w:r>
              <w:rPr>
                <w:rFonts w:ascii="Arial" w:cs="Arial" w:eastAsia="Arial" w:hAnsi="Arial"/>
                <w:sz w:val="16"/>
                <w:szCs w:val="16"/>
                <w:color w:val="auto"/>
              </w:rPr>
              <w:t>99.99 % (f)</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Hands On Consulting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Hong Kong</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Hands On Education Consultants Co., Ltd.</w:t>
            </w:r>
          </w:p>
        </w:tc>
        <w:tc>
          <w:tcPr>
            <w:tcW w:w="2200" w:type="dxa"/>
            <w:vAlign w:val="bottom"/>
          </w:tcPr>
          <w:p>
            <w:pPr>
              <w:ind w:left="540"/>
              <w:spacing w:after="0"/>
              <w:rPr>
                <w:sz w:val="20"/>
                <w:szCs w:val="20"/>
                <w:color w:val="auto"/>
              </w:rPr>
            </w:pPr>
            <w:r>
              <w:rPr>
                <w:rFonts w:ascii="Arial" w:cs="Arial" w:eastAsia="Arial" w:hAnsi="Arial"/>
                <w:sz w:val="16"/>
                <w:szCs w:val="16"/>
                <w:color w:val="auto"/>
              </w:rPr>
              <w:t>Thailand</w:t>
            </w:r>
          </w:p>
        </w:tc>
        <w:tc>
          <w:tcPr>
            <w:tcW w:w="1940" w:type="dxa"/>
            <w:vAlign w:val="bottom"/>
          </w:tcPr>
          <w:p>
            <w:pPr>
              <w:ind w:left="1240"/>
              <w:spacing w:after="0"/>
              <w:rPr>
                <w:sz w:val="20"/>
                <w:szCs w:val="20"/>
                <w:color w:val="auto"/>
              </w:rPr>
            </w:pPr>
            <w:r>
              <w:rPr>
                <w:rFonts w:ascii="Arial" w:cs="Arial" w:eastAsia="Arial" w:hAnsi="Arial"/>
                <w:sz w:val="16"/>
                <w:szCs w:val="16"/>
                <w:color w:val="auto"/>
                <w:w w:val="97"/>
              </w:rPr>
              <w:t>100 % (g)</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Kaplan U.K.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Aspect Education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Education Tower Ltd.</w:t>
            </w:r>
          </w:p>
        </w:tc>
        <w:tc>
          <w:tcPr>
            <w:tcW w:w="2200" w:type="dxa"/>
            <w:vAlign w:val="bottom"/>
          </w:tcPr>
          <w:p>
            <w:pPr>
              <w:ind w:left="540"/>
              <w:spacing w:after="0"/>
              <w:rPr>
                <w:sz w:val="20"/>
                <w:szCs w:val="20"/>
                <w:color w:val="auto"/>
              </w:rPr>
            </w:pPr>
            <w:r>
              <w:rPr>
                <w:rFonts w:ascii="Arial" w:cs="Arial" w:eastAsia="Arial" w:hAnsi="Arial"/>
                <w:sz w:val="16"/>
                <w:szCs w:val="16"/>
                <w:color w:val="auto"/>
              </w:rPr>
              <w:t>Hong Kong</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6"/>
                <w:szCs w:val="16"/>
                <w:color w:val="auto"/>
              </w:rPr>
              <w:t>BEO KK</w:t>
            </w:r>
          </w:p>
        </w:tc>
        <w:tc>
          <w:tcPr>
            <w:tcW w:w="2200" w:type="dxa"/>
            <w:vAlign w:val="bottom"/>
          </w:tcPr>
          <w:p>
            <w:pPr>
              <w:ind w:left="540"/>
              <w:spacing w:after="0"/>
              <w:rPr>
                <w:sz w:val="20"/>
                <w:szCs w:val="20"/>
                <w:color w:val="auto"/>
              </w:rPr>
            </w:pPr>
            <w:r>
              <w:rPr>
                <w:rFonts w:ascii="Arial" w:cs="Arial" w:eastAsia="Arial" w:hAnsi="Arial"/>
                <w:sz w:val="16"/>
                <w:szCs w:val="16"/>
                <w:color w:val="auto"/>
              </w:rPr>
              <w:t>Japan</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6"/>
                <w:szCs w:val="16"/>
                <w:color w:val="auto"/>
              </w:rPr>
              <w:t>Hands On BEO Company Ltd.</w:t>
            </w:r>
          </w:p>
        </w:tc>
        <w:tc>
          <w:tcPr>
            <w:tcW w:w="2200" w:type="dxa"/>
            <w:vAlign w:val="bottom"/>
          </w:tcPr>
          <w:p>
            <w:pPr>
              <w:ind w:left="540"/>
              <w:spacing w:after="0"/>
              <w:rPr>
                <w:sz w:val="20"/>
                <w:szCs w:val="20"/>
                <w:color w:val="auto"/>
              </w:rPr>
            </w:pPr>
            <w:r>
              <w:rPr>
                <w:rFonts w:ascii="Arial" w:cs="Arial" w:eastAsia="Arial" w:hAnsi="Arial"/>
                <w:sz w:val="16"/>
                <w:szCs w:val="16"/>
                <w:color w:val="auto"/>
              </w:rPr>
              <w:t>Vietnam</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(Beijing) Education Information Consulting Co. Ltd.</w:t>
            </w:r>
          </w:p>
        </w:tc>
        <w:tc>
          <w:tcPr>
            <w:tcW w:w="2200" w:type="dxa"/>
            <w:vAlign w:val="bottom"/>
          </w:tcPr>
          <w:p>
            <w:pPr>
              <w:ind w:left="540"/>
              <w:spacing w:after="0"/>
              <w:rPr>
                <w:sz w:val="20"/>
                <w:szCs w:val="20"/>
                <w:color w:val="auto"/>
              </w:rPr>
            </w:pPr>
            <w:r>
              <w:rPr>
                <w:rFonts w:ascii="Arial" w:cs="Arial" w:eastAsia="Arial" w:hAnsi="Arial"/>
                <w:sz w:val="16"/>
                <w:szCs w:val="16"/>
                <w:color w:val="auto"/>
              </w:rPr>
              <w:t>China (PR)</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Pacific Language Institute, Inc.</w:t>
            </w:r>
          </w:p>
        </w:tc>
        <w:tc>
          <w:tcPr>
            <w:tcW w:w="2200" w:type="dxa"/>
            <w:vAlign w:val="bottom"/>
          </w:tcPr>
          <w:p>
            <w:pPr>
              <w:ind w:left="540"/>
              <w:spacing w:after="0"/>
              <w:rPr>
                <w:sz w:val="20"/>
                <w:szCs w:val="20"/>
                <w:color w:val="auto"/>
              </w:rPr>
            </w:pPr>
            <w:r>
              <w:rPr>
                <w:rFonts w:ascii="Arial" w:cs="Arial" w:eastAsia="Arial" w:hAnsi="Arial"/>
                <w:sz w:val="16"/>
                <w:szCs w:val="16"/>
                <w:color w:val="auto"/>
              </w:rPr>
              <w:t>British Columbia</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Education UK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Educational Services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International Language Academies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6"/>
                <w:szCs w:val="16"/>
                <w:color w:val="auto"/>
              </w:rPr>
              <w:t>Anglo World Travel SA</w:t>
            </w:r>
          </w:p>
        </w:tc>
        <w:tc>
          <w:tcPr>
            <w:tcW w:w="2200" w:type="dxa"/>
            <w:vAlign w:val="bottom"/>
          </w:tcPr>
          <w:p>
            <w:pPr>
              <w:ind w:left="540"/>
              <w:spacing w:after="0"/>
              <w:rPr>
                <w:sz w:val="20"/>
                <w:szCs w:val="20"/>
                <w:color w:val="auto"/>
              </w:rPr>
            </w:pPr>
            <w:r>
              <w:rPr>
                <w:rFonts w:ascii="Arial" w:cs="Arial" w:eastAsia="Arial" w:hAnsi="Arial"/>
                <w:sz w:val="16"/>
                <w:szCs w:val="16"/>
                <w:color w:val="auto"/>
              </w:rPr>
              <w:t>Switzerland</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1040"/>
              <w:spacing w:after="0"/>
              <w:rPr>
                <w:sz w:val="20"/>
                <w:szCs w:val="20"/>
                <w:color w:val="auto"/>
              </w:rPr>
            </w:pPr>
            <w:r>
              <w:rPr>
                <w:rFonts w:ascii="Arial" w:cs="Arial" w:eastAsia="Arial" w:hAnsi="Arial"/>
                <w:sz w:val="16"/>
                <w:szCs w:val="16"/>
                <w:color w:val="auto"/>
              </w:rPr>
              <w:t>Anglo-World Group Ltd.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1240"/>
              <w:spacing w:after="0"/>
              <w:rPr>
                <w:sz w:val="20"/>
                <w:szCs w:val="20"/>
                <w:color w:val="auto"/>
              </w:rPr>
            </w:pPr>
            <w:r>
              <w:rPr>
                <w:rFonts w:ascii="Arial" w:cs="Arial" w:eastAsia="Arial" w:hAnsi="Arial"/>
                <w:sz w:val="16"/>
                <w:szCs w:val="16"/>
                <w:color w:val="auto"/>
              </w:rPr>
              <w:t>Anglo-World Education Ltd.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International Language Schools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Ireland</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Language Schools Limitada</w:t>
            </w:r>
          </w:p>
        </w:tc>
        <w:tc>
          <w:tcPr>
            <w:tcW w:w="2200" w:type="dxa"/>
            <w:vAlign w:val="bottom"/>
          </w:tcPr>
          <w:p>
            <w:pPr>
              <w:ind w:left="540"/>
              <w:spacing w:after="0"/>
              <w:rPr>
                <w:sz w:val="20"/>
                <w:szCs w:val="20"/>
                <w:color w:val="auto"/>
              </w:rPr>
            </w:pPr>
            <w:r>
              <w:rPr>
                <w:rFonts w:ascii="Arial" w:cs="Arial" w:eastAsia="Arial" w:hAnsi="Arial"/>
                <w:sz w:val="16"/>
                <w:szCs w:val="16"/>
                <w:color w:val="auto"/>
              </w:rPr>
              <w:t>Colombia</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Language Schools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Switzerland</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S.A.R.L. France</w:t>
            </w:r>
          </w:p>
        </w:tc>
        <w:tc>
          <w:tcPr>
            <w:tcW w:w="2200" w:type="dxa"/>
            <w:vAlign w:val="bottom"/>
          </w:tcPr>
          <w:p>
            <w:pPr>
              <w:ind w:left="540"/>
              <w:spacing w:after="0"/>
              <w:rPr>
                <w:sz w:val="20"/>
                <w:szCs w:val="20"/>
                <w:color w:val="auto"/>
              </w:rPr>
            </w:pPr>
            <w:r>
              <w:rPr>
                <w:rFonts w:ascii="Arial" w:cs="Arial" w:eastAsia="Arial" w:hAnsi="Arial"/>
                <w:sz w:val="16"/>
                <w:szCs w:val="16"/>
                <w:color w:val="auto"/>
              </w:rPr>
              <w:t>France</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Aspect Education (Hong Kong)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Hong Kong</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Kaplan International Operations Mexico, S.A. de C.V.</w:t>
            </w:r>
          </w:p>
        </w:tc>
        <w:tc>
          <w:tcPr>
            <w:tcW w:w="2200" w:type="dxa"/>
            <w:vAlign w:val="bottom"/>
          </w:tcPr>
          <w:p>
            <w:pPr>
              <w:ind w:left="540"/>
              <w:spacing w:after="0"/>
              <w:rPr>
                <w:sz w:val="20"/>
                <w:szCs w:val="20"/>
                <w:color w:val="auto"/>
              </w:rPr>
            </w:pPr>
            <w:r>
              <w:rPr>
                <w:rFonts w:ascii="Arial" w:cs="Arial" w:eastAsia="Arial" w:hAnsi="Arial"/>
                <w:sz w:val="16"/>
                <w:szCs w:val="16"/>
                <w:color w:val="auto"/>
              </w:rPr>
              <w:t>Mexico</w:t>
            </w:r>
          </w:p>
        </w:tc>
        <w:tc>
          <w:tcPr>
            <w:tcW w:w="1940" w:type="dxa"/>
            <w:vAlign w:val="bottom"/>
          </w:tcPr>
          <w:p>
            <w:pPr>
              <w:ind w:left="1240"/>
              <w:spacing w:after="0"/>
              <w:rPr>
                <w:sz w:val="20"/>
                <w:szCs w:val="20"/>
                <w:color w:val="auto"/>
              </w:rPr>
            </w:pPr>
            <w:r>
              <w:rPr>
                <w:rFonts w:ascii="Arial" w:cs="Arial" w:eastAsia="Arial" w:hAnsi="Arial"/>
                <w:sz w:val="16"/>
                <w:szCs w:val="16"/>
                <w:color w:val="auto"/>
                <w:w w:val="97"/>
              </w:rPr>
              <w:t>100 % (h)</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KI HR Services Mexico, S.A. de C.V.</w:t>
            </w:r>
          </w:p>
        </w:tc>
        <w:tc>
          <w:tcPr>
            <w:tcW w:w="2200" w:type="dxa"/>
            <w:vAlign w:val="bottom"/>
          </w:tcPr>
          <w:p>
            <w:pPr>
              <w:ind w:left="540"/>
              <w:spacing w:after="0"/>
              <w:rPr>
                <w:sz w:val="20"/>
                <w:szCs w:val="20"/>
                <w:color w:val="auto"/>
              </w:rPr>
            </w:pPr>
            <w:r>
              <w:rPr>
                <w:rFonts w:ascii="Arial" w:cs="Arial" w:eastAsia="Arial" w:hAnsi="Arial"/>
                <w:sz w:val="16"/>
                <w:szCs w:val="16"/>
                <w:color w:val="auto"/>
              </w:rPr>
              <w:t>Mexico</w:t>
            </w:r>
          </w:p>
        </w:tc>
        <w:tc>
          <w:tcPr>
            <w:tcW w:w="1940" w:type="dxa"/>
            <w:vAlign w:val="bottom"/>
          </w:tcPr>
          <w:p>
            <w:pPr>
              <w:ind w:left="1240"/>
              <w:spacing w:after="0"/>
              <w:rPr>
                <w:sz w:val="20"/>
                <w:szCs w:val="20"/>
                <w:color w:val="auto"/>
              </w:rPr>
            </w:pPr>
            <w:r>
              <w:rPr>
                <w:rFonts w:ascii="Arial" w:cs="Arial" w:eastAsia="Arial" w:hAnsi="Arial"/>
                <w:sz w:val="16"/>
                <w:szCs w:val="16"/>
                <w:color w:val="auto"/>
              </w:rPr>
              <w:t>100 % (i)</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West of England Language Services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20"/>
              <w:spacing w:after="0"/>
              <w:rPr>
                <w:sz w:val="20"/>
                <w:szCs w:val="20"/>
                <w:color w:val="auto"/>
              </w:rPr>
            </w:pPr>
            <w:r>
              <w:rPr>
                <w:rFonts w:ascii="Arial" w:cs="Arial" w:eastAsia="Arial" w:hAnsi="Arial"/>
                <w:sz w:val="16"/>
                <w:szCs w:val="16"/>
                <w:color w:val="auto"/>
              </w:rPr>
              <w:t>The Salisbury School of English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Kaplan International Investments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BridgeU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620"/>
              <w:spacing w:after="0"/>
              <w:rPr>
                <w:sz w:val="20"/>
                <w:szCs w:val="20"/>
                <w:color w:val="auto"/>
              </w:rPr>
            </w:pPr>
            <w:r>
              <w:rPr>
                <w:rFonts w:ascii="Arial" w:cs="Arial" w:eastAsia="Arial" w:hAnsi="Arial"/>
                <w:sz w:val="16"/>
                <w:szCs w:val="16"/>
                <w:color w:val="auto"/>
              </w:rPr>
              <w:t>Bridge-U Hong Kong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Hong Kong</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Kaplan Test Prep and Admissions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Manhattan GMAT Limited</w:t>
            </w:r>
          </w:p>
        </w:tc>
        <w:tc>
          <w:tcPr>
            <w:tcW w:w="2200" w:type="dxa"/>
            <w:vAlign w:val="bottom"/>
          </w:tcPr>
          <w:p>
            <w:pPr>
              <w:ind w:left="540"/>
              <w:spacing w:after="0"/>
              <w:rPr>
                <w:sz w:val="20"/>
                <w:szCs w:val="20"/>
                <w:color w:val="auto"/>
              </w:rPr>
            </w:pPr>
            <w:r>
              <w:rPr>
                <w:rFonts w:ascii="Arial" w:cs="Arial" w:eastAsia="Arial" w:hAnsi="Arial"/>
                <w:sz w:val="16"/>
                <w:szCs w:val="16"/>
                <w:color w:val="auto"/>
              </w:rPr>
              <w:t>England &amp; Wales</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20"/>
              <w:spacing w:after="0"/>
              <w:rPr>
                <w:sz w:val="20"/>
                <w:szCs w:val="20"/>
                <w:color w:val="auto"/>
              </w:rPr>
            </w:pPr>
            <w:r>
              <w:rPr>
                <w:rFonts w:ascii="Arial" w:cs="Arial" w:eastAsia="Arial" w:hAnsi="Arial"/>
                <w:sz w:val="16"/>
                <w:szCs w:val="16"/>
                <w:color w:val="auto"/>
              </w:rPr>
              <w:t>Heverald Groupe S.A.</w:t>
            </w:r>
          </w:p>
        </w:tc>
        <w:tc>
          <w:tcPr>
            <w:tcW w:w="2200" w:type="dxa"/>
            <w:vAlign w:val="bottom"/>
          </w:tcPr>
          <w:p>
            <w:pPr>
              <w:ind w:left="540"/>
              <w:spacing w:after="0"/>
              <w:rPr>
                <w:sz w:val="20"/>
                <w:szCs w:val="20"/>
                <w:color w:val="auto"/>
              </w:rPr>
            </w:pPr>
            <w:r>
              <w:rPr>
                <w:rFonts w:ascii="Arial" w:cs="Arial" w:eastAsia="Arial" w:hAnsi="Arial"/>
                <w:sz w:val="16"/>
                <w:szCs w:val="16"/>
                <w:color w:val="auto"/>
              </w:rPr>
              <w:t>Switzerland</w:t>
            </w:r>
          </w:p>
        </w:tc>
        <w:tc>
          <w:tcPr>
            <w:tcW w:w="194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119"/>
          </w:cols>
          <w:pgMar w:left="340" w:top="1090" w:right="1440" w:bottom="1440" w:gutter="0" w:footer="0" w:header="0"/>
        </w:sectPr>
      </w:pPr>
    </w:p>
    <w:bookmarkStart w:id="238" w:name="page239"/>
    <w:bookmarkEnd w:id="2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rPr>
              <w:t>Jurisdiction of</w:t>
            </w:r>
          </w:p>
        </w:tc>
        <w:tc>
          <w:tcPr>
            <w:tcW w:w="1880" w:type="dxa"/>
            <w:vAlign w:val="bottom"/>
            <w:vMerge w:val="restart"/>
          </w:tcPr>
          <w:p>
            <w:pPr>
              <w:jc w:val="right"/>
              <w:ind w:right="319"/>
              <w:spacing w:after="0"/>
              <w:rPr>
                <w:sz w:val="20"/>
                <w:szCs w:val="20"/>
                <w:color w:val="auto"/>
              </w:rPr>
            </w:pPr>
            <w:r>
              <w:rPr>
                <w:rFonts w:ascii="Arial" w:cs="Arial" w:eastAsia="Arial" w:hAnsi="Arial"/>
                <w:sz w:val="14"/>
                <w:szCs w:val="14"/>
                <w:color w:val="auto"/>
              </w:rPr>
              <w:t>% of Voting Equity</w:t>
            </w:r>
          </w:p>
        </w:tc>
        <w:tc>
          <w:tcPr>
            <w:tcW w:w="0" w:type="dxa"/>
            <w:vAlign w:val="bottom"/>
          </w:tcPr>
          <w:p>
            <w:pPr>
              <w:spacing w:after="0"/>
              <w:rPr>
                <w:sz w:val="1"/>
                <w:szCs w:val="1"/>
                <w:color w:val="auto"/>
              </w:rPr>
            </w:pPr>
          </w:p>
        </w:tc>
      </w:tr>
      <w:tr>
        <w:trPr>
          <w:trHeight w:val="68"/>
        </w:trPr>
        <w:tc>
          <w:tcPr>
            <w:tcW w:w="5780" w:type="dxa"/>
            <w:vAlign w:val="bottom"/>
            <w:vMerge w:val="restart"/>
          </w:tcPr>
          <w:p>
            <w:pPr>
              <w:spacing w:after="0" w:line="135" w:lineRule="exact"/>
              <w:rPr>
                <w:sz w:val="20"/>
                <w:szCs w:val="20"/>
                <w:color w:val="auto"/>
              </w:rPr>
            </w:pPr>
            <w:r>
              <w:rPr>
                <w:rFonts w:ascii="Arial" w:cs="Arial" w:eastAsia="Arial" w:hAnsi="Arial"/>
                <w:sz w:val="14"/>
                <w:szCs w:val="14"/>
                <w:color w:val="auto"/>
              </w:rPr>
              <w:t>Name of Subsidiary</w:t>
            </w:r>
          </w:p>
        </w:tc>
        <w:tc>
          <w:tcPr>
            <w:tcW w:w="174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rPr>
              <w:t>Incorporation or</w:t>
            </w: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78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880" w:type="dxa"/>
            <w:vAlign w:val="bottom"/>
            <w:vMerge w:val="restart"/>
          </w:tcPr>
          <w:p>
            <w:pPr>
              <w:jc w:val="right"/>
              <w:ind w:right="339"/>
              <w:spacing w:after="0"/>
              <w:rPr>
                <w:sz w:val="20"/>
                <w:szCs w:val="20"/>
                <w:color w:val="auto"/>
              </w:rPr>
            </w:pPr>
            <w:r>
              <w:rPr>
                <w:rFonts w:ascii="Arial" w:cs="Arial" w:eastAsia="Arial" w:hAnsi="Arial"/>
                <w:sz w:val="14"/>
                <w:szCs w:val="14"/>
                <w:color w:val="auto"/>
              </w:rPr>
              <w:t>Owned by Parent</w:t>
            </w:r>
          </w:p>
        </w:tc>
        <w:tc>
          <w:tcPr>
            <w:tcW w:w="0" w:type="dxa"/>
            <w:vAlign w:val="bottom"/>
          </w:tcPr>
          <w:p>
            <w:pPr>
              <w:spacing w:after="0"/>
              <w:rPr>
                <w:sz w:val="1"/>
                <w:szCs w:val="1"/>
                <w:color w:val="auto"/>
              </w:rPr>
            </w:pPr>
          </w:p>
        </w:tc>
      </w:tr>
      <w:tr>
        <w:trPr>
          <w:trHeight w:val="105"/>
        </w:trPr>
        <w:tc>
          <w:tcPr>
            <w:tcW w:w="5780" w:type="dxa"/>
            <w:vAlign w:val="bottom"/>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color w:val="auto"/>
              </w:rPr>
              <w:t>Organization</w:t>
            </w: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7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620"/>
              <w:spacing w:after="0"/>
              <w:rPr>
                <w:sz w:val="20"/>
                <w:szCs w:val="20"/>
                <w:color w:val="auto"/>
              </w:rPr>
            </w:pPr>
            <w:r>
              <w:rPr>
                <w:rFonts w:ascii="Arial" w:cs="Arial" w:eastAsia="Arial" w:hAnsi="Arial"/>
                <w:sz w:val="16"/>
                <w:szCs w:val="16"/>
                <w:color w:val="auto"/>
              </w:rPr>
              <w:t>Alpadia Freiburg</w:t>
            </w:r>
          </w:p>
        </w:tc>
        <w:tc>
          <w:tcPr>
            <w:tcW w:w="1740" w:type="dxa"/>
            <w:vAlign w:val="bottom"/>
          </w:tcPr>
          <w:p>
            <w:pPr>
              <w:ind w:left="80"/>
              <w:spacing w:after="0"/>
              <w:rPr>
                <w:sz w:val="20"/>
                <w:szCs w:val="20"/>
                <w:color w:val="auto"/>
              </w:rPr>
            </w:pPr>
            <w:r>
              <w:rPr>
                <w:rFonts w:ascii="Arial" w:cs="Arial" w:eastAsia="Arial" w:hAnsi="Arial"/>
                <w:sz w:val="16"/>
                <w:szCs w:val="16"/>
                <w:color w:val="auto"/>
              </w:rPr>
              <w:t>Germany</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Alpdia S.A.</w:t>
            </w:r>
          </w:p>
        </w:tc>
        <w:tc>
          <w:tcPr>
            <w:tcW w:w="1740" w:type="dxa"/>
            <w:vAlign w:val="bottom"/>
          </w:tcPr>
          <w:p>
            <w:pPr>
              <w:ind w:left="80"/>
              <w:spacing w:after="0"/>
              <w:rPr>
                <w:sz w:val="20"/>
                <w:szCs w:val="20"/>
                <w:color w:val="auto"/>
              </w:rPr>
            </w:pPr>
            <w:r>
              <w:rPr>
                <w:rFonts w:ascii="Arial" w:cs="Arial" w:eastAsia="Arial" w:hAnsi="Arial"/>
                <w:sz w:val="16"/>
                <w:szCs w:val="16"/>
                <w:color w:val="auto"/>
              </w:rPr>
              <w:t>France</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Alpadia Sarl</w:t>
            </w:r>
          </w:p>
        </w:tc>
        <w:tc>
          <w:tcPr>
            <w:tcW w:w="1740" w:type="dxa"/>
            <w:vAlign w:val="bottom"/>
          </w:tcPr>
          <w:p>
            <w:pPr>
              <w:ind w:left="80"/>
              <w:spacing w:after="0"/>
              <w:rPr>
                <w:sz w:val="20"/>
                <w:szCs w:val="20"/>
                <w:color w:val="auto"/>
              </w:rPr>
            </w:pPr>
            <w:r>
              <w:rPr>
                <w:rFonts w:ascii="Arial" w:cs="Arial" w:eastAsia="Arial" w:hAnsi="Arial"/>
                <w:sz w:val="16"/>
                <w:szCs w:val="16"/>
                <w:color w:val="auto"/>
              </w:rPr>
              <w:t>France</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Alpadia Berlin GmbH</w:t>
            </w:r>
          </w:p>
        </w:tc>
        <w:tc>
          <w:tcPr>
            <w:tcW w:w="1740" w:type="dxa"/>
            <w:vAlign w:val="bottom"/>
          </w:tcPr>
          <w:p>
            <w:pPr>
              <w:ind w:left="80"/>
              <w:spacing w:after="0"/>
              <w:rPr>
                <w:sz w:val="20"/>
                <w:szCs w:val="20"/>
                <w:color w:val="auto"/>
              </w:rPr>
            </w:pPr>
            <w:r>
              <w:rPr>
                <w:rFonts w:ascii="Arial" w:cs="Arial" w:eastAsia="Arial" w:hAnsi="Arial"/>
                <w:sz w:val="16"/>
                <w:szCs w:val="16"/>
                <w:color w:val="auto"/>
              </w:rPr>
              <w:t>Germany</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Education S.A.S.</w:t>
            </w:r>
          </w:p>
        </w:tc>
        <w:tc>
          <w:tcPr>
            <w:tcW w:w="1740" w:type="dxa"/>
            <w:vAlign w:val="bottom"/>
          </w:tcPr>
          <w:p>
            <w:pPr>
              <w:ind w:left="80"/>
              <w:spacing w:after="0"/>
              <w:rPr>
                <w:sz w:val="20"/>
                <w:szCs w:val="20"/>
                <w:color w:val="auto"/>
              </w:rPr>
            </w:pPr>
            <w:r>
              <w:rPr>
                <w:rFonts w:ascii="Arial" w:cs="Arial" w:eastAsia="Arial" w:hAnsi="Arial"/>
                <w:sz w:val="16"/>
                <w:szCs w:val="16"/>
                <w:color w:val="auto"/>
              </w:rPr>
              <w:t>France</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Education Belgique sprl</w:t>
            </w:r>
          </w:p>
        </w:tc>
        <w:tc>
          <w:tcPr>
            <w:tcW w:w="1740" w:type="dxa"/>
            <w:vAlign w:val="bottom"/>
          </w:tcPr>
          <w:p>
            <w:pPr>
              <w:ind w:left="80"/>
              <w:spacing w:after="0"/>
              <w:rPr>
                <w:sz w:val="20"/>
                <w:szCs w:val="20"/>
                <w:color w:val="auto"/>
              </w:rPr>
            </w:pPr>
            <w:r>
              <w:rPr>
                <w:rFonts w:ascii="Arial" w:cs="Arial" w:eastAsia="Arial" w:hAnsi="Arial"/>
                <w:sz w:val="16"/>
                <w:szCs w:val="16"/>
                <w:color w:val="auto"/>
              </w:rPr>
              <w:t>Belgium</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Education Italia S.R.L.</w:t>
            </w:r>
          </w:p>
        </w:tc>
        <w:tc>
          <w:tcPr>
            <w:tcW w:w="1740" w:type="dxa"/>
            <w:vAlign w:val="bottom"/>
          </w:tcPr>
          <w:p>
            <w:pPr>
              <w:ind w:left="80"/>
              <w:spacing w:after="0"/>
              <w:rPr>
                <w:sz w:val="20"/>
                <w:szCs w:val="20"/>
                <w:color w:val="auto"/>
              </w:rPr>
            </w:pPr>
            <w:r>
              <w:rPr>
                <w:rFonts w:ascii="Arial" w:cs="Arial" w:eastAsia="Arial" w:hAnsi="Arial"/>
                <w:sz w:val="16"/>
                <w:szCs w:val="16"/>
                <w:color w:val="auto"/>
              </w:rPr>
              <w:t>Italy</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Alpadia UK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England &amp; Wales</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Education GmbH ÖSTERREICH</w:t>
            </w:r>
          </w:p>
        </w:tc>
        <w:tc>
          <w:tcPr>
            <w:tcW w:w="1740" w:type="dxa"/>
            <w:vAlign w:val="bottom"/>
          </w:tcPr>
          <w:p>
            <w:pPr>
              <w:ind w:left="80"/>
              <w:spacing w:after="0"/>
              <w:rPr>
                <w:sz w:val="20"/>
                <w:szCs w:val="20"/>
                <w:color w:val="auto"/>
              </w:rPr>
            </w:pPr>
            <w:r>
              <w:rPr>
                <w:rFonts w:ascii="Arial" w:cs="Arial" w:eastAsia="Arial" w:hAnsi="Arial"/>
                <w:sz w:val="16"/>
                <w:szCs w:val="16"/>
                <w:color w:val="auto"/>
              </w:rPr>
              <w:t>Austria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Education S.A.</w:t>
            </w:r>
          </w:p>
        </w:tc>
        <w:tc>
          <w:tcPr>
            <w:tcW w:w="1740" w:type="dxa"/>
            <w:vAlign w:val="bottom"/>
          </w:tcPr>
          <w:p>
            <w:pPr>
              <w:ind w:left="80"/>
              <w:spacing w:after="0"/>
              <w:rPr>
                <w:sz w:val="20"/>
                <w:szCs w:val="20"/>
                <w:color w:val="auto"/>
              </w:rPr>
            </w:pPr>
            <w:r>
              <w:rPr>
                <w:rFonts w:ascii="Arial" w:cs="Arial" w:eastAsia="Arial" w:hAnsi="Arial"/>
                <w:sz w:val="16"/>
                <w:szCs w:val="16"/>
                <w:color w:val="auto"/>
              </w:rPr>
              <w:t>Switzerland</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Alpadia Education SL</w:t>
            </w:r>
          </w:p>
        </w:tc>
        <w:tc>
          <w:tcPr>
            <w:tcW w:w="1740" w:type="dxa"/>
            <w:vAlign w:val="bottom"/>
          </w:tcPr>
          <w:p>
            <w:pPr>
              <w:ind w:left="80"/>
              <w:spacing w:after="0"/>
              <w:rPr>
                <w:sz w:val="20"/>
                <w:szCs w:val="20"/>
                <w:color w:val="auto"/>
              </w:rPr>
            </w:pPr>
            <w:r>
              <w:rPr>
                <w:rFonts w:ascii="Arial" w:cs="Arial" w:eastAsia="Arial" w:hAnsi="Arial"/>
                <w:sz w:val="16"/>
                <w:szCs w:val="16"/>
                <w:color w:val="auto"/>
              </w:rPr>
              <w:t>Spain</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Educación España S.L</w:t>
            </w:r>
          </w:p>
        </w:tc>
        <w:tc>
          <w:tcPr>
            <w:tcW w:w="1740" w:type="dxa"/>
            <w:vAlign w:val="bottom"/>
          </w:tcPr>
          <w:p>
            <w:pPr>
              <w:ind w:left="80"/>
              <w:spacing w:after="0"/>
              <w:rPr>
                <w:sz w:val="20"/>
                <w:szCs w:val="20"/>
                <w:color w:val="auto"/>
              </w:rPr>
            </w:pPr>
            <w:r>
              <w:rPr>
                <w:rFonts w:ascii="Arial" w:cs="Arial" w:eastAsia="Arial" w:hAnsi="Arial"/>
                <w:sz w:val="16"/>
                <w:szCs w:val="16"/>
                <w:color w:val="auto"/>
              </w:rPr>
              <w:t>Spain</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Education GmbH Deutschland</w:t>
            </w:r>
          </w:p>
        </w:tc>
        <w:tc>
          <w:tcPr>
            <w:tcW w:w="1740" w:type="dxa"/>
            <w:vAlign w:val="bottom"/>
          </w:tcPr>
          <w:p>
            <w:pPr>
              <w:ind w:left="80"/>
              <w:spacing w:after="0"/>
              <w:rPr>
                <w:sz w:val="20"/>
                <w:szCs w:val="20"/>
                <w:color w:val="auto"/>
              </w:rPr>
            </w:pPr>
            <w:r>
              <w:rPr>
                <w:rFonts w:ascii="Arial" w:cs="Arial" w:eastAsia="Arial" w:hAnsi="Arial"/>
                <w:sz w:val="16"/>
                <w:szCs w:val="16"/>
                <w:color w:val="auto"/>
              </w:rPr>
              <w:t>Germany</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Services IT S.R.L</w:t>
            </w:r>
          </w:p>
        </w:tc>
        <w:tc>
          <w:tcPr>
            <w:tcW w:w="1740" w:type="dxa"/>
            <w:vAlign w:val="bottom"/>
          </w:tcPr>
          <w:p>
            <w:pPr>
              <w:ind w:left="80"/>
              <w:spacing w:after="0"/>
              <w:rPr>
                <w:sz w:val="20"/>
                <w:szCs w:val="20"/>
                <w:color w:val="auto"/>
              </w:rPr>
            </w:pPr>
            <w:r>
              <w:rPr>
                <w:rFonts w:ascii="Arial" w:cs="Arial" w:eastAsia="Arial" w:hAnsi="Arial"/>
                <w:sz w:val="16"/>
                <w:szCs w:val="16"/>
                <w:color w:val="auto"/>
              </w:rPr>
              <w:t>Italy</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ESL Services SP S.L</w:t>
            </w:r>
          </w:p>
        </w:tc>
        <w:tc>
          <w:tcPr>
            <w:tcW w:w="1740" w:type="dxa"/>
            <w:vAlign w:val="bottom"/>
          </w:tcPr>
          <w:p>
            <w:pPr>
              <w:ind w:left="80"/>
              <w:spacing w:after="0"/>
              <w:rPr>
                <w:sz w:val="20"/>
                <w:szCs w:val="20"/>
                <w:color w:val="auto"/>
              </w:rPr>
            </w:pPr>
            <w:r>
              <w:rPr>
                <w:rFonts w:ascii="Arial" w:cs="Arial" w:eastAsia="Arial" w:hAnsi="Arial"/>
                <w:sz w:val="16"/>
                <w:szCs w:val="16"/>
                <w:color w:val="auto"/>
              </w:rPr>
              <w:t>Spain</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420"/>
              <w:spacing w:after="0"/>
              <w:rPr>
                <w:sz w:val="20"/>
                <w:szCs w:val="20"/>
                <w:color w:val="auto"/>
              </w:rPr>
            </w:pPr>
            <w:r>
              <w:rPr>
                <w:rFonts w:ascii="Arial" w:cs="Arial" w:eastAsia="Arial" w:hAnsi="Arial"/>
                <w:sz w:val="16"/>
                <w:szCs w:val="16"/>
                <w:color w:val="auto"/>
              </w:rPr>
              <w:t>Kaplan International UK Holdings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England &amp; Wales</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Kaplan International English (Australia)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International (Brisbane)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International NZ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New Zealand</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International (Perth)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Aspect ILA Sydney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Kaplan Australia Holdings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Australia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1040"/>
              <w:spacing w:after="0"/>
              <w:rPr>
                <w:sz w:val="20"/>
                <w:szCs w:val="20"/>
                <w:color w:val="auto"/>
              </w:rPr>
            </w:pPr>
            <w:r>
              <w:rPr>
                <w:rFonts w:ascii="Arial" w:cs="Arial" w:eastAsia="Arial" w:hAnsi="Arial"/>
                <w:sz w:val="16"/>
                <w:szCs w:val="16"/>
                <w:color w:val="auto"/>
              </w:rPr>
              <w:t>Red Marker Pty Ltd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1040"/>
              <w:spacing w:after="0"/>
              <w:rPr>
                <w:sz w:val="20"/>
                <w:szCs w:val="20"/>
                <w:color w:val="auto"/>
              </w:rPr>
            </w:pPr>
            <w:r>
              <w:rPr>
                <w:rFonts w:ascii="Arial" w:cs="Arial" w:eastAsia="Arial" w:hAnsi="Arial"/>
                <w:sz w:val="16"/>
                <w:szCs w:val="16"/>
                <w:color w:val="auto"/>
              </w:rPr>
              <w:t>Kaplan International (Melbourne &amp; Adelaide)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1040"/>
              <w:spacing w:after="0"/>
              <w:rPr>
                <w:sz w:val="20"/>
                <w:szCs w:val="20"/>
                <w:color w:val="auto"/>
              </w:rPr>
            </w:pPr>
            <w:r>
              <w:rPr>
                <w:rFonts w:ascii="Arial" w:cs="Arial" w:eastAsia="Arial" w:hAnsi="Arial"/>
                <w:sz w:val="16"/>
                <w:szCs w:val="16"/>
                <w:color w:val="auto"/>
              </w:rPr>
              <w:t>Kaplan Higher Education Party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1240"/>
              <w:spacing w:after="0"/>
              <w:rPr>
                <w:sz w:val="20"/>
                <w:szCs w:val="20"/>
                <w:color w:val="auto"/>
              </w:rPr>
            </w:pPr>
            <w:r>
              <w:rPr>
                <w:rFonts w:ascii="Arial" w:cs="Arial" w:eastAsia="Arial" w:hAnsi="Arial"/>
                <w:sz w:val="16"/>
                <w:szCs w:val="16"/>
                <w:color w:val="auto"/>
              </w:rPr>
              <w:t>Kaplan Business School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1040"/>
              <w:spacing w:after="0"/>
              <w:rPr>
                <w:sz w:val="20"/>
                <w:szCs w:val="20"/>
                <w:color w:val="auto"/>
              </w:rPr>
            </w:pPr>
            <w:r>
              <w:rPr>
                <w:rFonts w:ascii="Arial" w:cs="Arial" w:eastAsia="Arial" w:hAnsi="Arial"/>
                <w:sz w:val="16"/>
                <w:szCs w:val="16"/>
                <w:color w:val="auto"/>
              </w:rPr>
              <w:t>Tribeca Learning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1240"/>
              <w:spacing w:after="0"/>
              <w:rPr>
                <w:sz w:val="20"/>
                <w:szCs w:val="20"/>
                <w:color w:val="auto"/>
              </w:rPr>
            </w:pPr>
            <w:r>
              <w:rPr>
                <w:rFonts w:ascii="Arial" w:cs="Arial" w:eastAsia="Arial" w:hAnsi="Arial"/>
                <w:sz w:val="16"/>
                <w:szCs w:val="16"/>
                <w:color w:val="auto"/>
              </w:rPr>
              <w:t>Kaplan Education Pty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Kaplan Holdings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Hong Kong</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Higher Education (HK)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Hong Kong</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Citic Education Co.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China (PR)</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Financial (HK)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Hong Kong</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1040"/>
              <w:spacing w:after="0"/>
              <w:rPr>
                <w:sz w:val="20"/>
                <w:szCs w:val="20"/>
                <w:color w:val="auto"/>
              </w:rPr>
            </w:pPr>
            <w:r>
              <w:rPr>
                <w:rFonts w:ascii="Arial" w:cs="Arial" w:eastAsia="Arial" w:hAnsi="Arial"/>
                <w:sz w:val="16"/>
                <w:szCs w:val="16"/>
                <w:color w:val="auto"/>
              </w:rPr>
              <w:t>Kaplan Language Training (HK)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Hong Kong</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Institute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Hong Kong</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Shanghai Kaplan Education Investment Consulting Co. Ltd.</w:t>
            </w:r>
          </w:p>
        </w:tc>
        <w:tc>
          <w:tcPr>
            <w:tcW w:w="1740" w:type="dxa"/>
            <w:vAlign w:val="bottom"/>
          </w:tcPr>
          <w:p>
            <w:pPr>
              <w:ind w:left="80"/>
              <w:spacing w:after="0"/>
              <w:rPr>
                <w:sz w:val="20"/>
                <w:szCs w:val="20"/>
                <w:color w:val="auto"/>
              </w:rPr>
            </w:pPr>
            <w:r>
              <w:rPr>
                <w:rFonts w:ascii="Arial" w:cs="Arial" w:eastAsia="Arial" w:hAnsi="Arial"/>
                <w:sz w:val="16"/>
                <w:szCs w:val="16"/>
                <w:color w:val="auto"/>
              </w:rPr>
              <w:t>China (PR)</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Shanghai Kaibo Management Consultation Co., Ltd</w:t>
            </w:r>
          </w:p>
        </w:tc>
        <w:tc>
          <w:tcPr>
            <w:tcW w:w="1740" w:type="dxa"/>
            <w:vAlign w:val="bottom"/>
          </w:tcPr>
          <w:p>
            <w:pPr>
              <w:ind w:left="80"/>
              <w:spacing w:after="0"/>
              <w:rPr>
                <w:sz w:val="20"/>
                <w:szCs w:val="20"/>
                <w:color w:val="auto"/>
              </w:rPr>
            </w:pPr>
            <w:r>
              <w:rPr>
                <w:rFonts w:ascii="Arial" w:cs="Arial" w:eastAsia="Arial" w:hAnsi="Arial"/>
                <w:sz w:val="16"/>
                <w:szCs w:val="16"/>
                <w:color w:val="auto"/>
              </w:rPr>
              <w:t>China (PR)</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The Financial Training (Shanghai) Co., Ltd</w:t>
            </w:r>
          </w:p>
        </w:tc>
        <w:tc>
          <w:tcPr>
            <w:tcW w:w="1740" w:type="dxa"/>
            <w:vAlign w:val="bottom"/>
          </w:tcPr>
          <w:p>
            <w:pPr>
              <w:ind w:left="80"/>
              <w:spacing w:after="0"/>
              <w:rPr>
                <w:sz w:val="20"/>
                <w:szCs w:val="20"/>
                <w:color w:val="auto"/>
              </w:rPr>
            </w:pPr>
            <w:r>
              <w:rPr>
                <w:rFonts w:ascii="Arial" w:cs="Arial" w:eastAsia="Arial" w:hAnsi="Arial"/>
                <w:sz w:val="16"/>
                <w:szCs w:val="16"/>
                <w:color w:val="auto"/>
              </w:rPr>
              <w:t>China (PR)</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1040"/>
              <w:spacing w:after="0"/>
              <w:rPr>
                <w:sz w:val="20"/>
                <w:szCs w:val="20"/>
                <w:color w:val="auto"/>
              </w:rPr>
            </w:pPr>
            <w:r>
              <w:rPr>
                <w:rFonts w:ascii="Arial" w:cs="Arial" w:eastAsia="Arial" w:hAnsi="Arial"/>
                <w:sz w:val="16"/>
                <w:szCs w:val="16"/>
                <w:color w:val="auto"/>
              </w:rPr>
              <w:t>Shanghai Kai Bo Education Investment Management Co.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China (PR)</w:t>
            </w:r>
          </w:p>
        </w:tc>
        <w:tc>
          <w:tcPr>
            <w:tcW w:w="1880" w:type="dxa"/>
            <w:vAlign w:val="bottom"/>
          </w:tcPr>
          <w:p>
            <w:pPr>
              <w:jc w:val="right"/>
              <w:spacing w:after="0"/>
              <w:rPr>
                <w:sz w:val="20"/>
                <w:szCs w:val="20"/>
                <w:color w:val="auto"/>
              </w:rPr>
            </w:pPr>
            <w:r>
              <w:rPr>
                <w:rFonts w:ascii="Arial" w:cs="Arial" w:eastAsia="Arial" w:hAnsi="Arial"/>
                <w:sz w:val="16"/>
                <w:szCs w:val="16"/>
                <w:color w:val="auto"/>
              </w:rPr>
              <w:t>100 % (j)</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Kaplan Singapore Pte. Ltd.</w:t>
            </w:r>
          </w:p>
        </w:tc>
        <w:tc>
          <w:tcPr>
            <w:tcW w:w="1740" w:type="dxa"/>
            <w:vAlign w:val="bottom"/>
          </w:tcPr>
          <w:p>
            <w:pPr>
              <w:ind w:left="80"/>
              <w:spacing w:after="0"/>
              <w:rPr>
                <w:sz w:val="20"/>
                <w:szCs w:val="20"/>
                <w:color w:val="auto"/>
              </w:rPr>
            </w:pPr>
            <w:r>
              <w:rPr>
                <w:rFonts w:ascii="Arial" w:cs="Arial" w:eastAsia="Arial" w:hAnsi="Arial"/>
                <w:sz w:val="16"/>
                <w:szCs w:val="16"/>
                <w:color w:val="auto"/>
              </w:rPr>
              <w:t>Singapore</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Learning Institute Pte. Ltd</w:t>
            </w:r>
          </w:p>
        </w:tc>
        <w:tc>
          <w:tcPr>
            <w:tcW w:w="1740" w:type="dxa"/>
            <w:vAlign w:val="bottom"/>
          </w:tcPr>
          <w:p>
            <w:pPr>
              <w:ind w:left="80"/>
              <w:spacing w:after="0"/>
              <w:rPr>
                <w:sz w:val="20"/>
                <w:szCs w:val="20"/>
                <w:color w:val="auto"/>
              </w:rPr>
            </w:pPr>
            <w:r>
              <w:rPr>
                <w:rFonts w:ascii="Arial" w:cs="Arial" w:eastAsia="Arial" w:hAnsi="Arial"/>
                <w:sz w:val="16"/>
                <w:szCs w:val="16"/>
                <w:color w:val="auto"/>
              </w:rPr>
              <w:t>Singapore</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Higher Education Institute Pte. Ltd</w:t>
            </w:r>
          </w:p>
        </w:tc>
        <w:tc>
          <w:tcPr>
            <w:tcW w:w="1740" w:type="dxa"/>
            <w:vAlign w:val="bottom"/>
          </w:tcPr>
          <w:p>
            <w:pPr>
              <w:ind w:left="80"/>
              <w:spacing w:after="0"/>
              <w:rPr>
                <w:sz w:val="20"/>
                <w:szCs w:val="20"/>
                <w:color w:val="auto"/>
              </w:rPr>
            </w:pPr>
            <w:r>
              <w:rPr>
                <w:rFonts w:ascii="Arial" w:cs="Arial" w:eastAsia="Arial" w:hAnsi="Arial"/>
                <w:sz w:val="16"/>
                <w:szCs w:val="16"/>
                <w:color w:val="auto"/>
              </w:rPr>
              <w:t>Singapore</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Higher Education Academy Pte. Ltd</w:t>
            </w:r>
          </w:p>
        </w:tc>
        <w:tc>
          <w:tcPr>
            <w:tcW w:w="1740" w:type="dxa"/>
            <w:vAlign w:val="bottom"/>
          </w:tcPr>
          <w:p>
            <w:pPr>
              <w:ind w:left="80"/>
              <w:spacing w:after="0"/>
              <w:rPr>
                <w:sz w:val="20"/>
                <w:szCs w:val="20"/>
                <w:color w:val="auto"/>
              </w:rPr>
            </w:pPr>
            <w:r>
              <w:rPr>
                <w:rFonts w:ascii="Arial" w:cs="Arial" w:eastAsia="Arial" w:hAnsi="Arial"/>
                <w:sz w:val="16"/>
                <w:szCs w:val="16"/>
                <w:color w:val="auto"/>
              </w:rPr>
              <w:t>Singapore</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Kaplan Myanmar Company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Myanmar</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Accountancy &amp; Business College (Ireland)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Ireland</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820"/>
              <w:spacing w:after="0"/>
              <w:rPr>
                <w:sz w:val="20"/>
                <w:szCs w:val="20"/>
                <w:color w:val="auto"/>
              </w:rPr>
            </w:pPr>
            <w:r>
              <w:rPr>
                <w:rFonts w:ascii="Arial" w:cs="Arial" w:eastAsia="Arial" w:hAnsi="Arial"/>
                <w:sz w:val="16"/>
                <w:szCs w:val="16"/>
                <w:color w:val="auto"/>
              </w:rPr>
              <w:t>DBS Services SDN.BHD</w:t>
            </w:r>
          </w:p>
        </w:tc>
        <w:tc>
          <w:tcPr>
            <w:tcW w:w="1740" w:type="dxa"/>
            <w:vAlign w:val="bottom"/>
          </w:tcPr>
          <w:p>
            <w:pPr>
              <w:ind w:left="80"/>
              <w:spacing w:after="0"/>
              <w:rPr>
                <w:sz w:val="20"/>
                <w:szCs w:val="20"/>
                <w:color w:val="auto"/>
              </w:rPr>
            </w:pPr>
            <w:r>
              <w:rPr>
                <w:rFonts w:ascii="Arial" w:cs="Arial" w:eastAsia="Arial" w:hAnsi="Arial"/>
                <w:sz w:val="16"/>
                <w:szCs w:val="16"/>
                <w:color w:val="auto"/>
              </w:rPr>
              <w:t>Malaysia</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Kaplan Ireland Education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Ireland</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420"/>
              <w:spacing w:after="0"/>
              <w:rPr>
                <w:sz w:val="20"/>
                <w:szCs w:val="20"/>
                <w:color w:val="auto"/>
              </w:rPr>
            </w:pPr>
            <w:r>
              <w:rPr>
                <w:rFonts w:ascii="Arial" w:cs="Arial" w:eastAsia="Arial" w:hAnsi="Arial"/>
                <w:sz w:val="16"/>
                <w:szCs w:val="16"/>
                <w:color w:val="auto"/>
              </w:rPr>
              <w:t>Kaplan International Holdings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England &amp; Wales</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Eagle Education and Training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England &amp; Wales</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Kaplan Dubai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England &amp; Wales</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Kaplan Professional ME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England &amp; Wales</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80" w:type="dxa"/>
            <w:vAlign w:val="bottom"/>
          </w:tcPr>
          <w:p>
            <w:pPr>
              <w:ind w:left="620"/>
              <w:spacing w:after="0"/>
              <w:rPr>
                <w:sz w:val="20"/>
                <w:szCs w:val="20"/>
                <w:color w:val="auto"/>
              </w:rPr>
            </w:pPr>
            <w:r>
              <w:rPr>
                <w:rFonts w:ascii="Arial" w:cs="Arial" w:eastAsia="Arial" w:hAnsi="Arial"/>
                <w:sz w:val="16"/>
                <w:szCs w:val="16"/>
                <w:color w:val="auto"/>
              </w:rPr>
              <w:t>Osborne Books Limited</w:t>
            </w:r>
          </w:p>
        </w:tc>
        <w:tc>
          <w:tcPr>
            <w:tcW w:w="1740" w:type="dxa"/>
            <w:vAlign w:val="bottom"/>
          </w:tcPr>
          <w:p>
            <w:pPr>
              <w:ind w:left="80"/>
              <w:spacing w:after="0"/>
              <w:rPr>
                <w:sz w:val="20"/>
                <w:szCs w:val="20"/>
                <w:color w:val="auto"/>
              </w:rPr>
            </w:pPr>
            <w:r>
              <w:rPr>
                <w:rFonts w:ascii="Arial" w:cs="Arial" w:eastAsia="Arial" w:hAnsi="Arial"/>
                <w:sz w:val="16"/>
                <w:szCs w:val="16"/>
                <w:color w:val="auto"/>
              </w:rPr>
              <w:t>England &amp; Wales</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119"/>
          </w:cols>
          <w:pgMar w:left="340" w:top="1090" w:right="1440" w:bottom="144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500" w:type="dxa"/>
            <w:vAlign w:val="bottom"/>
          </w:tcPr>
          <w:p>
            <w:pPr>
              <w:jc w:val="center"/>
              <w:ind w:left="740"/>
              <w:spacing w:after="0"/>
              <w:rPr>
                <w:sz w:val="20"/>
                <w:szCs w:val="20"/>
                <w:color w:val="auto"/>
              </w:rPr>
            </w:pPr>
            <w:r>
              <w:rPr>
                <w:rFonts w:ascii="Arial" w:cs="Arial" w:eastAsia="Arial" w:hAnsi="Arial"/>
                <w:sz w:val="14"/>
                <w:szCs w:val="14"/>
                <w:color w:val="auto"/>
              </w:rPr>
              <w:t>Jurisdiction of</w:t>
            </w:r>
          </w:p>
        </w:tc>
        <w:tc>
          <w:tcPr>
            <w:tcW w:w="1920" w:type="dxa"/>
            <w:vAlign w:val="bottom"/>
            <w:vMerge w:val="restart"/>
          </w:tcPr>
          <w:p>
            <w:pPr>
              <w:ind w:left="320"/>
              <w:spacing w:after="0"/>
              <w:rPr>
                <w:sz w:val="20"/>
                <w:szCs w:val="20"/>
                <w:color w:val="auto"/>
              </w:rPr>
            </w:pPr>
            <w:r>
              <w:rPr>
                <w:rFonts w:ascii="Arial" w:cs="Arial" w:eastAsia="Arial" w:hAnsi="Arial"/>
                <w:sz w:val="14"/>
                <w:szCs w:val="14"/>
                <w:color w:val="auto"/>
              </w:rPr>
              <w:t>% of Voting Equity</w:t>
            </w:r>
          </w:p>
        </w:tc>
        <w:tc>
          <w:tcPr>
            <w:tcW w:w="0" w:type="dxa"/>
            <w:vAlign w:val="bottom"/>
          </w:tcPr>
          <w:p>
            <w:pPr>
              <w:spacing w:after="0"/>
              <w:rPr>
                <w:sz w:val="1"/>
                <w:szCs w:val="1"/>
                <w:color w:val="auto"/>
              </w:rPr>
            </w:pPr>
          </w:p>
        </w:tc>
      </w:tr>
      <w:tr>
        <w:trPr>
          <w:trHeight w:val="68"/>
        </w:trPr>
        <w:tc>
          <w:tcPr>
            <w:tcW w:w="5020" w:type="dxa"/>
            <w:vAlign w:val="bottom"/>
            <w:vMerge w:val="restart"/>
          </w:tcPr>
          <w:p>
            <w:pPr>
              <w:spacing w:after="0" w:line="135" w:lineRule="exact"/>
              <w:rPr>
                <w:sz w:val="20"/>
                <w:szCs w:val="20"/>
                <w:color w:val="auto"/>
              </w:rPr>
            </w:pPr>
            <w:r>
              <w:rPr>
                <w:rFonts w:ascii="Arial" w:cs="Arial" w:eastAsia="Arial" w:hAnsi="Arial"/>
                <w:sz w:val="14"/>
                <w:szCs w:val="14"/>
                <w:color w:val="auto"/>
              </w:rPr>
              <w:t>Name of Subsidiary</w:t>
            </w:r>
          </w:p>
        </w:tc>
        <w:tc>
          <w:tcPr>
            <w:tcW w:w="2500" w:type="dxa"/>
            <w:vAlign w:val="bottom"/>
            <w:vMerge w:val="restart"/>
          </w:tcPr>
          <w:p>
            <w:pPr>
              <w:jc w:val="center"/>
              <w:ind w:left="740"/>
              <w:spacing w:after="0" w:line="135" w:lineRule="exact"/>
              <w:rPr>
                <w:sz w:val="20"/>
                <w:szCs w:val="20"/>
                <w:color w:val="auto"/>
              </w:rPr>
            </w:pPr>
            <w:r>
              <w:rPr>
                <w:rFonts w:ascii="Arial" w:cs="Arial" w:eastAsia="Arial" w:hAnsi="Arial"/>
                <w:sz w:val="14"/>
                <w:szCs w:val="14"/>
                <w:color w:val="auto"/>
              </w:rPr>
              <w:t>Incorporation or</w:t>
            </w: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02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color w:val="auto"/>
              </w:rPr>
              <w:t>Owned by Parent</w:t>
            </w: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2500" w:type="dxa"/>
            <w:vAlign w:val="bottom"/>
            <w:vMerge w:val="restart"/>
          </w:tcPr>
          <w:p>
            <w:pPr>
              <w:jc w:val="center"/>
              <w:ind w:left="720"/>
              <w:spacing w:after="0"/>
              <w:rPr>
                <w:sz w:val="20"/>
                <w:szCs w:val="20"/>
                <w:color w:val="auto"/>
              </w:rPr>
            </w:pPr>
            <w:r>
              <w:rPr>
                <w:rFonts w:ascii="Arial" w:cs="Arial" w:eastAsia="Arial" w:hAnsi="Arial"/>
                <w:sz w:val="14"/>
                <w:szCs w:val="14"/>
                <w:color w:val="auto"/>
              </w:rPr>
              <w:t>Organization</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620"/>
              <w:spacing w:after="0"/>
              <w:rPr>
                <w:sz w:val="20"/>
                <w:szCs w:val="20"/>
                <w:color w:val="auto"/>
              </w:rPr>
            </w:pPr>
            <w:r>
              <w:rPr>
                <w:rFonts w:ascii="Arial" w:cs="Arial" w:eastAsia="Arial" w:hAnsi="Arial"/>
                <w:sz w:val="16"/>
                <w:szCs w:val="16"/>
                <w:color w:val="auto"/>
              </w:rPr>
              <w:t>Kaplan Financial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SQE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Training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1040"/>
              <w:spacing w:after="0"/>
              <w:rPr>
                <w:sz w:val="20"/>
                <w:szCs w:val="20"/>
                <w:color w:val="auto"/>
              </w:rPr>
            </w:pPr>
            <w:r>
              <w:rPr>
                <w:rFonts w:ascii="Arial" w:cs="Arial" w:eastAsia="Arial" w:hAnsi="Arial"/>
                <w:sz w:val="16"/>
                <w:szCs w:val="16"/>
                <w:color w:val="auto"/>
              </w:rPr>
              <w:t>Kaplan Consulting &amp; Training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Hawksmere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6"/>
                <w:szCs w:val="16"/>
                <w:color w:val="auto"/>
              </w:rPr>
              <w:t>Holborn College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6"/>
                <w:szCs w:val="16"/>
                <w:color w:val="auto"/>
              </w:rPr>
              <w:t>Kaplan Saudi Arabia Holding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Saudi Arabia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Saudi Arabia</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6"/>
                <w:szCs w:val="16"/>
                <w:color w:val="auto"/>
              </w:rPr>
              <w:t>Kaplan International Colleges U.K.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Essex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Qatar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Colleges Private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India</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International Colleges (Private)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Pakistan</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Glasgow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International Colleges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Nigeria</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Liverpool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Nottingham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NT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US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International College London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Brighton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UWE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Bournemouth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Estates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York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Partner Services HK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Hong Kong</w:t>
            </w:r>
          </w:p>
        </w:tc>
        <w:tc>
          <w:tcPr>
            <w:tcW w:w="1920" w:type="dxa"/>
            <w:vAlign w:val="bottom"/>
          </w:tcPr>
          <w:p>
            <w:pPr>
              <w:ind w:left="1240"/>
              <w:spacing w:after="0"/>
              <w:rPr>
                <w:sz w:val="20"/>
                <w:szCs w:val="20"/>
                <w:color w:val="auto"/>
              </w:rPr>
            </w:pPr>
            <w:r>
              <w:rPr>
                <w:rFonts w:ascii="Arial" w:cs="Arial" w:eastAsia="Arial" w:hAnsi="Arial"/>
                <w:sz w:val="16"/>
                <w:szCs w:val="16"/>
                <w:color w:val="auto"/>
                <w:w w:val="96"/>
              </w:rPr>
              <w:t>100 % (k)</w:t>
            </w:r>
          </w:p>
        </w:tc>
        <w:tc>
          <w:tcPr>
            <w:tcW w:w="0" w:type="dxa"/>
            <w:vAlign w:val="bottom"/>
          </w:tcPr>
          <w:p>
            <w:pPr>
              <w:spacing w:after="0"/>
              <w:rPr>
                <w:sz w:val="1"/>
                <w:szCs w:val="1"/>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6"/>
                <w:szCs w:val="16"/>
                <w:color w:val="auto"/>
              </w:rPr>
              <w:t>Kaplan Law School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6"/>
                <w:szCs w:val="16"/>
                <w:color w:val="auto"/>
              </w:rPr>
              <w:t>Kaplan Open Learning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Open Learning (Essex)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Kaplan Open Learning (Liverpool)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6"/>
                <w:szCs w:val="16"/>
                <w:color w:val="auto"/>
              </w:rPr>
              <w:t>Kaplan Publishing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6"/>
                <w:szCs w:val="16"/>
                <w:color w:val="auto"/>
              </w:rPr>
              <w:t>Kaplan Professional Awards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620"/>
              <w:spacing w:after="0"/>
              <w:rPr>
                <w:sz w:val="20"/>
                <w:szCs w:val="20"/>
                <w:color w:val="auto"/>
              </w:rPr>
            </w:pPr>
            <w:r>
              <w:rPr>
                <w:rFonts w:ascii="Arial" w:cs="Arial" w:eastAsia="Arial" w:hAnsi="Arial"/>
                <w:sz w:val="16"/>
                <w:szCs w:val="16"/>
                <w:color w:val="auto"/>
              </w:rPr>
              <w:t>Mander Portman Woodward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Kensington Student Services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ind w:left="820"/>
              <w:spacing w:after="0"/>
              <w:rPr>
                <w:sz w:val="20"/>
                <w:szCs w:val="20"/>
                <w:color w:val="auto"/>
              </w:rPr>
            </w:pPr>
            <w:r>
              <w:rPr>
                <w:rFonts w:ascii="Arial" w:cs="Arial" w:eastAsia="Arial" w:hAnsi="Arial"/>
                <w:sz w:val="16"/>
                <w:szCs w:val="16"/>
                <w:color w:val="auto"/>
              </w:rPr>
              <w:t>Justin Craig Education Limited</w:t>
            </w:r>
          </w:p>
        </w:tc>
        <w:tc>
          <w:tcPr>
            <w:tcW w:w="2500" w:type="dxa"/>
            <w:vAlign w:val="bottom"/>
          </w:tcPr>
          <w:p>
            <w:pPr>
              <w:ind w:left="840"/>
              <w:spacing w:after="0"/>
              <w:rPr>
                <w:sz w:val="20"/>
                <w:szCs w:val="20"/>
                <w:color w:val="auto"/>
              </w:rPr>
            </w:pPr>
            <w:r>
              <w:rPr>
                <w:rFonts w:ascii="Arial" w:cs="Arial" w:eastAsia="Arial" w:hAnsi="Arial"/>
                <w:sz w:val="16"/>
                <w:szCs w:val="16"/>
                <w:color w:val="auto"/>
              </w:rPr>
              <w:t>England &amp; Wales</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6"/>
                <w:szCs w:val="16"/>
                <w:color w:val="auto"/>
              </w:rPr>
              <w:t>Pacifica Merger Sub, Inc.</w:t>
            </w:r>
          </w:p>
        </w:tc>
        <w:tc>
          <w:tcPr>
            <w:tcW w:w="2500" w:type="dxa"/>
            <w:vAlign w:val="bottom"/>
          </w:tcPr>
          <w:p>
            <w:pPr>
              <w:ind w:left="840"/>
              <w:spacing w:after="0"/>
              <w:rPr>
                <w:sz w:val="20"/>
                <w:szCs w:val="20"/>
                <w:color w:val="auto"/>
              </w:rPr>
            </w:pPr>
            <w:r>
              <w:rPr>
                <w:rFonts w:ascii="Arial" w:cs="Arial" w:eastAsia="Arial" w:hAnsi="Arial"/>
                <w:sz w:val="16"/>
                <w:szCs w:val="16"/>
                <w:color w:val="auto"/>
              </w:rPr>
              <w:t>Delaware</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6"/>
                <w:szCs w:val="16"/>
                <w:color w:val="auto"/>
              </w:rPr>
              <w:t>Post NW, LLC</w:t>
            </w:r>
          </w:p>
        </w:tc>
        <w:tc>
          <w:tcPr>
            <w:tcW w:w="2500" w:type="dxa"/>
            <w:vAlign w:val="bottom"/>
          </w:tcPr>
          <w:p>
            <w:pPr>
              <w:ind w:left="840"/>
              <w:spacing w:after="0"/>
              <w:rPr>
                <w:sz w:val="20"/>
                <w:szCs w:val="20"/>
                <w:color w:val="auto"/>
              </w:rPr>
            </w:pPr>
            <w:r>
              <w:rPr>
                <w:rFonts w:ascii="Arial" w:cs="Arial" w:eastAsia="Arial" w:hAnsi="Arial"/>
                <w:sz w:val="16"/>
                <w:szCs w:val="16"/>
                <w:color w:val="auto"/>
              </w:rPr>
              <w:t>New York</w:t>
            </w:r>
          </w:p>
        </w:tc>
        <w:tc>
          <w:tcPr>
            <w:tcW w:w="1920" w:type="dxa"/>
            <w:vAlign w:val="bottom"/>
          </w:tcPr>
          <w:p>
            <w:pPr>
              <w:ind w:left="124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________________________</w:t>
      </w:r>
    </w:p>
    <w:p>
      <w:pPr>
        <w:spacing w:after="0" w:line="367" w:lineRule="exact"/>
        <w:rPr>
          <w:sz w:val="20"/>
          <w:szCs w:val="20"/>
          <w:color w:val="auto"/>
        </w:rPr>
      </w:pPr>
    </w:p>
    <w:p>
      <w:pPr>
        <w:ind w:left="880" w:right="360" w:hanging="487"/>
        <w:spacing w:after="0" w:line="227" w:lineRule="auto"/>
        <w:tabs>
          <w:tab w:leader="none" w:pos="870" w:val="left"/>
        </w:tabs>
        <w:numPr>
          <w:ilvl w:val="0"/>
          <w:numId w:val="206"/>
        </w:numPr>
        <w:rPr>
          <w:rFonts w:ascii="Arial" w:cs="Arial" w:eastAsia="Arial" w:hAnsi="Arial"/>
          <w:sz w:val="18"/>
          <w:szCs w:val="18"/>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156" w:lineRule="exact"/>
        <w:rPr>
          <w:rFonts w:ascii="Arial" w:cs="Arial" w:eastAsia="Arial" w:hAnsi="Arial"/>
          <w:sz w:val="18"/>
          <w:szCs w:val="18"/>
          <w:color w:val="auto"/>
        </w:rPr>
      </w:pPr>
    </w:p>
    <w:p>
      <w:pPr>
        <w:ind w:left="880" w:right="180" w:hanging="487"/>
        <w:spacing w:after="0" w:line="242" w:lineRule="auto"/>
        <w:tabs>
          <w:tab w:leader="none" w:pos="79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155" w:lineRule="exact"/>
        <w:rPr>
          <w:rFonts w:ascii="Arial" w:cs="Arial" w:eastAsia="Arial" w:hAnsi="Arial"/>
          <w:sz w:val="16"/>
          <w:szCs w:val="16"/>
          <w:color w:val="auto"/>
        </w:rPr>
      </w:pPr>
    </w:p>
    <w:p>
      <w:pPr>
        <w:ind w:left="880" w:hanging="487"/>
        <w:spacing w:after="0" w:line="235" w:lineRule="auto"/>
        <w:tabs>
          <w:tab w:leader="none" w:pos="78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156" w:lineRule="exact"/>
        <w:rPr>
          <w:rFonts w:ascii="Arial" w:cs="Arial" w:eastAsia="Arial" w:hAnsi="Arial"/>
          <w:sz w:val="16"/>
          <w:szCs w:val="16"/>
          <w:color w:val="auto"/>
        </w:rPr>
      </w:pPr>
    </w:p>
    <w:p>
      <w:pPr>
        <w:ind w:left="880" w:right="100" w:hanging="487"/>
        <w:spacing w:after="0" w:line="242" w:lineRule="auto"/>
        <w:tabs>
          <w:tab w:leader="none" w:pos="79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Kaplan Mexico Holdings, LLC also owns 1% stock in Kaplan Educational Services de Mexico, S. de R.L. de C.V. and Education HR Services Mexico, S. de R.L. de C.V. The combined ownership of Kaplan, Inc. and Kaplan Mexico</w:t>
      </w:r>
    </w:p>
    <w:p>
      <w:pPr>
        <w:sectPr>
          <w:pgSz w:w="11900" w:h="16838" w:orient="portrait"/>
          <w:cols w:equalWidth="0" w:num="1">
            <w:col w:w="10960"/>
          </w:cols>
          <w:pgMar w:left="340" w:top="1090" w:right="599" w:bottom="1440" w:gutter="0" w:footer="0" w:header="0"/>
        </w:sectPr>
      </w:pPr>
    </w:p>
    <w:bookmarkStart w:id="240" w:name="page241"/>
    <w:bookmarkEnd w:id="240"/>
    <w:p>
      <w:pPr>
        <w:ind w:left="900"/>
        <w:spacing w:after="0"/>
        <w:rPr>
          <w:sz w:val="20"/>
          <w:szCs w:val="20"/>
          <w:color w:val="auto"/>
        </w:rPr>
      </w:pPr>
      <w:r>
        <w:rPr>
          <w:rFonts w:ascii="Arial" w:cs="Arial" w:eastAsia="Arial" w:hAnsi="Arial"/>
          <w:sz w:val="16"/>
          <w:szCs w:val="16"/>
          <w:color w:val="auto"/>
        </w:rPr>
        <w:t>Holdings, LLC in Kaplan Educational Services de Mexico, S. de R.L. de C.V. and Education HR Services Mexico, S.de R.L. de C.V. is 100%.</w:t>
      </w:r>
    </w:p>
    <w:p>
      <w:pPr>
        <w:spacing w:after="0" w:line="167" w:lineRule="exact"/>
        <w:rPr>
          <w:sz w:val="20"/>
          <w:szCs w:val="20"/>
          <w:color w:val="auto"/>
        </w:rPr>
      </w:pPr>
    </w:p>
    <w:p>
      <w:pPr>
        <w:ind w:left="860" w:right="100" w:hanging="407"/>
        <w:spacing w:after="0" w:line="242" w:lineRule="auto"/>
        <w:tabs>
          <w:tab w:leader="none" w:pos="85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155" w:lineRule="exact"/>
        <w:rPr>
          <w:rFonts w:ascii="Arial" w:cs="Arial" w:eastAsia="Arial" w:hAnsi="Arial"/>
          <w:sz w:val="16"/>
          <w:szCs w:val="16"/>
          <w:color w:val="auto"/>
        </w:rPr>
      </w:pPr>
    </w:p>
    <w:p>
      <w:pPr>
        <w:jc w:val="both"/>
        <w:ind w:left="860" w:right="80" w:hanging="407"/>
        <w:spacing w:after="0" w:line="237" w:lineRule="auto"/>
        <w:tabs>
          <w:tab w:leader="none" w:pos="80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Kaplan International North America, LLC and Kaplan Test Prep International, LLC each own 1 share or .00334% of Kaplan International English (Thailand), Co. Ltd. The combined ownership of Kaplan International North America, LLC, Kaplan Test Prep International, Inc. and Kaplan, LLC in Kaplan International English (Thailand), Co. Ltd. is 99.99%.</w:t>
      </w:r>
    </w:p>
    <w:p>
      <w:pPr>
        <w:spacing w:after="0" w:line="156" w:lineRule="exact"/>
        <w:rPr>
          <w:rFonts w:ascii="Arial" w:cs="Arial" w:eastAsia="Arial" w:hAnsi="Arial"/>
          <w:sz w:val="16"/>
          <w:szCs w:val="16"/>
          <w:color w:val="auto"/>
        </w:rPr>
      </w:pPr>
    </w:p>
    <w:p>
      <w:pPr>
        <w:ind w:left="860" w:right="40" w:hanging="407"/>
        <w:spacing w:after="0" w:line="237" w:lineRule="auto"/>
        <w:tabs>
          <w:tab w:leader="none" w:pos="85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LLC and Kaplan Test Prep International, LLC in Hands On Education Consultants Co., Ltd. is 100%.</w:t>
      </w:r>
    </w:p>
    <w:p>
      <w:pPr>
        <w:spacing w:after="0" w:line="156" w:lineRule="exact"/>
        <w:rPr>
          <w:rFonts w:ascii="Arial" w:cs="Arial" w:eastAsia="Arial" w:hAnsi="Arial"/>
          <w:sz w:val="16"/>
          <w:szCs w:val="16"/>
          <w:color w:val="auto"/>
        </w:rPr>
      </w:pPr>
    </w:p>
    <w:p>
      <w:pPr>
        <w:ind w:left="860" w:right="300" w:hanging="407"/>
        <w:spacing w:after="0" w:line="237" w:lineRule="auto"/>
        <w:tabs>
          <w:tab w:leader="none" w:pos="85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156" w:lineRule="exact"/>
        <w:rPr>
          <w:rFonts w:ascii="Arial" w:cs="Arial" w:eastAsia="Arial" w:hAnsi="Arial"/>
          <w:sz w:val="16"/>
          <w:szCs w:val="16"/>
          <w:color w:val="auto"/>
        </w:rPr>
      </w:pPr>
    </w:p>
    <w:p>
      <w:pPr>
        <w:ind w:left="860" w:right="480" w:hanging="407"/>
        <w:spacing w:after="0" w:line="242" w:lineRule="auto"/>
        <w:tabs>
          <w:tab w:leader="none" w:pos="79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155" w:lineRule="exact"/>
        <w:rPr>
          <w:rFonts w:ascii="Arial" w:cs="Arial" w:eastAsia="Arial" w:hAnsi="Arial"/>
          <w:sz w:val="16"/>
          <w:szCs w:val="16"/>
          <w:color w:val="auto"/>
        </w:rPr>
      </w:pPr>
    </w:p>
    <w:p>
      <w:pPr>
        <w:ind w:left="860" w:right="60" w:hanging="407"/>
        <w:spacing w:after="0" w:line="237" w:lineRule="auto"/>
        <w:tabs>
          <w:tab w:leader="none" w:pos="8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 Shanghai Kaplan Education Investment Consulting Co. Ltd in Shanghai Kai Bo Education Investment Management Co. Limited is 100%.</w:t>
      </w:r>
    </w:p>
    <w:p>
      <w:pPr>
        <w:spacing w:after="0" w:line="156" w:lineRule="exact"/>
        <w:rPr>
          <w:rFonts w:ascii="Arial" w:cs="Arial" w:eastAsia="Arial" w:hAnsi="Arial"/>
          <w:sz w:val="16"/>
          <w:szCs w:val="16"/>
          <w:color w:val="auto"/>
        </w:rPr>
      </w:pPr>
    </w:p>
    <w:p>
      <w:pPr>
        <w:ind w:left="860" w:hanging="407"/>
        <w:spacing w:after="0" w:line="233" w:lineRule="auto"/>
        <w:tabs>
          <w:tab w:leader="none" w:pos="8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Nottingham Limited, The University of York International Pathway College LLP (which is 45% owned by Kaplan York Limited), Kaplan International College London Limited, Kaplan UWE Limited, Kaplan Bournemouth Limited, Kaplan Brighton Limited and Kaplan Essex Limited each owns 10%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and Kaplan Essex Limited is 100%.</w:t>
      </w:r>
    </w:p>
    <w:p>
      <w:pPr>
        <w:spacing w:after="0" w:line="373"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180"/>
          </w:cols>
          <w:pgMar w:left="320" w:top="1060" w:right="39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333-189559 and 033-54295) and Form S-3 (No. 333-71350) of Graham Holdings Company of our report dated February 25, 2022 relating to the financial statements and the effectiveness of internal control over financial reporting, which appears in this Form 10-K.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908"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52"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February 15, 2022</w:t>
      </w:r>
    </w:p>
    <w:p>
      <w:pPr>
        <w:spacing w:after="0" w:line="22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2021,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3497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right="820"/>
        <w:spacing w:after="0" w:line="273" w:lineRule="auto"/>
        <w:rPr>
          <w:sz w:val="20"/>
          <w:szCs w:val="20"/>
          <w:color w:val="auto"/>
        </w:rPr>
      </w:pPr>
      <w:r>
        <w:rPr>
          <w:rFonts w:ascii="Arial" w:cs="Arial" w:eastAsia="Arial" w:hAnsi="Arial"/>
          <w:sz w:val="18"/>
          <w:szCs w:val="18"/>
          <w:color w:val="auto"/>
        </w:rPr>
        <w:t>Donald E. Graham, Chairman of the Board and Director /s/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-15240</wp:posOffset>
            </wp:positionV>
            <wp:extent cx="3497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 w:right="40"/>
        <w:spacing w:after="0" w:line="227" w:lineRule="auto"/>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3497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right="300"/>
        <w:spacing w:after="0" w:line="227" w:lineRule="auto"/>
        <w:rPr>
          <w:sz w:val="20"/>
          <w:szCs w:val="20"/>
          <w:color w:val="auto"/>
        </w:rPr>
      </w:pPr>
      <w:r>
        <w:rPr>
          <w:rFonts w:ascii="Arial" w:cs="Arial" w:eastAsia="Arial" w:hAnsi="Arial"/>
          <w:sz w:val="18"/>
          <w:szCs w:val="18"/>
          <w:color w:val="auto"/>
        </w:rPr>
        <w:t>Wallace R. Cooney, Chief Financial Officer (Principal Financial Officer)</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3497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Marcel A. Snyman, Chief Accounting Officer (Principal Accounting Officer)</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Tony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3497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Tony Allen,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497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C. Davis,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497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497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497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497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00" w:space="420"/>
            <w:col w:w="5520"/>
          </w:cols>
          <w:pgMar w:left="320" w:top="908" w:right="339" w:bottom="1440" w:gutter="0" w:footer="0" w:header="0"/>
          <w:type w:val="continuous"/>
        </w:sectPr>
      </w:pPr>
    </w:p>
    <w:bookmarkStart w:id="243" w:name="page244"/>
    <w:bookmarkEnd w:id="243"/>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5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20" w:firstLine="8"/>
        <w:spacing w:after="0" w:line="291" w:lineRule="auto"/>
        <w:tabs>
          <w:tab w:leader="none" w:pos="2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right="40" w:firstLine="8"/>
        <w:spacing w:after="0" w:line="256" w:lineRule="auto"/>
        <w:tabs>
          <w:tab w:leader="none" w:pos="2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820" w:right="80" w:hanging="407"/>
        <w:spacing w:after="0" w:line="256" w:lineRule="auto"/>
        <w:tabs>
          <w:tab w:leader="none" w:pos="83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820" w:right="460" w:hanging="407"/>
        <w:spacing w:after="0" w:line="256" w:lineRule="auto"/>
        <w:tabs>
          <w:tab w:leader="none" w:pos="83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820" w:right="40" w:hanging="407"/>
        <w:spacing w:after="0" w:line="256" w:lineRule="auto"/>
        <w:tabs>
          <w:tab w:leader="none" w:pos="82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820" w:right="80" w:hanging="407"/>
        <w:spacing w:after="0" w:line="256" w:lineRule="auto"/>
        <w:tabs>
          <w:tab w:leader="none" w:pos="83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right="620" w:firstLine="8"/>
        <w:spacing w:after="0" w:line="256" w:lineRule="auto"/>
        <w:tabs>
          <w:tab w:leader="none" w:pos="2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8" w:lineRule="exact"/>
        <w:rPr>
          <w:rFonts w:ascii="Arial" w:cs="Arial" w:eastAsia="Arial" w:hAnsi="Arial"/>
          <w:sz w:val="18"/>
          <w:szCs w:val="18"/>
          <w:color w:val="auto"/>
        </w:rPr>
      </w:pPr>
    </w:p>
    <w:p>
      <w:pPr>
        <w:ind w:left="820" w:right="80" w:hanging="407"/>
        <w:spacing w:after="0" w:line="261" w:lineRule="auto"/>
        <w:tabs>
          <w:tab w:leader="none" w:pos="83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820" w:right="240" w:hanging="407"/>
        <w:spacing w:after="0" w:line="261" w:lineRule="auto"/>
        <w:tabs>
          <w:tab w:leader="none" w:pos="83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908"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252" w:lineRule="exact"/>
        <w:rPr>
          <w:sz w:val="20"/>
          <w:szCs w:val="20"/>
          <w:color w:val="auto"/>
        </w:rPr>
      </w:pPr>
    </w:p>
    <w:p>
      <w:pPr>
        <w:ind w:left="200" w:hanging="192"/>
        <w:spacing w:after="0"/>
        <w:tabs>
          <w:tab w:leader="none" w:pos="2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20" w:firstLine="8"/>
        <w:spacing w:after="0" w:line="291" w:lineRule="auto"/>
        <w:tabs>
          <w:tab w:leader="none" w:pos="2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right="40" w:firstLine="8"/>
        <w:spacing w:after="0" w:line="256" w:lineRule="auto"/>
        <w:tabs>
          <w:tab w:leader="none" w:pos="2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820" w:right="80" w:hanging="407"/>
        <w:spacing w:after="0" w:line="256" w:lineRule="auto"/>
        <w:tabs>
          <w:tab w:leader="none" w:pos="83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820" w:right="460" w:hanging="407"/>
        <w:spacing w:after="0" w:line="256" w:lineRule="auto"/>
        <w:tabs>
          <w:tab w:leader="none" w:pos="83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820" w:right="40" w:hanging="407"/>
        <w:spacing w:after="0" w:line="256" w:lineRule="auto"/>
        <w:tabs>
          <w:tab w:leader="none" w:pos="82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820" w:right="80" w:hanging="407"/>
        <w:spacing w:after="0" w:line="256" w:lineRule="auto"/>
        <w:tabs>
          <w:tab w:leader="none" w:pos="83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right="620" w:firstLine="8"/>
        <w:spacing w:after="0" w:line="256" w:lineRule="auto"/>
        <w:tabs>
          <w:tab w:leader="none" w:pos="2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8" w:lineRule="exact"/>
        <w:rPr>
          <w:rFonts w:ascii="Arial" w:cs="Arial" w:eastAsia="Arial" w:hAnsi="Arial"/>
          <w:sz w:val="18"/>
          <w:szCs w:val="18"/>
          <w:color w:val="auto"/>
        </w:rPr>
      </w:pPr>
    </w:p>
    <w:p>
      <w:pPr>
        <w:ind w:left="820" w:right="80" w:hanging="407"/>
        <w:spacing w:after="0" w:line="261" w:lineRule="auto"/>
        <w:tabs>
          <w:tab w:leader="none" w:pos="83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820" w:right="240" w:hanging="407"/>
        <w:spacing w:after="0" w:line="261" w:lineRule="auto"/>
        <w:tabs>
          <w:tab w:leader="none" w:pos="83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908"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2021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231" w:lineRule="exact"/>
        <w:rPr>
          <w:sz w:val="20"/>
          <w:szCs w:val="20"/>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0" w:firstLine="8"/>
        <w:spacing w:after="0" w:line="261" w:lineRule="auto"/>
        <w:tabs>
          <w:tab w:leader="none" w:pos="27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1)"/>
      <w:numFmt w:val="lowerLetter"/>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
      <w:numFmt w:val="bullet"/>
      <w:start w:val="1"/>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
      <w:numFmt w:val="bullet"/>
      <w:start w:val="1"/>
    </w:lvl>
    <w:lvl w:ilvl="1">
      <w:lvlJc w:val="left"/>
      <w:lvlText w:val="•"/>
      <w:numFmt w:val="bullet"/>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
      <w:numFmt w:val="bullet"/>
      <w:start w:val="1"/>
    </w:lvl>
  </w:abstractNum>
  <w:abstractNum w:abstractNumId="33">
    <w:nsid w:val="2708C9AF"/>
    <w:multiLevelType w:val="hybridMultilevel"/>
    <w:lvl w:ilvl="0">
      <w:lvlJc w:val="left"/>
      <w:lvlText w:val="•"/>
      <w:numFmt w:val="bullet"/>
      <w:start w:val="1"/>
    </w:lvl>
  </w:abstractNum>
  <w:abstractNum w:abstractNumId="34">
    <w:nsid w:val="5B25ACE2"/>
    <w:multiLevelType w:val="hybridMultilevel"/>
    <w:lvl w:ilvl="0">
      <w:lvlJc w:val="left"/>
      <w:lvlText w:val="•"/>
      <w:numFmt w:val="bullet"/>
      <w:start w:val="1"/>
    </w:lvl>
  </w:abstractNum>
  <w:abstractNum w:abstractNumId="35">
    <w:nsid w:val="175DFCF0"/>
    <w:multiLevelType w:val="hybridMultilevel"/>
    <w:lvl w:ilvl="0">
      <w:lvlJc w:val="left"/>
      <w:lvlText w:val="•"/>
      <w:numFmt w:val="bullet"/>
      <w:start w:val="1"/>
    </w:lvl>
  </w:abstractNum>
  <w:abstractNum w:abstractNumId="36">
    <w:nsid w:val="4F97E3E4"/>
    <w:multiLevelType w:val="hybridMultilevel"/>
    <w:lvl w:ilvl="0">
      <w:lvlJc w:val="left"/>
      <w:lvlText w:val="•"/>
      <w:numFmt w:val="bullet"/>
      <w:start w:val="1"/>
    </w:lvl>
  </w:abstractNum>
  <w:abstractNum w:abstractNumId="37">
    <w:nsid w:val="53B0A9E"/>
    <w:multiLevelType w:val="hybridMultilevel"/>
    <w:lvl w:ilvl="0">
      <w:lvlJc w:val="left"/>
      <w:lvlText w:val="•"/>
      <w:numFmt w:val="bullet"/>
      <w:start w:val="1"/>
    </w:lvl>
  </w:abstractNum>
  <w:abstractNum w:abstractNumId="38">
    <w:nsid w:val="34FD6B4F"/>
    <w:multiLevelType w:val="hybridMultilevel"/>
    <w:lvl w:ilvl="0">
      <w:lvlJc w:val="left"/>
      <w:lvlText w:val="•"/>
      <w:numFmt w:val="bullet"/>
      <w:start w:val="1"/>
    </w:lvl>
  </w:abstractNum>
  <w:abstractNum w:abstractNumId="39">
    <w:nsid w:val="5915FF32"/>
    <w:multiLevelType w:val="hybridMultilevel"/>
    <w:lvl w:ilvl="0">
      <w:lvlJc w:val="left"/>
      <w:lvlText w:val="•"/>
      <w:numFmt w:val="bullet"/>
      <w:start w:val="1"/>
    </w:lvl>
  </w:abstractNum>
  <w:abstractNum w:abstractNumId="40">
    <w:nsid w:val="56438D15"/>
    <w:multiLevelType w:val="hybridMultilevel"/>
    <w:lvl w:ilvl="0">
      <w:lvlJc w:val="left"/>
      <w:lvlText w:val="•"/>
      <w:numFmt w:val="bullet"/>
      <w:start w:val="1"/>
    </w:lvl>
  </w:abstractNum>
  <w:abstractNum w:abstractNumId="41">
    <w:nsid w:val="519E3149"/>
    <w:multiLevelType w:val="hybridMultilevel"/>
    <w:lvl w:ilvl="0">
      <w:lvlJc w:val="left"/>
      <w:lvlText w:val="•"/>
      <w:numFmt w:val="bullet"/>
      <w:start w:val="1"/>
    </w:lvl>
  </w:abstractNum>
  <w:abstractNum w:abstractNumId="42">
    <w:nsid w:val="2C6E4AFD"/>
    <w:multiLevelType w:val="hybridMultilevel"/>
    <w:lvl w:ilvl="0">
      <w:lvlJc w:val="left"/>
      <w:lvlText w:val="•"/>
      <w:numFmt w:val="bullet"/>
      <w:start w:val="1"/>
    </w:lvl>
  </w:abstractNum>
  <w:abstractNum w:abstractNumId="43">
    <w:nsid w:val="17A1B582"/>
    <w:multiLevelType w:val="hybridMultilevel"/>
    <w:lvl w:ilvl="0">
      <w:lvlJc w:val="left"/>
      <w:lvlText w:val="•"/>
      <w:numFmt w:val="bullet"/>
      <w:start w:val="1"/>
    </w:lvl>
  </w:abstractNum>
  <w:abstractNum w:abstractNumId="44">
    <w:nsid w:val="4DF72E4E"/>
    <w:multiLevelType w:val="hybridMultilevel"/>
    <w:lvl w:ilvl="0">
      <w:lvlJc w:val="left"/>
      <w:lvlText w:val="•"/>
      <w:numFmt w:val="bullet"/>
      <w:start w:val="1"/>
    </w:lvl>
  </w:abstractNum>
  <w:abstractNum w:abstractNumId="45">
    <w:nsid w:val="5046B5A9"/>
    <w:multiLevelType w:val="hybridMultilevel"/>
    <w:lvl w:ilvl="0">
      <w:lvlJc w:val="left"/>
      <w:lvlText w:val="•"/>
      <w:numFmt w:val="bullet"/>
      <w:start w:val="1"/>
    </w:lvl>
  </w:abstractNum>
  <w:abstractNum w:abstractNumId="46">
    <w:nsid w:val="5D888A08"/>
    <w:multiLevelType w:val="hybridMultilevel"/>
    <w:lvl w:ilvl="0">
      <w:lvlJc w:val="left"/>
      <w:lvlText w:val="•"/>
      <w:numFmt w:val="bullet"/>
      <w:start w:val="1"/>
    </w:lvl>
  </w:abstractNum>
  <w:abstractNum w:abstractNumId="47">
    <w:nsid w:val="2A082C70"/>
    <w:multiLevelType w:val="hybridMultilevel"/>
    <w:lvl w:ilvl="0">
      <w:lvlJc w:val="left"/>
      <w:lvlText w:val="•"/>
      <w:numFmt w:val="bullet"/>
      <w:start w:val="1"/>
    </w:lvl>
  </w:abstractNum>
  <w:abstractNum w:abstractNumId="48">
    <w:nsid w:val="5EC6AFD4"/>
    <w:multiLevelType w:val="hybridMultilevel"/>
    <w:lvl w:ilvl="0">
      <w:lvlJc w:val="left"/>
      <w:lvlText w:val="•"/>
      <w:numFmt w:val="bullet"/>
      <w:start w:val="1"/>
    </w:lvl>
  </w:abstractNum>
  <w:abstractNum w:abstractNumId="49">
    <w:nsid w:val="19E21BB2"/>
    <w:multiLevelType w:val="hybridMultilevel"/>
    <w:lvl w:ilvl="0">
      <w:lvlJc w:val="left"/>
      <w:lvlText w:val="•"/>
      <w:numFmt w:val="bullet"/>
      <w:start w:val="1"/>
    </w:lvl>
  </w:abstractNum>
  <w:abstractNum w:abstractNumId="50">
    <w:nsid w:val="75E0858A"/>
    <w:multiLevelType w:val="hybridMultilevel"/>
    <w:lvl w:ilvl="0">
      <w:lvlJc w:val="left"/>
      <w:lvlText w:val="•"/>
      <w:numFmt w:val="bullet"/>
      <w:start w:val="1"/>
    </w:lvl>
  </w:abstractNum>
  <w:abstractNum w:abstractNumId="51">
    <w:nsid w:val="57A61A29"/>
    <w:multiLevelType w:val="hybridMultilevel"/>
    <w:lvl w:ilvl="0">
      <w:lvlJc w:val="left"/>
      <w:lvlText w:val="%1."/>
      <w:numFmt w:val="decimal"/>
      <w:start w:val="1"/>
    </w:lvl>
  </w:abstractNum>
  <w:abstractNum w:abstractNumId="52">
    <w:nsid w:val="5399C654"/>
    <w:multiLevelType w:val="hybridMultilevel"/>
    <w:lvl w:ilvl="0">
      <w:lvlJc w:val="left"/>
      <w:lvlText w:val="%1"/>
      <w:numFmt w:val="decimal"/>
      <w:start w:val="21"/>
    </w:lvl>
  </w:abstractNum>
  <w:abstractNum w:abstractNumId="53">
    <w:nsid w:val="20EE1348"/>
    <w:multiLevelType w:val="hybridMultilevel"/>
    <w:lvl w:ilvl="0">
      <w:lvlJc w:val="left"/>
      <w:lvlText w:val="%1"/>
      <w:numFmt w:val="decimal"/>
      <w:start w:val="23"/>
    </w:lvl>
  </w:abstractNum>
  <w:abstractNum w:abstractNumId="54">
    <w:nsid w:val="4427069A"/>
    <w:multiLevelType w:val="hybridMultilevel"/>
    <w:lvl w:ilvl="0">
      <w:lvlJc w:val="left"/>
      <w:lvlText w:val="%1"/>
      <w:numFmt w:val="decimal"/>
      <w:start w:val="32"/>
    </w:lvl>
  </w:abstractNum>
  <w:abstractNum w:abstractNumId="55">
    <w:nsid w:val="B37E80A"/>
    <w:multiLevelType w:val="hybridMultilevel"/>
    <w:lvl w:ilvl="0">
      <w:lvlJc w:val="left"/>
      <w:lvlText w:val="•"/>
      <w:numFmt w:val="bullet"/>
      <w:start w:val="1"/>
    </w:lvl>
  </w:abstractNum>
  <w:abstractNum w:abstractNumId="56">
    <w:nsid w:val="2157F6BC"/>
    <w:multiLevelType w:val="hybridMultilevel"/>
    <w:lvl w:ilvl="0">
      <w:lvlJc w:val="left"/>
      <w:lvlText w:val="•"/>
      <w:numFmt w:val="bullet"/>
      <w:start w:val="1"/>
    </w:lvl>
  </w:abstractNum>
  <w:abstractNum w:abstractNumId="57">
    <w:nsid w:val="704E1DD5"/>
    <w:multiLevelType w:val="hybridMultilevel"/>
    <w:lvl w:ilvl="0">
      <w:lvlJc w:val="left"/>
      <w:lvlText w:val="&amp;"/>
      <w:numFmt w:val="bullet"/>
      <w:start w:val="1"/>
    </w:lvl>
  </w:abstractNum>
  <w:abstractNum w:abstractNumId="58">
    <w:nsid w:val="57D2F10E"/>
    <w:multiLevelType w:val="hybridMultilevel"/>
    <w:lvl w:ilvl="0">
      <w:lvlJc w:val="left"/>
      <w:lvlText w:val="(%1)"/>
      <w:numFmt w:val="decimal"/>
      <w:start w:val="1"/>
    </w:lvl>
  </w:abstractNum>
  <w:abstractNum w:abstractNumId="59">
    <w:nsid w:val="BFFAE18"/>
    <w:multiLevelType w:val="hybridMultilevel"/>
    <w:lvl w:ilvl="0">
      <w:lvlJc w:val="left"/>
      <w:lvlText w:val="•"/>
      <w:numFmt w:val="bullet"/>
      <w:start w:val="1"/>
    </w:lvl>
  </w:abstractNum>
  <w:abstractNum w:abstractNumId="60">
    <w:nsid w:val="E3E47A8"/>
    <w:multiLevelType w:val="hybridMultilevel"/>
    <w:lvl w:ilvl="0">
      <w:lvlJc w:val="left"/>
      <w:lvlText w:val="•"/>
      <w:numFmt w:val="bullet"/>
      <w:start w:val="1"/>
    </w:lvl>
  </w:abstractNum>
  <w:abstractNum w:abstractNumId="61">
    <w:nsid w:val="2E48F044"/>
    <w:multiLevelType w:val="hybridMultilevel"/>
    <w:lvl w:ilvl="0">
      <w:lvlJc w:val="left"/>
      <w:lvlText w:val="•"/>
      <w:numFmt w:val="bullet"/>
      <w:start w:val="1"/>
    </w:lvl>
  </w:abstractNum>
  <w:abstractNum w:abstractNumId="62">
    <w:nsid w:val="49D0FEAC"/>
    <w:multiLevelType w:val="hybridMultilevel"/>
    <w:lvl w:ilvl="0">
      <w:lvlJc w:val="left"/>
      <w:lvlText w:val="%1."/>
      <w:numFmt w:val="decimal"/>
      <w:start w:val="1"/>
    </w:lvl>
  </w:abstractNum>
  <w:abstractNum w:abstractNumId="63">
    <w:nsid w:val="4BEE5A5B"/>
    <w:multiLevelType w:val="hybridMultilevel"/>
    <w:lvl w:ilvl="0">
      <w:lvlJc w:val="left"/>
      <w:lvlText w:val="%1."/>
      <w:numFmt w:val="decimal"/>
      <w:start w:val="2"/>
    </w:lvl>
  </w:abstractNum>
  <w:abstractNum w:abstractNumId="64">
    <w:nsid w:val="5551B9F3"/>
    <w:multiLevelType w:val="hybridMultilevel"/>
    <w:lvl w:ilvl="0">
      <w:lvlJc w:val="left"/>
      <w:lvlText w:val="%1."/>
      <w:numFmt w:val="decimal"/>
      <w:start w:val="3"/>
    </w:lvl>
  </w:abstractNum>
  <w:abstractNum w:abstractNumId="65">
    <w:nsid w:val="24F6AB8E"/>
    <w:multiLevelType w:val="hybridMultilevel"/>
    <w:lvl w:ilvl="0">
      <w:lvlJc w:val="left"/>
      <w:lvlText w:val="%1."/>
      <w:numFmt w:val="decimal"/>
      <w:start w:val="4"/>
    </w:lvl>
  </w:abstractNum>
  <w:abstractNum w:abstractNumId="66">
    <w:nsid w:val="634C574C"/>
    <w:multiLevelType w:val="hybridMultilevel"/>
    <w:lvl w:ilvl="0">
      <w:lvlJc w:val="left"/>
      <w:lvlText w:val="%1."/>
      <w:numFmt w:val="decimal"/>
      <w:start w:val="5"/>
    </w:lvl>
  </w:abstractNum>
  <w:abstractNum w:abstractNumId="67">
    <w:nsid w:val="24E99DD7"/>
    <w:multiLevelType w:val="hybridMultilevel"/>
    <w:lvl w:ilvl="0">
      <w:lvlJc w:val="left"/>
      <w:lvlText w:val="%1."/>
      <w:numFmt w:val="decimal"/>
      <w:start w:val="6"/>
    </w:lvl>
  </w:abstractNum>
  <w:abstractNum w:abstractNumId="68">
    <w:nsid w:val="2A31B62D"/>
    <w:multiLevelType w:val="hybridMultilevel"/>
    <w:lvl w:ilvl="0">
      <w:lvlJc w:val="left"/>
      <w:lvlText w:val="%1."/>
      <w:numFmt w:val="decimal"/>
      <w:start w:val="9"/>
    </w:lvl>
  </w:abstractNum>
  <w:abstractNum w:abstractNumId="69">
    <w:nsid w:val="1849C29B"/>
    <w:multiLevelType w:val="hybridMultilevel"/>
    <w:lvl w:ilvl="0">
      <w:lvlJc w:val="left"/>
      <w:lvlText w:val="%1."/>
      <w:numFmt w:val="decimal"/>
      <w:start w:val="11"/>
    </w:lvl>
  </w:abstractNum>
  <w:abstractNum w:abstractNumId="70">
    <w:nsid w:val="7DFF9D09"/>
    <w:multiLevelType w:val="hybridMultilevel"/>
    <w:lvl w:ilvl="0">
      <w:lvlJc w:val="left"/>
      <w:lvlText w:val="%1)"/>
      <w:numFmt w:val="decimal"/>
      <w:start w:val="1"/>
    </w:lvl>
  </w:abstractNum>
  <w:abstractNum w:abstractNumId="71">
    <w:nsid w:val="754342"/>
    <w:multiLevelType w:val="hybridMultilevel"/>
    <w:lvl w:ilvl="0">
      <w:lvlJc w:val="left"/>
      <w:lvlText w:val="%1."/>
      <w:numFmt w:val="decimal"/>
      <w:start w:val="12"/>
    </w:lvl>
  </w:abstractNum>
  <w:abstractNum w:abstractNumId="72">
    <w:nsid w:val="69E7F3E5"/>
    <w:multiLevelType w:val="hybridMultilevel"/>
    <w:lvl w:ilvl="0">
      <w:lvlJc w:val="left"/>
      <w:lvlText w:val="(%1)"/>
      <w:numFmt w:val="decimal"/>
      <w:start w:val="1"/>
    </w:lvl>
  </w:abstractNum>
  <w:abstractNum w:abstractNumId="73">
    <w:nsid w:val="2A6DE806"/>
    <w:multiLevelType w:val="hybridMultilevel"/>
    <w:lvl w:ilvl="0">
      <w:lvlJc w:val="left"/>
      <w:lvlText w:val="(%1)"/>
      <w:numFmt w:val="decimal"/>
      <w:start w:val="1"/>
    </w:lvl>
  </w:abstractNum>
  <w:abstractNum w:abstractNumId="74">
    <w:nsid w:val="1816F8C4"/>
    <w:multiLevelType w:val="hybridMultilevel"/>
    <w:lvl w:ilvl="0">
      <w:lvlJc w:val="left"/>
      <w:lvlText w:val="%1."/>
      <w:numFmt w:val="decimal"/>
      <w:start w:val="13"/>
    </w:lvl>
  </w:abstractNum>
  <w:abstractNum w:abstractNumId="75">
    <w:nsid w:val="37DF2233"/>
    <w:multiLevelType w:val="hybridMultilevel"/>
    <w:lvl w:ilvl="0">
      <w:lvlJc w:val="left"/>
      <w:lvlText w:val="%1."/>
      <w:numFmt w:val="decimal"/>
      <w:start w:val="14"/>
    </w:lvl>
  </w:abstractNum>
  <w:abstractNum w:abstractNumId="76">
    <w:nsid w:val="7AB49DAF"/>
    <w:multiLevelType w:val="hybridMultilevel"/>
    <w:lvl w:ilvl="0">
      <w:lvlJc w:val="left"/>
      <w:lvlText w:val="%1."/>
      <w:numFmt w:val="decimal"/>
      <w:start w:val="15"/>
    </w:lvl>
  </w:abstractNum>
  <w:abstractNum w:abstractNumId="77">
    <w:nsid w:val="759F82CD"/>
    <w:multiLevelType w:val="hybridMultilevel"/>
    <w:lvl w:ilvl="0">
      <w:lvlJc w:val="left"/>
      <w:lvlText w:val="(%1)"/>
      <w:numFmt w:val="decimal"/>
      <w:start w:val="1"/>
    </w:lvl>
  </w:abstractNum>
  <w:abstractNum w:abstractNumId="78">
    <w:nsid w:val="61E74EA3"/>
    <w:multiLevelType w:val="hybridMultilevel"/>
    <w:lvl w:ilvl="0">
      <w:lvlJc w:val="left"/>
      <w:lvlText w:val="%1."/>
      <w:numFmt w:val="decimal"/>
      <w:start w:val="18"/>
    </w:lvl>
  </w:abstractNum>
  <w:abstractNum w:abstractNumId="79">
    <w:nsid w:val="597B4D84"/>
    <w:multiLevelType w:val="hybridMultilevel"/>
    <w:lvl w:ilvl="0">
      <w:lvlJc w:val="left"/>
      <w:lvlText w:val="%1."/>
      <w:numFmt w:val="decimal"/>
      <w:start w:val="19"/>
    </w:lvl>
  </w:abstractNum>
  <w:abstractNum w:abstractNumId="80">
    <w:nsid w:val="F819E7F"/>
    <w:multiLevelType w:val="hybridMultilevel"/>
    <w:lvl w:ilvl="0">
      <w:lvlJc w:val="left"/>
      <w:lvlText w:val="•"/>
      <w:numFmt w:val="bullet"/>
      <w:start w:val="1"/>
    </w:lvl>
  </w:abstractNum>
  <w:abstractNum w:abstractNumId="81">
    <w:nsid w:val="57C7D42D"/>
    <w:multiLevelType w:val="hybridMultilevel"/>
    <w:lvl w:ilvl="0">
      <w:lvlJc w:val="left"/>
      <w:lvlText w:val="(%1)"/>
      <w:numFmt w:val="decimal"/>
      <w:start w:val="1"/>
    </w:lvl>
  </w:abstractNum>
  <w:abstractNum w:abstractNumId="82">
    <w:nsid w:val="312167AD"/>
    <w:multiLevelType w:val="hybridMultilevel"/>
    <w:lvl w:ilvl="0">
      <w:lvlJc w:val="left"/>
      <w:lvlText w:val="%1."/>
      <w:numFmt w:val="decimal"/>
      <w:start w:val="1"/>
    </w:lvl>
  </w:abstractNum>
  <w:abstractNum w:abstractNumId="83">
    <w:nsid w:val="631B64D4"/>
    <w:multiLevelType w:val="hybridMultilevel"/>
    <w:lvl w:ilvl="0">
      <w:lvlJc w:val="left"/>
      <w:lvlText w:val="%1."/>
      <w:numFmt w:val="decimal"/>
      <w:start w:val="2"/>
    </w:lvl>
  </w:abstractNum>
  <w:abstractNum w:abstractNumId="84">
    <w:nsid w:val="78B5E776"/>
    <w:multiLevelType w:val="hybridMultilevel"/>
    <w:lvl w:ilvl="0">
      <w:lvlJc w:val="left"/>
      <w:lvlText w:val="(%1)"/>
      <w:numFmt w:val="lowerLetter"/>
      <w:start w:val="1"/>
    </w:lvl>
  </w:abstractNum>
  <w:abstractNum w:abstractNumId="85">
    <w:nsid w:val="75486E47"/>
    <w:multiLevelType w:val="hybridMultilevel"/>
    <w:lvl w:ilvl="0">
      <w:lvlJc w:val="left"/>
      <w:lvlText w:val="(%1)"/>
      <w:numFmt w:val="lowerLetter"/>
      <w:start w:val="4"/>
    </w:lvl>
  </w:abstractNum>
  <w:abstractNum w:abstractNumId="86">
    <w:nsid w:val="6E534CDE"/>
    <w:multiLevelType w:val="hybridMultilevel"/>
    <w:lvl w:ilvl="0">
      <w:lvlJc w:val="left"/>
      <w:lvlText w:val="(%1)"/>
      <w:numFmt w:val="lowerLetter"/>
      <w:start w:val="1"/>
    </w:lvl>
  </w:abstractNum>
  <w:abstractNum w:abstractNumId="87">
    <w:nsid w:val="1A0DDE32"/>
    <w:multiLevelType w:val="hybridMultilevel"/>
    <w:lvl w:ilvl="0">
      <w:lvlJc w:val="left"/>
      <w:lvlText w:val="(%1)"/>
      <w:numFmt w:val="lowerLetter"/>
      <w:start w:val="1"/>
    </w:lvl>
  </w:abstractNum>
  <w:abstractNum w:abstractNumId="88">
    <w:nsid w:val="65968C1C"/>
    <w:multiLevelType w:val="hybridMultilevel"/>
    <w:lvl w:ilvl="0">
      <w:lvlJc w:val="left"/>
      <w:lvlText w:val="(%1)"/>
      <w:numFmt w:val="lowerRoman"/>
      <w:start w:val="3"/>
    </w:lvl>
  </w:abstractNum>
  <w:abstractNum w:abstractNumId="89">
    <w:nsid w:val="46263DEC"/>
    <w:multiLevelType w:val="hybridMultilevel"/>
    <w:lvl w:ilvl="0">
      <w:lvlJc w:val="left"/>
      <w:lvlText w:val="(%1)"/>
      <w:numFmt w:val="lowerLetter"/>
      <w:start w:val="1"/>
    </w:lvl>
    <w:lvl w:ilvl="1">
      <w:lvlJc w:val="left"/>
      <w:lvlText w:val="(%2)"/>
      <w:numFmt w:val="decimal"/>
      <w:start w:val="1"/>
    </w:lvl>
  </w:abstractNum>
  <w:abstractNum w:abstractNumId="90">
    <w:nsid w:val="260D8C4A"/>
    <w:multiLevelType w:val="hybridMultilevel"/>
    <w:lvl w:ilvl="0">
      <w:lvlJc w:val="left"/>
      <w:lvlText w:val="(%1)"/>
      <w:numFmt w:val="lowerLetter"/>
      <w:start w:val="1"/>
    </w:lvl>
  </w:abstractNum>
  <w:abstractNum w:abstractNumId="91">
    <w:nsid w:val="73D4D3C4"/>
    <w:multiLevelType w:val="hybridMultilevel"/>
    <w:lvl w:ilvl="0">
      <w:lvlJc w:val="left"/>
      <w:lvlText w:val="(%1)"/>
      <w:numFmt w:val="lowerLetter"/>
      <w:start w:val="2"/>
    </w:lvl>
  </w:abstractNum>
  <w:abstractNum w:abstractNumId="92">
    <w:nsid w:val="746F2E30"/>
    <w:multiLevelType w:val="hybridMultilevel"/>
    <w:lvl w:ilvl="0">
      <w:lvlJc w:val="left"/>
      <w:lvlText w:val="(%1)"/>
      <w:numFmt w:val="lowerLetter"/>
      <w:start w:val="1"/>
    </w:lvl>
  </w:abstractNum>
  <w:abstractNum w:abstractNumId="93">
    <w:nsid w:val="6FDE8AF6"/>
    <w:multiLevelType w:val="hybridMultilevel"/>
    <w:lvl w:ilvl="0">
      <w:lvlJc w:val="left"/>
      <w:lvlText w:val="(%1)"/>
      <w:numFmt w:val="lowerLetter"/>
      <w:start w:val="1"/>
    </w:lvl>
  </w:abstractNum>
  <w:abstractNum w:abstractNumId="94">
    <w:nsid w:val="3FC32E20"/>
    <w:multiLevelType w:val="hybridMultilevel"/>
    <w:lvl w:ilvl="0">
      <w:lvlJc w:val="left"/>
      <w:lvlText w:val="(%1)"/>
      <w:numFmt w:val="lowerRoman"/>
      <w:start w:val="1"/>
    </w:lvl>
  </w:abstractNum>
  <w:abstractNum w:abstractNumId="95">
    <w:nsid w:val="49C0E823"/>
    <w:multiLevelType w:val="hybridMultilevel"/>
    <w:lvl w:ilvl="0">
      <w:lvlJc w:val="left"/>
      <w:lvlText w:val="(%1)"/>
      <w:numFmt w:val="lowerLetter"/>
      <w:start w:val="1"/>
    </w:lvl>
  </w:abstractNum>
  <w:abstractNum w:abstractNumId="96">
    <w:nsid w:val="14D53685"/>
    <w:multiLevelType w:val="hybridMultilevel"/>
    <w:lvl w:ilvl="0">
      <w:lvlJc w:val="left"/>
      <w:lvlText w:val="(%1)"/>
      <w:numFmt w:val="lowerLetter"/>
      <w:start w:val="3"/>
    </w:lvl>
  </w:abstractNum>
  <w:abstractNum w:abstractNumId="97">
    <w:nsid w:val="230F856C"/>
    <w:multiLevelType w:val="hybridMultilevel"/>
    <w:lvl w:ilvl="0">
      <w:lvlJc w:val="left"/>
      <w:lvlText w:val="(%1)"/>
      <w:numFmt w:val="lowerLetter"/>
      <w:start w:val="1"/>
    </w:lvl>
    <w:lvl w:ilvl="1">
      <w:lvlJc w:val="left"/>
      <w:lvlText w:val="(%2)"/>
      <w:numFmt w:val="lowerRoman"/>
      <w:start w:val="1"/>
    </w:lvl>
  </w:abstractNum>
  <w:abstractNum w:abstractNumId="98">
    <w:nsid w:val="6EAA85FB"/>
    <w:multiLevelType w:val="hybridMultilevel"/>
    <w:lvl w:ilvl="0">
      <w:lvlJc w:val="left"/>
      <w:lvlText w:val="%1"/>
      <w:numFmt w:val="lowerLetter"/>
      <w:start w:val="1"/>
    </w:lvl>
    <w:lvl w:ilvl="1">
      <w:lvlJc w:val="left"/>
      <w:lvlText w:val="(%2)"/>
      <w:numFmt w:val="lowerLetter"/>
      <w:start w:val="22"/>
    </w:lvl>
  </w:abstractNum>
  <w:abstractNum w:abstractNumId="99">
    <w:nsid w:val="3F06ECB2"/>
    <w:multiLevelType w:val="hybridMultilevel"/>
    <w:lvl w:ilvl="0">
      <w:lvlJc w:val="left"/>
      <w:lvlText w:val="(%1)"/>
      <w:numFmt w:val="lowerLetter"/>
      <w:start w:val="2"/>
    </w:lvl>
    <w:lvl w:ilvl="1">
      <w:lvlJc w:val="left"/>
      <w:lvlText w:val="%2"/>
      <w:numFmt w:val="lowerLetter"/>
      <w:start w:val="1"/>
    </w:lvl>
  </w:abstractNum>
  <w:abstractNum w:abstractNumId="100">
    <w:nsid w:val="3B594807"/>
    <w:multiLevelType w:val="hybridMultilevel"/>
    <w:lvl w:ilvl="0">
      <w:lvlJc w:val="left"/>
      <w:lvlText w:val="(%1)"/>
      <w:numFmt w:val="lowerLetter"/>
      <w:start w:val="4"/>
    </w:lvl>
  </w:abstractNum>
  <w:abstractNum w:abstractNumId="101">
    <w:nsid w:val="6CAA2304"/>
    <w:multiLevelType w:val="hybridMultilevel"/>
    <w:lvl w:ilvl="0">
      <w:lvlJc w:val="left"/>
      <w:lvlText w:val="(%1)"/>
      <w:numFmt w:val="lowerLetter"/>
      <w:start w:val="1"/>
    </w:lvl>
  </w:abstractNum>
  <w:abstractNum w:abstractNumId="102">
    <w:nsid w:val="3F7C2FF4"/>
    <w:multiLevelType w:val="hybridMultilevel"/>
    <w:lvl w:ilvl="0">
      <w:lvlJc w:val="left"/>
      <w:lvlText w:val="(%1)"/>
      <w:numFmt w:val="lowerLetter"/>
      <w:start w:val="1"/>
    </w:lvl>
  </w:abstractNum>
  <w:abstractNum w:abstractNumId="103">
    <w:nsid w:val="25413BEC"/>
    <w:multiLevelType w:val="hybridMultilevel"/>
    <w:lvl w:ilvl="0">
      <w:lvlJc w:val="left"/>
      <w:lvlText w:val="(%1)"/>
      <w:numFmt w:val="lowerLetter"/>
      <w:start w:val="1"/>
    </w:lvl>
  </w:abstractNum>
  <w:abstractNum w:abstractNumId="104">
    <w:nsid w:val="17180B0B"/>
    <w:multiLevelType w:val="hybridMultilevel"/>
    <w:lvl w:ilvl="0">
      <w:lvlJc w:val="left"/>
      <w:lvlText w:val="(%1)"/>
      <w:numFmt w:val="lowerLetter"/>
      <w:start w:val="5"/>
    </w:lvl>
  </w:abstractNum>
  <w:abstractNum w:abstractNumId="105">
    <w:nsid w:val="579328B9"/>
    <w:multiLevelType w:val="hybridMultilevel"/>
    <w:lvl w:ilvl="0">
      <w:lvlJc w:val="left"/>
      <w:lvlText w:val="(%1)"/>
      <w:numFmt w:val="lowerLetter"/>
      <w:start w:val="2"/>
    </w:lvl>
  </w:abstractNum>
  <w:abstractNum w:abstractNumId="106">
    <w:nsid w:val="5D205E20"/>
    <w:multiLevelType w:val="hybridMultilevel"/>
    <w:lvl w:ilvl="0">
      <w:lvlJc w:val="left"/>
      <w:lvlText w:val="(%1)"/>
      <w:numFmt w:val="lowerLetter"/>
      <w:start w:val="1"/>
    </w:lvl>
  </w:abstractNum>
  <w:abstractNum w:abstractNumId="107">
    <w:nsid w:val="11CCA8BA"/>
    <w:multiLevelType w:val="hybridMultilevel"/>
    <w:lvl w:ilvl="0">
      <w:lvlJc w:val="left"/>
      <w:lvlText w:val="(%1)"/>
      <w:numFmt w:val="lowerLetter"/>
      <w:start w:val="2"/>
    </w:lvl>
  </w:abstractNum>
  <w:abstractNum w:abstractNumId="108">
    <w:nsid w:val="4D32AB86"/>
    <w:multiLevelType w:val="hybridMultilevel"/>
    <w:lvl w:ilvl="0">
      <w:lvlJc w:val="left"/>
      <w:lvlText w:val="(%1)"/>
      <w:numFmt w:val="lowerLetter"/>
      <w:start w:val="1"/>
    </w:lvl>
  </w:abstractNum>
  <w:abstractNum w:abstractNumId="109">
    <w:nsid w:val="3F07ACC3"/>
    <w:multiLevelType w:val="hybridMultilevel"/>
    <w:lvl w:ilvl="0">
      <w:lvlJc w:val="left"/>
      <w:lvlText w:val="(%1)"/>
      <w:numFmt w:val="lowerLetter"/>
      <w:start w:val="2"/>
    </w:lvl>
  </w:abstractNum>
  <w:abstractNum w:abstractNumId="110">
    <w:nsid w:val="6B47F63E"/>
    <w:multiLevelType w:val="hybridMultilevel"/>
    <w:lvl w:ilvl="0">
      <w:lvlJc w:val="left"/>
      <w:lvlText w:val="%1"/>
      <w:numFmt w:val="upperLetter"/>
      <w:start w:val="1"/>
    </w:lvl>
    <w:lvl w:ilvl="1">
      <w:lvlJc w:val="left"/>
      <w:lvlText w:val="(%2)"/>
      <w:numFmt w:val="lowerLetter"/>
      <w:start w:val="1"/>
    </w:lvl>
  </w:abstractNum>
  <w:abstractNum w:abstractNumId="111">
    <w:nsid w:val="5CB44A05"/>
    <w:multiLevelType w:val="hybridMultilevel"/>
    <w:lvl w:ilvl="0">
      <w:lvlJc w:val="left"/>
      <w:lvlText w:val="(%1)"/>
      <w:numFmt w:val="upperLetter"/>
      <w:start w:val="1"/>
    </w:lvl>
    <w:lvl w:ilvl="1">
      <w:lvlJc w:val="left"/>
      <w:lvlText w:val="%2"/>
      <w:numFmt w:val="lowerLetter"/>
      <w:start w:val="1"/>
    </w:lvl>
  </w:abstractNum>
  <w:abstractNum w:abstractNumId="112">
    <w:nsid w:val="16CF80F1"/>
    <w:multiLevelType w:val="hybridMultilevel"/>
    <w:lvl w:ilvl="0">
      <w:lvlJc w:val="left"/>
      <w:lvlText w:val="(%1)"/>
      <w:numFmt w:val="lowerLetter"/>
      <w:start w:val="2"/>
    </w:lvl>
  </w:abstractNum>
  <w:abstractNum w:abstractNumId="113">
    <w:nsid w:val="1C695DEC"/>
    <w:multiLevelType w:val="hybridMultilevel"/>
    <w:lvl w:ilvl="0">
      <w:lvlJc w:val="left"/>
      <w:lvlText w:val="(%1)"/>
      <w:numFmt w:val="lowerLetter"/>
      <w:start w:val="1"/>
    </w:lvl>
  </w:abstractNum>
  <w:abstractNum w:abstractNumId="114">
    <w:nsid w:val="3FCFAED9"/>
    <w:multiLevelType w:val="hybridMultilevel"/>
    <w:lvl w:ilvl="0">
      <w:lvlJc w:val="left"/>
      <w:lvlText w:val="(%1)"/>
      <w:numFmt w:val="lowerLetter"/>
      <w:start w:val="1"/>
    </w:lvl>
  </w:abstractNum>
  <w:abstractNum w:abstractNumId="115">
    <w:nsid w:val="F856867"/>
    <w:multiLevelType w:val="hybridMultilevel"/>
    <w:lvl w:ilvl="0">
      <w:lvlJc w:val="left"/>
      <w:lvlText w:val="(%1)"/>
      <w:numFmt w:val="lowerLetter"/>
      <w:start w:val="2"/>
    </w:lvl>
    <w:lvl w:ilvl="1">
      <w:lvlJc w:val="left"/>
      <w:lvlText w:val="(%2)"/>
      <w:numFmt w:val="decimal"/>
      <w:start w:val="1"/>
    </w:lvl>
  </w:abstractNum>
  <w:abstractNum w:abstractNumId="116">
    <w:nsid w:val="11B1CC33"/>
    <w:multiLevelType w:val="hybridMultilevel"/>
    <w:lvl w:ilvl="0">
      <w:lvlJc w:val="left"/>
      <w:lvlText w:val="(%1)"/>
      <w:numFmt w:val="decimal"/>
      <w:start w:val="3"/>
    </w:lvl>
  </w:abstractNum>
  <w:abstractNum w:abstractNumId="117">
    <w:nsid w:val="2E22FB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8">
    <w:nsid w:val="2993469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9">
    <w:nsid w:val="7748585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0">
    <w:nsid w:val="744939A3"/>
    <w:multiLevelType w:val="hybridMultilevel"/>
    <w:lvl w:ilvl="0">
      <w:lvlJc w:val="left"/>
      <w:lvlText w:val="%1"/>
      <w:numFmt w:val="lowerRoman"/>
      <w:start w:val="1"/>
    </w:lvl>
    <w:lvl w:ilvl="1">
      <w:lvlJc w:val="left"/>
      <w:lvlText w:val="(%2)"/>
      <w:numFmt w:val="lowerRoman"/>
      <w:start w:val="1"/>
    </w:lvl>
  </w:abstractNum>
  <w:abstractNum w:abstractNumId="121">
    <w:nsid w:val="4FA0D2E3"/>
    <w:multiLevelType w:val="hybridMultilevel"/>
    <w:lvl w:ilvl="0">
      <w:lvlJc w:val="left"/>
      <w:lvlText w:val="(%1)"/>
      <w:numFmt w:val="lowerRoman"/>
      <w:start w:val="10"/>
    </w:lvl>
    <w:lvl w:ilvl="1">
      <w:lvlJc w:val="left"/>
      <w:lvlText w:val="%2"/>
      <w:numFmt w:val="lowerRoman"/>
      <w:start w:val="1"/>
    </w:lvl>
  </w:abstractNum>
  <w:abstractNum w:abstractNumId="122">
    <w:nsid w:val="6B1D2C14"/>
    <w:multiLevelType w:val="hybridMultilevel"/>
    <w:lvl w:ilvl="0">
      <w:lvlJc w:val="left"/>
      <w:lvlText w:val="(%1)"/>
      <w:numFmt w:val="lowerLetter"/>
      <w:start w:val="2"/>
    </w:lvl>
  </w:abstractNum>
  <w:abstractNum w:abstractNumId="123">
    <w:nsid w:val="68B867D3"/>
    <w:multiLevelType w:val="hybridMultilevel"/>
    <w:lvl w:ilvl="0">
      <w:lvlJc w:val="left"/>
      <w:lvlText w:val="(%1)"/>
      <w:numFmt w:val="lowerLetter"/>
      <w:start w:val="3"/>
    </w:lvl>
  </w:abstractNum>
  <w:abstractNum w:abstractNumId="124">
    <w:nsid w:val="3F7F5DD9"/>
    <w:multiLevelType w:val="hybridMultilevel"/>
    <w:lvl w:ilvl="0">
      <w:lvlJc w:val="left"/>
      <w:lvlText w:val="(%1)"/>
      <w:numFmt w:val="lowerRoman"/>
      <w:start w:val="2"/>
    </w:lvl>
  </w:abstractNum>
  <w:abstractNum w:abstractNumId="125">
    <w:nsid w:val="2AE05A34"/>
    <w:multiLevelType w:val="hybridMultilevel"/>
    <w:lvl w:ilvl="0">
      <w:lvlJc w:val="left"/>
      <w:lvlText w:val="(%1)"/>
      <w:numFmt w:val="lowerLetter"/>
      <w:start w:val="2"/>
    </w:lvl>
  </w:abstractNum>
  <w:abstractNum w:abstractNumId="126">
    <w:nsid w:val="32794FF7"/>
    <w:multiLevelType w:val="hybridMultilevel"/>
    <w:lvl w:ilvl="0">
      <w:lvlJc w:val="left"/>
      <w:lvlText w:val="%1"/>
      <w:numFmt w:val="lowerLetter"/>
      <w:start w:val="1"/>
    </w:lvl>
    <w:lvl w:ilvl="1">
      <w:lvlJc w:val="left"/>
      <w:lvlText w:val="(%2)"/>
      <w:numFmt w:val="lowerLetter"/>
      <w:start w:val="5"/>
    </w:lvl>
  </w:abstractNum>
  <w:abstractNum w:abstractNumId="127">
    <w:nsid w:val="5454945E"/>
    <w:multiLevelType w:val="hybridMultilevel"/>
    <w:lvl w:ilvl="0">
      <w:lvlJc w:val="left"/>
      <w:lvlText w:val="(%1)"/>
      <w:numFmt w:val="lowerLetter"/>
      <w:start w:val="25"/>
    </w:lvl>
    <w:lvl w:ilvl="1">
      <w:lvlJc w:val="left"/>
      <w:lvlText w:val="%2"/>
      <w:numFmt w:val="lowerLetter"/>
      <w:start w:val="1"/>
    </w:lvl>
  </w:abstractNum>
  <w:abstractNum w:abstractNumId="128">
    <w:nsid w:val="4DEFDFA0"/>
    <w:multiLevelType w:val="hybridMultilevel"/>
    <w:lvl w:ilvl="0">
      <w:lvlJc w:val="left"/>
      <w:lvlText w:val="(%1)"/>
      <w:numFmt w:val="lowerLetter"/>
      <w:start w:val="2"/>
    </w:lvl>
  </w:abstractNum>
  <w:abstractNum w:abstractNumId="129">
    <w:nsid w:val="2123D5F2"/>
    <w:multiLevelType w:val="hybridMultilevel"/>
    <w:lvl w:ilvl="0">
      <w:lvlJc w:val="left"/>
      <w:lvlText w:val="(%1)"/>
      <w:numFmt w:val="lowerLetter"/>
      <w:start w:val="4"/>
    </w:lvl>
  </w:abstractNum>
  <w:abstractNum w:abstractNumId="130">
    <w:nsid w:val="135B8110"/>
    <w:multiLevelType w:val="hybridMultilevel"/>
    <w:lvl w:ilvl="0">
      <w:lvlJc w:val="left"/>
      <w:lvlText w:val="(%1)"/>
      <w:numFmt w:val="lowerLetter"/>
      <w:start w:val="2"/>
    </w:lvl>
  </w:abstractNum>
  <w:abstractNum w:abstractNumId="131">
    <w:nsid w:val="94927A8"/>
    <w:multiLevelType w:val="hybridMultilevel"/>
    <w:lvl w:ilvl="0">
      <w:lvlJc w:val="left"/>
      <w:lvlText w:val="%1"/>
      <w:numFmt w:val="lowerLetter"/>
      <w:start w:val="1"/>
    </w:lvl>
    <w:lvl w:ilvl="1">
      <w:lvlJc w:val="left"/>
      <w:lvlText w:val="(%2)"/>
      <w:numFmt w:val="lowerRoman"/>
      <w:start w:val="2"/>
    </w:lvl>
  </w:abstractNum>
  <w:abstractNum w:abstractNumId="132">
    <w:nsid w:val="DCDF8F6"/>
    <w:multiLevelType w:val="hybridMultilevel"/>
    <w:lvl w:ilvl="0">
      <w:lvlJc w:val="left"/>
      <w:lvlText w:val="(%1)"/>
      <w:numFmt w:val="lowerLetter"/>
      <w:start w:val="5"/>
    </w:lvl>
    <w:lvl w:ilvl="1">
      <w:lvlJc w:val="left"/>
      <w:lvlText w:val="%2"/>
      <w:numFmt w:val="lowerRoman"/>
      <w:start w:val="1"/>
    </w:lvl>
  </w:abstractNum>
  <w:abstractNum w:abstractNumId="133">
    <w:nsid w:val="52D7B105"/>
    <w:multiLevelType w:val="hybridMultilevel"/>
    <w:lvl w:ilvl="0">
      <w:lvlJc w:val="left"/>
      <w:lvlText w:val="(%1)"/>
      <w:numFmt w:val="lowerLetter"/>
      <w:start w:val="2"/>
    </w:lvl>
    <w:lvl w:ilvl="1">
      <w:lvlJc w:val="left"/>
      <w:lvlText w:val="(%2)"/>
      <w:numFmt w:val="lowerLetter"/>
      <w:start w:val="9"/>
    </w:lvl>
  </w:abstractNum>
  <w:abstractNum w:abstractNumId="134">
    <w:nsid w:val="2E8A6394"/>
    <w:multiLevelType w:val="hybridMultilevel"/>
    <w:lvl w:ilvl="0">
      <w:lvlJc w:val="left"/>
      <w:lvlText w:val="(%1)"/>
      <w:numFmt w:val="lowerRoman"/>
      <w:start w:val="2"/>
    </w:lvl>
  </w:abstractNum>
  <w:abstractNum w:abstractNumId="135">
    <w:nsid w:val="24E60401"/>
    <w:multiLevelType w:val="hybridMultilevel"/>
    <w:lvl w:ilvl="0">
      <w:lvlJc w:val="left"/>
      <w:lvlText w:val="(%1)"/>
      <w:numFmt w:val="lowerLetter"/>
      <w:start w:val="4"/>
    </w:lvl>
  </w:abstractNum>
  <w:abstractNum w:abstractNumId="136">
    <w:nsid w:val="2A6AD9BE"/>
    <w:multiLevelType w:val="hybridMultilevel"/>
    <w:lvl w:ilvl="0">
      <w:lvlJc w:val="left"/>
      <w:lvlText w:val="(%1)"/>
      <w:numFmt w:val="lowerLetter"/>
      <w:start w:val="1"/>
    </w:lvl>
    <w:lvl w:ilvl="1">
      <w:lvlJc w:val="left"/>
      <w:lvlText w:val="(%2)"/>
      <w:numFmt w:val="lowerRoman"/>
      <w:start w:val="1"/>
    </w:lvl>
  </w:abstractNum>
  <w:abstractNum w:abstractNumId="137">
    <w:nsid w:val="BAAC1B4"/>
    <w:multiLevelType w:val="hybridMultilevel"/>
    <w:lvl w:ilvl="0">
      <w:lvlJc w:val="left"/>
      <w:lvlText w:val="%1"/>
      <w:numFmt w:val="lowerLetter"/>
      <w:start w:val="1"/>
    </w:lvl>
    <w:lvl w:ilvl="1">
      <w:lvlJc w:val="left"/>
      <w:lvlText w:val="(%2)"/>
      <w:numFmt w:val="lowerLetter"/>
      <w:start w:val="61"/>
    </w:lvl>
  </w:abstractNum>
  <w:abstractNum w:abstractNumId="138">
    <w:nsid w:val="36B2ACBC"/>
    <w:multiLevelType w:val="hybridMultilevel"/>
    <w:lvl w:ilvl="0">
      <w:lvlJc w:val="left"/>
      <w:lvlText w:val="(%1)"/>
      <w:numFmt w:val="lowerLetter"/>
      <w:start w:val="2"/>
    </w:lvl>
    <w:lvl w:ilvl="1">
      <w:lvlJc w:val="left"/>
      <w:lvlText w:val="%2"/>
      <w:numFmt w:val="lowerLetter"/>
      <w:start w:val="1"/>
    </w:lvl>
  </w:abstractNum>
  <w:abstractNum w:abstractNumId="139">
    <w:nsid w:val="779D8544"/>
    <w:multiLevelType w:val="hybridMultilevel"/>
    <w:lvl w:ilvl="0">
      <w:lvlJc w:val="left"/>
      <w:lvlText w:val="(%1)"/>
      <w:numFmt w:val="lowerLetter"/>
      <w:start w:val="2"/>
    </w:lvl>
    <w:lvl w:ilvl="1">
      <w:lvlJc w:val="left"/>
      <w:lvlText w:val="(%2)"/>
      <w:numFmt w:val="lowerRoman"/>
      <w:start w:val="1"/>
    </w:lvl>
  </w:abstractNum>
  <w:abstractNum w:abstractNumId="140">
    <w:nsid w:val="4AB26E78"/>
    <w:multiLevelType w:val="hybridMultilevel"/>
    <w:lvl w:ilvl="0">
      <w:lvlJc w:val="left"/>
      <w:lvlText w:val="(%1)"/>
      <w:numFmt w:val="lowerLetter"/>
      <w:start w:val="1"/>
    </w:lvl>
    <w:lvl w:ilvl="1">
      <w:lvlJc w:val="left"/>
      <w:lvlText w:val="(%2)"/>
      <w:numFmt w:val="lowerLetter"/>
      <w:start w:val="9"/>
    </w:lvl>
  </w:abstractNum>
  <w:abstractNum w:abstractNumId="141">
    <w:nsid w:val="21FAA2FA"/>
    <w:multiLevelType w:val="hybridMultilevel"/>
    <w:lvl w:ilvl="0">
      <w:lvlJc w:val="left"/>
      <w:lvlText w:val="(%1)"/>
      <w:numFmt w:val="lowerRoman"/>
      <w:start w:val="2"/>
    </w:lvl>
  </w:abstractNum>
  <w:abstractNum w:abstractNumId="142">
    <w:nsid w:val="5451CF49"/>
    <w:multiLevelType w:val="hybridMultilevel"/>
    <w:lvl w:ilvl="0">
      <w:lvlJc w:val="left"/>
      <w:lvlText w:val="(%1)"/>
      <w:numFmt w:val="upperLetter"/>
      <w:start w:val="1"/>
    </w:lvl>
  </w:abstractNum>
  <w:abstractNum w:abstractNumId="143">
    <w:nsid w:val="6181EF69"/>
    <w:multiLevelType w:val="hybridMultilevel"/>
    <w:lvl w:ilvl="0">
      <w:lvlJc w:val="left"/>
      <w:lvlText w:val="(%1)"/>
      <w:numFmt w:val="lowerLetter"/>
      <w:start w:val="2"/>
    </w:lvl>
  </w:abstractNum>
  <w:abstractNum w:abstractNumId="144">
    <w:nsid w:val="3E6400E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5">
    <w:nsid w:val="14217E23"/>
    <w:multiLevelType w:val="hybridMultilevel"/>
    <w:lvl w:ilvl="0">
      <w:lvlJc w:val="left"/>
      <w:lvlText w:val="%1"/>
      <w:numFmt w:val="lowerRoman"/>
      <w:start w:val="1"/>
    </w:lvl>
    <w:lvl w:ilvl="1">
      <w:lvlJc w:val="left"/>
      <w:lvlText w:val="(%2)"/>
      <w:numFmt w:val="upperLetter"/>
      <w:start w:val="3"/>
    </w:lvl>
  </w:abstractNum>
  <w:abstractNum w:abstractNumId="146">
    <w:nsid w:val="710757D0"/>
    <w:multiLevelType w:val="hybridMultilevel"/>
    <w:lvl w:ilvl="0">
      <w:lvlJc w:val="left"/>
      <w:lvlText w:val="(%1)"/>
      <w:numFmt w:val="lowerRoman"/>
      <w:start w:val="2"/>
    </w:lvl>
    <w:lvl w:ilvl="1">
      <w:lvlJc w:val="left"/>
      <w:lvlText w:val="%2"/>
      <w:numFmt w:val="upperLetter"/>
      <w:start w:val="1"/>
    </w:lvl>
  </w:abstractNum>
  <w:abstractNum w:abstractNumId="147">
    <w:nsid w:val="5015CD1A"/>
    <w:multiLevelType w:val="hybridMultilevel"/>
    <w:lvl w:ilvl="0">
      <w:lvlJc w:val="left"/>
      <w:lvlText w:val="%1"/>
      <w:numFmt w:val="lowerLetter"/>
      <w:start w:val="1"/>
    </w:lvl>
    <w:lvl w:ilvl="1">
      <w:lvlJc w:val="left"/>
      <w:lvlText w:val="(%2)"/>
      <w:numFmt w:val="lowerLetter"/>
      <w:start w:val="22"/>
    </w:lvl>
  </w:abstractNum>
  <w:abstractNum w:abstractNumId="148">
    <w:nsid w:val="424479DA"/>
    <w:multiLevelType w:val="hybridMultilevel"/>
    <w:lvl w:ilvl="0">
      <w:lvlJc w:val="left"/>
      <w:lvlText w:val="(%1)"/>
      <w:numFmt w:val="lowerLetter"/>
      <w:start w:val="25"/>
    </w:lvl>
    <w:lvl w:ilvl="1">
      <w:lvlJc w:val="left"/>
      <w:lvlText w:val="%2"/>
      <w:numFmt w:val="lowerLetter"/>
      <w:start w:val="1"/>
    </w:lvl>
  </w:abstractNum>
  <w:abstractNum w:abstractNumId="149">
    <w:nsid w:val="1A9A9E69"/>
    <w:multiLevelType w:val="hybridMultilevel"/>
    <w:lvl w:ilvl="0">
      <w:lvlJc w:val="left"/>
      <w:lvlText w:val="%1"/>
      <w:numFmt w:val="lowerLetter"/>
      <w:start w:val="1"/>
    </w:lvl>
    <w:lvl w:ilvl="1">
      <w:lvlJc w:val="left"/>
      <w:lvlText w:val="(%2)"/>
      <w:numFmt w:val="lowerLetter"/>
      <w:start w:val="4"/>
    </w:lvl>
  </w:abstractNum>
  <w:abstractNum w:abstractNumId="150">
    <w:nsid w:val="475E256A"/>
    <w:multiLevelType w:val="hybridMultilevel"/>
    <w:lvl w:ilvl="0">
      <w:lvlJc w:val="left"/>
      <w:lvlText w:val="(%1)"/>
      <w:numFmt w:val="lowerLetter"/>
      <w:start w:val="35"/>
    </w:lvl>
    <w:lvl w:ilvl="1">
      <w:lvlJc w:val="left"/>
      <w:lvlText w:val="%2"/>
      <w:numFmt w:val="lowerLetter"/>
      <w:start w:val="1"/>
    </w:lvl>
  </w:abstractNum>
  <w:abstractNum w:abstractNumId="151">
    <w:nsid w:val="368DB37E"/>
    <w:multiLevelType w:val="hybridMultilevel"/>
    <w:lvl w:ilvl="0">
      <w:lvlJc w:val="left"/>
      <w:lvlText w:val="(%1)"/>
      <w:numFmt w:val="lowerLetter"/>
      <w:start w:val="1"/>
    </w:lvl>
    <w:lvl w:ilvl="1">
      <w:lvlJc w:val="left"/>
      <w:lvlText w:val="(%2)"/>
      <w:numFmt w:val="lowerRoman"/>
      <w:start w:val="1"/>
    </w:lvl>
  </w:abstractNum>
  <w:abstractNum w:abstractNumId="152">
    <w:nsid w:val="6A3B714C"/>
    <w:multiLevelType w:val="hybridMultilevel"/>
    <w:lvl w:ilvl="0">
      <w:lvlJc w:val="left"/>
      <w:lvlText w:val="%1"/>
      <w:numFmt w:val="lowerLetter"/>
      <w:start w:val="1"/>
    </w:lvl>
    <w:lvl w:ilvl="1">
      <w:lvlJc w:val="left"/>
      <w:lvlText w:val="(%2)"/>
      <w:numFmt w:val="lowerRoman"/>
      <w:start w:val="3"/>
    </w:lvl>
  </w:abstractNum>
  <w:abstractNum w:abstractNumId="153">
    <w:nsid w:val="327B517E"/>
    <w:multiLevelType w:val="hybridMultilevel"/>
    <w:lvl w:ilvl="0">
      <w:lvlJc w:val="left"/>
      <w:lvlText w:val="(%1)"/>
      <w:numFmt w:val="lowerLetter"/>
      <w:start w:val="4"/>
    </w:lvl>
    <w:lvl w:ilvl="1">
      <w:lvlJc w:val="left"/>
      <w:lvlText w:val="%2"/>
      <w:numFmt w:val="lowerRoman"/>
      <w:start w:val="1"/>
    </w:lvl>
  </w:abstractNum>
  <w:abstractNum w:abstractNumId="154">
    <w:nsid w:val="1F461B51"/>
    <w:multiLevelType w:val="hybridMultilevel"/>
    <w:lvl w:ilvl="0">
      <w:lvlJc w:val="left"/>
      <w:lvlText w:val="(%1)"/>
      <w:numFmt w:val="lowerLetter"/>
      <w:start w:val="1"/>
    </w:lvl>
  </w:abstractNum>
  <w:abstractNum w:abstractNumId="155">
    <w:nsid w:val="29BACF25"/>
    <w:multiLevelType w:val="hybridMultilevel"/>
    <w:lvl w:ilvl="0">
      <w:lvlJc w:val="left"/>
      <w:lvlText w:val="(%1)"/>
      <w:numFmt w:val="lowerLetter"/>
      <w:start w:val="1"/>
    </w:lvl>
  </w:abstractNum>
  <w:abstractNum w:abstractNumId="156">
    <w:nsid w:val="5D5BABB3"/>
    <w:multiLevelType w:val="hybridMultilevel"/>
    <w:lvl w:ilvl="0">
      <w:lvlJc w:val="left"/>
      <w:lvlText w:val="(%1)"/>
      <w:numFmt w:val="lowerLetter"/>
      <w:start w:val="3"/>
    </w:lvl>
  </w:abstractNum>
  <w:abstractNum w:abstractNumId="157">
    <w:nsid w:val="51BF6B48"/>
    <w:multiLevelType w:val="hybridMultilevel"/>
    <w:lvl w:ilvl="0">
      <w:lvlJc w:val="left"/>
      <w:lvlText w:val="%1"/>
      <w:numFmt w:val="lowerLetter"/>
      <w:start w:val="1"/>
    </w:lvl>
    <w:lvl w:ilvl="1">
      <w:lvlJc w:val="left"/>
      <w:lvlText w:val="(%2)"/>
      <w:numFmt w:val="lowerLetter"/>
      <w:start w:val="10"/>
    </w:lvl>
  </w:abstractNum>
  <w:abstractNum w:abstractNumId="158">
    <w:nsid w:val="7E0F6384"/>
    <w:multiLevelType w:val="hybridMultilevel"/>
    <w:lvl w:ilvl="0">
      <w:lvlJc w:val="left"/>
      <w:lvlText w:val="(%1)"/>
      <w:numFmt w:val="lowerLetter"/>
      <w:start w:val="35"/>
    </w:lvl>
    <w:lvl w:ilvl="1">
      <w:lvlJc w:val="left"/>
      <w:lvlText w:val="%2"/>
      <w:numFmt w:val="lowerLetter"/>
      <w:start w:val="1"/>
    </w:lvl>
  </w:abstractNum>
  <w:abstractNum w:abstractNumId="159">
    <w:nsid w:val="2B4B8B53"/>
    <w:multiLevelType w:val="hybridMultilevel"/>
    <w:lvl w:ilvl="0">
      <w:lvlJc w:val="left"/>
      <w:lvlText w:val="%1"/>
      <w:numFmt w:val="lowerLetter"/>
      <w:start w:val="1"/>
    </w:lvl>
    <w:lvl w:ilvl="1">
      <w:lvlJc w:val="left"/>
      <w:lvlText w:val="(%2)"/>
      <w:numFmt w:val="lowerLetter"/>
      <w:start w:val="15"/>
    </w:lvl>
  </w:abstractNum>
  <w:abstractNum w:abstractNumId="160">
    <w:nsid w:val="72E3413A"/>
    <w:multiLevelType w:val="hybridMultilevel"/>
    <w:lvl w:ilvl="0">
      <w:lvlJc w:val="left"/>
      <w:lvlText w:val="(%1)"/>
      <w:numFmt w:val="lowerLetter"/>
      <w:start w:val="9"/>
    </w:lvl>
    <w:lvl w:ilvl="1">
      <w:lvlJc w:val="left"/>
      <w:lvlText w:val="(%2)"/>
      <w:numFmt w:val="lowerLetter"/>
      <w:start w:val="17"/>
    </w:lvl>
  </w:abstractNum>
  <w:abstractNum w:abstractNumId="161">
    <w:nsid w:val="116AE494"/>
    <w:multiLevelType w:val="hybridMultilevel"/>
    <w:lvl w:ilvl="0">
      <w:lvlJc w:val="left"/>
      <w:lvlText w:val="(%1)"/>
      <w:numFmt w:val="lowerLetter"/>
      <w:start w:val="9"/>
    </w:lvl>
    <w:lvl w:ilvl="1">
      <w:lvlJc w:val="left"/>
      <w:lvlText w:val="(%2)"/>
      <w:numFmt w:val="lowerLetter"/>
      <w:start w:val="18"/>
    </w:lvl>
  </w:abstractNum>
  <w:abstractNum w:abstractNumId="162">
    <w:nsid w:val="3494B2FB"/>
    <w:multiLevelType w:val="hybridMultilevel"/>
    <w:lvl w:ilvl="0">
      <w:lvlJc w:val="left"/>
      <w:lvlText w:val="(%1)"/>
      <w:numFmt w:val="lowerLetter"/>
      <w:start w:val="1"/>
    </w:lvl>
  </w:abstractNum>
  <w:abstractNum w:abstractNumId="163">
    <w:nsid w:val="B13A31"/>
    <w:multiLevelType w:val="hybridMultilevel"/>
    <w:lvl w:ilvl="0">
      <w:lvlJc w:val="left"/>
      <w:lvlText w:val="(%1)"/>
      <w:numFmt w:val="lowerLetter"/>
      <w:start w:val="8"/>
    </w:lvl>
    <w:lvl w:ilvl="1">
      <w:lvlJc w:val="left"/>
      <w:lvlText w:val="(%2)"/>
      <w:numFmt w:val="lowerRoman"/>
      <w:start w:val="1"/>
    </w:lvl>
  </w:abstractNum>
  <w:abstractNum w:abstractNumId="164">
    <w:nsid w:val="64429599"/>
    <w:multiLevelType w:val="hybridMultilevel"/>
    <w:lvl w:ilvl="0">
      <w:lvlJc w:val="left"/>
      <w:lvlText w:val="(%1)"/>
      <w:numFmt w:val="lowerLetter"/>
      <w:start w:val="10"/>
    </w:lvl>
    <w:lvl w:ilvl="1">
      <w:lvlJc w:val="left"/>
      <w:lvlText w:val="(%2)"/>
      <w:numFmt w:val="lowerRoman"/>
      <w:start w:val="1"/>
    </w:lvl>
  </w:abstractNum>
  <w:abstractNum w:abstractNumId="165">
    <w:nsid w:val="631F1690"/>
    <w:multiLevelType w:val="hybridMultilevel"/>
    <w:lvl w:ilvl="0">
      <w:lvlJc w:val="left"/>
      <w:lvlText w:val="(%1)"/>
      <w:numFmt w:val="lowerLetter"/>
      <w:start w:val="1"/>
    </w:lvl>
    <w:lvl w:ilvl="1">
      <w:lvlJc w:val="left"/>
      <w:lvlText w:val="(%2)"/>
      <w:numFmt w:val="lowerRoman"/>
      <w:start w:val="1"/>
    </w:lvl>
  </w:abstractNum>
  <w:abstractNum w:abstractNumId="166">
    <w:nsid w:val="25973E32"/>
    <w:multiLevelType w:val="hybridMultilevel"/>
    <w:lvl w:ilvl="0">
      <w:lvlJc w:val="left"/>
      <w:lvlText w:val="(%1)"/>
      <w:numFmt w:val="lowerRoman"/>
      <w:start w:val="1"/>
    </w:lvl>
  </w:abstractNum>
  <w:abstractNum w:abstractNumId="167">
    <w:nsid w:val="EAD6F57"/>
    <w:multiLevelType w:val="hybridMultilevel"/>
    <w:lvl w:ilvl="0">
      <w:lvlJc w:val="left"/>
      <w:lvlText w:val="(%1)"/>
      <w:numFmt w:val="lowerLetter"/>
      <w:start w:val="3"/>
    </w:lvl>
  </w:abstractNum>
  <w:abstractNum w:abstractNumId="168">
    <w:nsid w:val="6EC9D844"/>
    <w:multiLevelType w:val="hybridMultilevel"/>
    <w:lvl w:ilvl="0">
      <w:lvlJc w:val="left"/>
      <w:lvlText w:val="(%1)"/>
      <w:numFmt w:val="lowerLetter"/>
      <w:start w:val="4"/>
    </w:lvl>
    <w:lvl w:ilvl="1">
      <w:lvlJc w:val="left"/>
      <w:lvlText w:val="(%2)"/>
      <w:numFmt w:val="lowerRoman"/>
      <w:start w:val="1"/>
    </w:lvl>
  </w:abstractNum>
  <w:abstractNum w:abstractNumId="169">
    <w:nsid w:val="5C49EAEE"/>
    <w:multiLevelType w:val="hybridMultilevel"/>
    <w:lvl w:ilvl="0">
      <w:lvlJc w:val="left"/>
      <w:lvlText w:val="(%1)"/>
      <w:numFmt w:val="lowerLetter"/>
      <w:start w:val="6"/>
    </w:lvl>
  </w:abstractNum>
  <w:abstractNum w:abstractNumId="170">
    <w:nsid w:val="64AF49B"/>
    <w:multiLevelType w:val="hybridMultilevel"/>
    <w:lvl w:ilvl="0">
      <w:lvlJc w:val="left"/>
      <w:lvlText w:val="(%1)"/>
      <w:numFmt w:val="lowerLetter"/>
      <w:start w:val="1"/>
    </w:lvl>
  </w:abstractNum>
  <w:abstractNum w:abstractNumId="171">
    <w:nsid w:val="397C46BC"/>
    <w:multiLevelType w:val="hybridMultilevel"/>
    <w:lvl w:ilvl="0">
      <w:lvlJc w:val="left"/>
      <w:lvlText w:val="(%1)"/>
      <w:numFmt w:val="lowerLetter"/>
      <w:start w:val="1"/>
    </w:lvl>
  </w:abstractNum>
  <w:abstractNum w:abstractNumId="172">
    <w:nsid w:val="7E448DE9"/>
    <w:multiLevelType w:val="hybridMultilevel"/>
    <w:lvl w:ilvl="0">
      <w:lvlJc w:val="left"/>
      <w:lvlText w:val="(%1)"/>
      <w:numFmt w:val="lowerLetter"/>
      <w:start w:val="2"/>
    </w:lvl>
  </w:abstractNum>
  <w:abstractNum w:abstractNumId="173">
    <w:nsid w:val="5A9CC3E5"/>
    <w:multiLevelType w:val="hybridMultilevel"/>
    <w:lvl w:ilvl="0">
      <w:lvlJc w:val="left"/>
      <w:lvlText w:val="(%1)"/>
      <w:numFmt w:val="lowerLetter"/>
      <w:start w:val="6"/>
    </w:lvl>
  </w:abstractNum>
  <w:abstractNum w:abstractNumId="174">
    <w:nsid w:val="1AFE3625"/>
    <w:multiLevelType w:val="hybridMultilevel"/>
    <w:lvl w:ilvl="0">
      <w:lvlJc w:val="left"/>
      <w:lvlText w:val="(%1)"/>
      <w:numFmt w:val="lowerLetter"/>
      <w:start w:val="1"/>
    </w:lvl>
    <w:lvl w:ilvl="1">
      <w:lvlJc w:val="left"/>
      <w:lvlText w:val="(%2)"/>
      <w:numFmt w:val="lowerRoman"/>
      <w:start w:val="1"/>
    </w:lvl>
  </w:abstractNum>
  <w:abstractNum w:abstractNumId="175">
    <w:nsid w:val="3CA88E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76">
    <w:nsid w:val="6EBE420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77">
    <w:nsid w:val="C058DF5"/>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178">
    <w:nsid w:val="CBE5BE9"/>
    <w:multiLevelType w:val="hybridMultilevel"/>
    <w:lvl w:ilvl="0">
      <w:lvlJc w:val="left"/>
      <w:lvlText w:val="(%1)"/>
      <w:numFmt w:val="lowerLetter"/>
      <w:start w:val="1"/>
    </w:lvl>
  </w:abstractNum>
  <w:abstractNum w:abstractNumId="179">
    <w:nsid w:val="3102BBE2"/>
    <w:multiLevelType w:val="hybridMultilevel"/>
    <w:lvl w:ilvl="0">
      <w:lvlJc w:val="left"/>
      <w:lvlText w:val="(%1)"/>
      <w:numFmt w:val="lowerLetter"/>
      <w:start w:val="1"/>
    </w:lvl>
  </w:abstractNum>
  <w:abstractNum w:abstractNumId="180">
    <w:nsid w:val="26A02C5E"/>
    <w:multiLevelType w:val="hybridMultilevel"/>
    <w:lvl w:ilvl="0">
      <w:lvlJc w:val="left"/>
      <w:lvlText w:val="(%1)"/>
      <w:numFmt w:val="lowerLetter"/>
      <w:start w:val="2"/>
    </w:lvl>
  </w:abstractNum>
  <w:abstractNum w:abstractNumId="181">
    <w:nsid w:val="541C8153"/>
    <w:multiLevelType w:val="hybridMultilevel"/>
    <w:lvl w:ilvl="0">
      <w:lvlJc w:val="left"/>
      <w:lvlText w:val="(%1)"/>
      <w:numFmt w:val="lowerLetter"/>
      <w:start w:val="5"/>
    </w:lvl>
  </w:abstractNum>
  <w:abstractNum w:abstractNumId="182">
    <w:nsid w:val="67906F60"/>
    <w:multiLevelType w:val="hybridMultilevel"/>
    <w:lvl w:ilvl="0">
      <w:lvlJc w:val="left"/>
      <w:lvlText w:val="(%1)"/>
      <w:numFmt w:val="lowerLetter"/>
      <w:start w:val="1"/>
    </w:lvl>
    <w:lvl w:ilvl="1">
      <w:lvlJc w:val="left"/>
      <w:lvlText w:val="(%2)"/>
      <w:numFmt w:val="lowerRoman"/>
      <w:start w:val="1"/>
    </w:lvl>
  </w:abstractNum>
  <w:abstractNum w:abstractNumId="183">
    <w:nsid w:val="10DB9DAA"/>
    <w:multiLevelType w:val="hybridMultilevel"/>
    <w:lvl w:ilvl="0">
      <w:lvlJc w:val="left"/>
      <w:lvlText w:val="%1"/>
      <w:numFmt w:val="lowerLetter"/>
      <w:start w:val="1"/>
    </w:lvl>
    <w:lvl w:ilvl="1">
      <w:lvlJc w:val="left"/>
      <w:lvlText w:val="(%2)"/>
      <w:numFmt w:val="lowerRoman"/>
      <w:start w:val="3"/>
    </w:lvl>
  </w:abstractNum>
  <w:abstractNum w:abstractNumId="184">
    <w:nsid w:val="697D2D2"/>
    <w:multiLevelType w:val="hybridMultilevel"/>
    <w:lvl w:ilvl="0">
      <w:lvlJc w:val="left"/>
      <w:lvlText w:val="(%1)"/>
      <w:numFmt w:val="lowerLetter"/>
      <w:start w:val="2"/>
    </w:lvl>
    <w:lvl w:ilvl="1">
      <w:lvlJc w:val="left"/>
      <w:lvlText w:val="%2"/>
      <w:numFmt w:val="lowerRoman"/>
      <w:start w:val="1"/>
    </w:lvl>
  </w:abstractNum>
  <w:abstractNum w:abstractNumId="185">
    <w:nsid w:val="6D68AB2"/>
    <w:multiLevelType w:val="hybridMultilevel"/>
    <w:lvl w:ilvl="0">
      <w:lvlJc w:val="left"/>
      <w:lvlText w:val="%1"/>
      <w:numFmt w:val="lowerLetter"/>
      <w:start w:val="1"/>
    </w:lvl>
    <w:lvl w:ilvl="1">
      <w:lvlJc w:val="left"/>
      <w:lvlText w:val="(%2)"/>
      <w:numFmt w:val="lowerLetter"/>
      <w:start w:val="1"/>
    </w:lvl>
  </w:abstractNum>
  <w:abstractNum w:abstractNumId="186">
    <w:nsid w:val="3A966CD0"/>
    <w:multiLevelType w:val="hybridMultilevel"/>
    <w:lvl w:ilvl="0">
      <w:lvlJc w:val="left"/>
      <w:lvlText w:val="(%1)"/>
      <w:numFmt w:val="lowerLetter"/>
      <w:start w:val="35"/>
    </w:lvl>
    <w:lvl w:ilvl="1">
      <w:lvlJc w:val="left"/>
      <w:lvlText w:val="%2"/>
      <w:numFmt w:val="lowerLetter"/>
      <w:start w:val="1"/>
    </w:lvl>
  </w:abstractNum>
  <w:abstractNum w:abstractNumId="187">
    <w:nsid w:val="63F37E85"/>
    <w:multiLevelType w:val="hybridMultilevel"/>
    <w:lvl w:ilvl="0">
      <w:lvlJc w:val="left"/>
      <w:lvlText w:val="(%1)"/>
      <w:numFmt w:val="lowerLetter"/>
      <w:start w:val="2"/>
    </w:lvl>
  </w:abstractNum>
  <w:abstractNum w:abstractNumId="188">
    <w:nsid w:val="5895F5FA"/>
    <w:multiLevelType w:val="hybridMultilevel"/>
    <w:lvl w:ilvl="0">
      <w:lvlJc w:val="left"/>
      <w:lvlText w:val="(%1)"/>
      <w:numFmt w:val="lowerRoman"/>
      <w:start w:val="1"/>
    </w:lvl>
  </w:abstractNum>
  <w:abstractNum w:abstractNumId="189">
    <w:nsid w:val="38A5D054"/>
    <w:multiLevelType w:val="hybridMultilevel"/>
    <w:lvl w:ilvl="0">
      <w:lvlJc w:val="left"/>
      <w:lvlText w:val="(%1)"/>
      <w:numFmt w:val="lowerLetter"/>
      <w:start w:val="2"/>
    </w:lvl>
  </w:abstractNum>
  <w:abstractNum w:abstractNumId="190">
    <w:nsid w:val="F3F09D8"/>
    <w:multiLevelType w:val="hybridMultilevel"/>
    <w:lvl w:ilvl="0">
      <w:lvlJc w:val="left"/>
      <w:lvlText w:val="(%1)"/>
      <w:numFmt w:val="lowerLetter"/>
      <w:start w:val="3"/>
    </w:lvl>
    <w:lvl w:ilvl="1">
      <w:lvlJc w:val="left"/>
      <w:lvlText w:val="(%2)"/>
      <w:numFmt w:val="lowerRoman"/>
      <w:start w:val="1"/>
    </w:lvl>
  </w:abstractNum>
  <w:abstractNum w:abstractNumId="191">
    <w:nsid w:val="4B793735"/>
    <w:multiLevelType w:val="hybridMultilevel"/>
    <w:lvl w:ilvl="0">
      <w:lvlJc w:val="left"/>
      <w:lvlText w:val="(%1)"/>
      <w:numFmt w:val="lowerLetter"/>
      <w:start w:val="2"/>
    </w:lvl>
  </w:abstractNum>
  <w:abstractNum w:abstractNumId="192">
    <w:nsid w:val="4A10B4E8"/>
    <w:multiLevelType w:val="hybridMultilevel"/>
    <w:lvl w:ilvl="0">
      <w:lvlJc w:val="left"/>
      <w:lvlText w:val="(%1)"/>
      <w:numFmt w:val="lowerLetter"/>
      <w:start w:val="3"/>
    </w:lvl>
  </w:abstractNum>
  <w:abstractNum w:abstractNumId="193">
    <w:nsid w:val="43D3BCD4"/>
    <w:multiLevelType w:val="hybridMultilevel"/>
    <w:lvl w:ilvl="0">
      <w:lvlJc w:val="left"/>
      <w:lvlText w:val="(%1)"/>
      <w:numFmt w:val="lowerRoman"/>
      <w:start w:val="2"/>
    </w:lvl>
  </w:abstractNum>
  <w:abstractNum w:abstractNumId="194">
    <w:nsid w:val="4C2A7166"/>
    <w:multiLevelType w:val="hybridMultilevel"/>
    <w:lvl w:ilvl="0">
      <w:lvlJc w:val="left"/>
      <w:lvlText w:val="(%1)"/>
      <w:numFmt w:val="lowerRoman"/>
      <w:start w:val="3"/>
    </w:lvl>
  </w:abstractNum>
  <w:abstractNum w:abstractNumId="195">
    <w:nsid w:val="2E534A8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6">
    <w:nsid w:val="26F2D364"/>
    <w:multiLevelType w:val="hybridMultilevel"/>
    <w:lvl w:ilvl="0">
      <w:lvlJc w:val="left"/>
      <w:lvlText w:val="%1"/>
      <w:numFmt w:val="lowerRoman"/>
      <w:start w:val="1"/>
    </w:lvl>
    <w:lvl w:ilvl="1">
      <w:lvlJc w:val="left"/>
      <w:lvlText w:val="(%2)"/>
      <w:numFmt w:val="upperLetter"/>
      <w:start w:val="2"/>
    </w:lvl>
  </w:abstractNum>
  <w:abstractNum w:abstractNumId="197">
    <w:nsid w:val="71C1AF98"/>
    <w:multiLevelType w:val="hybridMultilevel"/>
    <w:lvl w:ilvl="0">
      <w:lvlJc w:val="left"/>
      <w:lvlText w:val="(%1)"/>
      <w:numFmt w:val="lowerRoman"/>
      <w:start w:val="4"/>
    </w:lvl>
    <w:lvl w:ilvl="1">
      <w:lvlJc w:val="left"/>
      <w:lvlText w:val="%2"/>
      <w:numFmt w:val="upperLetter"/>
      <w:start w:val="1"/>
    </w:lvl>
  </w:abstractNum>
  <w:abstractNum w:abstractNumId="198">
    <w:nsid w:val="3D00B9D9"/>
    <w:multiLevelType w:val="hybridMultilevel"/>
    <w:lvl w:ilvl="0">
      <w:lvlJc w:val="left"/>
      <w:lvlText w:val="(%1)"/>
      <w:numFmt w:val="lowerLetter"/>
      <w:start w:val="3"/>
    </w:lvl>
  </w:abstractNum>
  <w:abstractNum w:abstractNumId="199">
    <w:nsid w:val="15BCABA8"/>
    <w:multiLevelType w:val="hybridMultilevel"/>
    <w:lvl w:ilvl="0">
      <w:lvlJc w:val="left"/>
      <w:lvlText w:val="(%1)"/>
      <w:numFmt w:val="lowerLetter"/>
      <w:start w:val="5"/>
    </w:lvl>
  </w:abstractNum>
  <w:abstractNum w:abstractNumId="200">
    <w:nsid w:val="4E0B9A87"/>
    <w:multiLevelType w:val="hybridMultilevel"/>
    <w:lvl w:ilvl="0">
      <w:lvlJc w:val="left"/>
      <w:lvlText w:val="(%1)"/>
      <w:numFmt w:val="lowerLetter"/>
      <w:start w:val="2"/>
    </w:lvl>
  </w:abstractNum>
  <w:abstractNum w:abstractNumId="201">
    <w:nsid w:val="434BAE75"/>
    <w:multiLevelType w:val="hybridMultilevel"/>
    <w:lvl w:ilvl="0">
      <w:lvlJc w:val="left"/>
      <w:lvlText w:val="(%1)"/>
      <w:numFmt w:val="lowerLetter"/>
      <w:start w:val="3"/>
    </w:lvl>
  </w:abstractNum>
  <w:abstractNum w:abstractNumId="202">
    <w:nsid w:val="4F38F265"/>
    <w:multiLevelType w:val="hybridMultilevel"/>
    <w:lvl w:ilvl="0">
      <w:lvlJc w:val="left"/>
      <w:lvlText w:val="(%1)"/>
      <w:numFmt w:val="lowerLetter"/>
      <w:start w:val="1"/>
    </w:lvl>
    <w:lvl w:ilvl="1">
      <w:lvlJc w:val="left"/>
      <w:lvlText w:val="(%2)"/>
      <w:numFmt w:val="lowerRoman"/>
      <w:start w:val="1"/>
    </w:lvl>
  </w:abstractNum>
  <w:abstractNum w:abstractNumId="203">
    <w:nsid w:val="4C502870"/>
    <w:multiLevelType w:val="hybridMultilevel"/>
    <w:lvl w:ilvl="0">
      <w:lvlJc w:val="left"/>
      <w:lvlText w:val="(%1)"/>
      <w:numFmt w:val="lowerLetter"/>
      <w:start w:val="1"/>
    </w:lvl>
  </w:abstractNum>
  <w:abstractNum w:abstractNumId="204">
    <w:nsid w:val="1DE8725A"/>
    <w:multiLevelType w:val="hybridMultilevel"/>
    <w:lvl w:ilvl="0">
      <w:lvlJc w:val="left"/>
      <w:lvlText w:val="(%1)"/>
      <w:numFmt w:val="lowerRoman"/>
      <w:start w:val="1"/>
    </w:lvl>
  </w:abstractNum>
  <w:abstractNum w:abstractNumId="205">
    <w:nsid w:val="6A37288A"/>
    <w:multiLevelType w:val="hybridMultilevel"/>
    <w:lvl w:ilvl="0">
      <w:lvlJc w:val="left"/>
      <w:lvlText w:val="(%1)"/>
      <w:numFmt w:val="lowerLetter"/>
      <w:start w:val="1"/>
    </w:lvl>
  </w:abstractNum>
  <w:abstractNum w:abstractNumId="206">
    <w:nsid w:val="8F8B73F"/>
    <w:multiLevelType w:val="hybridMultilevel"/>
    <w:lvl w:ilvl="0">
      <w:lvlJc w:val="left"/>
      <w:lvlText w:val="(%1)"/>
      <w:numFmt w:val="lowerLetter"/>
      <w:start w:val="5"/>
    </w:lvl>
  </w:abstractNum>
  <w:abstractNum w:abstractNumId="207">
    <w:nsid w:val="CA6B462"/>
    <w:multiLevelType w:val="hybridMultilevel"/>
    <w:lvl w:ilvl="0">
      <w:lvlJc w:val="left"/>
      <w:lvlText w:val="%1."/>
      <w:numFmt w:val="decimal"/>
      <w:start w:val="1"/>
    </w:lvl>
    <w:lvl w:ilvl="1">
      <w:lvlJc w:val="left"/>
      <w:lvlText w:val="(%2)"/>
      <w:numFmt w:val="lowerLetter"/>
      <w:start w:val="1"/>
    </w:lvl>
  </w:abstractNum>
  <w:abstractNum w:abstractNumId="208">
    <w:nsid w:val="763CB680"/>
    <w:multiLevelType w:val="hybridMultilevel"/>
    <w:lvl w:ilvl="0">
      <w:lvlJc w:val="left"/>
      <w:lvlText w:val="%1."/>
      <w:numFmt w:val="decimal"/>
      <w:start w:val="1"/>
    </w:lvl>
    <w:lvl w:ilvl="1">
      <w:lvlJc w:val="left"/>
      <w:lvlText w:val="(%2)"/>
      <w:numFmt w:val="lowerLetter"/>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59" Type="http://schemas.openxmlformats.org/officeDocument/2006/relationships/hyperlink" Target="http://www.sec.gov/Archives/edgar/data/104889/000095015717000514/ex2-1.htm" TargetMode="External"/><Relationship Id="rId60" Type="http://schemas.openxmlformats.org/officeDocument/2006/relationships/hyperlink" Target="http://www.sec.gov/Archives/edgar/data/104889/000095013304000785/w94191exv3w1.htm" TargetMode="External"/><Relationship Id="rId61" Type="http://schemas.openxmlformats.org/officeDocument/2006/relationships/hyperlink" Target="http://www.sec.gov/Archives/edgar/data/104889/000095015713000428/ex3-1.htm" TargetMode="External"/><Relationship Id="rId62" Type="http://schemas.openxmlformats.org/officeDocument/2006/relationships/hyperlink" Target="http://www.sec.gov/Archives/edgar/data/104889/000095015713000428/ex3-2.htm" TargetMode="External"/><Relationship Id="rId63" Type="http://schemas.openxmlformats.org/officeDocument/2006/relationships/hyperlink" Target="http://www.sec.gov/Archives/edgar/data/104889/000095015718000572/ex4-1.htm" TargetMode="External"/><Relationship Id="rId64" Type="http://schemas.openxmlformats.org/officeDocument/2006/relationships/hyperlink" Target="https://www.sec.gov/Archives/edgar/data/104889/000010488920000031/dex42.htm" TargetMode="External"/><Relationship Id="rId65" Type="http://schemas.openxmlformats.org/officeDocument/2006/relationships/hyperlink" Target="http://www.sec.gov/Archives/edgar/data/104889/000010488920000007/dex42.htm" TargetMode="External"/><Relationship Id="rId66" Type="http://schemas.openxmlformats.org/officeDocument/2006/relationships/hyperlink" Target="https://www.sec.gov/Archives/edgar/data/104889/000010488918000036/dex42.htm" TargetMode="External"/><Relationship Id="rId67" Type="http://schemas.openxmlformats.org/officeDocument/2006/relationships/hyperlink" Target="http://www.sec.gov/Archives/edgar/data/104889/000095015718000360/ex10-1.htm" TargetMode="External"/><Relationship Id="rId68" Type="http://schemas.openxmlformats.org/officeDocument/2006/relationships/hyperlink" Target="http://www.sec.gov/Archives/edgar/data/104889/000010488919000037/dex101.htm" TargetMode="External"/><Relationship Id="rId69" Type="http://schemas.openxmlformats.org/officeDocument/2006/relationships/hyperlink" Target="http://www.sec.gov/Archives/edgar/data/104889/000010488916000088/dex101.htm" TargetMode="External"/><Relationship Id="rId70" Type="http://schemas.openxmlformats.org/officeDocument/2006/relationships/hyperlink" Target="http://www.sec.gov/Archives/edgar/data/104889/000010488914000013/dex103.htm" TargetMode="External"/><Relationship Id="rId71" Type="http://schemas.openxmlformats.org/officeDocument/2006/relationships/hyperlink" Target="http://www.sec.gov/Archives/edgar/data/104889/000010488915000017/dex104.htm" TargetMode="External"/><Relationship Id="rId72" Type="http://schemas.openxmlformats.org/officeDocument/2006/relationships/hyperlink" Target="http://www.sec.gov/Archives/edgar/data/104889/000010488914000013/dex104.htm" TargetMode="External"/><Relationship Id="rId75" Type="http://schemas.openxmlformats.org/officeDocument/2006/relationships/hyperlink" Target="http://www.sec.gov/Archives/edgar/data/104889/000010488915000017/dex106.htm" TargetMode="External"/><Relationship Id="rId76" Type="http://schemas.openxmlformats.org/officeDocument/2006/relationships/hyperlink" Target="http://www.sec.gov/Archives/edgar/data/104889/000010488915000032/dex101.htm" TargetMode="External"/><Relationship Id="rId77" Type="http://schemas.openxmlformats.org/officeDocument/2006/relationships/hyperlink" Target="http://www.sec.gov/Archives/edgar/data/104889/000010488919000013/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2022-02-25T08:08:13Z</dcterms:created>
  <dcterms:modified xsi:type="dcterms:W3CDTF">2022-02-25T08:08:13Z</dcterms:modified>
</cp:coreProperties>
</file>