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2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0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ind w:right="300"/>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and “emerging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6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24, 2026:</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3,343,083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Expense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673,799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647,507</w:t>
            </w:r>
          </w:p>
        </w:tc>
        <w:tc>
          <w:tcPr>
            <w:tcW w:w="0" w:type="dxa"/>
            <w:vAlign w:val="bottom"/>
          </w:tcPr>
          <w:p>
            <w:pPr>
              <w:spacing w:after="0"/>
              <w:rPr>
                <w:sz w:val="1"/>
                <w:szCs w:val="1"/>
                <w:color w:val="auto"/>
              </w:rPr>
            </w:pPr>
          </w:p>
        </w:tc>
      </w:tr>
      <w:tr>
        <w:trPr>
          <w:trHeight w:val="233"/>
        </w:trPr>
        <w:tc>
          <w:tcPr>
            <w:tcW w:w="8640" w:type="dxa"/>
            <w:vAlign w:val="bottom"/>
          </w:tcPr>
          <w:p>
            <w:pPr>
              <w:ind w:left="20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562,193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518,408</w:t>
            </w:r>
          </w:p>
        </w:tc>
        <w:tc>
          <w:tcPr>
            <w:tcW w:w="0" w:type="dxa"/>
            <w:vAlign w:val="bottom"/>
          </w:tcPr>
          <w:p>
            <w:pPr>
              <w:spacing w:after="0"/>
              <w:rPr>
                <w:sz w:val="1"/>
                <w:szCs w:val="1"/>
                <w:color w:val="auto"/>
              </w:rPr>
            </w:pPr>
          </w:p>
        </w:tc>
      </w:tr>
      <w:tr>
        <w:trPr>
          <w:trHeight w:val="220"/>
        </w:trPr>
        <w:tc>
          <w:tcPr>
            <w:tcW w:w="8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1,235,992</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1,165,915</w:t>
            </w:r>
          </w:p>
        </w:tc>
        <w:tc>
          <w:tcPr>
            <w:tcW w:w="0" w:type="dxa"/>
            <w:vAlign w:val="bottom"/>
          </w:tcPr>
          <w:p>
            <w:pPr>
              <w:spacing w:after="0"/>
              <w:rPr>
                <w:sz w:val="1"/>
                <w:szCs w:val="1"/>
                <w:color w:val="auto"/>
              </w:rPr>
            </w:pPr>
          </w:p>
        </w:tc>
      </w:tr>
      <w:tr>
        <w:trPr>
          <w:trHeight w:val="222"/>
        </w:trPr>
        <w:tc>
          <w:tcPr>
            <w:tcW w:w="864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394,993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386,136</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462,207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433,222</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277,481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270,706</w:t>
            </w: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18,394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20,554</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6,055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7,824</w:t>
            </w:r>
          </w:p>
        </w:tc>
        <w:tc>
          <w:tcPr>
            <w:tcW w:w="0" w:type="dxa"/>
            <w:vAlign w:val="bottom"/>
          </w:tcPr>
          <w:p>
            <w:pPr>
              <w:spacing w:after="0"/>
              <w:rPr>
                <w:sz w:val="1"/>
                <w:szCs w:val="1"/>
                <w:color w:val="auto"/>
              </w:rPr>
            </w:pPr>
          </w:p>
        </w:tc>
      </w:tr>
      <w:tr>
        <w:trPr>
          <w:trHeight w:val="233"/>
        </w:trPr>
        <w:tc>
          <w:tcPr>
            <w:tcW w:w="8640" w:type="dxa"/>
            <w:vAlign w:val="bottom"/>
          </w:tcPr>
          <w:p>
            <w:pPr>
              <w:ind w:left="200"/>
              <w:spacing w:after="0"/>
              <w:rPr>
                <w:sz w:val="20"/>
                <w:szCs w:val="20"/>
                <w:color w:val="auto"/>
              </w:rPr>
            </w:pPr>
            <w:r>
              <w:rPr>
                <w:rFonts w:ascii="Arial" w:cs="Arial" w:eastAsia="Arial" w:hAnsi="Arial"/>
                <w:sz w:val="16"/>
                <w:szCs w:val="16"/>
                <w:color w:val="auto"/>
              </w:rPr>
              <w:t>Impairment of goodwill and asset group held for sale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19,029</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1,178,159</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1,118,442</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57,833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47,473</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Equity in earnings (losses) of affiliates,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34,850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(8,428)</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2,475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(16,229)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(82,277)</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31,073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34,617</w:t>
            </w: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(68,923)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43,801</w:t>
            </w: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40,651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33,621</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9,900</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30,751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25,721</w:t>
            </w:r>
          </w:p>
        </w:tc>
        <w:tc>
          <w:tcPr>
            <w:tcW w:w="0" w:type="dxa"/>
            <w:vAlign w:val="bottom"/>
          </w:tcPr>
          <w:p>
            <w:pPr>
              <w:spacing w:after="0"/>
              <w:rPr>
                <w:sz w:val="1"/>
                <w:szCs w:val="1"/>
                <w:color w:val="auto"/>
              </w:rPr>
            </w:pPr>
          </w:p>
        </w:tc>
      </w:tr>
      <w:tr>
        <w:trPr>
          <w:trHeight w:val="233"/>
        </w:trPr>
        <w:tc>
          <w:tcPr>
            <w:tcW w:w="8640" w:type="dxa"/>
            <w:vAlign w:val="bottom"/>
          </w:tcPr>
          <w:p>
            <w:pPr>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27"/>
        </w:trPr>
        <w:tc>
          <w:tcPr>
            <w:tcW w:w="8640" w:type="dxa"/>
            <w:vAlign w:val="bottom"/>
          </w:tcPr>
          <w:p>
            <w:pPr>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29,106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23,894</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6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4,331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29"/>
        </w:trPr>
        <w:tc>
          <w:tcPr>
            <w:tcW w:w="8640" w:type="dxa"/>
            <w:vAlign w:val="bottom"/>
          </w:tcPr>
          <w:p>
            <w:pPr>
              <w:ind w:left="20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30"/>
        </w:trPr>
        <w:tc>
          <w:tcPr>
            <w:tcW w:w="8640" w:type="dxa"/>
            <w:vAlign w:val="bottom"/>
          </w:tcPr>
          <w:p>
            <w:pPr>
              <w:ind w:left="20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4,375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0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9000" w:type="dxa"/>
            <w:vAlign w:val="bottom"/>
          </w:tcPr>
          <w:p>
            <w:pPr>
              <w:spacing w:after="0"/>
              <w:rPr>
                <w:sz w:val="20"/>
                <w:szCs w:val="20"/>
                <w:color w:val="auto"/>
              </w:rPr>
            </w:pPr>
            <w:r>
              <w:rPr>
                <w:rFonts w:ascii="Arial" w:cs="Arial" w:eastAsia="Arial" w:hAnsi="Arial"/>
                <w:sz w:val="14"/>
                <w:szCs w:val="14"/>
                <w:color w:val="auto"/>
              </w:rPr>
              <w:t>(in thousands)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30,751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25,721</w:t>
            </w:r>
          </w:p>
        </w:tc>
      </w:tr>
      <w:tr>
        <w:trPr>
          <w:trHeight w:val="688"/>
        </w:trPr>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(6,248)</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14,267</w:t>
            </w:r>
          </w:p>
        </w:tc>
      </w:tr>
      <w:tr>
        <w:trPr>
          <w:trHeight w:val="459"/>
        </w:trPr>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33"/>
        </w:trPr>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r>
      <w:tr>
        <w:trPr>
          <w:trHeight w:val="220"/>
        </w:trPr>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(754)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(898)</w:t>
            </w:r>
          </w:p>
        </w:tc>
      </w:tr>
      <w:tr>
        <w:trPr>
          <w:trHeight w:val="233"/>
        </w:trPr>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626</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r>
      <w:tr>
        <w:trPr>
          <w:trHeight w:val="220"/>
        </w:trPr>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(6,376)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12,690</w:t>
            </w:r>
          </w:p>
        </w:tc>
      </w:tr>
      <w:tr>
        <w:trPr>
          <w:trHeight w:val="233"/>
        </w:trPr>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23"/>
        </w:trPr>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(6,342)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13,096</w:t>
            </w:r>
          </w:p>
        </w:tc>
      </w:tr>
      <w:tr>
        <w:trPr>
          <w:trHeight w:val="220"/>
        </w:trPr>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24,409</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38,817</w:t>
            </w:r>
          </w:p>
        </w:tc>
      </w:tr>
      <w:tr>
        <w:trPr>
          <w:trHeight w:val="233"/>
        </w:trPr>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r>
      <w:tr>
        <w:trPr>
          <w:trHeight w:val="223"/>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22,764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36,990</w:t>
            </w:r>
          </w:p>
        </w:tc>
      </w:tr>
      <w:tr>
        <w:trPr>
          <w:trHeight w:val="24"/>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60" w:type="dxa"/>
            <w:vAlign w:val="bottom"/>
          </w:tcPr>
          <w:p>
            <w:pPr>
              <w:jc w:val="center"/>
              <w:ind w:right="204"/>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18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204"/>
              <w:spacing w:after="0"/>
              <w:rPr>
                <w:sz w:val="20"/>
                <w:szCs w:val="20"/>
                <w:color w:val="auto"/>
              </w:rPr>
            </w:pPr>
            <w:r>
              <w:rPr>
                <w:rFonts w:ascii="Arial" w:cs="Arial" w:eastAsia="Arial" w:hAnsi="Arial"/>
                <w:sz w:val="13"/>
                <w:szCs w:val="13"/>
                <w:b w:val="1"/>
                <w:bCs w:val="1"/>
                <w:color w:val="auto"/>
              </w:rPr>
              <w:t>(Unaudited)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135,676</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266,988</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63,439</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44,417</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972,701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1,088,970</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520,482</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576,754</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306,892</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303,370</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Prepaid expenses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135,826</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124,875</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14,788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15,447</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Other current assets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10,011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10,274</w:t>
            </w:r>
          </w:p>
        </w:tc>
        <w:tc>
          <w:tcPr>
            <w:tcW w:w="0" w:type="dxa"/>
            <w:vAlign w:val="bottom"/>
          </w:tcPr>
          <w:p>
            <w:pPr>
              <w:spacing w:after="0"/>
              <w:rPr>
                <w:sz w:val="1"/>
                <w:szCs w:val="1"/>
                <w:color w:val="auto"/>
              </w:rPr>
            </w:pPr>
          </w:p>
        </w:tc>
      </w:tr>
      <w:tr>
        <w:trPr>
          <w:trHeight w:val="214"/>
        </w:trPr>
        <w:tc>
          <w:tcPr>
            <w:tcW w:w="8240" w:type="dxa"/>
            <w:vAlign w:val="bottom"/>
          </w:tcPr>
          <w:p>
            <w:pPr>
              <w:ind w:left="220"/>
              <w:spacing w:after="0"/>
              <w:rPr>
                <w:sz w:val="20"/>
                <w:szCs w:val="20"/>
                <w:color w:val="auto"/>
              </w:rPr>
            </w:pPr>
            <w:r>
              <w:rPr>
                <w:rFonts w:ascii="Arial" w:cs="Arial" w:eastAsia="Arial" w:hAnsi="Arial"/>
                <w:sz w:val="15"/>
                <w:szCs w:val="15"/>
                <w:color w:val="auto"/>
              </w:rPr>
              <w:t>Current assets held for sale (includes $28,801 of cash and $6,041 of restricted cash)</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49,140</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24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2,208,955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2,431,095</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576,348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587,434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Lease Right-of-Use Assets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387,163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404,818</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237,053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229,565</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1,599,489</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1,585,666</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Indefinite-Lived Intangible Assets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170,321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170,805</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55,115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61,631</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2,792,300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2,772,394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9,913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9,690</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129,683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142,615</w:t>
            </w:r>
          </w:p>
        </w:tc>
        <w:tc>
          <w:tcPr>
            <w:tcW w:w="0" w:type="dxa"/>
            <w:vAlign w:val="bottom"/>
          </w:tcPr>
          <w:p>
            <w:pPr>
              <w:spacing w:after="0"/>
              <w:rPr>
                <w:sz w:val="1"/>
                <w:szCs w:val="1"/>
                <w:color w:val="auto"/>
              </w:rPr>
            </w:pPr>
          </w:p>
        </w:tc>
      </w:tr>
      <w:tr>
        <w:trPr>
          <w:trHeight w:val="214"/>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Noncurrent Assets Held for Sale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14,149</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8,180,489</w:t>
            </w: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8,395,713</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8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Accounts payable, vehicle floor plan payable and accrued liabilities</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627,428</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721,626</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361,621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411,651</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7,368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8,995</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Mandatorily redeemable noncontrolling interest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6,033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6,874</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Current portion of lease liabilities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58,581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64,290</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107,098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175,138</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Dividends declared</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8,198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8240" w:type="dxa"/>
            <w:vAlign w:val="bottom"/>
          </w:tcPr>
          <w:p>
            <w:pPr>
              <w:ind w:left="220"/>
              <w:spacing w:after="0"/>
              <w:rPr>
                <w:sz w:val="20"/>
                <w:szCs w:val="20"/>
                <w:color w:val="auto"/>
              </w:rPr>
            </w:pPr>
            <w:r>
              <w:rPr>
                <w:rFonts w:ascii="Arial" w:cs="Arial" w:eastAsia="Arial" w:hAnsi="Arial"/>
                <w:sz w:val="15"/>
                <w:szCs w:val="15"/>
                <w:color w:val="auto"/>
              </w:rPr>
              <w:t>Current liabilities held for sale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56,002</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24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1,232,329</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1,388,574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131,641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135,323</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28,122</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28,639</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896,992</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890,984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1,603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1,527</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Lease Liabilities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365,847</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377,897</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714,884</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705,618</w:t>
            </w:r>
          </w:p>
        </w:tc>
        <w:tc>
          <w:tcPr>
            <w:tcW w:w="0" w:type="dxa"/>
            <w:vAlign w:val="bottom"/>
          </w:tcPr>
          <w:p>
            <w:pPr>
              <w:spacing w:after="0"/>
              <w:rPr>
                <w:sz w:val="1"/>
                <w:szCs w:val="1"/>
                <w:color w:val="auto"/>
              </w:rPr>
            </w:pPr>
          </w:p>
        </w:tc>
      </w:tr>
      <w:tr>
        <w:trPr>
          <w:trHeight w:val="214"/>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 Held for Sale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12,347</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3,383,765</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3,528,562</w:t>
            </w:r>
          </w:p>
        </w:tc>
        <w:tc>
          <w:tcPr>
            <w:tcW w:w="0" w:type="dxa"/>
            <w:vAlign w:val="bottom"/>
          </w:tcPr>
          <w:p>
            <w:pPr>
              <w:spacing w:after="0"/>
              <w:rPr>
                <w:sz w:val="1"/>
                <w:szCs w:val="1"/>
                <w:color w:val="auto"/>
              </w:rPr>
            </w:pPr>
          </w:p>
        </w:tc>
      </w:tr>
      <w:tr>
        <w:trPr>
          <w:trHeight w:val="198"/>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14)</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29,920</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39,824</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Preferred Stock</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17"/>
                <w:szCs w:val="17"/>
                <w:color w:val="auto"/>
              </w:rPr>
            </w:pPr>
          </w:p>
        </w:tc>
        <w:tc>
          <w:tcPr>
            <w:tcW w:w="12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20,000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346,943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379,896</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8,305,389</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8,292,681</w:t>
            </w:r>
          </w:p>
        </w:tc>
        <w:tc>
          <w:tcPr>
            <w:tcW w:w="0" w:type="dxa"/>
            <w:vAlign w:val="bottom"/>
          </w:tcPr>
          <w:p>
            <w:pPr>
              <w:spacing w:after="0"/>
              <w:rPr>
                <w:sz w:val="1"/>
                <w:szCs w:val="1"/>
                <w:color w:val="auto"/>
              </w:rPr>
            </w:pPr>
          </w:p>
        </w:tc>
      </w:tr>
      <w:tr>
        <w:trPr>
          <w:trHeight w:val="208"/>
        </w:trPr>
        <w:tc>
          <w:tcPr>
            <w:tcW w:w="8240" w:type="dxa"/>
            <w:vAlign w:val="bottom"/>
          </w:tcPr>
          <w:p>
            <w:pPr>
              <w:ind w:left="22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19"/>
                <w:szCs w:val="19"/>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b w:val="1"/>
                <w:bCs w:val="1"/>
                <w:color w:val="auto"/>
              </w:rPr>
              <w:t>(18,510)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(12,262)</w:t>
            </w:r>
          </w:p>
        </w:tc>
        <w:tc>
          <w:tcPr>
            <w:tcW w:w="0" w:type="dxa"/>
            <w:vAlign w:val="bottom"/>
          </w:tcPr>
          <w:p>
            <w:pPr>
              <w:spacing w:after="0"/>
              <w:rPr>
                <w:sz w:val="1"/>
                <w:szCs w:val="1"/>
                <w:color w:val="auto"/>
              </w:rPr>
            </w:pPr>
          </w:p>
        </w:tc>
      </w:tr>
      <w:tr>
        <w:trPr>
          <w:trHeight w:val="216"/>
        </w:trPr>
        <w:tc>
          <w:tcPr>
            <w:tcW w:w="824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auto"/>
              </w:rPr>
              <w:t>600,507</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601,064</w:t>
            </w:r>
          </w:p>
        </w:tc>
        <w:tc>
          <w:tcPr>
            <w:tcW w:w="0" w:type="dxa"/>
            <w:vAlign w:val="bottom"/>
          </w:tcPr>
          <w:p>
            <w:pPr>
              <w:spacing w:after="0"/>
              <w:rPr>
                <w:sz w:val="1"/>
                <w:szCs w:val="1"/>
                <w:color w:val="auto"/>
              </w:rPr>
            </w:pPr>
          </w:p>
        </w:tc>
      </w:tr>
      <w:tr>
        <w:trPr>
          <w:trHeight w:val="216"/>
        </w:trPr>
        <w:tc>
          <w:tcPr>
            <w:tcW w:w="824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2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b w:val="1"/>
                <w:bCs w:val="1"/>
                <w:color w:val="auto"/>
              </w:rPr>
              <w:t>(1,259)</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(1,722)</w:t>
            </w:r>
          </w:p>
        </w:tc>
        <w:tc>
          <w:tcPr>
            <w:tcW w:w="0" w:type="dxa"/>
            <w:vAlign w:val="bottom"/>
          </w:tcPr>
          <w:p>
            <w:pPr>
              <w:spacing w:after="0"/>
              <w:rPr>
                <w:sz w:val="1"/>
                <w:szCs w:val="1"/>
                <w:color w:val="auto"/>
              </w:rPr>
            </w:pPr>
          </w:p>
        </w:tc>
      </w:tr>
      <w:tr>
        <w:trPr>
          <w:trHeight w:val="214"/>
        </w:trPr>
        <w:tc>
          <w:tcPr>
            <w:tcW w:w="8240" w:type="dxa"/>
            <w:vAlign w:val="bottom"/>
          </w:tcPr>
          <w:p>
            <w:pPr>
              <w:ind w:left="220"/>
              <w:spacing w:after="0"/>
              <w:rPr>
                <w:sz w:val="20"/>
                <w:szCs w:val="20"/>
                <w:color w:val="auto"/>
              </w:rPr>
            </w:pPr>
            <w:r>
              <w:rPr>
                <w:rFonts w:ascii="Arial" w:cs="Arial" w:eastAsia="Arial" w:hAnsi="Arial"/>
                <w:sz w:val="15"/>
                <w:szCs w:val="15"/>
                <w:color w:val="auto"/>
              </w:rPr>
              <w:t>Cost of Class B common stock held in treasury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(4,520,318)</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(4,485,632)</w:t>
            </w:r>
          </w:p>
        </w:tc>
        <w:tc>
          <w:tcPr>
            <w:tcW w:w="0" w:type="dxa"/>
            <w:vAlign w:val="bottom"/>
          </w:tcPr>
          <w:p>
            <w:pPr>
              <w:spacing w:after="0"/>
              <w:rPr>
                <w:sz w:val="1"/>
                <w:szCs w:val="1"/>
                <w:color w:val="auto"/>
              </w:rPr>
            </w:pPr>
          </w:p>
        </w:tc>
      </w:tr>
      <w:tr>
        <w:trPr>
          <w:trHeight w:val="210"/>
        </w:trPr>
        <w:tc>
          <w:tcPr>
            <w:tcW w:w="824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4,732,752</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4,794,025</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5"/>
                <w:szCs w:val="15"/>
                <w:b w:val="1"/>
                <w:bCs w:val="1"/>
                <w:color w:val="auto"/>
              </w:rPr>
              <w:t>Noncontrolling Interests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34,052</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33,302</w:t>
            </w:r>
          </w:p>
        </w:tc>
        <w:tc>
          <w:tcPr>
            <w:tcW w:w="0" w:type="dxa"/>
            <w:vAlign w:val="bottom"/>
          </w:tcPr>
          <w:p>
            <w:pPr>
              <w:spacing w:after="0"/>
              <w:rPr>
                <w:sz w:val="1"/>
                <w:szCs w:val="1"/>
                <w:color w:val="auto"/>
              </w:rPr>
            </w:pPr>
          </w:p>
        </w:tc>
      </w:tr>
      <w:tr>
        <w:trPr>
          <w:trHeight w:val="209"/>
        </w:trPr>
        <w:tc>
          <w:tcPr>
            <w:tcW w:w="824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4,766,804</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4,827,327</w:t>
            </w:r>
          </w:p>
        </w:tc>
        <w:tc>
          <w:tcPr>
            <w:tcW w:w="0" w:type="dxa"/>
            <w:vAlign w:val="bottom"/>
          </w:tcPr>
          <w:p>
            <w:pPr>
              <w:spacing w:after="0"/>
              <w:rPr>
                <w:sz w:val="1"/>
                <w:szCs w:val="1"/>
                <w:color w:val="auto"/>
              </w:rPr>
            </w:pPr>
          </w:p>
        </w:tc>
      </w:tr>
      <w:tr>
        <w:trPr>
          <w:trHeight w:val="209"/>
        </w:trPr>
        <w:tc>
          <w:tcPr>
            <w:tcW w:w="824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8,180,489</w:t>
            </w: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8,395,713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6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68"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30,751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25,721</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asset group held for sale impairment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43,478</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28,378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14,814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14,103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(20,401)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(23,253)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68,923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(43,801)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loss on disposition of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1,496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1,224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4,379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(8,466)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12,241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2,743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48,469</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16,550</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(2,155)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35,808</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(74,385)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(72,779)</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(13,640)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3,443</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(1,148)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(14,945)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(7,337)</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(10,647)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48,946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67,732</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46,014</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49,994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(19,171)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(15,482)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(18,162)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(3,698)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667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870</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10,500</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(18,590)</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borrowings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(68,210)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(34,143)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(17,340)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(11,972)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(7,139)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(8,200)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(7,813)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repayments of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(4,291)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(32,301)</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Principal payments of finance 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(4,441)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(3,235)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(188,253)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(867)</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(152,095)</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(121,727)</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(77,448)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(90,915)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311,405</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297,853</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233,957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206,938</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6"/>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220" w:type="dxa"/>
            <w:vAlign w:val="bottom"/>
          </w:tcPr>
          <w:p>
            <w:pPr>
              <w:spacing w:after="0"/>
              <w:rPr>
                <w:sz w:val="10"/>
                <w:szCs w:val="10"/>
                <w:color w:val="auto"/>
              </w:rPr>
            </w:pPr>
          </w:p>
        </w:tc>
        <w:tc>
          <w:tcPr>
            <w:tcW w:w="82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0"/>
                <w:szCs w:val="10"/>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1"/>
                <w:szCs w:val="11"/>
                <w:color w:val="auto"/>
                <w:w w:val="96"/>
              </w:rPr>
              <w:t>Noncontrolling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color w:val="auto"/>
                <w:w w:val="96"/>
              </w:rPr>
              <w:t>Redeemable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2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ind w:right="98"/>
              <w:spacing w:after="0" w:line="108" w:lineRule="exact"/>
              <w:rPr>
                <w:sz w:val="20"/>
                <w:szCs w:val="20"/>
                <w:color w:val="auto"/>
              </w:rPr>
            </w:pPr>
            <w:r>
              <w:rPr>
                <w:rFonts w:ascii="Arial" w:cs="Arial" w:eastAsia="Arial" w:hAnsi="Arial"/>
                <w:sz w:val="11"/>
                <w:szCs w:val="11"/>
                <w:color w:val="auto"/>
                <w:w w:val="96"/>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77"/>
              <w:spacing w:after="0" w:line="108" w:lineRule="exact"/>
              <w:rPr>
                <w:sz w:val="20"/>
                <w:szCs w:val="20"/>
                <w:color w:val="auto"/>
              </w:rPr>
            </w:pPr>
            <w:r>
              <w:rPr>
                <w:rFonts w:ascii="Arial" w:cs="Arial" w:eastAsia="Arial" w:hAnsi="Arial"/>
                <w:sz w:val="11"/>
                <w:szCs w:val="11"/>
                <w:color w:val="auto"/>
                <w:w w:val="96"/>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20" w:type="dxa"/>
            <w:vAlign w:val="bottom"/>
          </w:tcPr>
          <w:p>
            <w:pPr>
              <w:jc w:val="right"/>
              <w:ind w:right="298"/>
              <w:spacing w:after="0"/>
              <w:rPr>
                <w:sz w:val="20"/>
                <w:szCs w:val="20"/>
                <w:color w:val="auto"/>
              </w:rPr>
            </w:pPr>
            <w:r>
              <w:rPr>
                <w:rFonts w:ascii="Arial" w:cs="Arial" w:eastAsia="Arial" w:hAnsi="Arial"/>
                <w:sz w:val="11"/>
                <w:szCs w:val="11"/>
                <w:color w:val="auto"/>
              </w:rPr>
              <w:t>Income</w:t>
            </w: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3"/>
                <w:szCs w:val="13"/>
                <w:color w:val="auto"/>
              </w:rPr>
            </w:pPr>
          </w:p>
        </w:tc>
        <w:tc>
          <w:tcPr>
            <w:tcW w:w="860" w:type="dxa"/>
            <w:vAlign w:val="bottom"/>
          </w:tcPr>
          <w:p>
            <w:pPr>
              <w:jc w:val="right"/>
              <w:ind w:right="256"/>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80" w:type="dxa"/>
            <w:vAlign w:val="bottom"/>
          </w:tcPr>
          <w:p>
            <w:pPr>
              <w:jc w:val="right"/>
              <w:ind w:right="213"/>
              <w:spacing w:after="0"/>
              <w:rPr>
                <w:sz w:val="20"/>
                <w:szCs w:val="20"/>
                <w:color w:val="auto"/>
              </w:rPr>
            </w:pPr>
            <w:r>
              <w:rPr>
                <w:rFonts w:ascii="Arial" w:cs="Arial" w:eastAsia="Arial" w:hAnsi="Arial"/>
                <w:sz w:val="11"/>
                <w:szCs w:val="11"/>
                <w:color w:val="auto"/>
                <w:w w:val="99"/>
              </w:rPr>
              <w:t>Total Equity</w:t>
            </w:r>
          </w:p>
        </w:tc>
        <w:tc>
          <w:tcPr>
            <w:tcW w:w="180" w:type="dxa"/>
            <w:vAlign w:val="bottom"/>
          </w:tcPr>
          <w:p>
            <w:pPr>
              <w:spacing w:after="0"/>
              <w:rPr>
                <w:sz w:val="13"/>
                <w:szCs w:val="13"/>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color w:val="auto"/>
                <w:w w:val="97"/>
              </w:rPr>
              <w:t>Interest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As of December 31, 2025</w:t>
            </w:r>
          </w:p>
        </w:tc>
        <w:tc>
          <w:tcPr>
            <w:tcW w:w="16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tcPr>
          <w:p>
            <w:pPr>
              <w:ind w:left="8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379,896</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8,292,681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587,080</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(4,485,632)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33,302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4,827,327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39,824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rPr>
              <w:t>30,751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30,751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(699)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699</w:t>
            </w:r>
          </w:p>
        </w:tc>
        <w:tc>
          <w:tcPr>
            <w:tcW w:w="1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(946)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(946)</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(8,225)</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(8,229)</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(884)</w:t>
            </w: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(884)</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(16,398)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(16,398)</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(34,476)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(34,476)</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 restricted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(252)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224</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(28)</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award forfeitures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(434)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(434)</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1,525</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1,525</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Purchase of noncontrolling interest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(26,001)</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939</w:t>
            </w: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(25,062)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(6,342)</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(6,342)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Purchase of redeemable noncontrolling interests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2026</w:t>
            </w:r>
          </w:p>
        </w:tc>
        <w:tc>
          <w:tcPr>
            <w:tcW w:w="1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346,943</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8,305,389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580,738</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(4,520,318)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34,052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4,766,804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7"/>
                <w:szCs w:val="17"/>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220" w:type="dxa"/>
            <w:vAlign w:val="bottom"/>
          </w:tcPr>
          <w:p>
            <w:pPr>
              <w:spacing w:after="0"/>
              <w:rPr>
                <w:sz w:val="17"/>
                <w:szCs w:val="17"/>
                <w:color w:val="auto"/>
              </w:rPr>
            </w:pPr>
          </w:p>
        </w:tc>
        <w:tc>
          <w:tcPr>
            <w:tcW w:w="820" w:type="dxa"/>
            <w:vAlign w:val="bottom"/>
            <w:vMerge w:val="restart"/>
          </w:tcPr>
          <w:p>
            <w:pPr>
              <w:jc w:val="right"/>
              <w:ind w:right="236"/>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7"/>
                <w:szCs w:val="17"/>
                <w:color w:val="auto"/>
              </w:rPr>
            </w:pPr>
          </w:p>
        </w:tc>
        <w:tc>
          <w:tcPr>
            <w:tcW w:w="860" w:type="dxa"/>
            <w:vAlign w:val="bottom"/>
            <w:vMerge w:val="restart"/>
          </w:tcPr>
          <w:p>
            <w:pPr>
              <w:jc w:val="right"/>
              <w:ind w:right="76"/>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37"/>
              <w:spacing w:after="0"/>
              <w:rPr>
                <w:sz w:val="20"/>
                <w:szCs w:val="20"/>
                <w:color w:val="auto"/>
              </w:rPr>
            </w:pPr>
            <w:r>
              <w:rPr>
                <w:rFonts w:ascii="Arial" w:cs="Arial" w:eastAsia="Arial" w:hAnsi="Arial"/>
                <w:sz w:val="11"/>
                <w:szCs w:val="11"/>
                <w:color w:val="auto"/>
                <w:w w:val="96"/>
              </w:rPr>
              <w:t>Redeemable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6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37"/>
              <w:spacing w:after="0" w:line="108" w:lineRule="exact"/>
              <w:rPr>
                <w:sz w:val="20"/>
                <w:szCs w:val="20"/>
                <w:color w:val="auto"/>
              </w:rPr>
            </w:pPr>
            <w:r>
              <w:rPr>
                <w:rFonts w:ascii="Arial" w:cs="Arial" w:eastAsia="Arial" w:hAnsi="Arial"/>
                <w:sz w:val="11"/>
                <w:szCs w:val="11"/>
                <w:color w:val="auto"/>
                <w:w w:val="96"/>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Income</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color w:val="auto"/>
              </w:rPr>
              <w:t>Stock</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color w:val="auto"/>
                <w:w w:val="97"/>
              </w:rPr>
              <w:t>Interest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As of December 31, 2024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356,919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8,031,750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334,797</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(4,486,805)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30,154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4,286,815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for the period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25,721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25,721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1,129</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(698)</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634</w:t>
            </w: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634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180</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180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(747)</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(747)</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(15,662)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(15,662)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Repurchase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(3,468)</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(3,468)</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award forfeitures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9,431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9,141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18,572</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Shares withheld related to net share settlement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(402)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option 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1,724</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1,724</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13,096</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13,096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As of March 31, 2025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368,074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8,039,982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347,893</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(4,481,534)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31,350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4,325,765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 w:name="page8"/>
    <w:bookmarkEnd w:id="7"/>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healthcare, manufacturing, automotive dealerships and other businesses.</w:t>
      </w:r>
    </w:p>
    <w:p>
      <w:pPr>
        <w:spacing w:after="0" w:line="9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Through Kaplan, Inc. (Kaplan), the Company provides a wide variety of educational services to students, schools, colleges, universities and businesses, both domestically and outside the United States (U.S.). Kaplan’s educational services include academic preparation programs</w:t>
      </w:r>
    </w:p>
    <w:p>
      <w:pPr>
        <w:spacing w:after="0" w:line="1" w:lineRule="exact"/>
        <w:rPr>
          <w:sz w:val="20"/>
          <w:szCs w:val="20"/>
          <w:color w:val="auto"/>
        </w:rPr>
      </w:pPr>
    </w:p>
    <w:p>
      <w:pPr>
        <w:jc w:val="both"/>
        <w:ind w:right="200"/>
        <w:spacing w:after="0" w:line="231" w:lineRule="auto"/>
        <w:rPr>
          <w:sz w:val="20"/>
          <w:szCs w:val="20"/>
          <w:color w:val="auto"/>
        </w:rPr>
      </w:pPr>
      <w:r>
        <w:rPr>
          <w:rFonts w:ascii="Arial" w:cs="Arial" w:eastAsia="Arial" w:hAnsi="Arial"/>
          <w:sz w:val="18"/>
          <w:szCs w:val="18"/>
          <w:color w:val="auto"/>
        </w:rPr>
        <w:t>for international students; English-language programs; operations support services for pre-college, certificate, undergraduate and graduate programs; exam preparation for high school and graduate students and for professional certifications and licensures; career and academic advisement services to businesses; and a United Kingdom (U.K.) sixth-form college that prepares students for A-level examinations.</w:t>
      </w:r>
    </w:p>
    <w:p>
      <w:pPr>
        <w:spacing w:after="0" w:line="113" w:lineRule="exact"/>
        <w:rPr>
          <w:sz w:val="20"/>
          <w:szCs w:val="20"/>
          <w:color w:val="auto"/>
        </w:rPr>
      </w:pPr>
    </w:p>
    <w:p>
      <w:pPr>
        <w:ind w:right="580"/>
        <w:spacing w:after="0" w:line="245"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ind w:right="280"/>
        <w:spacing w:after="0" w:line="226" w:lineRule="auto"/>
        <w:rPr>
          <w:sz w:val="20"/>
          <w:szCs w:val="20"/>
          <w:color w:val="auto"/>
        </w:rPr>
      </w:pPr>
      <w:r>
        <w:rPr>
          <w:rFonts w:ascii="Arial" w:cs="Arial" w:eastAsia="Arial" w:hAnsi="Arial"/>
          <w:sz w:val="18"/>
          <w:szCs w:val="18"/>
          <w:color w:val="auto"/>
        </w:rPr>
        <w:t>The Company’s healthcare division provides in-home specialty pharmacy infusion therapies; home health, hospice and palliative services; physician services for allergy, asthma and immunology patients; in-home aesthetics; applied behavior analysis therapy; and healthcare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software-as-a-service technology.</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Company’s manufacturing companies include a supplier of pressure-treated wood and aluminum cladding products,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72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and an online commerce platform featuring original art and designs on an array of consumer products.</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February 1, 2026, Kaplan entered into a Share Purchase Agreement to sell its Kaplan Languages Group (KLG) business, consisting of more than 20 language schools in eight countries. The transaction is expected to close on May 1, 2026.</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2"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2026 and 2025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2025.</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0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color w:val="auto"/>
        </w:rPr>
        <w:t xml:space="preserve">Use of Estimates in the Preparation of the Condensed Consolidated Financial Statements </w:t>
      </w:r>
      <w:r>
        <w:rPr>
          <w:rFonts w:ascii="Arial" w:cs="Arial" w:eastAsia="Arial" w:hAnsi="Arial"/>
          <w:sz w:val="17"/>
          <w:szCs w:val="17"/>
          <w:color w:val="auto"/>
        </w:rPr>
        <w:t>– The preparation of the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in conformity with GAAP requires management to make estimates and judgments that affect the amounts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reported herein. Management bases its estimates and assumptions on historical experience and on various other factors that are believed to be reasonable under the circumstances. Due to the inherent uncertainty involved in making estimates, actual results reported in future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periods may be affected by changes in those estimates.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 An asset or business is classified as held for sale when (i) management commits to a plan to sell the asset or</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business; (ii) the asset or business is available for immediate sale in its present condition; (iii) the asset or business is actively marketed for sale at a reasonable price; (iv) the sale is expected to be completed within one year; and (v) it is unlikely significant changes to the plan will</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be made or that the plan will be withdrawn. The assets and related liabilities are aggregated and reported separately in the Company’s Condensed Consolidated Financial Statements (see Note 2).</w:t>
      </w:r>
    </w:p>
    <w:p>
      <w:pPr>
        <w:spacing w:after="0" w:line="104"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 In November 2024, the Financial Accounting Standards Board (FASB)</w:t>
      </w:r>
      <w:r>
        <w:rPr>
          <w:rFonts w:ascii="Arial" w:cs="Arial" w:eastAsia="Arial" w:hAnsi="Arial"/>
          <w:sz w:val="17"/>
          <w:szCs w:val="17"/>
          <w:b w:val="1"/>
          <w:bCs w:val="1"/>
          <w:color w:val="auto"/>
        </w:rPr>
        <w:t xml:space="preserve"> </w:t>
      </w:r>
      <w:r>
        <w:rPr>
          <w:rFonts w:ascii="Arial" w:cs="Arial" w:eastAsia="Arial" w:hAnsi="Arial"/>
          <w:sz w:val="17"/>
          <w:szCs w:val="17"/>
          <w:color w:val="auto"/>
        </w:rPr>
        <w:t>issued new guidance that requires disclosures about certain significant expense categories including inventory purchases, employee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compensation, depreciation, amortization, and selling expenses. The guidance is effective for fiscal years beginning after December 15, 2026, and interim periods within fiscal years beginning after December 15, 2027. Early adoption is permitted. The Company is in the process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evaluating the impact of this new guidance on the disclosures within its Condensed Consolidated Financial Statements.</w:t>
      </w:r>
    </w:p>
    <w:p>
      <w:pPr>
        <w:spacing w:after="0" w:line="140"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In September 2025, FASB issued new guidance which updates the accounting for internal-use software by removing references to software development project stages and adding new criteria to determine when an entity is required to start capitalizing internal-use software costs.</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guidance is effective for fiscal years and interim periods beginning after December 15, 2027. Early adoption is permitted. The Company is in the process of evaluating the impact of this new guidance on its Condensed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March 2026, the Company acquired one small business which is included in other healthcare businesses. The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of the company acquired were recorded at their estimated fair values at the date of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 Company acquired five businesses: one in education, two in other healthcare businesses, one in manufacturing and one in</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automotive for $71.2 million in cash and the assumption of floor plan payables and $107.5 million in net pension obligations.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2025, Kaplan acquired one small business which is included in its supplemental education division.</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July 2025, Hoover acquired 100% of Arconic Architectural Products, LLC, a wholly-owned subsidiary of Arconic Corporation, which manufactures aluminum cladding products and operates within the broader non-residential materials space from its facility in Eastman, GA. A</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significant portion of the purchase price was funded by the Company’s assumption of certain pension obligations. The acquisition expands Hoover’s product offerings and is included in manufacturing.</w:t>
      </w:r>
    </w:p>
    <w:p>
      <w:pPr>
        <w:spacing w:after="0" w:line="104" w:lineRule="exact"/>
        <w:rPr>
          <w:sz w:val="20"/>
          <w:szCs w:val="20"/>
          <w:color w:val="auto"/>
        </w:rPr>
      </w:pPr>
    </w:p>
    <w:p>
      <w:pPr>
        <w:ind w:right="560"/>
        <w:spacing w:after="0" w:line="359" w:lineRule="auto"/>
        <w:rPr>
          <w:sz w:val="20"/>
          <w:szCs w:val="20"/>
          <w:color w:val="auto"/>
        </w:rPr>
      </w:pPr>
      <w:r>
        <w:rPr>
          <w:rFonts w:ascii="Arial" w:cs="Arial" w:eastAsia="Arial" w:hAnsi="Arial"/>
          <w:sz w:val="17"/>
          <w:szCs w:val="17"/>
          <w:color w:val="auto"/>
        </w:rPr>
        <w:t>In October 2025, Graham Healthcare Group (GHG) acquired two small businesses which are included in other healthcare businesses. In October 2025, the Company’s automotive subsidiary acquired a Honda automotive dealership, including the real property for the</w:t>
      </w:r>
    </w:p>
    <w:p>
      <w:pPr>
        <w:ind w:right="220"/>
        <w:spacing w:after="0" w:line="226" w:lineRule="auto"/>
        <w:rPr>
          <w:sz w:val="20"/>
          <w:szCs w:val="20"/>
          <w:color w:val="auto"/>
        </w:rPr>
      </w:pPr>
      <w:r>
        <w:rPr>
          <w:rFonts w:ascii="Arial" w:cs="Arial" w:eastAsia="Arial" w:hAnsi="Arial"/>
          <w:sz w:val="18"/>
          <w:szCs w:val="18"/>
          <w:color w:val="auto"/>
        </w:rPr>
        <w:t>dealership operations. In addition to a cash payment and the assumption of $4.9 million in floor plan payables, the automotive subsidiary borrowed $38.7 million under the delayed draw term loan to finance the acquisition (see Note 7). The dealership is operated and managed</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by an entity affiliated with Christopher J. Ourisman, a member of the Ourisman Automotive Group family of dealerships. This acquisition expands the Company’s automotive business operations and is included in automotive.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Acquisition-related costs for the acquisition that closed during the first three months of 2026 were expensed as incurred. The aggregate</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purchase price of the 2025 acquisitions was allocated as follows, based on the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12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December 31, 2025</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11,641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32,731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35,920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3,642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51,943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15,500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41,300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13,947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221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Pension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(107,517)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(4,939)</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(18,371)</w:t>
            </w: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71,235</w:t>
            </w:r>
          </w:p>
        </w:tc>
      </w:tr>
      <w:tr>
        <w:trPr>
          <w:trHeight w:val="20"/>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recorded due to these acquisitions is attributable to the assembled workforces of the acquired companies and expected synergies. The Company expects to deduct $12.4 million of goodwill for income tax purposes for the acquisitions completed in 2025.</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includes the 2025 acquisitions as if they occurred at the beginning of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Pr>
          <w:p>
            <w:pPr>
              <w:jc w:val="right"/>
              <w:ind w:right="484"/>
              <w:spacing w:after="0"/>
              <w:rPr>
                <w:sz w:val="20"/>
                <w:szCs w:val="20"/>
                <w:color w:val="auto"/>
              </w:rPr>
            </w:pPr>
            <w:r>
              <w:rPr>
                <w:rFonts w:ascii="Arial" w:cs="Arial" w:eastAsia="Arial" w:hAnsi="Arial"/>
                <w:sz w:val="14"/>
                <w:szCs w:val="14"/>
                <w:b w:val="1"/>
                <w:bCs w:val="1"/>
                <w:color w:val="auto"/>
              </w:rPr>
              <w:t>Three Months Ended</w:t>
            </w:r>
          </w:p>
        </w:tc>
      </w:tr>
      <w:tr>
        <w:trPr>
          <w:trHeight w:val="205"/>
        </w:trPr>
        <w:tc>
          <w:tcPr>
            <w:tcW w:w="8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March 31</w:t>
            </w:r>
          </w:p>
        </w:tc>
      </w:tr>
      <w:tr>
        <w:trPr>
          <w:trHeight w:val="194"/>
        </w:trPr>
        <w:tc>
          <w:tcPr>
            <w:tcW w:w="8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6"/>
                <w:szCs w:val="16"/>
                <w:color w:val="auto"/>
              </w:rPr>
            </w:pPr>
          </w:p>
        </w:tc>
        <w:tc>
          <w:tcPr>
            <w:tcW w:w="2140" w:type="dxa"/>
            <w:vAlign w:val="bottom"/>
          </w:tcPr>
          <w:p>
            <w:pPr>
              <w:jc w:val="right"/>
              <w:ind w:right="964"/>
              <w:spacing w:after="0"/>
              <w:rPr>
                <w:sz w:val="20"/>
                <w:szCs w:val="20"/>
                <w:color w:val="auto"/>
              </w:rPr>
            </w:pPr>
            <w:r>
              <w:rPr>
                <w:rFonts w:ascii="Arial" w:cs="Arial" w:eastAsia="Arial" w:hAnsi="Arial"/>
                <w:sz w:val="14"/>
                <w:szCs w:val="14"/>
                <w:color w:val="auto"/>
              </w:rPr>
              <w:t>2025</w:t>
            </w:r>
          </w:p>
        </w:tc>
      </w:tr>
      <w:tr>
        <w:trPr>
          <w:trHeight w:val="22"/>
        </w:trPr>
        <w:tc>
          <w:tcPr>
            <w:tcW w:w="8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08"/>
        </w:trPr>
        <w:tc>
          <w:tcPr>
            <w:tcW w:w="87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
              <w:spacing w:after="0"/>
              <w:rPr>
                <w:sz w:val="20"/>
                <w:szCs w:val="20"/>
                <w:color w:val="auto"/>
              </w:rPr>
            </w:pPr>
            <w:r>
              <w:rPr>
                <w:rFonts w:ascii="Arial" w:cs="Arial" w:eastAsia="Arial" w:hAnsi="Arial"/>
                <w:sz w:val="16"/>
                <w:szCs w:val="16"/>
                <w:color w:val="auto"/>
              </w:rPr>
              <w:t>1,213,392</w:t>
            </w:r>
          </w:p>
        </w:tc>
      </w:tr>
      <w:tr>
        <w:trPr>
          <w:trHeight w:val="229"/>
        </w:trPr>
        <w:tc>
          <w:tcPr>
            <w:tcW w:w="8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9"/>
                <w:szCs w:val="19"/>
                <w:color w:val="auto"/>
              </w:rPr>
            </w:pPr>
          </w:p>
        </w:tc>
        <w:tc>
          <w:tcPr>
            <w:tcW w:w="2140" w:type="dxa"/>
            <w:vAlign w:val="bottom"/>
          </w:tcPr>
          <w:p>
            <w:pPr>
              <w:jc w:val="right"/>
              <w:ind w:right="4"/>
              <w:spacing w:after="0"/>
              <w:rPr>
                <w:sz w:val="20"/>
                <w:szCs w:val="20"/>
                <w:color w:val="auto"/>
              </w:rPr>
            </w:pPr>
            <w:r>
              <w:rPr>
                <w:rFonts w:ascii="Arial" w:cs="Arial" w:eastAsia="Arial" w:hAnsi="Arial"/>
                <w:sz w:val="16"/>
                <w:szCs w:val="16"/>
                <w:color w:val="auto"/>
              </w:rPr>
              <w:t>27,084</w:t>
            </w:r>
          </w:p>
        </w:tc>
      </w:tr>
    </w:tbl>
    <w:p>
      <w:pPr>
        <w:spacing w:after="0" w:line="22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During the first quarter of 2026, Kaplan entered into a Share Purchase Agreement to sell the KLG business,</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which is included in Kaplan international. KLG comprises Kaplan International Languages, Alpadia Language Schools, Azurlingua and English as a second language (ESL) Education. As a result, the Company classified the assets and liabilities of KLG as held for sale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Consolidated Balance Sheet as of March 31, 2026. The sale is expected to close on May 1, 2026.</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60"/>
        <w:spacing w:after="0" w:line="271" w:lineRule="auto"/>
        <w:rPr>
          <w:sz w:val="20"/>
          <w:szCs w:val="20"/>
          <w:color w:val="auto"/>
        </w:rPr>
      </w:pPr>
      <w:r>
        <w:rPr>
          <w:rFonts w:ascii="Arial" w:cs="Arial" w:eastAsia="Arial" w:hAnsi="Arial"/>
          <w:sz w:val="18"/>
          <w:szCs w:val="18"/>
          <w:color w:val="auto"/>
        </w:rPr>
        <w:t>The carrying amounts of the major classes of assets and liabilities of the KLG disposal group classified as held for sale as of March 31, 2026 are as follows:</w:t>
      </w:r>
    </w:p>
    <w:p>
      <w:pPr>
        <w:sectPr>
          <w:pgSz w:w="11900" w:h="16838" w:orient="portrait"/>
          <w:cols w:equalWidth="0" w:num="1">
            <w:col w:w="11240"/>
          </w:cols>
          <w:pgMar w:left="320" w:top="931" w:right="339" w:bottom="1440" w:gutter="0" w:footer="0" w:header="0"/>
        </w:sect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Accounts receivable,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Prepaid expenses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current assets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 Held for Sale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 right-of-use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Amortized intangible assets,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charges and other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Valuation allowance on assets held for sale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Assets Held for Sale</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Accounts payable and accrued liabilities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revenue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taxes payable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portion of lease liabilities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 Held for Sale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liabilities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 liabilities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Liabilities Held for Sale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940"/>
              <w:spacing w:after="0"/>
              <w:rPr>
                <w:sz w:val="20"/>
                <w:szCs w:val="20"/>
                <w:color w:val="auto"/>
              </w:rPr>
            </w:pPr>
            <w:r>
              <w:rPr>
                <w:rFonts w:ascii="Arial" w:cs="Arial" w:eastAsia="Arial" w:hAnsi="Arial"/>
                <w:sz w:val="14"/>
                <w:szCs w:val="14"/>
                <w:b w:val="1"/>
                <w:bCs w:val="1"/>
                <w:color w:val="auto"/>
              </w:rPr>
              <w:t>As of</w:t>
            </w:r>
          </w:p>
        </w:tc>
      </w:tr>
      <w:tr>
        <w:trPr>
          <w:trHeight w:val="201"/>
        </w:trPr>
        <w:tc>
          <w:tcPr>
            <w:tcW w:w="380" w:type="dxa"/>
            <w:vAlign w:val="bottom"/>
          </w:tcPr>
          <w:p>
            <w:pPr>
              <w:spacing w:after="0"/>
              <w:rPr>
                <w:sz w:val="17"/>
                <w:szCs w:val="17"/>
                <w:color w:val="auto"/>
              </w:rPr>
            </w:pPr>
          </w:p>
        </w:tc>
        <w:tc>
          <w:tcPr>
            <w:tcW w:w="2000" w:type="dxa"/>
            <w:vAlign w:val="bottom"/>
          </w:tcPr>
          <w:p>
            <w:pPr>
              <w:jc w:val="right"/>
              <w:ind w:right="600"/>
              <w:spacing w:after="0"/>
              <w:rPr>
                <w:sz w:val="20"/>
                <w:szCs w:val="20"/>
                <w:color w:val="auto"/>
              </w:rPr>
            </w:pPr>
            <w:r>
              <w:rPr>
                <w:rFonts w:ascii="Arial" w:cs="Arial" w:eastAsia="Arial" w:hAnsi="Arial"/>
                <w:sz w:val="14"/>
                <w:szCs w:val="14"/>
                <w:b w:val="1"/>
                <w:bCs w:val="1"/>
                <w:color w:val="auto"/>
              </w:rPr>
              <w:t>March 31, 2026</w:t>
            </w:r>
          </w:p>
        </w:tc>
      </w:tr>
      <w:tr>
        <w:trPr>
          <w:trHeight w:val="251"/>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28,801</w:t>
            </w:r>
          </w:p>
        </w:tc>
      </w:tr>
      <w:tr>
        <w:trPr>
          <w:trHeight w:val="230"/>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6,041</w:t>
            </w:r>
          </w:p>
        </w:tc>
      </w:tr>
      <w:tr>
        <w:trPr>
          <w:trHeight w:val="229"/>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7,779</w:t>
            </w:r>
          </w:p>
        </w:tc>
      </w:tr>
      <w:tr>
        <w:trPr>
          <w:trHeight w:val="229"/>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5,934</w:t>
            </w:r>
          </w:p>
        </w:tc>
      </w:tr>
      <w:tr>
        <w:trPr>
          <w:trHeight w:val="233"/>
        </w:trPr>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w:t>
            </w:r>
          </w:p>
        </w:tc>
      </w:tr>
      <w:tr>
        <w:trPr>
          <w:trHeight w:val="223"/>
        </w:trPr>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49,140</w:t>
            </w:r>
          </w:p>
        </w:tc>
      </w:tr>
      <w:tr>
        <w:trPr>
          <w:trHeight w:val="220"/>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8,106</w:t>
            </w:r>
          </w:p>
        </w:tc>
      </w:tr>
      <w:tr>
        <w:trPr>
          <w:trHeight w:val="229"/>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19,772</w:t>
            </w:r>
          </w:p>
        </w:tc>
      </w:tr>
      <w:tr>
        <w:trPr>
          <w:trHeight w:val="230"/>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458</w:t>
            </w:r>
          </w:p>
        </w:tc>
      </w:tr>
      <w:tr>
        <w:trPr>
          <w:trHeight w:val="229"/>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2,400</w:t>
            </w:r>
          </w:p>
        </w:tc>
      </w:tr>
      <w:tr>
        <w:trPr>
          <w:trHeight w:val="233"/>
        </w:trPr>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(16,587)</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14,149</w:t>
            </w:r>
          </w:p>
        </w:tc>
      </w:tr>
      <w:tr>
        <w:trPr>
          <w:trHeight w:val="259"/>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18,877</w:t>
            </w:r>
          </w:p>
        </w:tc>
      </w:tr>
      <w:tr>
        <w:trPr>
          <w:trHeight w:val="229"/>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31,696</w:t>
            </w:r>
          </w:p>
        </w:tc>
      </w:tr>
      <w:tr>
        <w:trPr>
          <w:trHeight w:val="230"/>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233"/>
        </w:trPr>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5,464</w:t>
            </w:r>
          </w:p>
        </w:tc>
      </w:tr>
      <w:tr>
        <w:trPr>
          <w:trHeight w:val="223"/>
        </w:trPr>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56,002</w:t>
            </w:r>
          </w:p>
        </w:tc>
      </w:tr>
      <w:tr>
        <w:trPr>
          <w:trHeight w:val="220"/>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1,768</w:t>
            </w:r>
          </w:p>
        </w:tc>
      </w:tr>
      <w:tr>
        <w:trPr>
          <w:trHeight w:val="229"/>
        </w:trPr>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(3,545)</w:t>
            </w:r>
          </w:p>
        </w:tc>
      </w:tr>
      <w:tr>
        <w:trPr>
          <w:trHeight w:val="233"/>
        </w:trPr>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14,124</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12,347</w:t>
            </w:r>
          </w:p>
        </w:tc>
      </w:tr>
    </w:tbl>
    <w:p>
      <w:pPr>
        <w:spacing w:after="0" w:line="200" w:lineRule="exact"/>
        <w:rPr>
          <w:sz w:val="20"/>
          <w:szCs w:val="20"/>
          <w:color w:val="auto"/>
        </w:rPr>
      </w:pPr>
    </w:p>
    <w:p>
      <w:pPr>
        <w:sectPr>
          <w:pgSz w:w="11900" w:h="16838" w:orient="portrait"/>
          <w:cols w:equalWidth="0" w:num="2">
            <w:col w:w="8140" w:space="720"/>
            <w:col w:w="2380"/>
          </w:cols>
          <w:pgMar w:left="320" w:top="931"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assets and liabilities of a disposal group classified as held for sale at the lower of its carrying value or fair value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less costs to sell. The Company determined that the fair value less costs to sell of the KLG disposal group did not exceed its carrying value. As a result, upon classification of the KLG disposal group as held for sale, the Company recognized total impairment charges of $19.0</w:t>
      </w:r>
    </w:p>
    <w:p>
      <w:pPr>
        <w:spacing w:after="0" w:line="235" w:lineRule="auto"/>
        <w:rPr>
          <w:sz w:val="20"/>
          <w:szCs w:val="20"/>
          <w:color w:val="auto"/>
        </w:rPr>
      </w:pPr>
      <w:r>
        <w:rPr>
          <w:rFonts w:ascii="Arial" w:cs="Arial" w:eastAsia="Arial" w:hAnsi="Arial"/>
          <w:sz w:val="18"/>
          <w:szCs w:val="18"/>
          <w:color w:val="auto"/>
        </w:rPr>
        <w:t>million, consisting of a $1.0 million goodwill impairment charge and an $18.0 million impairment charge related to the asset group held for</w:t>
      </w:r>
    </w:p>
    <w:p>
      <w:pPr>
        <w:ind w:right="280"/>
        <w:spacing w:after="0" w:line="237" w:lineRule="auto"/>
        <w:rPr>
          <w:sz w:val="20"/>
          <w:szCs w:val="20"/>
          <w:color w:val="auto"/>
        </w:rPr>
      </w:pPr>
      <w:r>
        <w:rPr>
          <w:rFonts w:ascii="Arial" w:cs="Arial" w:eastAsia="Arial" w:hAnsi="Arial"/>
          <w:sz w:val="18"/>
          <w:szCs w:val="18"/>
          <w:color w:val="auto"/>
        </w:rPr>
        <w:t>sale. This resulted in the Company recording a $16.6 million valuation allowance in order to reduce the carrying value of the KLG disposal group to its fair value less costs to sell. The Company used a market approach to estimate the fair value of the KLG disposal group.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early September 2025, the Company ceased operations of the Ourisman Jeep of Bethesda dealership.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April 2025, Kaplan completed the sale of a small business, BridgeU Limited, which was included in Kaplan International.</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first half of 2025, World of Good Brands (WGB) completed the sale of various websites and related businesses that made up the WGB operations, which were included in other businesses. All remaining WGB operations were substantially shut down by the end of the third quarter of 2025.</w:t>
      </w:r>
    </w:p>
    <w:p>
      <w:pPr>
        <w:spacing w:after="0" w:line="10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2026, the Company acquired some of the minority-owned shares of CSI Pharmacy Holding Company, LLC</w:t>
      </w:r>
      <w:r>
        <w:rPr>
          <w:rFonts w:ascii="Arial" w:cs="Arial" w:eastAsia="Arial" w:hAnsi="Arial"/>
          <w:sz w:val="18"/>
          <w:szCs w:val="18"/>
          <w:b w:val="1"/>
          <w:bCs w:val="1"/>
          <w:color w:val="auto"/>
        </w:rPr>
        <w:t xml:space="preserve"> </w:t>
      </w:r>
      <w:r>
        <w:rPr>
          <w:rFonts w:ascii="Arial" w:cs="Arial" w:eastAsia="Arial" w:hAnsi="Arial"/>
          <w:sz w:val="18"/>
          <w:szCs w:val="18"/>
          <w:color w:val="auto"/>
        </w:rPr>
        <w:t>(CSI) for a total amount of $41.0 million. The Company paid cash of $16.4 million and entered into promissory notes with the minority owners</w:t>
      </w:r>
    </w:p>
    <w:p>
      <w:pPr>
        <w:ind w:right="180"/>
        <w:spacing w:after="0" w:line="237" w:lineRule="auto"/>
        <w:rPr>
          <w:sz w:val="20"/>
          <w:szCs w:val="20"/>
          <w:color w:val="auto"/>
        </w:rPr>
      </w:pPr>
      <w:r>
        <w:rPr>
          <w:rFonts w:ascii="Arial" w:cs="Arial" w:eastAsia="Arial" w:hAnsi="Arial"/>
          <w:sz w:val="18"/>
          <w:szCs w:val="18"/>
          <w:color w:val="auto"/>
        </w:rPr>
        <w:t>for the remaining $24.6 million at an interest rate of 8% per annum. The notes are included in other indebtedness (see Note 7) and payable in quarterly installments with the final payment due on April 1, 2028. Following the redemption, the Company owns 93.4% of CSI.</w:t>
      </w:r>
    </w:p>
    <w:p>
      <w:pPr>
        <w:spacing w:after="0" w:line="12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January 2026, pursuant to the exercise of a put right, the Company purchased some of the minority-owned interest of Clarus for $1.0 million. Following the redemption, the Company owns 97.5% of Clarus.</w:t>
      </w:r>
    </w:p>
    <w:p>
      <w:pPr>
        <w:spacing w:after="0" w:line="11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October 2025, pursuant to the exercise of a put right, the Company purchased some of the minority-owned interest of Clarus for $0.4 million. Following the redemption, the Company owned 95.75% of Clarus.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July 2025, CSI exercised its call option to purchase some of the minority-owned interest of CSI for $1.8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w:t>
      </w:r>
    </w:p>
    <w:p>
      <w:pPr>
        <w:spacing w:after="0" w:line="14"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mandatorily redeemable noncontrolling interest related to GHC One LLC (GHC One), including CSI, for a total of $205 million, which consisted of approximately $186.25 million in cash and $18.75 million in Graham Holdings Company Class B common stock.</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Company recorded as interest expense in the first quarter of 2025. The remaining mandatorily redeemable noncontrolling interest obligation related to GHC One and GHC Two LLC (GHC Two) was $7.6 million at March 31, 2026, with $6.0 million included in current liabilities due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expected dissolution of GHC One within one year.</w:t>
      </w:r>
    </w:p>
    <w:p>
      <w:pPr>
        <w:spacing w:after="0" w:line="14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In December 2024, the Company acquired some of the minority-owned shares of CSI for a total estimated amount of $2.0 million. The Company paid cash of $0.6 million and entered into a promissory note with the minority owner for the remaining $1.4 million at an interest</w:t>
      </w:r>
    </w:p>
    <w:p>
      <w:pPr>
        <w:spacing w:after="0" w:line="235" w:lineRule="auto"/>
        <w:rPr>
          <w:sz w:val="20"/>
          <w:szCs w:val="20"/>
          <w:color w:val="auto"/>
        </w:rPr>
      </w:pPr>
      <w:r>
        <w:rPr>
          <w:rFonts w:ascii="Arial" w:cs="Arial" w:eastAsia="Arial" w:hAnsi="Arial"/>
          <w:sz w:val="18"/>
          <w:szCs w:val="18"/>
          <w:color w:val="auto"/>
        </w:rPr>
        <w:t>rate of 5.5% per annum. The note was included in other indebtedness (see Note 7) and was due and payable on January 31, 2026.</w:t>
      </w:r>
    </w:p>
    <w:p>
      <w:pPr>
        <w:ind w:right="60"/>
        <w:spacing w:after="0" w:line="226" w:lineRule="auto"/>
        <w:rPr>
          <w:sz w:val="20"/>
          <w:szCs w:val="20"/>
          <w:color w:val="auto"/>
        </w:rPr>
      </w:pPr>
      <w:r>
        <w:rPr>
          <w:rFonts w:ascii="Arial" w:cs="Arial" w:eastAsia="Arial" w:hAnsi="Arial"/>
          <w:sz w:val="18"/>
          <w:szCs w:val="18"/>
          <w:color w:val="auto"/>
        </w:rPr>
        <w:t>Following the redemption, the Company owned 87.5% of CSI. Pursuant to the terms of the purchase agreement, the purchase price was finalized in December 2025, resulting in an additional amount payable of $0.1 million, plus interest at 5.5% per annum, to the minority owner.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note was subsequently paid in the first quarter of 2026.</w:t>
      </w:r>
    </w:p>
    <w:p>
      <w:pPr>
        <w:spacing w:after="0" w:line="14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As of March 31, 2026, the Company holds a controlling financial interest in GHC One and GHC Two and therefore includes the assets, liabilities, results of operations and cash flows in its consolidated financial statements. GHC One acquired Clarus during 2019. GHC Two</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acquired Impact Medical during 2021 and Skin Clique and Surpass in 2022. The Company accounts for the minority ownership of the group of current and former senior managers in GHC One and GHC Two as a mandatorily redeemable noncontrolling interest (see Note 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March 31, 2026 and December 31, 2025, the Company had money market investments of $7.5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$5.3 million, respectively, that are classified as cash and cash equivalents in the Company’s Condensed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00" w:type="dxa"/>
            <w:vAlign w:val="bottom"/>
          </w:tcPr>
          <w:p>
            <w:pPr>
              <w:jc w:val="right"/>
              <w:ind w:right="323"/>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256,059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256,897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736,466</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845,889</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(25,806)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(20,848)</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966,719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1,081,938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At March 31, 2026 and December 31, 2025, the Company owned 55,430 shares in Markel Group Inc. (Markel) valued at $106.1 million and $119.2 million, respectively. The Chief Executive Officer of Markel, Mr. Thomas S. Gayner, is a member of the Company’s Board of Directors.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of March 31, 2026, the Company owned 422 Class A and 481,920 Class B shares in Berkshire Hathaway valued at $534.0 million, which exceeded 5% of the Company’s total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purchased $3.7 million and $4.8 million of marketable equity securities during the first three months of 2026 and 2025,</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respectively. During the first three months of 2026, the gross cumulative realized net gains from the sales of marketable equity securities were $45.5 million. The total proceeds from such sales were $50.0 million. There were no sales of marketable equity securities during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first three months of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net (loss) gain on marketable equity securities comprised the following:</w:t>
      </w:r>
    </w:p>
    <w:p>
      <w:pPr>
        <w:spacing w:after="0" w:line="208"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(Loss) gain on marketable equity securities, net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b w:val="1"/>
                <w:bCs w:val="1"/>
                <w:color w:val="auto"/>
              </w:rPr>
              <w:t>(68,923)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43,801</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Less: Net gains in earnings from marketable equity securities sold</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(2,367)</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unrealized (losses) gains in earnings from marketable equity securities still held at the end of the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(71,290)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43,801</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2026, the Company’s healthcare subsidiary held investments in several affiliates that GHG</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actively manages; GHG held a 40% interest in each of the following affiliates: Residential Home Health Illinois, Residential Hospice Illinois, Mary Free Bed at Home, and Allegheny Health Network Healthcare at Home. For the three months ended March 31, 2026 and 2025,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recorded $4.1 million and $3.8 million, respectively, in revenue for services provided to the affiliates of GHG.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As of March 31, 2026, the Company held a 50.4%, 41.4% and 25.2% interest in N2K Networks, Realm and Intersection, respectively, on a</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fully diluted basis, and accounts for these investments under the equity method. The Company holds two of the five seats of N2K Networks’ governing board with the other shareholders retaining substantive participation rights to control the financial and operating decisions of N2K</w:t>
      </w:r>
    </w:p>
    <w:p>
      <w:pPr>
        <w:spacing w:after="0" w:line="236" w:lineRule="auto"/>
        <w:rPr>
          <w:sz w:val="20"/>
          <w:szCs w:val="20"/>
          <w:color w:val="auto"/>
        </w:rPr>
      </w:pPr>
      <w:r>
        <w:rPr>
          <w:rFonts w:ascii="Arial" w:cs="Arial" w:eastAsia="Arial" w:hAnsi="Arial"/>
          <w:sz w:val="18"/>
          <w:szCs w:val="18"/>
          <w:color w:val="auto"/>
        </w:rPr>
        <w:t>Networks through representation on the board. In May 2024, the Company entered into a convertible promissory note agreement to loan N2K</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Networks $2.0 million. The convertible promissory note bears interest at a rate of 12% per annum and, subject to conversion provisions, all unpaid interest and principal are due by May 2027.</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$46.9 million and $30.0 million in its investment account that represents cumulative undistributed income in its investments in affiliates as of March 31, 2026 and December 31, 2025, respectively.</w:t>
      </w:r>
    </w:p>
    <w:p>
      <w:pPr>
        <w:spacing w:after="0" w:line="8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 outstanding balance on this loan was £18.8 million as of March 31, 2026. The loan is repayable by December 2041.</w:t>
      </w:r>
    </w:p>
    <w:p>
      <w:pPr>
        <w:spacing w:after="0" w:line="10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ind w:right="480"/>
        <w:spacing w:after="0" w:line="237" w:lineRule="auto"/>
        <w:rPr>
          <w:sz w:val="20"/>
          <w:szCs w:val="20"/>
          <w:color w:val="auto"/>
        </w:rPr>
      </w:pPr>
      <w:r>
        <w:rPr>
          <w:rFonts w:ascii="Arial" w:cs="Arial" w:eastAsia="Arial" w:hAnsi="Arial"/>
          <w:sz w:val="18"/>
          <w:szCs w:val="18"/>
          <w:color w:val="auto"/>
        </w:rPr>
        <w:t>identical or similar investments of the same issuer. The carrying value of these investments was $49.4 million as of March 31, 2026 and December 31, 2025, respectively.</w:t>
      </w:r>
    </w:p>
    <w:p>
      <w:pPr>
        <w:spacing w:after="0" w:line="127" w:lineRule="exact"/>
        <w:rPr>
          <w:sz w:val="20"/>
          <w:szCs w:val="20"/>
          <w:color w:val="auto"/>
        </w:rPr>
      </w:pPr>
    </w:p>
    <w:p>
      <w:pPr>
        <w:ind w:right="140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$24,534 and $23,164</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461,970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519,068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58,512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57,686</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520,482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576,754</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 was $1.5 million and $1.1 million for the three months ended March 31, 2026 and 2025,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167,742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181,009</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114,668</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118,959</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131,395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194,972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213,623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226,686</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627,428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721,626</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$0.7 million and $0.6 million are included in accounts payable as of March 31, 2026 and December 31, 2025, respectively.</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and Ford Motor Credit Company. At March 31, 2026, the floor plan facilities bore interest at variable rates that are</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based on Secured Overnight Financing Rate (SOFR) and prime-based interest rates. The weighted average interest rate for the floor plan facilities was 5.7% and 6.3% for the three months ended March 31, 2026 and 2025, respectively. The Company incurred floor plan interest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expense of $1.7 million and $ 2.2 million for the three months ended March 31, 2026 and 2025, respectively. Changes in the vehicle floor plan payable are reported as cash flows from financing activities in the Condensed Consolidated Statements of Cash Flows.</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w:t>
      </w:r>
    </w:p>
    <w:p>
      <w:pPr>
        <w:ind w:right="100"/>
        <w:spacing w:after="0" w:line="237"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March 31, 2026.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w:t>
      </w:r>
    </w:p>
    <w:p>
      <w:pPr>
        <w:spacing w:after="0" w:line="14"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floor plan assistance capitalized in inventory and recorded against cost of goods sold in the Condensed Consolidated Statements of Operations when the associated inventory is sold. For the three months ended March 31, 2026 and 2025, the Company recognized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reduction in cost of goods sold of $1.9 million and $2.0 million, respectively, related to manufacturer floor plan assistance.</w:t>
      </w:r>
    </w:p>
    <w:p>
      <w:pPr>
        <w:spacing w:after="0" w:line="1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of March 31, 2026 and December 31, 2025, the Company had $99.2 million and $105.9 million, respectively, in obligations outstanding related to floor plan facilities associated with new vehicles.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80,855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77,977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13,804</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12,906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208,344</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209,287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3,889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306,892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303,370</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During the first quarter of 2026, in connection with the classification of the KLG disposal group as held for sale, the Company recognized a goodwill impairment charge of $1.0 million at Kaplan International (see Note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for the three months ended March 31, 2026 and 2025, was $6.1 million and $7.8 million, respectively.</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Amortization of intangible assets is estimated to be approximately $17 million for the remainder of 2026, $9 million in 2027, $6 million in 2028, $5 million in 2029, $5 million in 2030 and $13 million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00" w:type="dxa"/>
            <w:vAlign w:val="bottom"/>
          </w:tcPr>
          <w:p>
            <w:pPr>
              <w:spacing w:after="0"/>
              <w:rPr>
                <w:sz w:val="14"/>
                <w:szCs w:val="14"/>
                <w:color w:val="auto"/>
              </w:rPr>
            </w:pPr>
          </w:p>
        </w:tc>
        <w:tc>
          <w:tcPr>
            <w:tcW w:w="104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4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20"/>
              <w:spacing w:after="0"/>
              <w:rPr>
                <w:sz w:val="20"/>
                <w:szCs w:val="20"/>
                <w:color w:val="auto"/>
              </w:rPr>
            </w:pPr>
            <w:r>
              <w:rPr>
                <w:rFonts w:ascii="Arial" w:cs="Arial" w:eastAsia="Arial" w:hAnsi="Arial"/>
                <w:sz w:val="16"/>
                <w:szCs w:val="16"/>
                <w:color w:val="auto"/>
              </w:rPr>
              <w:t>As of December 31, 2025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1,181,284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136,637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272,523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140,832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108,943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2,031,034</w:t>
            </w:r>
          </w:p>
        </w:tc>
        <w:tc>
          <w:tcPr>
            <w:tcW w:w="0" w:type="dxa"/>
            <w:vAlign w:val="bottom"/>
          </w:tcPr>
          <w:p>
            <w:pPr>
              <w:spacing w:after="0"/>
              <w:rPr>
                <w:sz w:val="1"/>
                <w:szCs w:val="1"/>
                <w:color w:val="auto"/>
              </w:rPr>
            </w:pPr>
          </w:p>
        </w:tc>
      </w:tr>
      <w:tr>
        <w:trPr>
          <w:trHeight w:val="190"/>
        </w:trPr>
        <w:tc>
          <w:tcPr>
            <w:tcW w:w="244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(32,155)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(445,368)</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850,133</w:t>
            </w:r>
          </w:p>
        </w:tc>
        <w:tc>
          <w:tcPr>
            <w:tcW w:w="20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136,637</w:t>
            </w:r>
          </w:p>
        </w:tc>
        <w:tc>
          <w:tcPr>
            <w:tcW w:w="2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190,461</w:t>
            </w:r>
          </w:p>
        </w:tc>
        <w:tc>
          <w:tcPr>
            <w:tcW w:w="20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140,832</w:t>
            </w: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76,788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1,585,666</w:t>
            </w:r>
          </w:p>
        </w:tc>
        <w:tc>
          <w:tcPr>
            <w:tcW w:w="0" w:type="dxa"/>
            <w:vAlign w:val="bottom"/>
          </w:tcPr>
          <w:p>
            <w:pPr>
              <w:spacing w:after="0"/>
              <w:rPr>
                <w:sz w:val="1"/>
                <w:szCs w:val="1"/>
                <w:color w:val="auto"/>
              </w:rPr>
            </w:pPr>
          </w:p>
        </w:tc>
      </w:tr>
      <w:tr>
        <w:trPr>
          <w:trHeight w:val="23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Acquisition</w:t>
            </w:r>
          </w:p>
        </w:tc>
        <w:tc>
          <w:tcPr>
            <w:tcW w:w="16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17,996</w:t>
            </w:r>
          </w:p>
        </w:tc>
        <w:tc>
          <w:tcPr>
            <w:tcW w:w="20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17,996</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0" w:type="dxa"/>
            <w:vAlign w:val="bottom"/>
          </w:tcPr>
          <w:p>
            <w:pPr>
              <w:spacing w:after="0"/>
              <w:rPr>
                <w:sz w:val="1"/>
                <w:szCs w:val="1"/>
                <w:color w:val="auto"/>
              </w:rPr>
            </w:pPr>
          </w:p>
        </w:tc>
      </w:tr>
      <w:tr>
        <w:trPr>
          <w:trHeight w:val="182"/>
        </w:trPr>
        <w:tc>
          <w:tcPr>
            <w:tcW w:w="244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(3,197)</w:t>
            </w:r>
          </w:p>
        </w:tc>
        <w:tc>
          <w:tcPr>
            <w:tcW w:w="20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0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(3,197)</w:t>
            </w:r>
          </w:p>
        </w:tc>
        <w:tc>
          <w:tcPr>
            <w:tcW w:w="0" w:type="dxa"/>
            <w:vAlign w:val="bottom"/>
          </w:tcPr>
          <w:p>
            <w:pPr>
              <w:spacing w:after="0"/>
              <w:rPr>
                <w:sz w:val="1"/>
                <w:szCs w:val="1"/>
                <w:color w:val="auto"/>
              </w:rPr>
            </w:pPr>
          </w:p>
        </w:tc>
      </w:tr>
      <w:tr>
        <w:trPr>
          <w:trHeight w:val="224"/>
        </w:trPr>
        <w:tc>
          <w:tcPr>
            <w:tcW w:w="244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1,178,087</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154,633</w:t>
            </w:r>
          </w:p>
        </w:tc>
        <w:tc>
          <w:tcPr>
            <w:tcW w:w="2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272,523</w:t>
            </w:r>
          </w:p>
        </w:tc>
        <w:tc>
          <w:tcPr>
            <w:tcW w:w="20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140,832</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108,943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2,045,833</w:t>
            </w:r>
          </w:p>
        </w:tc>
        <w:tc>
          <w:tcPr>
            <w:tcW w:w="0" w:type="dxa"/>
            <w:vAlign w:val="bottom"/>
          </w:tcPr>
          <w:p>
            <w:pPr>
              <w:spacing w:after="0"/>
              <w:rPr>
                <w:sz w:val="1"/>
                <w:szCs w:val="1"/>
                <w:color w:val="auto"/>
              </w:rPr>
            </w:pPr>
          </w:p>
        </w:tc>
      </w:tr>
      <w:tr>
        <w:trPr>
          <w:trHeight w:val="182"/>
        </w:trPr>
        <w:tc>
          <w:tcPr>
            <w:tcW w:w="244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(332,127)</w:t>
            </w:r>
          </w:p>
        </w:tc>
        <w:tc>
          <w:tcPr>
            <w:tcW w:w="20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20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(32,155)</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(446,344)</w:t>
            </w:r>
          </w:p>
        </w:tc>
        <w:tc>
          <w:tcPr>
            <w:tcW w:w="0" w:type="dxa"/>
            <w:vAlign w:val="bottom"/>
          </w:tcPr>
          <w:p>
            <w:pPr>
              <w:spacing w:after="0"/>
              <w:rPr>
                <w:sz w:val="1"/>
                <w:szCs w:val="1"/>
                <w:color w:val="auto"/>
              </w:rPr>
            </w:pPr>
          </w:p>
        </w:tc>
      </w:tr>
      <w:tr>
        <w:trPr>
          <w:trHeight w:val="226"/>
        </w:trPr>
        <w:tc>
          <w:tcPr>
            <w:tcW w:w="244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845,960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154,633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190,461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140,832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1,599,489</w:t>
            </w: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changes in carrying amount of goodwill at the Company’s education and healthcare divisions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4"/>
                <w:szCs w:val="14"/>
                <w:color w:val="auto"/>
              </w:rPr>
            </w:pPr>
          </w:p>
        </w:tc>
        <w:tc>
          <w:tcPr>
            <w:tcW w:w="1040" w:type="dxa"/>
            <w:vAlign w:val="bottom"/>
          </w:tcPr>
          <w:p>
            <w:pPr>
              <w:jc w:val="right"/>
              <w:ind w:right="321"/>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rPr>
              <w:t>Supplemental</w:t>
            </w:r>
          </w:p>
        </w:tc>
        <w:tc>
          <w:tcPr>
            <w:tcW w:w="2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CSI</w:t>
            </w:r>
          </w:p>
        </w:tc>
        <w:tc>
          <w:tcPr>
            <w:tcW w:w="200" w:type="dxa"/>
            <w:vAlign w:val="bottom"/>
          </w:tcPr>
          <w:p>
            <w:pPr>
              <w:spacing w:after="0"/>
              <w:rPr>
                <w:sz w:val="14"/>
                <w:szCs w:val="14"/>
                <w:color w:val="auto"/>
              </w:rPr>
            </w:pPr>
          </w:p>
        </w:tc>
        <w:tc>
          <w:tcPr>
            <w:tcW w:w="900" w:type="dxa"/>
            <w:vAlign w:val="bottom"/>
          </w:tcPr>
          <w:p>
            <w:pPr>
              <w:jc w:val="right"/>
              <w:ind w:right="24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7"/>
                <w:szCs w:val="17"/>
                <w:color w:val="auto"/>
              </w:rPr>
            </w:pPr>
          </w:p>
        </w:tc>
        <w:tc>
          <w:tcPr>
            <w:tcW w:w="1040" w:type="dxa"/>
            <w:vAlign w:val="bottom"/>
          </w:tcPr>
          <w:p>
            <w:pPr>
              <w:jc w:val="right"/>
              <w:ind w:right="201"/>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7"/>
                <w:szCs w:val="17"/>
                <w:color w:val="auto"/>
              </w:rPr>
            </w:pPr>
          </w:p>
        </w:tc>
        <w:tc>
          <w:tcPr>
            <w:tcW w:w="1180" w:type="dxa"/>
            <w:vAlign w:val="bottom"/>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Education</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4"/>
                <w:szCs w:val="14"/>
                <w:b w:val="1"/>
                <w:bCs w:val="1"/>
                <w:color w:val="auto"/>
              </w:rPr>
              <w:t>Healthcare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4"/>
                <w:szCs w:val="14"/>
                <w:b w:val="1"/>
                <w:bCs w:val="1"/>
                <w:color w:val="auto"/>
              </w:rPr>
              <w:t>Healthcare</w:t>
            </w:r>
          </w:p>
        </w:tc>
        <w:tc>
          <w:tcPr>
            <w:tcW w:w="0" w:type="dxa"/>
            <w:vAlign w:val="bottom"/>
          </w:tcPr>
          <w:p>
            <w:pPr>
              <w:spacing w:after="0"/>
              <w:rPr>
                <w:sz w:val="1"/>
                <w:szCs w:val="1"/>
                <w:color w:val="auto"/>
              </w:rPr>
            </w:pPr>
          </w:p>
        </w:tc>
      </w:tr>
      <w:tr>
        <w:trPr>
          <w:trHeight w:val="215"/>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 of December 31, 2025</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614,096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392,624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1,181,284</w:t>
            </w:r>
          </w:p>
        </w:tc>
        <w:tc>
          <w:tcPr>
            <w:tcW w:w="2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87,140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49,497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136,637</w:t>
            </w:r>
          </w:p>
        </w:tc>
        <w:tc>
          <w:tcPr>
            <w:tcW w:w="0" w:type="dxa"/>
            <w:vAlign w:val="bottom"/>
          </w:tcPr>
          <w:p>
            <w:pPr>
              <w:spacing w:after="0"/>
              <w:rPr>
                <w:sz w:val="1"/>
                <w:szCs w:val="1"/>
                <w:color w:val="auto"/>
              </w:rPr>
            </w:pPr>
          </w:p>
        </w:tc>
      </w:tr>
      <w:tr>
        <w:trPr>
          <w:trHeight w:val="238"/>
        </w:trPr>
        <w:tc>
          <w:tcPr>
            <w:tcW w:w="2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614,096</w:t>
            </w: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0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172,797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850,133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87,140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136,637</w:t>
            </w:r>
          </w:p>
        </w:tc>
        <w:tc>
          <w:tcPr>
            <w:tcW w:w="0" w:type="dxa"/>
            <w:vAlign w:val="bottom"/>
          </w:tcPr>
          <w:p>
            <w:pPr>
              <w:spacing w:after="0"/>
              <w:rPr>
                <w:sz w:val="1"/>
                <w:szCs w:val="1"/>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Acquisition</w:t>
            </w:r>
          </w:p>
        </w:tc>
        <w:tc>
          <w:tcPr>
            <w:tcW w:w="14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17,996</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(976)</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 rate</w:t>
            </w:r>
          </w:p>
        </w:tc>
        <w:tc>
          <w:tcPr>
            <w:tcW w:w="14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(3,168)</w:t>
            </w:r>
          </w:p>
        </w:tc>
        <w:tc>
          <w:tcPr>
            <w:tcW w:w="220" w:type="dxa"/>
            <w:vAlign w:val="bottom"/>
          </w:tcPr>
          <w:p>
            <w:pPr>
              <w:spacing w:after="0"/>
              <w:rPr>
                <w:sz w:val="15"/>
                <w:szCs w:val="15"/>
                <w:color w:val="auto"/>
              </w:rPr>
            </w:pPr>
          </w:p>
        </w:tc>
        <w:tc>
          <w:tcPr>
            <w:tcW w:w="10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(29)</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(3,197)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6"/>
                <w:szCs w:val="16"/>
                <w:b w:val="1"/>
                <w:bCs w:val="1"/>
                <w:color w:val="auto"/>
              </w:rPr>
              <w:t>changes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6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610,928</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392,595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1,178,087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87,140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67,493</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154,633</w:t>
            </w:r>
          </w:p>
        </w:tc>
        <w:tc>
          <w:tcPr>
            <w:tcW w:w="0" w:type="dxa"/>
            <w:vAlign w:val="bottom"/>
          </w:tcPr>
          <w:p>
            <w:pPr>
              <w:spacing w:after="0"/>
              <w:rPr>
                <w:sz w:val="1"/>
                <w:szCs w:val="1"/>
                <w:color w:val="auto"/>
              </w:rPr>
            </w:pPr>
          </w:p>
        </w:tc>
      </w:tr>
      <w:tr>
        <w:trPr>
          <w:trHeight w:val="161"/>
        </w:trPr>
        <w:tc>
          <w:tcPr>
            <w:tcW w:w="2600" w:type="dxa"/>
            <w:vAlign w:val="bottom"/>
          </w:tcPr>
          <w:p>
            <w:pPr>
              <w:ind w:left="220"/>
              <w:spacing w:after="0" w:line="161" w:lineRule="exact"/>
              <w:rPr>
                <w:sz w:val="20"/>
                <w:szCs w:val="20"/>
                <w:color w:val="auto"/>
              </w:rPr>
            </w:pPr>
            <w:r>
              <w:rPr>
                <w:rFonts w:ascii="Arial" w:cs="Arial" w:eastAsia="Arial" w:hAnsi="Arial"/>
                <w:sz w:val="16"/>
                <w:szCs w:val="16"/>
                <w:b w:val="1"/>
                <w:bCs w:val="1"/>
                <w:color w:val="auto"/>
              </w:rPr>
              <w:t>Accumulated impairment</w:t>
            </w:r>
          </w:p>
        </w:tc>
        <w:tc>
          <w:tcPr>
            <w:tcW w:w="14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(976)</w:t>
            </w:r>
          </w:p>
        </w:tc>
        <w:tc>
          <w:tcPr>
            <w:tcW w:w="220" w:type="dxa"/>
            <w:vAlign w:val="bottom"/>
          </w:tcPr>
          <w:p>
            <w:pPr>
              <w:spacing w:after="0"/>
              <w:rPr>
                <w:sz w:val="14"/>
                <w:szCs w:val="14"/>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0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(332,127)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260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609,952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172,768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845,960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67,493</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154,633</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2026</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2025</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4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296,773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259,893</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36,880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307,312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266,453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40,859</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108,127</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93,878</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14,249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114,227</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98,147</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16,080</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16,022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1,378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15,588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30,224</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28,349</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1,875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32,376</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30,293</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38,063</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37,330</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733</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38,063</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37,266</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490,587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435,472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55,115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447,747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61,631</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97,002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97,002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62,169</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62,653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170,321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170,805</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Effective Interest Rate</w:t>
            </w:r>
          </w:p>
        </w:tc>
        <w:tc>
          <w:tcPr>
            <w:tcW w:w="280" w:type="dxa"/>
            <w:vAlign w:val="bottom"/>
          </w:tcPr>
          <w:p>
            <w:pPr>
              <w:spacing w:after="0"/>
              <w:rPr>
                <w:sz w:val="14"/>
                <w:szCs w:val="14"/>
                <w:color w:val="auto"/>
              </w:rPr>
            </w:pPr>
          </w:p>
        </w:tc>
        <w:tc>
          <w:tcPr>
            <w:tcW w:w="1340" w:type="dxa"/>
            <w:vAlign w:val="bottom"/>
          </w:tcPr>
          <w:p>
            <w:pPr>
              <w:jc w:val="right"/>
              <w:ind w:right="42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2033</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w w:val="99"/>
              </w:rPr>
              <w:t>5.625%</w:t>
            </w:r>
          </w:p>
        </w:tc>
        <w:tc>
          <w:tcPr>
            <w:tcW w:w="1780" w:type="dxa"/>
            <w:vAlign w:val="bottom"/>
          </w:tcPr>
          <w:p>
            <w:pPr>
              <w:jc w:val="center"/>
              <w:spacing w:after="0"/>
              <w:rPr>
                <w:sz w:val="20"/>
                <w:szCs w:val="20"/>
                <w:color w:val="auto"/>
              </w:rPr>
            </w:pPr>
            <w:r>
              <w:rPr>
                <w:rFonts w:ascii="Arial" w:cs="Arial" w:eastAsia="Arial" w:hAnsi="Arial"/>
                <w:sz w:val="16"/>
                <w:szCs w:val="16"/>
                <w:color w:val="auto"/>
              </w:rPr>
              <w:t>5.625%</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493,550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493,625</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2030</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5.04% - 7.13%</w:t>
            </w:r>
          </w:p>
        </w:tc>
        <w:tc>
          <w:tcPr>
            <w:tcW w:w="1780" w:type="dxa"/>
            <w:vAlign w:val="bottom"/>
          </w:tcPr>
          <w:p>
            <w:pPr>
              <w:jc w:val="center"/>
              <w:spacing w:after="0"/>
              <w:rPr>
                <w:sz w:val="20"/>
                <w:szCs w:val="20"/>
                <w:color w:val="auto"/>
              </w:rPr>
            </w:pPr>
            <w:r>
              <w:rPr>
                <w:rFonts w:ascii="Arial" w:cs="Arial" w:eastAsia="Arial" w:hAnsi="Arial"/>
                <w:sz w:val="16"/>
                <w:szCs w:val="16"/>
                <w:color w:val="auto"/>
              </w:rPr>
              <w:t>5.13%</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149,115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222,466</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(2)</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5.42% - 5.45%</w:t>
            </w:r>
          </w:p>
        </w:tc>
        <w:tc>
          <w:tcPr>
            <w:tcW w:w="1780" w:type="dxa"/>
            <w:vAlign w:val="bottom"/>
          </w:tcPr>
          <w:p>
            <w:pPr>
              <w:jc w:val="center"/>
              <w:spacing w:after="0"/>
              <w:rPr>
                <w:sz w:val="20"/>
                <w:szCs w:val="20"/>
                <w:color w:val="auto"/>
              </w:rPr>
            </w:pPr>
            <w:r>
              <w:rPr>
                <w:rFonts w:ascii="Arial" w:cs="Arial" w:eastAsia="Arial" w:hAnsi="Arial"/>
                <w:sz w:val="16"/>
                <w:szCs w:val="16"/>
                <w:color w:val="auto"/>
              </w:rPr>
              <w:t>5.49%</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90,596</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91,836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(3)</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6.17% - 6.20%</w:t>
            </w:r>
          </w:p>
        </w:tc>
        <w:tc>
          <w:tcPr>
            <w:tcW w:w="1780" w:type="dxa"/>
            <w:vAlign w:val="bottom"/>
          </w:tcPr>
          <w:p>
            <w:pPr>
              <w:jc w:val="center"/>
              <w:spacing w:after="0"/>
              <w:rPr>
                <w:sz w:val="20"/>
                <w:szCs w:val="20"/>
                <w:color w:val="auto"/>
              </w:rPr>
            </w:pPr>
            <w:r>
              <w:rPr>
                <w:rFonts w:ascii="Arial" w:cs="Arial" w:eastAsia="Arial" w:hAnsi="Arial"/>
                <w:sz w:val="16"/>
                <w:szCs w:val="16"/>
                <w:color w:val="auto"/>
              </w:rPr>
              <w:t>6.24%</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62,153</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64,079</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1"/>
              <w:spacing w:after="0"/>
              <w:rPr>
                <w:sz w:val="20"/>
                <w:szCs w:val="20"/>
                <w:color w:val="auto"/>
              </w:rPr>
            </w:pPr>
            <w:r>
              <w:rPr>
                <w:rFonts w:ascii="Arial" w:cs="Arial" w:eastAsia="Arial" w:hAnsi="Arial"/>
                <w:sz w:val="16"/>
                <w:szCs w:val="16"/>
                <w:color w:val="auto"/>
              </w:rPr>
              <w:t>2026 - 2028</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6.25% - 8.00%</w:t>
            </w:r>
          </w:p>
        </w:tc>
        <w:tc>
          <w:tcPr>
            <w:tcW w:w="1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26,568</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821,982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880,756</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(107,098)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(175,138)</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714,884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705,618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9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$6.4 million of unamortized debt issuance costs as of March 31, 2026 and December 31, 2025.</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2026 and December 31, 2025.</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$0.4 million and $0.5 million of unamortized debt issuance costs as of March 31, 2026 and December 31, 2025, respectively.</w:t>
      </w:r>
    </w:p>
    <w:p>
      <w:pPr>
        <w:spacing w:after="0" w:line="14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On November 24, 2025, the Company issued $500 million of 5.625% unsecured eight-year fixed-rate notes due December 1, 2033 (the Notes). Interest is paid semi-annually on June 1 and December 1. Also on November 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2025, the Company used the net proceeds from the sale of the notes, together with the borrowings under the revolving credit agreement, to</w:t>
      </w:r>
    </w:p>
    <w:p>
      <w:pPr>
        <w:spacing w:after="0" w:line="14" w:lineRule="exact"/>
        <w:rPr>
          <w:sz w:val="20"/>
          <w:szCs w:val="20"/>
          <w:color w:val="auto"/>
        </w:rPr>
      </w:pPr>
    </w:p>
    <w:p>
      <w:pPr>
        <w:ind w:right="280" w:firstLine="8"/>
        <w:spacing w:after="0" w:line="236"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redeem the $400 million of 5.75% unsecured notes due June 1, 2026, (ii) refinance outstanding revolving loans under the existing revolving credit facility, and (iii) repay all amounts outstanding under the Company’s existing $150 million term loan. On October 21, 2025, the automotive subsidiary borrowed $38.7 million under the delayed draw term loan to finance the acquisition of a Honda automotive dealership, including the real property for the dealership operations.</w:t>
      </w:r>
    </w:p>
    <w:p>
      <w:pPr>
        <w:spacing w:after="0" w:line="113"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In combination with the issuance of the Notes, the Company amended and restated the Second Amended and Restated Five Year Credit Agreement, dated as of May 3, 2022, to, among other things, (i) increase the Company’s borrowing capacity by replacing the existing</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revolving commitments with a new revolving credit facility in the aggregate principal amount of $400 million, (ii) extend the maturity of the facility to November 24, 2030, and (iii) increase the letter of credit sublimit to $40 million.</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At March 31, 2026 and December 31, 2025, the fair value of the Company’s 5.625% unsecured notes, based on quoted market prices (Level 2 fair value assessment), totaled $489.5 million and $504.0 million, respectively.</w:t>
      </w:r>
    </w:p>
    <w:p>
      <w:pPr>
        <w:spacing w:after="0" w:line="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outstanding balance on the Company’s $400 million unsecured revolving credit facility was $149.1 million as of March 31, 2026, consisting of U.S. dollar borrowings of $83.0 million with interest payable at SOFR plus 1.375% or prime rate plus 0.375%, and British Pound borrowings of £50 million with interest payable at Daily Sterling Overnight Index Average (SONIA) plus 1.375%.</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March 31, 2026 and December 31, 2025. The Company is in compliance with all financial covenants of the revolving credit facility and term loans as of March 31,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and 2025, the Company had average borrowings outstanding of approximately $892.8</w:t>
      </w:r>
    </w:p>
    <w:p>
      <w:pPr>
        <w:spacing w:after="0" w:line="14"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million and $789.1 million, respectively, at average annual interest rates of approximately 5.7% and 6.0%, respectively. During the three months ended March 31, 2026 and 2025, the Company incurred net interest expense of $13.8 million and $79.8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the Company recorded interest income of $0.7 million to adjust the fair value of the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mandatorily redeemable noncontrolling interest. During the three months ended March 31, 2025, the Company recorded interest expense of $66.4 million to adjust the fair value of the mandatorily redeemable noncontrolling interest. The fair value of the mandatorily redeemable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 was based on the fair value of the underlying subsidiaries owned by GHC One and GHC Two, after taking into account</w:t>
      </w:r>
    </w:p>
    <w:p>
      <w:pPr>
        <w:spacing w:after="0" w:line="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any debt and other noncontrolling interests of its subsidiary investments. The fair value of the owned subsidiaries is determined by reference to either a discounted cash flow or EBITDA multiple, which approximates fair value (Level 3 fair value assessment) (See Note 2 and 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As of March 31, 2026</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7,527</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7,527</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966,719</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966,719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5,982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5,982</w:t>
            </w:r>
          </w:p>
        </w:tc>
        <w:tc>
          <w:tcPr>
            <w:tcW w:w="0" w:type="dxa"/>
            <w:vAlign w:val="bottom"/>
          </w:tcPr>
          <w:p>
            <w:pPr>
              <w:spacing w:after="0"/>
              <w:rPr>
                <w:sz w:val="1"/>
                <w:szCs w:val="1"/>
                <w:color w:val="auto"/>
              </w:rPr>
            </w:pPr>
          </w:p>
        </w:tc>
      </w:tr>
      <w:tr>
        <w:trPr>
          <w:trHeight w:val="223"/>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966,719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13,509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980,228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1,223</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1,223</w:t>
            </w: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1,672</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1,672</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7,636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7,636</w:t>
            </w:r>
          </w:p>
        </w:tc>
        <w:tc>
          <w:tcPr>
            <w:tcW w:w="0" w:type="dxa"/>
            <w:vAlign w:val="bottom"/>
          </w:tcPr>
          <w:p>
            <w:pPr>
              <w:spacing w:after="0"/>
              <w:rPr>
                <w:sz w:val="1"/>
                <w:szCs w:val="1"/>
                <w:color w:val="auto"/>
              </w:rPr>
            </w:pPr>
          </w:p>
        </w:tc>
      </w:tr>
      <w:tr>
        <w:trPr>
          <w:trHeight w:val="223"/>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1,672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8,859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10,531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6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5,251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1,081,938</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1,081,938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7,032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r>
        <w:trPr>
          <w:trHeight w:val="223"/>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1,081,938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12,283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1,094,221</w:t>
            </w:r>
          </w:p>
        </w:tc>
        <w:tc>
          <w:tcPr>
            <w:tcW w:w="0" w:type="dxa"/>
            <w:vAlign w:val="bottom"/>
          </w:tcPr>
          <w:p>
            <w:pPr>
              <w:spacing w:after="0"/>
              <w:rPr>
                <w:sz w:val="1"/>
                <w:szCs w:val="1"/>
                <w:color w:val="auto"/>
              </w:rPr>
            </w:pPr>
          </w:p>
        </w:tc>
      </w:tr>
      <w:tr>
        <w:trPr>
          <w:trHeight w:val="21"/>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2,289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8,401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8,401</w:t>
            </w:r>
          </w:p>
        </w:tc>
        <w:tc>
          <w:tcPr>
            <w:tcW w:w="0" w:type="dxa"/>
            <w:vAlign w:val="bottom"/>
          </w:tcPr>
          <w:p>
            <w:pPr>
              <w:spacing w:after="0"/>
              <w:rPr>
                <w:sz w:val="1"/>
                <w:szCs w:val="1"/>
                <w:color w:val="auto"/>
              </w:rPr>
            </w:pPr>
          </w:p>
        </w:tc>
      </w:tr>
      <w:tr>
        <w:trPr>
          <w:trHeight w:val="223"/>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2,289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9,927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12,216</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60" w:hanging="454"/>
        <w:spacing w:after="0" w:line="261"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440" w:hanging="454"/>
        <w:spacing w:after="0" w:line="264"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10" w:lineRule="exact"/>
        <w:rPr>
          <w:rFonts w:ascii="Arial" w:cs="Arial" w:eastAsia="Arial" w:hAnsi="Arial"/>
          <w:sz w:val="14"/>
          <w:szCs w:val="14"/>
          <w:color w:val="auto"/>
        </w:rPr>
      </w:pPr>
    </w:p>
    <w:p>
      <w:pPr>
        <w:ind w:left="480" w:right="260" w:hanging="454"/>
        <w:spacing w:after="0" w:line="247"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Current liabilities held for sale and Noncurrent liabilities held for sale as of March 31, 2026. The balances were included in Accounts payable, vehicle floor plan payable and accrued liabilities and Other Liabilities as of December 31, 2025.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2" w:lineRule="exact"/>
        <w:rPr>
          <w:rFonts w:ascii="Arial" w:cs="Arial" w:eastAsia="Arial" w:hAnsi="Arial"/>
          <w:sz w:val="14"/>
          <w:szCs w:val="14"/>
          <w:color w:val="auto"/>
        </w:rPr>
      </w:pPr>
    </w:p>
    <w:p>
      <w:pPr>
        <w:ind w:left="480" w:right="160" w:hanging="454"/>
        <w:spacing w:after="0" w:line="264"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1,526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8,401</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(669)</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21</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7,636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1,419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66,407</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200" w:type="dxa"/>
            <w:vAlign w:val="bottom"/>
          </w:tcPr>
          <w:p>
            <w:pPr>
              <w:spacing w:after="0"/>
              <w:rPr>
                <w:sz w:val="18"/>
                <w:szCs w:val="18"/>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200" w:type="dxa"/>
            <w:vAlign w:val="bottom"/>
          </w:tcPr>
          <w:p>
            <w:pPr>
              <w:spacing w:after="0"/>
              <w:rPr>
                <w:sz w:val="18"/>
                <w:szCs w:val="18"/>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(205,315)</w:t>
            </w: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As of March 31, 2025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20,720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 of</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 group of minority shareholders, consisting of a group of current and former senior managers of the healthcare business, in subsidiaries of GHG. The Company established GHC One and GHC Two as vehicles to invest in a portfolio of healthcare businesses together with the</w:t>
      </w:r>
    </w:p>
    <w:p>
      <w:pPr>
        <w:spacing w:after="0" w:line="236" w:lineRule="auto"/>
        <w:rPr>
          <w:sz w:val="20"/>
          <w:szCs w:val="20"/>
          <w:color w:val="auto"/>
        </w:rPr>
      </w:pPr>
      <w:r>
        <w:rPr>
          <w:rFonts w:ascii="Arial" w:cs="Arial" w:eastAsia="Arial" w:hAnsi="Arial"/>
          <w:sz w:val="18"/>
          <w:szCs w:val="18"/>
          <w:color w:val="auto"/>
        </w:rPr>
        <w:t>group of senior managers of GHG. As the holder of preferred units, the Company is obligated to contribute 95% of the capital required for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acquisition of portfolio investments with the remaining 5% of the capital coming from the group of senior managers. The operating agreements of GHC One and GHC Two require the dissolution of the entities on March 31, 2026, and March 31, 2029, respectively, at which</w:t>
      </w:r>
    </w:p>
    <w:p>
      <w:pPr>
        <w:spacing w:after="0" w:line="235" w:lineRule="auto"/>
        <w:rPr>
          <w:sz w:val="20"/>
          <w:szCs w:val="20"/>
          <w:color w:val="auto"/>
        </w:rPr>
      </w:pPr>
      <w:r>
        <w:rPr>
          <w:rFonts w:ascii="Arial" w:cs="Arial" w:eastAsia="Arial" w:hAnsi="Arial"/>
          <w:sz w:val="18"/>
          <w:szCs w:val="18"/>
          <w:color w:val="auto"/>
        </w:rPr>
        <w:t>time the net assets will be distributed to its members. As a preferred unit holder, the Company will receive an amount up to its contributed</w:t>
      </w:r>
    </w:p>
    <w:p>
      <w:pPr>
        <w:ind w:right="80"/>
        <w:spacing w:after="0"/>
        <w:rPr>
          <w:sz w:val="20"/>
          <w:szCs w:val="20"/>
          <w:color w:val="auto"/>
        </w:rPr>
      </w:pPr>
      <w:r>
        <w:rPr>
          <w:rFonts w:ascii="Arial" w:cs="Arial" w:eastAsia="Arial" w:hAnsi="Arial"/>
          <w:sz w:val="17"/>
          <w:szCs w:val="17"/>
          <w:color w:val="auto"/>
        </w:rPr>
        <w:t>capital plus a preferred annual return of 8% (guaranteed return) after the group of senior managers has received the redemption of their 5% interest in net assets (manager return). All distributions in excess of the manager and guaranteed return will be paid to common unit holders,</w:t>
      </w:r>
    </w:p>
    <w:p>
      <w:pPr>
        <w:spacing w:after="0" w:line="235" w:lineRule="auto"/>
        <w:rPr>
          <w:sz w:val="20"/>
          <w:szCs w:val="20"/>
          <w:color w:val="auto"/>
        </w:rPr>
      </w:pPr>
      <w:r>
        <w:rPr>
          <w:rFonts w:ascii="Arial" w:cs="Arial" w:eastAsia="Arial" w:hAnsi="Arial"/>
          <w:sz w:val="18"/>
          <w:szCs w:val="18"/>
          <w:color w:val="auto"/>
        </w:rPr>
        <w:t>which currently comprise the group of senior managers of GHG. The Company may convert its preferred units to common units at any time</w:t>
      </w:r>
    </w:p>
    <w:p>
      <w:pPr>
        <w:ind w:right="80"/>
        <w:spacing w:after="0" w:line="226" w:lineRule="auto"/>
        <w:rPr>
          <w:sz w:val="20"/>
          <w:szCs w:val="20"/>
          <w:color w:val="auto"/>
        </w:rPr>
      </w:pPr>
      <w:r>
        <w:rPr>
          <w:rFonts w:ascii="Arial" w:cs="Arial" w:eastAsia="Arial" w:hAnsi="Arial"/>
          <w:sz w:val="18"/>
          <w:szCs w:val="18"/>
          <w:color w:val="auto"/>
        </w:rPr>
        <w:t>after which it will receive 80% of all distributions in excess of the manager return, with the remaining 20% of excess distributions going to the group of senior managers as holders of the other common units. The mandatorily redeemable noncontrolling interest related to GHC One is</w:t>
      </w:r>
    </w:p>
    <w:p>
      <w:pPr>
        <w:spacing w:after="0" w:line="236" w:lineRule="auto"/>
        <w:rPr>
          <w:sz w:val="20"/>
          <w:szCs w:val="20"/>
          <w:color w:val="auto"/>
        </w:rPr>
      </w:pPr>
      <w:r>
        <w:rPr>
          <w:rFonts w:ascii="Arial" w:cs="Arial" w:eastAsia="Arial" w:hAnsi="Arial"/>
          <w:sz w:val="18"/>
          <w:szCs w:val="18"/>
          <w:color w:val="auto"/>
        </w:rPr>
        <w:t>reported as a current liability at March 31, 2026 and December 31, 2025 in the Condensed Consolidated Balance Sheets. The mandatorily</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redeemable noncontrolling interest related to GHC Two is reported as a noncurrent liability at March 31, 2026 and December 31, 2025 in the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During the first quarter of 2026, in connection with the classification of the KLG disposal group as held for sale, the Company</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recognized total impairment charges of $19.0 million, consisting of a $1.0 million goodwill impairment charge and an $18.0 million impairment charge related to the asset group held for sale. The Company used a market approach to estimate the fair value of the KLG disposal group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(see Note 2 and 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color w:val="auto"/>
        </w:rPr>
        <w:t>The Company generated 78% of its revenue from U.S. domestic sales for each of the three months ended March 31, 2026 and 2025, respectively. The remaining 22% of revenue was generated from non-U.S. sales for the three months ended March 31, 2026 and 2025.</w:t>
      </w:r>
    </w:p>
    <w:p>
      <w:pPr>
        <w:spacing w:after="0" w:line="63"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For each of the three months ended March 31, 2026 and 2025, the Company recognized 54% of its revenue over time as control of the services and goods transferred to the customer, and the remaining 46% at a point in time, when the customer obtained control of the promised goods.</w:t>
      </w:r>
    </w:p>
    <w:p>
      <w:pPr>
        <w:spacing w:after="0" w:line="10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2026, the Company recognized a contract asset of $28.5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of which $5.1 million is included in Other current assets and $23.4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million is included in Deferred Charges and Other Assets. The Company expects to recognize an additional $211.7 million related to the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remaining performance obligation in the contract over the next three years. As of December 31, 2025, the contract asset was $ 36.5 million, of which $4.4 million was included in Other current assets and $32.1 million was included in Deferred Charges and Other Assets. Additional</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contract assets of $2.7 million and $3.0 million are included in Other current assets on the Company’s Condensed Consolidated Balance Sheets as of March 31, 2026 and December 31, 2025, respectively.</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which includes some payments that are refundable due to the contractual right of the customer to cancel the agreement. As of</w:t>
      </w:r>
    </w:p>
    <w:p>
      <w:pPr>
        <w:ind w:right="420"/>
        <w:spacing w:after="0" w:line="237" w:lineRule="auto"/>
        <w:rPr>
          <w:sz w:val="20"/>
          <w:szCs w:val="20"/>
          <w:color w:val="auto"/>
        </w:rPr>
      </w:pPr>
      <w:r>
        <w:rPr>
          <w:rFonts w:ascii="Arial" w:cs="Arial" w:eastAsia="Arial" w:hAnsi="Arial"/>
          <w:sz w:val="18"/>
          <w:szCs w:val="18"/>
          <w:color w:val="auto"/>
        </w:rPr>
        <w:t>March 31, 2026 and December 31, 2025, 15% and 22%, respectively, of the Company’s deferred revenue consisted of prepaid amounts which are refundable. The following table presents the change in the Company’s deferred revenue balance: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2025</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auto"/>
              </w:rPr>
              <w:t>369,183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418,090</w:t>
            </w:r>
          </w:p>
        </w:tc>
        <w:tc>
          <w:tcPr>
            <w:tcW w:w="1320" w:type="dxa"/>
            <w:vAlign w:val="bottom"/>
          </w:tcPr>
          <w:p>
            <w:pPr>
              <w:jc w:val="right"/>
              <w:ind w:right="44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 and the reclassification of deferred revenue included in the KLG disposal group (see Note 2), offset by increases in the Supplemental</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Education division. During the three months ended March 31, 2026, the Company recognized $218.0 million related to the Company’s deferred revenue balance as of December 31, 2025, including $31.2 million of prepaid amounts which were refundable at the prior year-end.</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2026, the deferred revenue balance related to certain medical and nursing qualifications with an original contract</w:t>
      </w:r>
    </w:p>
    <w:p>
      <w:pPr>
        <w:ind w:right="20"/>
        <w:spacing w:after="0" w:line="237" w:lineRule="auto"/>
        <w:rPr>
          <w:sz w:val="20"/>
          <w:szCs w:val="20"/>
          <w:color w:val="auto"/>
        </w:rPr>
      </w:pPr>
      <w:r>
        <w:rPr>
          <w:rFonts w:ascii="Arial" w:cs="Arial" w:eastAsia="Arial" w:hAnsi="Arial"/>
          <w:sz w:val="18"/>
          <w:szCs w:val="18"/>
          <w:color w:val="auto"/>
        </w:rPr>
        <w:t>length greater than twelve months at Kaplan Supplemental Education was $6.0 million. Kaplan Supplemental Education expects to recognize 56%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1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62"/>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7"/>
        </w:trPr>
        <w:tc>
          <w:tcPr>
            <w:tcW w:w="308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2026</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42,404</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21,832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(25,035)</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(2,627)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36,574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majority of other activity was related to the reclassification of costs to obtain contracts assets included in the KLG disposal group (see Note 2) and currency translation adjustments for the three months ended March 31, 2026.</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securities for purposes of computing earnings per share pursuant to the two-class method. The diluted earnings per share computed under the two-class method is lower than the diluted earnings per share computed under the treasury stock method, resulting in the presentation of</w:t>
      </w:r>
    </w:p>
    <w:p>
      <w:pPr>
        <w:spacing w:after="0" w:line="23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ind w:right="34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0"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29,106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23,894</w:t>
            </w:r>
          </w:p>
        </w:tc>
        <w:tc>
          <w:tcPr>
            <w:tcW w:w="0" w:type="dxa"/>
            <w:vAlign w:val="bottom"/>
          </w:tcPr>
          <w:p>
            <w:pPr>
              <w:spacing w:after="0"/>
              <w:rPr>
                <w:sz w:val="1"/>
                <w:szCs w:val="1"/>
                <w:color w:val="auto"/>
              </w:rPr>
            </w:pPr>
          </w:p>
        </w:tc>
      </w:tr>
      <w:tr>
        <w:trPr>
          <w:trHeight w:val="231"/>
        </w:trPr>
        <w:tc>
          <w:tcPr>
            <w:tcW w:w="83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(16,398)</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(15,662)</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20" w:type="dxa"/>
            <w:vAlign w:val="bottom"/>
          </w:tcPr>
          <w:p>
            <w:pPr>
              <w:spacing w:after="0"/>
              <w:rPr>
                <w:sz w:val="19"/>
                <w:szCs w:val="19"/>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12,708</w:t>
            </w:r>
          </w:p>
        </w:tc>
        <w:tc>
          <w:tcPr>
            <w:tcW w:w="46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8,232</w:t>
            </w:r>
          </w:p>
        </w:tc>
        <w:tc>
          <w:tcPr>
            <w:tcW w:w="0" w:type="dxa"/>
            <w:vAlign w:val="bottom"/>
          </w:tcPr>
          <w:p>
            <w:pPr>
              <w:spacing w:after="0"/>
              <w:rPr>
                <w:sz w:val="1"/>
                <w:szCs w:val="1"/>
                <w:color w:val="auto"/>
              </w:rPr>
            </w:pPr>
          </w:p>
        </w:tc>
      </w:tr>
      <w:tr>
        <w:trPr>
          <w:trHeight w:val="235"/>
        </w:trPr>
        <w:tc>
          <w:tcPr>
            <w:tcW w:w="832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99.44 %</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99.38 %</w:t>
            </w:r>
          </w:p>
        </w:tc>
        <w:tc>
          <w:tcPr>
            <w:tcW w:w="0" w:type="dxa"/>
            <w:vAlign w:val="bottom"/>
          </w:tcPr>
          <w:p>
            <w:pPr>
              <w:spacing w:after="0"/>
              <w:rPr>
                <w:sz w:val="1"/>
                <w:szCs w:val="1"/>
                <w:color w:val="auto"/>
              </w:rPr>
            </w:pPr>
          </w:p>
        </w:tc>
      </w:tr>
      <w:tr>
        <w:trPr>
          <w:trHeight w:val="217"/>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12,636</w:t>
            </w:r>
          </w:p>
        </w:tc>
        <w:tc>
          <w:tcPr>
            <w:tcW w:w="4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r>
        <w:trPr>
          <w:trHeight w:val="233"/>
        </w:trPr>
        <w:tc>
          <w:tcPr>
            <w:tcW w:w="83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16,306</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15,563</w:t>
            </w:r>
          </w:p>
        </w:tc>
        <w:tc>
          <w:tcPr>
            <w:tcW w:w="0" w:type="dxa"/>
            <w:vAlign w:val="bottom"/>
          </w:tcPr>
          <w:p>
            <w:pPr>
              <w:spacing w:after="0"/>
              <w:rPr>
                <w:sz w:val="1"/>
                <w:szCs w:val="1"/>
                <w:color w:val="auto"/>
              </w:rPr>
            </w:pPr>
          </w:p>
        </w:tc>
      </w:tr>
      <w:tr>
        <w:trPr>
          <w:trHeight w:val="227"/>
        </w:trPr>
        <w:tc>
          <w:tcPr>
            <w:tcW w:w="8320" w:type="dxa"/>
            <w:vAlign w:val="bottom"/>
          </w:tcPr>
          <w:p>
            <w:pPr>
              <w:ind w:left="220"/>
              <w:spacing w:after="0"/>
              <w:rPr>
                <w:sz w:val="20"/>
                <w:szCs w:val="20"/>
                <w:color w:val="auto"/>
              </w:rPr>
            </w:pPr>
            <w:r>
              <w:rPr>
                <w:rFonts w:ascii="Arial" w:cs="Arial" w:eastAsia="Arial" w:hAnsi="Arial"/>
                <w:sz w:val="16"/>
                <w:szCs w:val="16"/>
                <w:b w:val="1"/>
                <w:bCs w:val="1"/>
                <w:color w:val="auto"/>
              </w:rPr>
              <w:t>Numerator for basic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28,942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23,745</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3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28,943</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23,745</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19"/>
                <w:szCs w:val="19"/>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4,331</w:t>
            </w:r>
          </w:p>
        </w:tc>
        <w:tc>
          <w:tcPr>
            <w:tcW w:w="46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33"/>
        </w:trPr>
        <w:tc>
          <w:tcPr>
            <w:tcW w:w="83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44</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7"/>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4,375</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4,358</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20" w:type="dxa"/>
            <w:vAlign w:val="bottom"/>
            <w:vMerge w:val="continue"/>
          </w:tcPr>
          <w:p>
            <w:pPr>
              <w:spacing w:after="0"/>
              <w:rPr>
                <w:sz w:val="18"/>
                <w:szCs w:val="18"/>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6.68</w:t>
            </w:r>
          </w:p>
        </w:tc>
        <w:tc>
          <w:tcPr>
            <w:tcW w:w="46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42"/>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6.62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2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2026</w:t>
            </w:r>
          </w:p>
        </w:tc>
        <w:tc>
          <w:tcPr>
            <w:tcW w:w="11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color w:val="auto"/>
              </w:rPr>
              <w:t>2025</w:t>
            </w:r>
          </w:p>
        </w:tc>
      </w:tr>
      <w:tr>
        <w:trPr>
          <w:trHeight w:val="223"/>
        </w:trPr>
        <w:tc>
          <w:tcPr>
            <w:tcW w:w="860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520" w:type="dxa"/>
            <w:vAlign w:val="bottom"/>
          </w:tcPr>
          <w:p>
            <w:pPr>
              <w:jc w:val="right"/>
              <w:ind w:right="244"/>
              <w:spacing w:after="0"/>
              <w:rPr>
                <w:sz w:val="20"/>
                <w:szCs w:val="20"/>
                <w:color w:val="auto"/>
              </w:rPr>
            </w:pPr>
            <w:r>
              <w:rPr>
                <w:rFonts w:ascii="Arial" w:cs="Arial" w:eastAsia="Arial" w:hAnsi="Arial"/>
                <w:sz w:val="16"/>
                <w:szCs w:val="16"/>
                <w:b w:val="1"/>
                <w:bCs w:val="1"/>
                <w:color w:val="auto"/>
              </w:rPr>
              <w:t>17</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12</w:t>
            </w:r>
          </w:p>
        </w:tc>
      </w:tr>
    </w:tbl>
    <w:p>
      <w:pPr>
        <w:spacing w:after="0" w:line="218"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The diluted earnings per share amounts for each of the three months ended March 31, 2026 and 2025 excludes the effect of 1,000 contingently issuable shares outstanding as their inclusion would have been antidilutive due to a market condition.</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three months ended March 31, 2026 and 2025, the Company declared regular dividends totaling $3.76 and $3.60 per common share,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11,580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12,192</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8,695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6,421</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(44,280)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(41,971)</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(496)</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(24,501)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(23,877)</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4,100</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(20,401)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(23,253)</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In the first quarter of 2026, the Company recorded $4.1 million in expenses related to Separation Incentive Programs (SIPs) for certain</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Kaplan, Graham Media Group, Joyce, Dekko, Framebridge, Code3, Slate and Corporate employees. In the first quarter of 2025, the Company recorded $0.6 million in expenses related to a SIP for certain WGB employees. These SIPs were funded from the assets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2025</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3"/>
              <w:spacing w:after="0"/>
              <w:rPr>
                <w:sz w:val="20"/>
                <w:szCs w:val="20"/>
                <w:color w:val="auto"/>
              </w:rPr>
            </w:pPr>
            <w:r>
              <w:rPr>
                <w:rFonts w:ascii="Arial" w:cs="Arial" w:eastAsia="Arial" w:hAnsi="Arial"/>
                <w:sz w:val="16"/>
                <w:szCs w:val="16"/>
                <w:b w:val="1"/>
                <w:bCs w:val="1"/>
                <w:color w:val="auto"/>
              </w:rPr>
              <w:t>289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239</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1,155</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1,197</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1,444</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1,436</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234" w:lineRule="auto"/>
        <w:rPr>
          <w:sz w:val="20"/>
          <w:szCs w:val="20"/>
          <w:color w:val="auto"/>
        </w:rPr>
      </w:pPr>
      <w:r>
        <w:rPr>
          <w:rFonts w:ascii="Arial" w:cs="Arial" w:eastAsia="Arial" w:hAnsi="Arial"/>
          <w:sz w:val="18"/>
          <w:szCs w:val="18"/>
          <w:color w:val="auto"/>
        </w:rPr>
        <w:t>funds and a relatively small number of stocks and high-quality fixed-income securities that are held by a third-party trustee.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were allocated as follows:</w:t>
      </w:r>
    </w:p>
    <w:p>
      <w:pPr>
        <w:spacing w:after="0" w:line="203"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220"/>
        </w:trPr>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800" w:type="dxa"/>
            <w:vAlign w:val="bottom"/>
          </w:tcPr>
          <w:p>
            <w:pPr>
              <w:jc w:val="center"/>
              <w:ind w:left="268"/>
              <w:spacing w:after="0"/>
              <w:rPr>
                <w:sz w:val="20"/>
                <w:szCs w:val="20"/>
                <w:color w:val="auto"/>
              </w:rPr>
            </w:pPr>
            <w:r>
              <w:rPr>
                <w:rFonts w:ascii="Arial" w:cs="Arial" w:eastAsia="Arial" w:hAnsi="Arial"/>
                <w:sz w:val="14"/>
                <w:szCs w:val="14"/>
                <w:color w:val="auto"/>
              </w:rPr>
              <w:t>December 31,</w:t>
            </w:r>
          </w:p>
        </w:tc>
      </w:tr>
      <w:tr>
        <w:trPr>
          <w:trHeight w:val="196"/>
        </w:trPr>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63 %</w:t>
      </w:r>
      <w:r>
        <w:rPr>
          <w:sz w:val="20"/>
          <w:szCs w:val="20"/>
          <w:color w:val="auto"/>
        </w:rPr>
        <w:tab/>
      </w:r>
      <w:r>
        <w:rPr>
          <w:rFonts w:ascii="Arial" w:cs="Arial" w:eastAsia="Arial" w:hAnsi="Arial"/>
          <w:sz w:val="15"/>
          <w:szCs w:val="15"/>
          <w:color w:val="auto"/>
        </w:rPr>
        <w:t>63 %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15 %</w:t>
      </w:r>
      <w:r>
        <w:rPr>
          <w:sz w:val="20"/>
          <w:szCs w:val="20"/>
          <w:color w:val="auto"/>
        </w:rPr>
        <w:tab/>
      </w:r>
      <w:r>
        <w:rPr>
          <w:rFonts w:ascii="Arial" w:cs="Arial" w:eastAsia="Arial" w:hAnsi="Arial"/>
          <w:sz w:val="15"/>
          <w:szCs w:val="15"/>
          <w:color w:val="auto"/>
        </w:rPr>
        <w:t>16 %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4 %</w:t>
      </w:r>
      <w:r>
        <w:rPr>
          <w:sz w:val="20"/>
          <w:szCs w:val="20"/>
          <w:color w:val="auto"/>
        </w:rPr>
        <w:tab/>
      </w: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931" w:right="339" w:bottom="1440" w:gutter="0" w:footer="0" w:header="0"/>
          <w:type w:val="continuous"/>
        </w:sectPr>
      </w:pP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manages approximately 43% of the pension assets internally, of which the majority is invested in Berkshire Hathaway stock, with the remaining investments in private investment funds, Markel stock, and short-term fixed-income securities. The remaining 57% of plan</w:t>
      </w:r>
    </w:p>
    <w:p>
      <w:pPr>
        <w:spacing w:after="0" w:line="235"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 equity and fixed-income securities and cash. The managers are not permitted to invest in securities of the Company or in alternative</w:t>
      </w:r>
    </w:p>
    <w:p>
      <w:pPr>
        <w:spacing w:after="0" w:line="236" w:lineRule="auto"/>
        <w:rPr>
          <w:sz w:val="20"/>
          <w:szCs w:val="20"/>
          <w:color w:val="auto"/>
        </w:rPr>
      </w:pPr>
      <w:r>
        <w:rPr>
          <w:rFonts w:ascii="Arial" w:cs="Arial" w:eastAsia="Arial" w:hAnsi="Arial"/>
          <w:sz w:val="18"/>
          <w:szCs w:val="18"/>
          <w:color w:val="auto"/>
        </w:rPr>
        <w:t>investments. One investment manager cannot invest more than 15% of the assets at the time of purchase in each of the stocks of Alphabet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and Berkshire Hathaway, and no more than 50% of the assets it manages in specified international exchanges at the time the investment is made. The other investment manager cannot invest more than 20% of the assets at the time of purchase in the stock of Berkshire Hathaway</w:t>
      </w:r>
    </w:p>
    <w:p>
      <w:pPr>
        <w:spacing w:after="0" w:line="2"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Excluding the exceptions noted above, the investment managers cannot invest more than 10% of the assets in the securities of any other single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except for obligations of the U.S. Government, without receiving prior approval from the Plan administrator.</w:t>
      </w:r>
    </w:p>
    <w:p>
      <w:pPr>
        <w:spacing w:after="0" w:line="140"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may consult with and consider the input of financial and other professionals in developing appropriate return benchmarks.</w:t>
      </w:r>
    </w:p>
    <w:p>
      <w:pPr>
        <w:spacing w:after="0" w:line="14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2026. Types of concentrations that were evaluated include, but are not limited to,</w:t>
      </w:r>
    </w:p>
    <w:p>
      <w:pPr>
        <w:spacing w:after="0" w:line="235"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March 31, 2026, the pension plan held</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investments in one common stock and one private investment fund that exceeded 10% of total plan assets, valued at $1,199.5 million, or approximately 38% of total plan assets. At December 31, 2025, the pension plan held investments in one common stock and one private</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investment fund that exceeded 10% of total plan assets, valued at $1,267.4 million, or approximately 37% of total plan assets. Assets also included $111.0 million and $124.7 million of Markel shares at March 31, 2026 and December 31, 2025,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OTHER NON-OPERATING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is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2025</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(1,224)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(4,379)</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cost method investment</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484</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Other gain,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312</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314</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Expense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(428)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r>
        <w:rPr>
          <w:rFonts w:ascii="Times New Roman" w:cs="Times New Roman" w:eastAsia="Times New Roman" w:hAnsi="Times New Roman"/>
          <w:sz w:val="43"/>
          <w:szCs w:val="43"/>
          <w:color w:val="auto"/>
          <w:vertAlign w:val="superscript"/>
        </w:rPr>
        <w: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4"/>
        </w:trPr>
        <w:tc>
          <w:tcPr>
            <w:tcW w:w="4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2025</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0"/>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17"/>
                <w:szCs w:val="17"/>
                <w:color w:val="auto"/>
              </w:rPr>
            </w:pPr>
          </w:p>
        </w:tc>
        <w:tc>
          <w:tcPr>
            <w:tcW w:w="780" w:type="dxa"/>
            <w:vAlign w:val="bottom"/>
          </w:tcPr>
          <w:p>
            <w:pPr>
              <w:jc w:val="center"/>
              <w:ind w:right="10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7"/>
                <w:szCs w:val="17"/>
                <w:color w:val="auto"/>
              </w:rPr>
            </w:pPr>
          </w:p>
        </w:tc>
        <w:tc>
          <w:tcPr>
            <w:tcW w:w="880" w:type="dxa"/>
            <w:vAlign w:val="bottom"/>
          </w:tcPr>
          <w:p>
            <w:pPr>
              <w:jc w:val="right"/>
              <w:ind w:right="161"/>
              <w:spacing w:after="0"/>
              <w:rPr>
                <w:sz w:val="20"/>
                <w:szCs w:val="20"/>
                <w:color w:val="auto"/>
              </w:rPr>
            </w:pPr>
            <w:r>
              <w:rPr>
                <w:rFonts w:ascii="Arial" w:cs="Arial" w:eastAsia="Arial" w:hAnsi="Arial"/>
                <w:sz w:val="14"/>
                <w:szCs w:val="14"/>
                <w:color w:val="auto"/>
              </w:rPr>
              <w:t>After-Tax</w:t>
            </w:r>
          </w:p>
        </w:tc>
      </w:tr>
      <w:tr>
        <w:trPr>
          <w:trHeight w:val="22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9"/>
              </w:rPr>
              <w:t>Tax</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Tax</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Amount</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(6,248)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(6,248)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14,267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14,267</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included in net income</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220" w:type="dxa"/>
            <w:vAlign w:val="bottom"/>
          </w:tcPr>
          <w:p>
            <w:pPr>
              <w:spacing w:after="0"/>
              <w:rPr>
                <w:sz w:val="20"/>
                <w:szCs w:val="20"/>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130</w:t>
            </w:r>
          </w:p>
        </w:tc>
        <w:tc>
          <w:tcPr>
            <w:tcW w:w="2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(366)</w:t>
            </w:r>
          </w:p>
        </w:tc>
        <w:tc>
          <w:tcPr>
            <w:tcW w:w="2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(519)</w:t>
            </w:r>
          </w:p>
        </w:tc>
        <w:tc>
          <w:tcPr>
            <w:tcW w:w="2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33"/>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67</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20"/>
        </w:trPr>
        <w:tc>
          <w:tcPr>
            <w:tcW w:w="4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197</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230</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14"/>
        </w:trPr>
        <w:tc>
          <w:tcPr>
            <w:tcW w:w="46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4660" w:type="dxa"/>
            <w:vAlign w:val="bottom"/>
          </w:tcPr>
          <w:p>
            <w:pPr>
              <w:ind w:left="140"/>
              <w:spacing w:after="0"/>
              <w:rPr>
                <w:sz w:val="20"/>
                <w:szCs w:val="20"/>
                <w:color w:val="auto"/>
              </w:rPr>
            </w:pPr>
            <w:r>
              <w:rPr>
                <w:rFonts w:ascii="Arial" w:cs="Arial" w:eastAsia="Arial" w:hAnsi="Arial"/>
                <w:sz w:val="16"/>
                <w:szCs w:val="16"/>
                <w:color w:val="auto"/>
              </w:rPr>
              <w:t>Gain (loss) for the period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626</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176</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13,096</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As of December 31, 2025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(12,262)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601,064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587,080</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(6,248)</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299</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(5,949)</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(557)</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164</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(393)</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(loss)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(6,248)</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(557)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463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(6,342)</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(18,510)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600,507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580,738</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March 31</w:t>
            </w: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65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2120" w:type="dxa"/>
            <w:vAlign w:val="bottom"/>
          </w:tcPr>
          <w:p>
            <w:pPr>
              <w:jc w:val="center"/>
              <w:ind w:left="308"/>
              <w:spacing w:after="0" w:line="12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20"/>
                <w:szCs w:val="20"/>
                <w:color w:val="auto"/>
              </w:rPr>
            </w:pPr>
            <w:r>
              <w:rPr>
                <w:rFonts w:ascii="Arial" w:cs="Arial" w:eastAsia="Arial" w:hAnsi="Arial"/>
                <w:sz w:val="14"/>
                <w:szCs w:val="14"/>
                <w:color w:val="auto"/>
              </w:rPr>
              <w:t>(in thousands)</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2026</w:t>
            </w:r>
          </w:p>
        </w:tc>
        <w:tc>
          <w:tcPr>
            <w:tcW w:w="1540" w:type="dxa"/>
            <w:vAlign w:val="bottom"/>
          </w:tcPr>
          <w:p>
            <w:pPr>
              <w:jc w:val="right"/>
              <w:ind w:right="328"/>
              <w:spacing w:after="0"/>
              <w:rPr>
                <w:sz w:val="20"/>
                <w:szCs w:val="20"/>
                <w:color w:val="auto"/>
              </w:rPr>
            </w:pPr>
            <w:r>
              <w:rPr>
                <w:rFonts w:ascii="Arial" w:cs="Arial" w:eastAsia="Arial" w:hAnsi="Arial"/>
                <w:sz w:val="14"/>
                <w:szCs w:val="14"/>
                <w:color w:val="auto"/>
              </w:rPr>
              <w:t>2025</w:t>
            </w:r>
          </w:p>
        </w:tc>
        <w:tc>
          <w:tcPr>
            <w:tcW w:w="2120" w:type="dxa"/>
            <w:vAlign w:val="bottom"/>
          </w:tcPr>
          <w:p>
            <w:pPr>
              <w:jc w:val="center"/>
              <w:ind w:left="30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center"/>
              <w:ind w:left="159"/>
              <w:spacing w:after="0"/>
              <w:rPr>
                <w:sz w:val="20"/>
                <w:szCs w:val="20"/>
                <w:color w:val="auto"/>
              </w:rPr>
            </w:pPr>
            <w:r>
              <w:rPr>
                <w:rFonts w:ascii="Arial" w:cs="Arial" w:eastAsia="Arial" w:hAnsi="Arial"/>
                <w:sz w:val="16"/>
                <w:szCs w:val="16"/>
                <w:b w:val="1"/>
                <w:bCs w:val="1"/>
                <w:color w:val="auto"/>
                <w:w w:val="96"/>
              </w:rPr>
              <w:t>(496)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(519)</w:t>
            </w:r>
          </w:p>
        </w:tc>
        <w:tc>
          <w:tcPr>
            <w:tcW w:w="238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652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6"/>
              </w:rPr>
              <w:t>(258)</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238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center"/>
              <w:ind w:left="159"/>
              <w:spacing w:after="0"/>
              <w:rPr>
                <w:sz w:val="20"/>
                <w:szCs w:val="20"/>
                <w:color w:val="auto"/>
              </w:rPr>
            </w:pPr>
            <w:r>
              <w:rPr>
                <w:rFonts w:ascii="Arial" w:cs="Arial" w:eastAsia="Arial" w:hAnsi="Arial"/>
                <w:sz w:val="16"/>
                <w:szCs w:val="16"/>
                <w:b w:val="1"/>
                <w:bCs w:val="1"/>
                <w:color w:val="auto"/>
                <w:w w:val="96"/>
              </w:rPr>
              <w:t>(754)</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(898)</w:t>
            </w:r>
          </w:p>
        </w:tc>
        <w:tc>
          <w:tcPr>
            <w:tcW w:w="238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6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7"/>
              </w:rPr>
              <w:t>197</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38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6"/>
              </w:rPr>
              <w:t>(557)</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238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7"/>
              </w:rPr>
              <w:t>164</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3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6"/>
              </w:rPr>
              <w:t>(393)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38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5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260" w:hanging="412"/>
        <w:spacing w:after="0" w:line="264"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35" w:lineRule="auto"/>
        <w:rPr>
          <w:sz w:val="20"/>
          <w:szCs w:val="20"/>
          <w:color w:val="auto"/>
        </w:rPr>
      </w:pPr>
      <w:r>
        <w:rPr>
          <w:rFonts w:ascii="Arial" w:cs="Arial" w:eastAsia="Arial" w:hAnsi="Arial"/>
          <w:sz w:val="18"/>
          <w:szCs w:val="18"/>
          <w:color w:val="auto"/>
        </w:rPr>
        <w:t>negligence, libel, defamation and invasion of privacy; trademark, copyright and patent infringement; real estate lease and sublease disputes;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 and employees. Although the outcomes of the legal claims and proceedings against the Company cannot be predicted with certainty, based</w:t>
      </w:r>
    </w:p>
    <w:p>
      <w:pPr>
        <w:spacing w:after="0" w:line="236" w:lineRule="auto"/>
        <w:rPr>
          <w:sz w:val="20"/>
          <w:szCs w:val="20"/>
          <w:color w:val="auto"/>
        </w:rPr>
      </w:pPr>
      <w:r>
        <w:rPr>
          <w:rFonts w:ascii="Arial" w:cs="Arial" w:eastAsia="Arial" w:hAnsi="Arial"/>
          <w:sz w:val="18"/>
          <w:szCs w:val="18"/>
          <w:color w:val="auto"/>
        </w:rPr>
        <w:t>on currently available information, management believes that there are no existing claims or proceedings that are likely to have a material</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effect on the Company’s business, financial condition, results of operations or cash flows. However, based on currently available information, management believes it is reasonably possible that future losses from existing and threatened legal, regulatory and other proceedings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the amounts recorded could reach approximately $20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4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CSI, Manufacturing and Automotive.</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of March 31, 2026, Kaplan had a total outstanding accounts receivable balance of $72.9 million from Purdue Global related to amounts due for reimbursements for services, fees earned and a deferred fee. Included in this total was a $20.0 million short-term receivable balance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advance during the initial KU Transaction.</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Company’s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3"/>
                <w:szCs w:val="13"/>
                <w:b w:val="1"/>
                <w:bCs w:val="1"/>
                <w:color w:val="auto"/>
                <w:w w:val="97"/>
              </w:rPr>
              <w:t>Three Months Ended March 31, 2026</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440,479</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111,553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209,340</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125,034</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267,624</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1,154,030</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040"/>
          </w:cols>
          <w:pgMar w:left="320" w:top="931" w:right="539" w:bottom="1440" w:gutter="0" w:footer="0" w:header="0"/>
        </w:sectPr>
      </w:pPr>
    </w:p>
    <w:p>
      <w:pPr>
        <w:ind w:left="140" w:right="24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8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Asset Group Held for Sale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Asset Group Held for Sale Income from Operations</w:t>
      </w:r>
    </w:p>
    <w:p>
      <w:pPr>
        <w:ind w:left="20" w:right="1160"/>
        <w:spacing w:after="0" w:line="303" w:lineRule="auto"/>
        <w:rPr>
          <w:sz w:val="20"/>
          <w:szCs w:val="20"/>
          <w:color w:val="auto"/>
        </w:rPr>
      </w:pPr>
      <w:r>
        <w:rPr>
          <w:rFonts w:ascii="Arial" w:cs="Arial" w:eastAsia="Arial" w:hAnsi="Arial"/>
          <w:sz w:val="13"/>
          <w:szCs w:val="13"/>
          <w:b w:val="1"/>
          <w:bCs w:val="1"/>
          <w:color w:val="auto"/>
        </w:rPr>
        <w:t>Equity in Earnings of Affiliates, Net Interest Expense, Net</w:t>
      </w:r>
    </w:p>
    <w:p>
      <w:pPr>
        <w:spacing w:after="0" w:line="1" w:lineRule="exact"/>
        <w:rPr>
          <w:sz w:val="20"/>
          <w:szCs w:val="20"/>
          <w:color w:val="auto"/>
        </w:rPr>
      </w:pP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40"/>
        <w:spacing w:after="0" w:line="335" w:lineRule="auto"/>
        <w:rPr>
          <w:sz w:val="20"/>
          <w:szCs w:val="20"/>
          <w:color w:val="auto"/>
        </w:rPr>
      </w:pPr>
      <w:r>
        <w:rPr>
          <w:rFonts w:ascii="Arial" w:cs="Arial" w:eastAsia="Arial" w:hAnsi="Arial"/>
          <w:sz w:val="13"/>
          <w:szCs w:val="13"/>
          <w:b w:val="1"/>
          <w:bCs w:val="1"/>
          <w:color w:val="auto"/>
        </w:rPr>
        <w:t>Loss on Marketable Equity Securities, Net Other Expense,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52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82,599</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1,235,992</w:t>
            </w:r>
          </w:p>
        </w:tc>
      </w:tr>
      <w:tr>
        <w:trPr>
          <w:trHeight w:val="408"/>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167,427</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133,936</w:t>
            </w:r>
          </w:p>
        </w:tc>
        <w:tc>
          <w:tcPr>
            <w:tcW w:w="5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88,214</w:t>
            </w:r>
          </w:p>
        </w:tc>
        <w:tc>
          <w:tcPr>
            <w:tcW w:w="480" w:type="dxa"/>
            <w:vAlign w:val="bottom"/>
          </w:tcPr>
          <w:p>
            <w:pPr>
              <w:spacing w:after="0"/>
              <w:rPr>
                <w:sz w:val="24"/>
                <w:szCs w:val="2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226,743</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616,320</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117,657</w:t>
            </w: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27,285</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19,992</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164,934</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27,377</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2,032</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29,409</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19,429</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19,429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30,123</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30,123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2,292</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2,292</w:t>
            </w:r>
          </w:p>
        </w:tc>
      </w:tr>
      <w:tr>
        <w:trPr>
          <w:trHeight w:val="193"/>
        </w:trPr>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46,371</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15,018</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54,082</w:t>
            </w: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20,712</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9,390</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145,573</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62,218</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39,127</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21,322</w:t>
            </w:r>
          </w:p>
        </w:tc>
        <w:tc>
          <w:tcPr>
            <w:tcW w:w="5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16,108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7,175</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145,950</w:t>
            </w:r>
          </w:p>
        </w:tc>
      </w:tr>
      <w:tr>
        <w:trPr>
          <w:trHeight w:val="21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4,439</w:t>
            </w:r>
          </w:p>
        </w:tc>
        <w:tc>
          <w:tcPr>
            <w:tcW w:w="5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1,488</w:t>
            </w:r>
          </w:p>
        </w:tc>
        <w:tc>
          <w:tcPr>
            <w:tcW w:w="36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1,886</w:t>
            </w:r>
          </w:p>
        </w:tc>
        <w:tc>
          <w:tcPr>
            <w:tcW w:w="52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1,230</w:t>
            </w:r>
          </w:p>
        </w:tc>
        <w:tc>
          <w:tcPr>
            <w:tcW w:w="480" w:type="dxa"/>
            <w:vAlign w:val="bottom"/>
          </w:tcPr>
          <w:p>
            <w:pPr>
              <w:spacing w:after="0"/>
              <w:rPr>
                <w:sz w:val="19"/>
                <w:szCs w:val="19"/>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17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9,060</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6,054</w:t>
            </w: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2,336</w:t>
            </w:r>
          </w:p>
        </w:tc>
        <w:tc>
          <w:tcPr>
            <w:tcW w:w="36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1,914</w:t>
            </w:r>
          </w:p>
        </w:tc>
        <w:tc>
          <w:tcPr>
            <w:tcW w:w="52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3,135</w:t>
            </w:r>
          </w:p>
        </w:tc>
        <w:tc>
          <w:tcPr>
            <w:tcW w:w="480" w:type="dxa"/>
            <w:vAlign w:val="bottom"/>
          </w:tcPr>
          <w:p>
            <w:pPr>
              <w:spacing w:after="0"/>
              <w:rPr>
                <w:sz w:val="16"/>
                <w:szCs w:val="16"/>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1,845</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15,284</w:t>
            </w:r>
          </w:p>
        </w:tc>
      </w:tr>
      <w:tr>
        <w:trPr>
          <w:trHeight w:val="62"/>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8"/>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51,725</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35,303</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17,522</w:t>
            </w:r>
          </w:p>
        </w:tc>
        <w:tc>
          <w:tcPr>
            <w:tcW w:w="5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11,743</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5,313</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121,606</w:t>
            </w:r>
          </w:p>
        </w:tc>
      </w:tr>
      <w:tr>
        <w:trPr>
          <w:trHeight w:val="21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(23,600)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(15,089)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(6,055)</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(19,029)</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57,833</w:t>
            </w:r>
          </w:p>
        </w:tc>
      </w:tr>
      <w:tr>
        <w:trPr>
          <w:trHeight w:val="178"/>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34,850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(13,754)</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31,073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(68,923)</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(428)</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40,651</w:t>
            </w:r>
          </w:p>
        </w:tc>
      </w:tr>
      <w:tr>
        <w:trPr>
          <w:trHeight w:val="25"/>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9"/>
        </w:trPr>
        <w:tc>
          <w:tcPr>
            <w:tcW w:w="400" w:type="dxa"/>
            <w:vAlign w:val="bottom"/>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4,450</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2,936</w:t>
            </w:r>
          </w:p>
        </w:tc>
        <w:tc>
          <w:tcPr>
            <w:tcW w:w="36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2,165</w:t>
            </w:r>
          </w:p>
        </w:tc>
        <w:tc>
          <w:tcPr>
            <w:tcW w:w="52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1,688</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6,133</w:t>
            </w:r>
          </w:p>
        </w:tc>
        <w:tc>
          <w:tcPr>
            <w:tcW w:w="3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17,372</w:t>
            </w:r>
          </w:p>
        </w:tc>
      </w:tr>
      <w:tr>
        <w:trPr>
          <w:trHeight w:val="5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3,497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20,869</w:t>
            </w:r>
          </w:p>
        </w:tc>
      </w:tr>
    </w:tbl>
    <w:p>
      <w:pPr>
        <w:spacing w:after="0" w:line="200" w:lineRule="exact"/>
        <w:rPr>
          <w:sz w:val="20"/>
          <w:szCs w:val="20"/>
          <w:color w:val="auto"/>
        </w:rPr>
      </w:pPr>
    </w:p>
    <w:p>
      <w:pPr>
        <w:sectPr>
          <w:pgSz w:w="11900" w:h="16838" w:orient="portrait"/>
          <w:cols w:equalWidth="0" w:num="2">
            <w:col w:w="3280" w:space="40"/>
            <w:col w:w="7720"/>
          </w:cols>
          <w:pgMar w:left="320" w:top="931" w:right="539" w:bottom="1440" w:gutter="0" w:footer="0" w:header="0"/>
          <w:type w:val="continuous"/>
        </w:sectPr>
      </w:pPr>
    </w:p>
    <w:p>
      <w:pPr>
        <w:spacing w:after="0" w:line="111" w:lineRule="exact"/>
        <w:rPr>
          <w:sz w:val="20"/>
          <w:szCs w:val="20"/>
          <w:color w:val="auto"/>
        </w:rPr>
      </w:pPr>
    </w:p>
    <w:p>
      <w:pPr>
        <w:ind w:left="36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chief operating decision maker (CODM).</w:t>
      </w:r>
    </w:p>
    <w:p>
      <w:pPr>
        <w:spacing w:after="0" w:line="49"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60" w:hanging="310"/>
        <w:spacing w:after="0" w:line="259" w:lineRule="auto"/>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8"/>
              </w:rPr>
              <w:t>Three Months Ended March 31, 2026</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271,636</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92,403</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76,864</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271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(695)</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440,479</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90,001</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66,243</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11,522</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(339)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167,427</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76,392</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3,805</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33,032</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4,502</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(74)</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117,657</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26,278</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158</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834</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374</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(267)</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27,377</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8,199</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1,920</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9,217</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93</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19,429</w:t>
            </w: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34,285</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401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12,183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(764)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266</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46,371</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36,481</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19,876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10,076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(3,934)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62,218</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126</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1,920</w:t>
            </w:r>
          </w:p>
        </w:tc>
        <w:tc>
          <w:tcPr>
            <w:tcW w:w="22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1,986</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407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4,439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4,968</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267</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810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9</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6,054</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31,387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17,689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(4,350)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51,725</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3,300</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815</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335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4,450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777"/>
              <w:spacing w:after="0"/>
              <w:rPr>
                <w:sz w:val="20"/>
                <w:szCs w:val="20"/>
                <w:color w:val="auto"/>
              </w:rPr>
            </w:pPr>
            <w:r>
              <w:rPr>
                <w:rFonts w:ascii="Arial" w:cs="Arial" w:eastAsia="Arial" w:hAnsi="Arial"/>
                <w:sz w:val="13"/>
                <w:szCs w:val="13"/>
                <w:b w:val="1"/>
                <w:bCs w:val="1"/>
                <w:color w:val="auto"/>
              </w:rPr>
              <w:t>Three Months Ended March 31, 2026</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CSI</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Other Healthcare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Total Healthcare</w:t>
            </w:r>
          </w:p>
        </w:tc>
        <w:tc>
          <w:tcPr>
            <w:tcW w:w="0" w:type="dxa"/>
            <w:vAlign w:val="bottom"/>
          </w:tcPr>
          <w:p>
            <w:pPr>
              <w:spacing w:after="0"/>
              <w:rPr>
                <w:sz w:val="1"/>
                <w:szCs w:val="1"/>
                <w:color w:val="auto"/>
              </w:rPr>
            </w:pPr>
          </w:p>
        </w:tc>
      </w:tr>
      <w:tr>
        <w:trPr>
          <w:trHeight w:val="178"/>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3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117,781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91,559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209,340</w:t>
            </w:r>
          </w:p>
        </w:tc>
        <w:tc>
          <w:tcPr>
            <w:tcW w:w="0" w:type="dxa"/>
            <w:vAlign w:val="bottom"/>
          </w:tcPr>
          <w:p>
            <w:pPr>
              <w:spacing w:after="0"/>
              <w:rPr>
                <w:sz w:val="1"/>
                <w:szCs w:val="1"/>
                <w:color w:val="auto"/>
              </w:rPr>
            </w:pPr>
          </w:p>
        </w:tc>
      </w:tr>
      <w:tr>
        <w:trPr>
          <w:trHeight w:val="304"/>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30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91,144</w:t>
            </w:r>
          </w:p>
        </w:tc>
        <w:tc>
          <w:tcPr>
            <w:tcW w:w="16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42,792</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133,936</w:t>
            </w:r>
          </w:p>
        </w:tc>
        <w:tc>
          <w:tcPr>
            <w:tcW w:w="0" w:type="dxa"/>
            <w:vAlign w:val="bottom"/>
          </w:tcPr>
          <w:p>
            <w:pPr>
              <w:spacing w:after="0"/>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20,011</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34,071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54,082</w:t>
            </w:r>
          </w:p>
        </w:tc>
        <w:tc>
          <w:tcPr>
            <w:tcW w:w="0" w:type="dxa"/>
            <w:vAlign w:val="bottom"/>
          </w:tcPr>
          <w:p>
            <w:pPr>
              <w:spacing w:after="0"/>
              <w:rPr>
                <w:sz w:val="1"/>
                <w:szCs w:val="1"/>
                <w:color w:val="auto"/>
              </w:rPr>
            </w:pPr>
          </w:p>
        </w:tc>
      </w:tr>
      <w:tr>
        <w:trPr>
          <w:trHeight w:val="179"/>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6,626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14,696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21,322</w:t>
            </w:r>
          </w:p>
        </w:tc>
        <w:tc>
          <w:tcPr>
            <w:tcW w:w="0" w:type="dxa"/>
            <w:vAlign w:val="bottom"/>
          </w:tcPr>
          <w:p>
            <w:pPr>
              <w:spacing w:after="0"/>
              <w:rPr>
                <w:sz w:val="1"/>
                <w:szCs w:val="1"/>
                <w:color w:val="auto"/>
              </w:rPr>
            </w:pPr>
          </w:p>
        </w:tc>
      </w:tr>
      <w:tr>
        <w:trPr>
          <w:trHeight w:val="313"/>
        </w:trPr>
        <w:tc>
          <w:tcPr>
            <w:tcW w:w="7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1,886</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1,886</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30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293</w:t>
            </w:r>
          </w:p>
        </w:tc>
        <w:tc>
          <w:tcPr>
            <w:tcW w:w="16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1,621</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1,914</w:t>
            </w:r>
          </w:p>
        </w:tc>
        <w:tc>
          <w:tcPr>
            <w:tcW w:w="0" w:type="dxa"/>
            <w:vAlign w:val="bottom"/>
          </w:tcPr>
          <w:p>
            <w:pPr>
              <w:spacing w:after="0"/>
              <w:rPr>
                <w:sz w:val="1"/>
                <w:szCs w:val="1"/>
                <w:color w:val="auto"/>
              </w:rPr>
            </w:pPr>
          </w:p>
        </w:tc>
      </w:tr>
      <w:tr>
        <w:trPr>
          <w:trHeight w:val="157"/>
        </w:trPr>
        <w:tc>
          <w:tcPr>
            <w:tcW w:w="7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 Intangible Assets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11,189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17,522</w:t>
            </w:r>
          </w:p>
        </w:tc>
        <w:tc>
          <w:tcPr>
            <w:tcW w:w="0" w:type="dxa"/>
            <w:vAlign w:val="bottom"/>
          </w:tcPr>
          <w:p>
            <w:pPr>
              <w:spacing w:after="0"/>
              <w:rPr>
                <w:sz w:val="1"/>
                <w:szCs w:val="1"/>
                <w:color w:val="auto"/>
              </w:rPr>
            </w:pPr>
          </w:p>
        </w:tc>
      </w:tr>
      <w:tr>
        <w:trPr>
          <w:trHeight w:val="313"/>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1,567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598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2,165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160" w:hanging="334"/>
        <w:spacing w:after="0" w:line="264" w:lineRule="auto"/>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general and administrative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Company’s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3"/>
                <w:szCs w:val="13"/>
                <w:b w:val="1"/>
                <w:bCs w:val="1"/>
                <w:color w:val="auto"/>
                <w:w w:val="97"/>
              </w:rPr>
              <w:t>Three Months Ended March 31, 2025</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424,731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103,554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173,741</w:t>
            </w:r>
          </w:p>
        </w:tc>
        <w:tc>
          <w:tcPr>
            <w:tcW w:w="2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98,005</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280,991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1,081,022</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85,517</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1,165,915</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166,087</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100,115</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69,737</w:t>
            </w:r>
          </w:p>
        </w:tc>
        <w:tc>
          <w:tcPr>
            <w:tcW w:w="260" w:type="dxa"/>
            <w:vAlign w:val="bottom"/>
          </w:tcPr>
          <w:p>
            <w:pPr>
              <w:spacing w:after="0"/>
              <w:rPr>
                <w:sz w:val="16"/>
                <w:szCs w:val="16"/>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240,307</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576,246</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113,320</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27,764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19,429</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160,513</w:t>
            </w:r>
          </w:p>
        </w:tc>
        <w:tc>
          <w:tcPr>
            <w:tcW w:w="0" w:type="dxa"/>
            <w:vAlign w:val="bottom"/>
          </w:tcPr>
          <w:p>
            <w:pPr>
              <w:spacing w:after="0"/>
              <w:rPr>
                <w:sz w:val="1"/>
                <w:szCs w:val="1"/>
                <w:color w:val="auto"/>
              </w:rPr>
            </w:pPr>
          </w:p>
        </w:tc>
      </w:tr>
      <w:tr>
        <w:trPr>
          <w:trHeight w:val="166"/>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27,922</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1,871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29,793</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19,220</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19,220</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31,357</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31,357</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2,052</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2,052</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44,043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14,628</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50,406</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16,578</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9,079</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134,734</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54,139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29,805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23,220</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11,690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8,253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127,107</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4,223</w:t>
            </w:r>
          </w:p>
        </w:tc>
        <w:tc>
          <w:tcPr>
            <w:tcW w:w="2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1,419</w:t>
            </w:r>
          </w:p>
        </w:tc>
        <w:tc>
          <w:tcPr>
            <w:tcW w:w="16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2,999</w:t>
            </w:r>
          </w:p>
        </w:tc>
        <w:tc>
          <w:tcPr>
            <w:tcW w:w="2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1,076</w:t>
            </w:r>
          </w:p>
        </w:tc>
        <w:tc>
          <w:tcPr>
            <w:tcW w:w="260" w:type="dxa"/>
            <w:vAlign w:val="bottom"/>
          </w:tcPr>
          <w:p>
            <w:pPr>
              <w:spacing w:after="0"/>
              <w:rPr>
                <w:sz w:val="18"/>
                <w:szCs w:val="18"/>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9,744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7,764</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2,628</w:t>
            </w:r>
          </w:p>
        </w:tc>
        <w:tc>
          <w:tcPr>
            <w:tcW w:w="160" w:type="dxa"/>
            <w:vAlign w:val="bottom"/>
          </w:tcPr>
          <w:p>
            <w:pPr>
              <w:spacing w:after="0"/>
              <w:rPr>
                <w:sz w:val="16"/>
                <w:szCs w:val="16"/>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1,786</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2,703</w:t>
            </w:r>
          </w:p>
        </w:tc>
        <w:tc>
          <w:tcPr>
            <w:tcW w:w="260" w:type="dxa"/>
            <w:vAlign w:val="bottom"/>
          </w:tcPr>
          <w:p>
            <w:pPr>
              <w:spacing w:after="0"/>
              <w:rPr>
                <w:sz w:val="16"/>
                <w:szCs w:val="16"/>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1,729</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16,610</w:t>
            </w:r>
          </w:p>
        </w:tc>
        <w:tc>
          <w:tcPr>
            <w:tcW w:w="0" w:type="dxa"/>
            <w:vAlign w:val="bottom"/>
          </w:tcPr>
          <w:p>
            <w:pPr>
              <w:spacing w:after="0"/>
              <w:rPr>
                <w:sz w:val="1"/>
                <w:szCs w:val="1"/>
                <w:color w:val="auto"/>
              </w:rPr>
            </w:pPr>
          </w:p>
        </w:tc>
      </w:tr>
      <w:tr>
        <w:trPr>
          <w:trHeight w:val="68"/>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42,152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25,758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18,435</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7,911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6,497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100,753</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(29,447)</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(16,009)</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47,473</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Losses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(8,428)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(79,777)</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34,617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43,801</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(4,065)</w:t>
            </w: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33,621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4,741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198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617</w:t>
            </w:r>
          </w:p>
        </w:tc>
        <w:tc>
          <w:tcPr>
            <w:tcW w:w="2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3,373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480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9,409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4,694</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14,103</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200" w:hanging="310"/>
        <w:spacing w:after="0" w:line="259" w:lineRule="auto"/>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36"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8"/>
              </w:rPr>
              <w:t>Three Months Ended March 31,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261,256</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88,487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75,403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424,731</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88,097</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66,662</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11,755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(427)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166,087</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70,666</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4,477</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33,167</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5,010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113,320</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27,025</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176</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658</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27,922</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8,185</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1,877</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9,030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19,220</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30,532</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12,185</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1,065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44,043</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36,751</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15,071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8,608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54,139</w:t>
            </w:r>
          </w:p>
        </w:tc>
        <w:tc>
          <w:tcPr>
            <w:tcW w:w="0" w:type="dxa"/>
            <w:vAlign w:val="bottom"/>
          </w:tcPr>
          <w:p>
            <w:pPr>
              <w:spacing w:after="0"/>
              <w:rPr>
                <w:sz w:val="1"/>
                <w:szCs w:val="1"/>
                <w:color w:val="auto"/>
              </w:rPr>
            </w:pPr>
          </w:p>
        </w:tc>
      </w:tr>
      <w:tr>
        <w:trPr>
          <w:trHeight w:val="308"/>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1,808</w:t>
            </w:r>
          </w:p>
        </w:tc>
        <w:tc>
          <w:tcPr>
            <w:tcW w:w="22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1,887</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388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4,223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6,549</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456</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753</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7,764</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30,062</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12,807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42,152</w:t>
            </w:r>
          </w:p>
        </w:tc>
        <w:tc>
          <w:tcPr>
            <w:tcW w:w="0" w:type="dxa"/>
            <w:vAlign w:val="bottom"/>
          </w:tcPr>
          <w:p>
            <w:pPr>
              <w:spacing w:after="0"/>
              <w:rPr>
                <w:sz w:val="1"/>
                <w:szCs w:val="1"/>
                <w:color w:val="auto"/>
              </w:rPr>
            </w:pPr>
          </w:p>
        </w:tc>
      </w:tr>
      <w:tr>
        <w:trPr>
          <w:trHeight w:val="316"/>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2,787</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1,781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4,741</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777"/>
              <w:spacing w:after="0"/>
              <w:rPr>
                <w:sz w:val="20"/>
                <w:szCs w:val="20"/>
                <w:color w:val="auto"/>
              </w:rPr>
            </w:pPr>
            <w:r>
              <w:rPr>
                <w:rFonts w:ascii="Arial" w:cs="Arial" w:eastAsia="Arial" w:hAnsi="Arial"/>
                <w:sz w:val="13"/>
                <w:szCs w:val="13"/>
                <w:b w:val="1"/>
                <w:bCs w:val="1"/>
                <w:color w:val="auto"/>
              </w:rPr>
              <w:t>Three Months Ended March 31, 2025</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CSI</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Other Healthcare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Total Healthcare</w:t>
            </w:r>
          </w:p>
        </w:tc>
        <w:tc>
          <w:tcPr>
            <w:tcW w:w="0" w:type="dxa"/>
            <w:vAlign w:val="bottom"/>
          </w:tcPr>
          <w:p>
            <w:pPr>
              <w:spacing w:after="0"/>
              <w:rPr>
                <w:sz w:val="1"/>
                <w:szCs w:val="1"/>
                <w:color w:val="auto"/>
              </w:rPr>
            </w:pPr>
          </w:p>
        </w:tc>
      </w:tr>
      <w:tr>
        <w:trPr>
          <w:trHeight w:val="178"/>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90,248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83,493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173,741</w:t>
            </w:r>
          </w:p>
        </w:tc>
        <w:tc>
          <w:tcPr>
            <w:tcW w:w="0" w:type="dxa"/>
            <w:vAlign w:val="bottom"/>
          </w:tcPr>
          <w:p>
            <w:pPr>
              <w:spacing w:after="0"/>
              <w:rPr>
                <w:sz w:val="1"/>
                <w:szCs w:val="1"/>
                <w:color w:val="auto"/>
              </w:rPr>
            </w:pPr>
          </w:p>
        </w:tc>
      </w:tr>
      <w:tr>
        <w:trPr>
          <w:trHeight w:val="304"/>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30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63,974</w:t>
            </w:r>
          </w:p>
        </w:tc>
        <w:tc>
          <w:tcPr>
            <w:tcW w:w="16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36,141</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100,115</w:t>
            </w:r>
          </w:p>
        </w:tc>
        <w:tc>
          <w:tcPr>
            <w:tcW w:w="0" w:type="dxa"/>
            <w:vAlign w:val="bottom"/>
          </w:tcPr>
          <w:p>
            <w:pPr>
              <w:spacing w:after="0"/>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16,422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33,984</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50,406</w:t>
            </w:r>
          </w:p>
        </w:tc>
        <w:tc>
          <w:tcPr>
            <w:tcW w:w="0" w:type="dxa"/>
            <w:vAlign w:val="bottom"/>
          </w:tcPr>
          <w:p>
            <w:pPr>
              <w:spacing w:after="0"/>
              <w:rPr>
                <w:sz w:val="1"/>
                <w:szCs w:val="1"/>
                <w:color w:val="auto"/>
              </w:rPr>
            </w:pPr>
          </w:p>
        </w:tc>
      </w:tr>
      <w:tr>
        <w:trPr>
          <w:trHeight w:val="178"/>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13,368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23,220</w:t>
            </w:r>
          </w:p>
        </w:tc>
        <w:tc>
          <w:tcPr>
            <w:tcW w:w="0" w:type="dxa"/>
            <w:vAlign w:val="bottom"/>
          </w:tcPr>
          <w:p>
            <w:pPr>
              <w:spacing w:after="0"/>
              <w:rPr>
                <w:sz w:val="1"/>
                <w:szCs w:val="1"/>
                <w:color w:val="auto"/>
              </w:rPr>
            </w:pPr>
          </w:p>
        </w:tc>
      </w:tr>
      <w:tr>
        <w:trPr>
          <w:trHeight w:val="308"/>
        </w:trPr>
        <w:tc>
          <w:tcPr>
            <w:tcW w:w="7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2,999</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2,999</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30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6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1,610</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1,786</w:t>
            </w:r>
          </w:p>
        </w:tc>
        <w:tc>
          <w:tcPr>
            <w:tcW w:w="0" w:type="dxa"/>
            <w:vAlign w:val="bottom"/>
          </w:tcPr>
          <w:p>
            <w:pPr>
              <w:spacing w:after="0"/>
              <w:rPr>
                <w:sz w:val="1"/>
                <w:szCs w:val="1"/>
                <w:color w:val="auto"/>
              </w:rPr>
            </w:pPr>
          </w:p>
        </w:tc>
      </w:tr>
      <w:tr>
        <w:trPr>
          <w:trHeight w:val="163"/>
        </w:trPr>
        <w:tc>
          <w:tcPr>
            <w:tcW w:w="7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 Intangible Assets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18,435</w:t>
            </w:r>
          </w:p>
        </w:tc>
        <w:tc>
          <w:tcPr>
            <w:tcW w:w="0" w:type="dxa"/>
            <w:vAlign w:val="bottom"/>
          </w:tcPr>
          <w:p>
            <w:pPr>
              <w:spacing w:after="0"/>
              <w:rPr>
                <w:sz w:val="1"/>
                <w:szCs w:val="1"/>
                <w:color w:val="auto"/>
              </w:rPr>
            </w:pPr>
          </w:p>
        </w:tc>
      </w:tr>
      <w:tr>
        <w:trPr>
          <w:trHeight w:val="316"/>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298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319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160" w:hanging="334"/>
        <w:spacing w:after="0" w:line="264"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general and administrative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r>
      <w:tr>
        <w:trPr>
          <w:trHeight w:val="18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March 31, 2026</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December 31, 2025</w:t>
            </w:r>
          </w:p>
        </w:tc>
      </w:tr>
      <w:tr>
        <w:trPr>
          <w:trHeight w:val="178"/>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7920" w:type="dxa"/>
            <w:vAlign w:val="bottom"/>
          </w:tcPr>
          <w:p>
            <w:pPr>
              <w:ind w:left="440"/>
              <w:spacing w:after="0"/>
              <w:rPr>
                <w:sz w:val="20"/>
                <w:szCs w:val="20"/>
                <w:color w:val="auto"/>
              </w:rPr>
            </w:pPr>
            <w:r>
              <w:rPr>
                <w:rFonts w:ascii="Arial" w:cs="Arial" w:eastAsia="Arial" w:hAnsi="Arial"/>
                <w:sz w:val="13"/>
                <w:szCs w:val="13"/>
                <w:color w:val="auto"/>
              </w:rPr>
              <w:t>Kaplan international</w:t>
            </w:r>
          </w:p>
        </w:tc>
        <w:tc>
          <w:tcPr>
            <w:tcW w:w="220" w:type="dxa"/>
            <w:vAlign w:val="bottom"/>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1,431,048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1,551,682</w:t>
            </w:r>
          </w:p>
        </w:tc>
      </w:tr>
      <w:tr>
        <w:trPr>
          <w:trHeight w:val="189"/>
        </w:trPr>
        <w:tc>
          <w:tcPr>
            <w:tcW w:w="7920" w:type="dxa"/>
            <w:vAlign w:val="bottom"/>
          </w:tcPr>
          <w:p>
            <w:pPr>
              <w:ind w:left="440"/>
              <w:spacing w:after="0"/>
              <w:rPr>
                <w:sz w:val="20"/>
                <w:szCs w:val="20"/>
                <w:color w:val="auto"/>
              </w:rPr>
            </w:pPr>
            <w:r>
              <w:rPr>
                <w:rFonts w:ascii="Arial" w:cs="Arial" w:eastAsia="Arial" w:hAnsi="Arial"/>
                <w:sz w:val="13"/>
                <w:szCs w:val="13"/>
                <w:color w:val="auto"/>
              </w:rPr>
              <w:t>Higher education</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164,418</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174,738</w:t>
            </w:r>
          </w:p>
        </w:tc>
      </w:tr>
      <w:tr>
        <w:trPr>
          <w:trHeight w:val="189"/>
        </w:trPr>
        <w:tc>
          <w:tcPr>
            <w:tcW w:w="7920" w:type="dxa"/>
            <w:vAlign w:val="bottom"/>
          </w:tcPr>
          <w:p>
            <w:pPr>
              <w:ind w:left="440"/>
              <w:spacing w:after="0"/>
              <w:rPr>
                <w:sz w:val="20"/>
                <w:szCs w:val="20"/>
                <w:color w:val="auto"/>
              </w:rPr>
            </w:pPr>
            <w:r>
              <w:rPr>
                <w:rFonts w:ascii="Arial" w:cs="Arial" w:eastAsia="Arial" w:hAnsi="Arial"/>
                <w:sz w:val="13"/>
                <w:szCs w:val="13"/>
                <w:color w:val="auto"/>
              </w:rPr>
              <w:t>Supplemental education</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234,128</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247,181</w:t>
            </w:r>
          </w:p>
        </w:tc>
      </w:tr>
      <w:tr>
        <w:trPr>
          <w:trHeight w:val="191"/>
        </w:trPr>
        <w:tc>
          <w:tcPr>
            <w:tcW w:w="7920" w:type="dxa"/>
            <w:vAlign w:val="bottom"/>
          </w:tcPr>
          <w:p>
            <w:pPr>
              <w:ind w:left="440"/>
              <w:spacing w:after="0"/>
              <w:rPr>
                <w:sz w:val="20"/>
                <w:szCs w:val="20"/>
                <w:color w:val="auto"/>
              </w:rPr>
            </w:pPr>
            <w:r>
              <w:rPr>
                <w:rFonts w:ascii="Arial" w:cs="Arial" w:eastAsia="Arial" w:hAnsi="Arial"/>
                <w:sz w:val="13"/>
                <w:szCs w:val="13"/>
                <w:color w:val="auto"/>
              </w:rPr>
              <w:t>Kaplan corporate and other</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38,053</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34,973</w:t>
            </w:r>
          </w:p>
        </w:tc>
      </w:tr>
      <w:tr>
        <w:trPr>
          <w:trHeight w:val="181"/>
        </w:trPr>
        <w:tc>
          <w:tcPr>
            <w:tcW w:w="7920" w:type="dxa"/>
            <w:vAlign w:val="bottom"/>
          </w:tcPr>
          <w:p>
            <w:pPr>
              <w:ind w:left="220"/>
              <w:spacing w:after="0"/>
              <w:rPr>
                <w:sz w:val="20"/>
                <w:szCs w:val="20"/>
                <w:color w:val="auto"/>
              </w:rPr>
            </w:pPr>
            <w:r>
              <w:rPr>
                <w:rFonts w:ascii="Arial" w:cs="Arial" w:eastAsia="Arial" w:hAnsi="Arial"/>
                <w:sz w:val="13"/>
                <w:szCs w:val="13"/>
                <w:color w:val="auto"/>
              </w:rPr>
              <w:t>Education</w:t>
            </w:r>
          </w:p>
        </w:tc>
        <w:tc>
          <w:tcPr>
            <w:tcW w:w="220" w:type="dxa"/>
            <w:vAlign w:val="bottom"/>
          </w:tcPr>
          <w:p>
            <w:pPr>
              <w:spacing w:after="0"/>
              <w:rPr>
                <w:sz w:val="15"/>
                <w:szCs w:val="15"/>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1,867,647</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2,008,574</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Television broadcasting</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388,564</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393,097</w:t>
            </w:r>
          </w:p>
        </w:tc>
      </w:tr>
      <w:tr>
        <w:trPr>
          <w:trHeight w:val="189"/>
        </w:trPr>
        <w:tc>
          <w:tcPr>
            <w:tcW w:w="7920" w:type="dxa"/>
            <w:vAlign w:val="bottom"/>
          </w:tcPr>
          <w:p>
            <w:pPr>
              <w:ind w:left="440"/>
              <w:spacing w:after="0"/>
              <w:rPr>
                <w:sz w:val="20"/>
                <w:szCs w:val="20"/>
                <w:color w:val="auto"/>
              </w:rPr>
            </w:pPr>
            <w:r>
              <w:rPr>
                <w:rFonts w:ascii="Arial" w:cs="Arial" w:eastAsia="Arial" w:hAnsi="Arial"/>
                <w:sz w:val="13"/>
                <w:szCs w:val="13"/>
                <w:color w:val="auto"/>
              </w:rPr>
              <w:t>CSI</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197,339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128,170</w:t>
            </w:r>
          </w:p>
        </w:tc>
      </w:tr>
      <w:tr>
        <w:trPr>
          <w:trHeight w:val="191"/>
        </w:trPr>
        <w:tc>
          <w:tcPr>
            <w:tcW w:w="7920" w:type="dxa"/>
            <w:vAlign w:val="bottom"/>
          </w:tcPr>
          <w:p>
            <w:pPr>
              <w:ind w:left="440"/>
              <w:spacing w:after="0"/>
              <w:rPr>
                <w:sz w:val="20"/>
                <w:szCs w:val="20"/>
                <w:color w:val="auto"/>
              </w:rPr>
            </w:pPr>
            <w:r>
              <w:rPr>
                <w:rFonts w:ascii="Arial" w:cs="Arial" w:eastAsia="Arial" w:hAnsi="Arial"/>
                <w:sz w:val="13"/>
                <w:szCs w:val="13"/>
                <w:color w:val="auto"/>
              </w:rPr>
              <w:t>Other healthcare</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183,373</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227,457</w:t>
            </w:r>
          </w:p>
        </w:tc>
      </w:tr>
      <w:tr>
        <w:trPr>
          <w:trHeight w:val="181"/>
        </w:trPr>
        <w:tc>
          <w:tcPr>
            <w:tcW w:w="7920" w:type="dxa"/>
            <w:vAlign w:val="bottom"/>
          </w:tcPr>
          <w:p>
            <w:pPr>
              <w:ind w:left="220"/>
              <w:spacing w:after="0"/>
              <w:rPr>
                <w:sz w:val="20"/>
                <w:szCs w:val="20"/>
                <w:color w:val="auto"/>
              </w:rPr>
            </w:pPr>
            <w:r>
              <w:rPr>
                <w:rFonts w:ascii="Arial" w:cs="Arial" w:eastAsia="Arial" w:hAnsi="Arial"/>
                <w:sz w:val="13"/>
                <w:szCs w:val="13"/>
                <w:color w:val="auto"/>
              </w:rPr>
              <w:t>Healthcare</w:t>
            </w:r>
          </w:p>
        </w:tc>
        <w:tc>
          <w:tcPr>
            <w:tcW w:w="220" w:type="dxa"/>
            <w:vAlign w:val="bottom"/>
          </w:tcPr>
          <w:p>
            <w:pPr>
              <w:spacing w:after="0"/>
              <w:rPr>
                <w:sz w:val="15"/>
                <w:szCs w:val="15"/>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380,712</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355,627</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542,933</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535,006</w:t>
            </w:r>
          </w:p>
        </w:tc>
      </w:tr>
      <w:tr>
        <w:trPr>
          <w:trHeight w:val="191"/>
        </w:trPr>
        <w:tc>
          <w:tcPr>
            <w:tcW w:w="7920" w:type="dxa"/>
            <w:vAlign w:val="bottom"/>
          </w:tcPr>
          <w:p>
            <w:pPr>
              <w:ind w:left="220"/>
              <w:spacing w:after="0"/>
              <w:rPr>
                <w:sz w:val="20"/>
                <w:szCs w:val="20"/>
                <w:color w:val="auto"/>
              </w:rPr>
            </w:pPr>
            <w:r>
              <w:rPr>
                <w:rFonts w:ascii="Arial" w:cs="Arial" w:eastAsia="Arial" w:hAnsi="Arial"/>
                <w:sz w:val="13"/>
                <w:szCs w:val="13"/>
                <w:color w:val="auto"/>
              </w:rPr>
              <w:t>Automotive</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579,675</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582,715</w:t>
            </w:r>
          </w:p>
        </w:tc>
      </w:tr>
      <w:tr>
        <w:trPr>
          <w:trHeight w:val="18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Segments</w:t>
            </w:r>
          </w:p>
        </w:tc>
        <w:tc>
          <w:tcPr>
            <w:tcW w:w="220" w:type="dxa"/>
            <w:vAlign w:val="bottom"/>
          </w:tcPr>
          <w:p>
            <w:pPr>
              <w:spacing w:after="0"/>
              <w:rPr>
                <w:sz w:val="15"/>
                <w:szCs w:val="15"/>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3,759,531</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3,875,019</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Other businesses</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345,737</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357,408</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Corporate office</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79,149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79,389</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Marketable Equity Securities</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966,719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1,081,938</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Affiliates</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237,053</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229,565</w:t>
            </w:r>
          </w:p>
        </w:tc>
      </w:tr>
      <w:tr>
        <w:trPr>
          <w:trHeight w:val="19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Prepaid Pension Cost</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2,792,300</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2,772,394</w:t>
            </w:r>
          </w:p>
        </w:tc>
      </w:tr>
      <w:tr>
        <w:trPr>
          <w:trHeight w:val="185"/>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8,180,489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8,395,713</w:t>
            </w:r>
          </w:p>
        </w:tc>
      </w:tr>
      <w:tr>
        <w:trPr>
          <w:trHeight w:val="25"/>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reported net income attributable to common shares of $29.1 million ($6.62 per share) for the first quarter of 2026, compared to $23.9 million ($5.45 per share) for the first quarter of 2025.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2026:</w:t>
      </w:r>
    </w:p>
    <w:p>
      <w:pPr>
        <w:spacing w:after="0" w:line="158"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$19.0 million of impairment charges related to the Kaplan Languages Group (KLG) (after-tax impact of $14.3 million, or $3.26 per share);</w:t>
      </w:r>
    </w:p>
    <w:p>
      <w:pPr>
        <w:spacing w:after="0" w:line="157" w:lineRule="exact"/>
        <w:rPr>
          <w:rFonts w:ascii="Arial" w:cs="Arial" w:eastAsia="Arial" w:hAnsi="Arial"/>
          <w:sz w:val="18"/>
          <w:szCs w:val="18"/>
          <w:color w:val="auto"/>
        </w:rPr>
      </w:pPr>
    </w:p>
    <w:p>
      <w:pPr>
        <w:ind w:left="180" w:right="500" w:hanging="172"/>
        <w:spacing w:after="0" w:line="256"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$4.1 million in non-operating expenses related to Separation Incentive Programs (SIPs) at the education, television broadcasting and manufacturing divisions, other businesses and the corporate office (after-tax impact of $3.0 million, or $0.69 per share);</w:t>
      </w:r>
    </w:p>
    <w:p>
      <w:pPr>
        <w:spacing w:after="0" w:line="111" w:lineRule="exact"/>
        <w:rPr>
          <w:rFonts w:ascii="Arial" w:cs="Arial" w:eastAsia="Arial" w:hAnsi="Arial"/>
          <w:sz w:val="18"/>
          <w:szCs w:val="18"/>
          <w:color w:val="auto"/>
        </w:rPr>
      </w:pPr>
    </w:p>
    <w:p>
      <w:pPr>
        <w:ind w:left="180" w:right="20" w:hanging="172"/>
        <w:spacing w:after="0" w:line="271"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$0.7 million in interest income to adjust the fair value of the mandatorily redeemable noncontrolling interest (after-tax impact of $0.5 million, or $0.12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$68.9 million in net losses on marketable equity securities (after-tax impact of $51.3 million, or $11.66 per share);</w:t>
      </w:r>
    </w:p>
    <w:p>
      <w:pPr>
        <w:spacing w:after="0" w:line="157" w:lineRule="exact"/>
        <w:rPr>
          <w:rFonts w:ascii="Arial" w:cs="Arial" w:eastAsia="Arial" w:hAnsi="Arial"/>
          <w:sz w:val="18"/>
          <w:szCs w:val="18"/>
          <w:color w:val="auto"/>
        </w:rPr>
      </w:pPr>
    </w:p>
    <w:p>
      <w:pPr>
        <w:ind w:left="180" w:hanging="172"/>
        <w:spacing w:after="0" w:line="271"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$31.0 million in net earnings of affiliates whose operations are not managed by the Company (after-tax impact of $23.1 million, or $5.24 per share); and</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non-operating gain of $0.5 million from the sale of a cost method investment (after-tax impact of $0.4 million, or $0.08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2025:</w:t>
      </w:r>
    </w:p>
    <w:p>
      <w:pPr>
        <w:spacing w:after="0" w:line="158"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 million in non-operating expenses related to SIPs at other businesses (after-tax impact of $0.5 million, or $0.11 per share);</w:t>
      </w:r>
    </w:p>
    <w:p>
      <w:pPr>
        <w:spacing w:after="0" w:line="144" w:lineRule="exact"/>
        <w:rPr>
          <w:rFonts w:ascii="Arial" w:cs="Arial" w:eastAsia="Arial" w:hAnsi="Arial"/>
          <w:sz w:val="18"/>
          <w:szCs w:val="18"/>
          <w:color w:val="auto"/>
        </w:rPr>
      </w:pPr>
    </w:p>
    <w:p>
      <w:pPr>
        <w:ind w:left="180" w:right="340" w:hanging="172"/>
        <w:spacing w:after="0" w:line="271"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$66.4 million in interest expense to adjust the fair value of the mandatorily redeemable noncontrolling interest (after-tax impact of $50.4 million, or $11.49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$43.8 million in net gains on marketable equity securities (after-tax impact of $32.6 million, or $7.43 per share); and</w:t>
      </w:r>
    </w:p>
    <w:p>
      <w:pPr>
        <w:spacing w:after="0" w:line="157"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$11.9 million in net losses of affiliates whose operations are not managed by the Company (after-tax impact of $8.9 million, or $2.02 per share).</w:t>
      </w:r>
    </w:p>
    <w:p>
      <w:pPr>
        <w:spacing w:after="0" w:line="86"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Revenue for the first quarter of 2026 was $1,236.0 million, up 6% from $1,165.9 million in the first quarter of 2025. Revenues increased at education, television broadcasting, healthcare and manufacturing, partially offset by declines at automotive and other businesses. The</w:t>
      </w:r>
    </w:p>
    <w:p>
      <w:pPr>
        <w:ind w:right="120"/>
        <w:spacing w:after="0" w:line="226" w:lineRule="auto"/>
        <w:rPr>
          <w:sz w:val="20"/>
          <w:szCs w:val="20"/>
          <w:color w:val="auto"/>
        </w:rPr>
      </w:pPr>
      <w:r>
        <w:rPr>
          <w:rFonts w:ascii="Arial" w:cs="Arial" w:eastAsia="Arial" w:hAnsi="Arial"/>
          <w:sz w:val="18"/>
          <w:szCs w:val="18"/>
          <w:color w:val="auto"/>
        </w:rPr>
        <w:t>Company reported operating income of $57.8 million for the first quarter of 2026, compared to $47.5 million for the first quarter of 2025. The increase in operating results is due to improved results at television broadcasting, manufacturing and other businesses, partially offset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declines at education, healthcare and automotive.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Education division revenue totaled $440.5 million for the first quarter of 2026, up 4% from $424.7 million for the same period of 2025. Kaplan reported operating income of $32.4 million for the first quarter of 2026, compared to $40.0 million for the first quarter of 2025.</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271,636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261,256</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92,403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88,487</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76,864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75,403</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271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(695)</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440,479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424,731</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31,387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30,062</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17,689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12,807</w:t>
            </w: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7,280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5,968</w:t>
            </w: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(4,350)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(6,648)</w:t>
            </w: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(314)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(2,119)</w:t>
            </w:r>
          </w:p>
        </w:tc>
        <w:tc>
          <w:tcPr>
            <w:tcW w:w="12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Impairment of goodwill and asset group held for sale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(19,029)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32,382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40,033</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In the first quarter of 2026, the Company entered into an agreement to sell KLG included in Kaplan International, with an expected closing date of May 1, 2026. At March 31, 2026, the Company classified the assets and liabilities of KLG as held for sale; the Company also</w:t>
      </w:r>
    </w:p>
    <w:p>
      <w:pPr>
        <w:ind w:right="20"/>
        <w:spacing w:after="0" w:line="237" w:lineRule="auto"/>
        <w:rPr>
          <w:sz w:val="20"/>
          <w:szCs w:val="20"/>
          <w:color w:val="auto"/>
        </w:rPr>
      </w:pPr>
      <w:r>
        <w:rPr>
          <w:rFonts w:ascii="Arial" w:cs="Arial" w:eastAsia="Arial" w:hAnsi="Arial"/>
          <w:sz w:val="18"/>
          <w:szCs w:val="18"/>
          <w:color w:val="auto"/>
        </w:rPr>
        <w:t>recorded a $19.0 million pre-tax impairment charge in the first quarter of 2026 related to the KLG business. Excluding the impairment charge, Kaplan’s operating income was up significantly in the first quarter of 2026.</w:t>
      </w:r>
    </w:p>
    <w:p>
      <w:pPr>
        <w:spacing w:after="0" w:line="127" w:lineRule="exact"/>
        <w:rPr>
          <w:sz w:val="20"/>
          <w:szCs w:val="20"/>
          <w:color w:val="auto"/>
        </w:rPr>
      </w:pPr>
    </w:p>
    <w:p>
      <w:pPr>
        <w:jc w:val="both"/>
        <w:ind w:right="340"/>
        <w:spacing w:after="0" w:line="231"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(U.S.). Kaplan International revenue increased 4% for the first quarter of 2026 (3% decrease on a constant currency basis) due to increases at Singapore, UK Professional and Kaplan Open Learning (KOL), partially offset by declines at Pathways. Kaplan International</w:t>
      </w:r>
    </w:p>
    <w:p>
      <w:pPr>
        <w:spacing w:after="0" w:line="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reported operating income of $31.4 million in the first quarter of 2026, compared to $30.1 million in the first quarter of 2025. Operating results at Singapore and KOL grew significantly as a result of strong enrollment growth. The increase was partially offset by declines at the Pathways business. In particular, revenues and operating results were down significantly at US Pathways due to the continued adverse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of changes in U.S. visa policies and practices for international students recruited by Kaplan to study in the U.S.</w:t>
      </w:r>
    </w:p>
    <w:p>
      <w:pPr>
        <w:spacing w:after="0" w:line="126"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 4% for the first quarter of 2026, due primarily to an increase in the Purdue Global fee recorded. Enrollments at Purdue Global, the largest</w:t>
      </w:r>
    </w:p>
    <w:p>
      <w:pPr>
        <w:spacing w:after="0" w:line="235" w:lineRule="auto"/>
        <w:rPr>
          <w:sz w:val="20"/>
          <w:szCs w:val="20"/>
          <w:color w:val="auto"/>
        </w:rPr>
      </w:pPr>
      <w:r>
        <w:rPr>
          <w:rFonts w:ascii="Arial" w:cs="Arial" w:eastAsia="Arial" w:hAnsi="Arial"/>
          <w:sz w:val="18"/>
          <w:szCs w:val="18"/>
          <w:color w:val="auto"/>
        </w:rPr>
        <w:t>institutional client, increased 8% for the first three months of 2026 compared to the first three months of 2025. For the first quarter of 2026,</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recorded the full fee from Purdue Global, while only a portion of the fee from Purdue Global was recorded for the first quarter of 2025. However, in the second quarter and first six months of 2025, Kaplan recorded the full fee from Purdue Global. The Company will continue to</w:t>
      </w:r>
    </w:p>
    <w:p>
      <w:pPr>
        <w:spacing w:after="0" w:line="236" w:lineRule="auto"/>
        <w:rPr>
          <w:sz w:val="20"/>
          <w:szCs w:val="20"/>
          <w:color w:val="auto"/>
        </w:rPr>
      </w:pPr>
      <w:r>
        <w:rPr>
          <w:rFonts w:ascii="Arial" w:cs="Arial" w:eastAsia="Arial" w:hAnsi="Arial"/>
          <w:sz w:val="18"/>
          <w:szCs w:val="18"/>
          <w:color w:val="auto"/>
        </w:rPr>
        <w:t>assess the fee it records from Purdue Global on a quarterly basis to make a determination as to whether to record all or part of the fee in the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future and whether to adjust fee amounts recognized in earlier periods. Higher Education operating results improved in the first quarter of 2026 due to an increase in the Purdue Global fee recorded, and a decline in higher education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education businesses. Supplemental Ed revenue increased 2% due to growth in most of its professional preparation program offerings, offset in part by softness in publishing sales volume. Operating results increased in the first quarter of 2026 from revenue growth and improved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margins.</w:t>
      </w:r>
    </w:p>
    <w:p>
      <w:pPr>
        <w:spacing w:after="0" w:line="14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Kaplan corporate and other represents unallocated expenses of Kaplan’s corporate office, other minor businesses and certain shared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2026, the Company offered a SIP to certain employees at Kaplan International, Higher Education and Supplemental</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Education; $1.9 million in related non-operating pension expense was recorded in the first quarter of 2026. This program was funded from the assets of the Company’s pension plan.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111,553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103,554</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33,943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24,398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39</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owns seven television stations located in Houston, TX; Detroit, MI; Orlando, FL; San Antonio, TX; Jacksonville, FL;</w:t>
      </w:r>
    </w:p>
    <w:p>
      <w:pPr>
        <w:spacing w:after="0" w:line="1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and Roanoke, VA, as well as SocialNewsDesk, a provider of social media management tools designed to connect newsrooms with their users.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at the television broadcasting division increased 8% to $111.6 million in the first quarter of 2026, from $103.6 million in the same</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period of 2025. The revenue increase is due to a $7.3 million increase in political advertising revenue and increases from winter Olympics and Super Bowl advertising revenue at the Company’s NBC affiliates in the first quarter of 2026, partially offset by a $2.9 million decrease in</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retransmission revenue. Operating income for the first quarter of 2026 was up 39% to $33.9 million, from $24.4 million in the same period of 2025, due to higher revenues and lower overall costs.</w:t>
      </w:r>
    </w:p>
    <w:p>
      <w:pPr>
        <w:spacing w:after="0" w:line="10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While per subscriber rates from cable, satellite and OTT providers have grown, overall cable and satellite subscribers are down due to cord cutting, resulting in retransmission revenue net of network fees in 2026 expected to decline compared with 2025, and this trend is expected to continue.</w:t>
      </w:r>
    </w:p>
    <w:p>
      <w:pPr>
        <w:spacing w:after="0" w:line="10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 the first quarter of 2026, the Company offered a SIP to certain employees at the television broadcasting division; $0.6 million in related non-operating pension expense was recorded. This program was funded from the assets of the Company’s pension plan.</w:t>
      </w:r>
    </w:p>
    <w:p>
      <w:pPr>
        <w:spacing w:after="0" w:line="10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In March 2026, the Company’s television station in San Antonio (KSAT) entered into a new network affiliation agreement with ABC that covers the period April 1, 2026 through March 31, 2030.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Healthcare division revenue totaled $209.3 million for the first quarter of 2026, up 20% from $173.7 million for the same period of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Healthcare reported operating income of $17.4 million for the first quarter of 2026, compared to $18.3 million for the first quarter of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 division’s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117,781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90,248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91,559</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83,493</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209,340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173,741</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
        </w:trPr>
        <w:tc>
          <w:tcPr>
            <w:tcW w:w="7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6,312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9,643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11,114</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8,674</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17,426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18,317</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healthcare group provides nursing care and prescription services for patients receiving in-home infusion treatments through its 93.4%</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interest in CSI Pharmacy Holding Company, LLC (CSI). In August 2025, CSI purchased Pine Drug Holdings, LLC and was issued a California pharmacy license, with dispensing operations commencing late in the fourth quarter of 2025. CSI revenue increased 31% in the</w:t>
      </w:r>
    </w:p>
    <w:p>
      <w:pPr>
        <w:spacing w:after="0" w:line="235" w:lineRule="auto"/>
        <w:rPr>
          <w:sz w:val="20"/>
          <w:szCs w:val="20"/>
          <w:color w:val="auto"/>
        </w:rPr>
      </w:pPr>
      <w:r>
        <w:rPr>
          <w:rFonts w:ascii="Arial" w:cs="Arial" w:eastAsia="Arial" w:hAnsi="Arial"/>
          <w:sz w:val="18"/>
          <w:szCs w:val="18"/>
          <w:color w:val="auto"/>
        </w:rPr>
        <w:t>first quarter of 2026 from continued expansion of treatment offerings and patient service areas. Operating results were down in the first</w:t>
      </w:r>
    </w:p>
    <w:p>
      <w:pPr>
        <w:ind w:right="320"/>
        <w:spacing w:after="0" w:line="226" w:lineRule="auto"/>
        <w:rPr>
          <w:sz w:val="20"/>
          <w:szCs w:val="20"/>
          <w:color w:val="auto"/>
        </w:rPr>
      </w:pPr>
      <w:r>
        <w:rPr>
          <w:rFonts w:ascii="Arial" w:cs="Arial" w:eastAsia="Arial" w:hAnsi="Arial"/>
          <w:sz w:val="18"/>
          <w:szCs w:val="18"/>
          <w:color w:val="auto"/>
        </w:rPr>
        <w:t>quarter of 2026 due to various operational investments including expanding CSI’s pharmacy facility locations; lower operating margins for certain products compared with the first quarter of 2025; and increased incentive compensation expense. The Company expects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operating income growth at CSI for the remainder of 2026 compared with 2025.</w:t>
      </w:r>
    </w:p>
    <w:p>
      <w:pPr>
        <w:spacing w:after="0" w:line="14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Healthcare also includes Graham Healthcare Group (GHG), which provides home health and hospice services in seven states. In March 2026, GHG acquired Covenant Home Health of Havertown, PA, a home health provider in Eastern Pennsylvania. Healthcare also includes</w:t>
      </w:r>
    </w:p>
    <w:p>
      <w:pPr>
        <w:spacing w:after="0" w:line="1"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Clarus (provides call management SaaS-based solution for physician groups and hospitals), Impact Medical (an allergy, asthma and immunology physician practice), Skin</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Clique (a concierge provider of aesthetics products and services) and Surpass Behavioral Health (provides therapy for autism patients).</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Revenue increased in other healthcare businesses by 10% in the first quarter of 2026 from growth in home health and hospice services and each of the other healthcare businesses. Operating results improved at home health and hospice in the first quarter of 2026, partly due to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reduction in pension expense. Overall, operating results also improved at the other four healthcare businesses in the first quarter of 2026.</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 million and $3.2 million for the first quarters of 2026 and 2025, respectively, from these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125,034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98,005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8,000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5,480</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46</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and aluminum cladding products for the non-residential market; Dekko, a manufacturer of electrical workspace</w:t>
      </w:r>
    </w:p>
    <w:p>
      <w:pPr>
        <w:spacing w:after="0" w:line="235" w:lineRule="auto"/>
        <w:rPr>
          <w:sz w:val="20"/>
          <w:szCs w:val="20"/>
          <w:color w:val="auto"/>
        </w:rPr>
      </w:pPr>
      <w:r>
        <w:rPr>
          <w:rFonts w:ascii="Arial" w:cs="Arial" w:eastAsia="Arial" w:hAnsi="Arial"/>
          <w:sz w:val="18"/>
          <w:szCs w:val="18"/>
          <w:color w:val="auto"/>
        </w:rPr>
        <w:t>solutions, architectural lighting and electrical components and assemblies; Joyce, a manufacturer of screw jacks and other linear motion</w:t>
      </w:r>
    </w:p>
    <w:p>
      <w:pPr>
        <w:ind w:right="700"/>
        <w:spacing w:after="0"/>
        <w:rPr>
          <w:sz w:val="20"/>
          <w:szCs w:val="20"/>
          <w:color w:val="auto"/>
        </w:rPr>
      </w:pPr>
      <w:r>
        <w:rPr>
          <w:rFonts w:ascii="Arial" w:cs="Arial" w:eastAsia="Arial" w:hAnsi="Arial"/>
          <w:sz w:val="17"/>
          <w:szCs w:val="17"/>
          <w:color w:val="auto"/>
        </w:rPr>
        <w:t>systems; and Forney, a global supplier of products and systems that control and monitor combustion processes in electric utility and industrial applications. On July 15, 2025, Hoover acquired Arconic Architectural Products, LLC, a wholly-owned subsidiary of Arconic</w:t>
      </w:r>
    </w:p>
    <w:p>
      <w:pPr>
        <w:spacing w:after="0" w:line="235" w:lineRule="auto"/>
        <w:rPr>
          <w:sz w:val="20"/>
          <w:szCs w:val="20"/>
          <w:color w:val="auto"/>
        </w:rPr>
      </w:pPr>
      <w:r>
        <w:rPr>
          <w:rFonts w:ascii="Arial" w:cs="Arial" w:eastAsia="Arial" w:hAnsi="Arial"/>
          <w:sz w:val="18"/>
          <w:szCs w:val="18"/>
          <w:color w:val="auto"/>
        </w:rPr>
        <w:t>Corporation (operating as Hoover Architectural Solutions), which manufactures aluminum cladding products and operates within the broader</w:t>
      </w:r>
    </w:p>
    <w:p>
      <w:pPr>
        <w:ind w:right="380"/>
        <w:spacing w:after="0" w:line="237" w:lineRule="auto"/>
        <w:rPr>
          <w:sz w:val="20"/>
          <w:szCs w:val="20"/>
          <w:color w:val="auto"/>
        </w:rPr>
      </w:pPr>
      <w:r>
        <w:rPr>
          <w:rFonts w:ascii="Arial" w:cs="Arial" w:eastAsia="Arial" w:hAnsi="Arial"/>
          <w:sz w:val="18"/>
          <w:szCs w:val="18"/>
          <w:color w:val="auto"/>
        </w:rPr>
        <w:t>non-residential materials space from its facility in Eastman, GA. A significant portion of the purchase price was funded by the Company’s assumption of $107.5 million in net pension obligations.</w:t>
      </w:r>
    </w:p>
    <w:p>
      <w:pPr>
        <w:spacing w:after="0" w:line="1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Manufacturing revenues increased 28% in the first quarter of 2026 due to increased revenues at Hoover and Joyce, partially offset by lower revenues at Dekko and Forney. The revenue increase at Hoover is due largely to the Hoover Architectural Solutions business acquisition.</w:t>
      </w:r>
    </w:p>
    <w:p>
      <w:pPr>
        <w:spacing w:after="0" w:line="235" w:lineRule="auto"/>
        <w:rPr>
          <w:sz w:val="20"/>
          <w:szCs w:val="20"/>
          <w:color w:val="auto"/>
        </w:rPr>
      </w:pPr>
      <w:r>
        <w:rPr>
          <w:rFonts w:ascii="Arial" w:cs="Arial" w:eastAsia="Arial" w:hAnsi="Arial"/>
          <w:sz w:val="18"/>
          <w:szCs w:val="18"/>
          <w:color w:val="auto"/>
        </w:rPr>
        <w:t>Excluding the acquisition, overall volumes were flat in the first quarter of 2026. Hoover results included wood gains on inventory sales in both</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the first quarter of 2026 and 2025. Manufacturing operating results improved in the first quarter of 2026 due to significant growth at Joyce, and growth at Dekko and Forney. The increase was partially offset by an overall decline at Hoover, due to increased intangible asset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transition costs related to the Arconic acquisition.</w:t>
      </w:r>
    </w:p>
    <w:p>
      <w:pPr>
        <w:spacing w:after="0" w:line="140"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In the first quarter of 2026, the Company offered a SIP to certain employees at Dekko and Joyce; $0.2 million in related non-operating pension expense was recorded. This program was funded from the assets of the Company’s pension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267,624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280,991</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5,308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6,492</w:t>
            </w: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 Rockville,</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Ourisman Honda of Tysons Corner, Ourisman Ford of Manassas, Toyota of Woodbridge, Ourisman Chrysler-Dodge-Jeep-Ram of Woodbridge, Ourisman Toyota of Richmond, and Ourisman Kia of Bethesda. In addition, on October 21, 2025, the Company acquired a</w:t>
      </w:r>
    </w:p>
    <w:p>
      <w:pPr>
        <w:spacing w:after="0" w:line="235" w:lineRule="auto"/>
        <w:rPr>
          <w:sz w:val="20"/>
          <w:szCs w:val="20"/>
          <w:color w:val="auto"/>
        </w:rPr>
      </w:pPr>
      <w:r>
        <w:rPr>
          <w:rFonts w:ascii="Arial" w:cs="Arial" w:eastAsia="Arial" w:hAnsi="Arial"/>
          <w:sz w:val="18"/>
          <w:szCs w:val="18"/>
          <w:color w:val="auto"/>
        </w:rPr>
        <w:t>Honda automotive dealership in Woodbridge, VA, including the real property for the dealership operations. Automotive also includes Roda,</w:t>
      </w:r>
    </w:p>
    <w:p>
      <w:pPr>
        <w:ind w:right="700"/>
        <w:spacing w:after="0" w:line="226" w:lineRule="auto"/>
        <w:rPr>
          <w:sz w:val="20"/>
          <w:szCs w:val="20"/>
          <w:color w:val="auto"/>
        </w:rPr>
      </w:pPr>
      <w:r>
        <w:rPr>
          <w:rFonts w:ascii="Arial" w:cs="Arial" w:eastAsia="Arial" w:hAnsi="Arial"/>
          <w:sz w:val="18"/>
          <w:szCs w:val="18"/>
          <w:color w:val="auto"/>
        </w:rPr>
        <w:t>which provides valet automotive repair services in the Washington, DC metropolitan area. Christopher J. Ourisman, a member of the Ourisman Automotive Group family of dealerships, and his team of industry professionals operate and manage the dealerships;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holds a 90% stake.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ceased operations of the Ourisman Jeep of Bethesda dealership, which was closed in early September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Revenues for the first quarter of 2026 decreased 5% due partly to the closure of the Ourisman Jeep of Bethesda dealership in September</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2025, offset by increased revenues from the Honda of Woodbridge dealership acquisition. Excluding these dealerships, revenues were down mostly from declines in new and used vehicle sales, partially offset by sales growth for services and parts. Operating results were down in</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first quarter of 2026 due largely to lower overall sales and gross margins on new and used vehicles, partially offset by earnings from the Honda of Woodbridge dealership acquisition and higher overall gross profit on services and parts.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09"/>
        </w:trPr>
        <w:tc>
          <w:tcPr>
            <w:tcW w:w="7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2025</w:t>
            </w: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1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39,078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38,763</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27,097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26,122</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w:t>
            </w:r>
          </w:p>
        </w:tc>
      </w:tr>
      <w:tr>
        <w:trPr>
          <w:trHeight w:val="240"/>
        </w:trPr>
        <w:tc>
          <w:tcPr>
            <w:tcW w:w="7640" w:type="dxa"/>
            <w:vAlign w:val="bottom"/>
          </w:tcPr>
          <w:p>
            <w:pPr>
              <w:ind w:left="140"/>
              <w:spacing w:after="0" w:line="24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15,752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20,012</w:t>
            </w: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81,927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84,897</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Clyde’s Restaurant Group (CRG), Decile and Supporting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Slate, Foreign Policy, Code3, World of Good Brands (WGB) (sold in 2025) and City Cast</w:t>
      </w:r>
    </w:p>
    <w:p>
      <w:pPr>
        <w:spacing w:after="0" w:line="221"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Overall, revenue from other businesses declined 3% in the first quarter of 2026. Specialty revenue increased due to revenue growth at Supporting Cast. Retail revenue increased due to revenue growth at Framebridge, partially offset by lower revenue at Society6 and Saatchi</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Art. Media revenue declined due to the sale of WGB and lower revenue at Slate and Code3, partially offset by revenue growth at Foreign Policy and City Cast.</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Overall, operating losses at other businesses were down in the first quarter of 2026, due to a reduction of losses from the sale of WGB and improved results at Society6, Code3, Decile, Supporting Cast and Saatchi Art, partially offset by declines at CRG and Slate.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CRG owns and operates 14 restaurants and entertainment venues in the Washington, DC metropolitan area, including Old Ebbitt Grill and The Hamilton. Revenue was flat in the first quarter of 2026 and CRG reported a small operating loss due to severe weather conditions and</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temporary closure of two restaurants and related repair work that was completed early in the quarter. CRG reported an operating profit in the first quarter of 2025.</w:t>
      </w:r>
    </w:p>
    <w:p>
      <w:pPr>
        <w:spacing w:after="0" w:line="12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CRG plans to open a new restaurant in Reston, VA in the third quarter of 2026, as well as a Clyde’s at Dulles International Airport under a licensing agreement later in 2026.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Framebridge is a custom framing service company, headquartered in the Washington, DC metropolitan area, with 47 retail locations, and four manufacturing facilities in Kentucky, Virginia and Nevada (opened in the third quarter of 2025). In the first three months of 2026, Framebridge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opened three new retail stores. Framebridge plans to open additional stores in 2026 and continues to actively explore other opportunities for further store and manufacturing expansion.</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Revenues grew in the first quarter of 2026 due to an increase in retail revenue from same-store sales growth and operating additional retail stores compared to the same periods in 2025, partially offset by slightly lower online revenues. Framebridge is an investment stage business</w:t>
      </w:r>
    </w:p>
    <w:p>
      <w:pPr>
        <w:spacing w:after="0" w:line="1"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and reported significant operating losses in the first three months of 2026 and 2025. Framebridge operating results include ongoing expansion investments from new retail store openings and the manufacturing facility in Nevada.</w:t>
      </w:r>
    </w:p>
    <w:p>
      <w:pPr>
        <w:spacing w:after="0" w:line="12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the first quarter of 2026, the Company offered a SIP to certain employees at Framebridge; $0.2 million in related non-operating pension expense was recorded. This program was funded from the assets of the Company’s pension plan.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Code3, a performance marketing agency focused on driving performance for brands though three core</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elements of digital success: media, creative and commerce; Slate and Foreign Policy, which publish online and print magazines and websites; Saatchi Art and Society6, which offer art and designs of various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consumer products; and three investment stage businesses, Decile, City Cast and Supporting Cast. Foreign Policy, Supporting Cast and City</w:t>
      </w:r>
    </w:p>
    <w:p>
      <w:pPr>
        <w:spacing w:after="0" w:line="234" w:lineRule="auto"/>
        <w:rPr>
          <w:sz w:val="20"/>
          <w:szCs w:val="20"/>
          <w:color w:val="auto"/>
        </w:rPr>
      </w:pPr>
      <w:r>
        <w:rPr>
          <w:rFonts w:ascii="Arial" w:cs="Arial" w:eastAsia="Arial" w:hAnsi="Arial"/>
          <w:sz w:val="18"/>
          <w:szCs w:val="18"/>
          <w:color w:val="auto"/>
        </w:rPr>
        <w:t>Cast reported revenue growth in the first three months of 2026, while Society6, Slate, Saatchi Art and Code3 reported revenue declines.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Losses from City Cast, Society6, Slate, Saatchi Art and Decile in the first three months of 2026 adversely affected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2026, the Company offered SIPs to certain employees at Slate and Code3; $1.0 million in related non-operating pension</w:t>
      </w:r>
    </w:p>
    <w:p>
      <w:pPr>
        <w:spacing w:after="0" w:line="234" w:lineRule="auto"/>
        <w:rPr>
          <w:sz w:val="20"/>
          <w:szCs w:val="20"/>
          <w:color w:val="auto"/>
        </w:rPr>
      </w:pPr>
      <w:r>
        <w:rPr>
          <w:rFonts w:ascii="Arial" w:cs="Arial" w:eastAsia="Arial" w:hAnsi="Arial"/>
          <w:sz w:val="18"/>
          <w:szCs w:val="18"/>
          <w:color w:val="auto"/>
        </w:rPr>
        <w:t>expense was recorded. In the first quarter of 2025, WGB offered a SIP; $0.6 million in related non-operating pension expense was recorded.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programs were funded from the assets of the Company’s pension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w:t>
      </w:r>
      <w:r>
        <w:rPr>
          <w:rFonts w:ascii="Arial" w:cs="Arial" w:eastAsia="Arial" w:hAnsi="Arial"/>
          <w:sz w:val="18"/>
          <w:szCs w:val="18"/>
          <w:b w:val="1"/>
          <w:bCs w:val="1"/>
          <w:color w:val="auto"/>
          <w:highlight w:val="white"/>
        </w:rPr>
        <w:t>y in Earnin</w:t>
      </w:r>
      <w:r>
        <w:rPr>
          <w:rFonts w:ascii="Arial" w:cs="Arial" w:eastAsia="Arial" w:hAnsi="Arial"/>
          <w:sz w:val="18"/>
          <w:szCs w:val="18"/>
          <w:b w:val="1"/>
          <w:bCs w:val="1"/>
          <w:color w:val="auto"/>
        </w:rPr>
        <w:t>gs (Losses) of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wp:posOffset>
            </wp:positionV>
            <wp:extent cx="1872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1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March 31, 2026, the Company held an approximate 25% interest in Intersection, a company that provides digital marketing and advertising services and products for cities, transit systems, airports, and other public and private spaces; and a 41.4% interest on a fully diluted basis in</w:t>
      </w:r>
    </w:p>
    <w:p>
      <w:pPr>
        <w:spacing w:after="0" w:line="235" w:lineRule="auto"/>
        <w:rPr>
          <w:sz w:val="20"/>
          <w:szCs w:val="20"/>
          <w:color w:val="auto"/>
        </w:rPr>
      </w:pPr>
      <w:r>
        <w:rPr>
          <w:rFonts w:ascii="Arial" w:cs="Arial" w:eastAsia="Arial" w:hAnsi="Arial"/>
          <w:sz w:val="18"/>
          <w:szCs w:val="18"/>
          <w:color w:val="auto"/>
        </w:rPr>
        <w:t>Realm. The Company also holds interests in several other affiliates, including a number of home health and hospice joint ventures managed</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by GHG and a joint venture managed by Kaplan. Overall, the Company recorded equity in earnings of affiliates of $34.9 million for the first quarter of 2026, compared to losses of $8.4 million for the first quarter of 2025. These amounts include $31.0 million in net earnings and</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$11.9 million in net losses for the first quarter of 2026 and 2025, respectively, from affiliates whose operations are not managed by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On November 24, 2025, the Company issued $ 500 million of 5.625% unsecured eight-year fixed-rate notes due December 1, 2033. Interest is paid semi-annually on June 1 and December 1. Also on November 24, 2025, the Company used the net proceeds from the sale of the</w:t>
      </w:r>
    </w:p>
    <w:p>
      <w:pPr>
        <w:spacing w:after="0" w:line="235" w:lineRule="auto"/>
        <w:rPr>
          <w:sz w:val="20"/>
          <w:szCs w:val="20"/>
          <w:color w:val="auto"/>
        </w:rPr>
      </w:pPr>
      <w:r>
        <w:rPr>
          <w:rFonts w:ascii="Arial" w:cs="Arial" w:eastAsia="Arial" w:hAnsi="Arial"/>
          <w:sz w:val="18"/>
          <w:szCs w:val="18"/>
          <w:color w:val="auto"/>
        </w:rPr>
        <w:t>notes, together with the borrowings under the revolving credit agreement, to (i) redeem the $400 million of 5.75% unsecured notes due June</w:t>
      </w:r>
    </w:p>
    <w:p>
      <w:pPr>
        <w:ind w:right="100"/>
        <w:spacing w:after="0"/>
        <w:rPr>
          <w:sz w:val="20"/>
          <w:szCs w:val="20"/>
          <w:color w:val="auto"/>
        </w:rPr>
      </w:pPr>
      <w:r>
        <w:rPr>
          <w:rFonts w:ascii="Arial" w:cs="Arial" w:eastAsia="Arial" w:hAnsi="Arial"/>
          <w:sz w:val="17"/>
          <w:szCs w:val="17"/>
          <w:color w:val="auto"/>
        </w:rPr>
        <w:t>1, 2026, (ii) refinance outstanding revolving loans under the existing revolving credit facility, and (iii) repay all amounts outstanding under the Company’s existing $150 million term loan. On October 21, 2025, the automotive subsidiary borrowed $38.7 million under the delayed draw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loan to finance the acquisition of a Honda automotive dealership, including the real property for the dealership operations.</w:t>
      </w:r>
    </w:p>
    <w:p>
      <w:pPr>
        <w:spacing w:after="0" w:line="14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Company incurred net interest expense of $13.8 million for the first quarter of 2026, compared to $79.8 million for the first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interest income of $0.7 million in the first quarter of 2026, compared to interest expense of $66.4 million in the first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quarter of 2025, to adjust the fair value of the mandatorily redeemable noncontrolling interest at GHG. The significant adjustment recorded in the first quarter of 2025 is largely related to a substantial increase in the estimated fair value of CSI. On February 25, 2025, the Company</w:t>
      </w:r>
    </w:p>
    <w:p>
      <w:pPr>
        <w:spacing w:after="0" w:line="236" w:lineRule="auto"/>
        <w:rPr>
          <w:sz w:val="20"/>
          <w:szCs w:val="20"/>
          <w:color w:val="auto"/>
        </w:rPr>
      </w:pPr>
      <w:r>
        <w:rPr>
          <w:rFonts w:ascii="Arial" w:cs="Arial" w:eastAsia="Arial" w:hAnsi="Arial"/>
          <w:sz w:val="18"/>
          <w:szCs w:val="18"/>
          <w:color w:val="auto"/>
        </w:rPr>
        <w:t>and a group of minority shareholders entered into an agreement to settle a significant portion of the mandatorily redeemable noncontrolling</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interest for a total of $205 million, which consisted of approximately $186.25 million in cash and $18.75 million in Graham Holdings Company Class B common stock.</w:t>
      </w:r>
    </w:p>
    <w:p>
      <w:pPr>
        <w:spacing w:after="0" w:line="127"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Excluding these adjustments, the increase in net interest expense relates primarily to higher debt balances in the first quarter of 2026 compared to the first quarter of 2025.</w:t>
      </w:r>
    </w:p>
    <w:p>
      <w:pPr>
        <w:spacing w:after="0" w:line="8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At March 31, 2026, the Company had $ 822.0 million in borrowings outstanding at an average interest rate of 5.8%, and cash, marketable equity securities and other investments of $1,171.8 million. At March 31, 2026, the Company had $149.1 million outstanding on its $400 million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$31.1 million for the first quarter of 2026, compared to $34.6 million for the first quarter of 2025.</w:t>
      </w:r>
    </w:p>
    <w:p>
      <w:pPr>
        <w:spacing w:after="0" w:line="8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the first quarter of 2026, the Company recorded $4.1 million in expenses related to non-operating SIPs at Kaplan, the television broadcasting division, manufacturing, other businesses and the Corporate office. In the first quarter of 2025, the Company recorded $0.6 million in expenses related to non-operating SIPs at other businesses.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Overall, the Company recognized $68.9 million in net losses on marketable equity securities in the first quarter of 2026, compared to $43.8 million in net gains on marketable equity securities in the first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Expense</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Company recorded total other non-operating expense, net, of $0.4 million for the first quarter of 2026, compared to other non-operating expense of $4.1 million for the first quarter of 2025. The 2026 amounts included $1.2 million in foreign currency losses, partially offset by a</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$0.5 million gain on sale of a cost method investment and other items. The 2025 amounts included $4.4 million in foreign currency losses; partially offset by other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three months of 2026 and 2025 was 24.4% and 23.5%,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calculation of diluted earnings per share for the first quarter of 2026 was based on 4,374,912 weighted average shares outstanding, compared to 4,358,328 for the first quarter of 2025. At March 31, 2026, there were 4,329,530 shares outstanding. On September 12, 2024,</w:t>
      </w:r>
    </w:p>
    <w:p>
      <w:pPr>
        <w:ind w:right="240"/>
        <w:spacing w:after="0" w:line="237" w:lineRule="auto"/>
        <w:rPr>
          <w:sz w:val="20"/>
          <w:szCs w:val="20"/>
          <w:color w:val="auto"/>
        </w:rPr>
      </w:pPr>
      <w:r>
        <w:rPr>
          <w:rFonts w:ascii="Arial" w:cs="Arial" w:eastAsia="Arial" w:hAnsi="Arial"/>
          <w:sz w:val="18"/>
          <w:szCs w:val="18"/>
          <w:color w:val="auto"/>
        </w:rPr>
        <w:t>the Board of Directors authorized the Company to acquire up to 500,000 shares of its Class B common stock; the Company has remaining authorization for 430,292 shares as of March 31, 2026.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r>
      <w:tr>
        <w:trPr>
          <w:trHeight w:val="21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2026</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2025</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135,676</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266,988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63,439</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44,417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972,701</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1,088,970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821,982</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880,756</w:t>
            </w:r>
          </w:p>
        </w:tc>
      </w:tr>
    </w:tbl>
    <w:p>
      <w:pPr>
        <w:spacing w:after="0" w:line="232"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undrawn portion of the Company’s $400 million revolving credit facility, amounting to $250.9 million at March 31, 2026.</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During the first three months of 2026, the Company’s cash and cash equivalents decreased by $102.5 million after adjusting for the inclusion of $28.8 million of cash and cash equivalents included in current assets held for sale following the classification of the KLG disposal group as</w:t>
      </w:r>
    </w:p>
    <w:p>
      <w:pPr>
        <w:spacing w:after="0" w:line="235" w:lineRule="auto"/>
        <w:rPr>
          <w:sz w:val="20"/>
          <w:szCs w:val="20"/>
          <w:color w:val="auto"/>
        </w:rPr>
      </w:pPr>
      <w:r>
        <w:rPr>
          <w:rFonts w:ascii="Arial" w:cs="Arial" w:eastAsia="Arial" w:hAnsi="Arial"/>
          <w:sz w:val="18"/>
          <w:szCs w:val="18"/>
          <w:color w:val="auto"/>
        </w:rPr>
        <w:t>held for sale. The decrease in cash and cash equivalents was due to share repurchases; capital expenditures; business acquisitions;</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dividend payments; the redemption of noncontrolling interests; and net repayments of borrowings and the vehicle floor plan payable. The decrease was partially offset by cash generated from operations and proceeds from the net sale of marketable equity securities. In the first</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three months of 2026, the Company’s borrowings decreased by $58.8 million, primarily due to repayments under the revolving credit facility and commercial notes at the automotive subsidiary, partially offset by increases in other debt.</w:t>
      </w:r>
    </w:p>
    <w:p>
      <w:pPr>
        <w:spacing w:after="0" w:line="104"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As of March 31, 2026 and December 31, 2025, the Company had money market investments of $7.5 million and $5.3 million, that are included in cash and cash equivalents. At March 31, 2026, the Company held approximately $116 million in cash and cash equivalents in</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businesses domiciled outside the U.S. that includes $28.8 million of cash and cash equivalents included in current assets held for sale, of which approximately $7 million is not available for immediate use in operations or for distribution. Additionally, Kaplan’s business operations</w:t>
      </w:r>
    </w:p>
    <w:p>
      <w:pPr>
        <w:spacing w:after="0" w:line="235" w:lineRule="auto"/>
        <w:rPr>
          <w:sz w:val="20"/>
          <w:szCs w:val="20"/>
          <w:color w:val="auto"/>
        </w:rPr>
      </w:pPr>
      <w:r>
        <w:rPr>
          <w:rFonts w:ascii="Arial" w:cs="Arial" w:eastAsia="Arial" w:hAnsi="Arial"/>
          <w:sz w:val="18"/>
          <w:szCs w:val="18"/>
          <w:color w:val="auto"/>
        </w:rPr>
        <w:t>outside the U.S. retain cash balances to support ongoing working capital requirements, capital expenditures, and regulatory requirements. As</w:t>
      </w:r>
    </w:p>
    <w:p>
      <w:pPr>
        <w:ind w:right="100"/>
        <w:spacing w:after="0" w:line="237" w:lineRule="auto"/>
        <w:rPr>
          <w:sz w:val="20"/>
          <w:szCs w:val="20"/>
          <w:color w:val="auto"/>
        </w:rPr>
      </w:pPr>
      <w:r>
        <w:rPr>
          <w:rFonts w:ascii="Arial" w:cs="Arial" w:eastAsia="Arial" w:hAnsi="Arial"/>
          <w:sz w:val="18"/>
          <w:szCs w:val="18"/>
          <w:color w:val="auto"/>
        </w:rPr>
        <w:t>a result, the Company considers a significant portion of the cash and cash equivalents balance held outside the U.S. as not readily available for use in U.S.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the fair value of the Company’s investments in marketable equity securities was $966.7 million, which includes</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investments in the common stock of five publicly traded companies. During the first three months of 2026, the Company purchased $3.7 million of marketable equity securities and sold marketable equity securities that generated proceeds of $50.0 million. At March 31, 2026,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gain related to the Company’s investments totaled $710.7 million.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Company had working capital of $976.6 million and $1,042.5 million at March 31, 2026 and December 31, 2025, respectively. The</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and December 31, 2025, the Company had borrowings outstanding of $822.0 million and $880.8 million, respectively. The</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Company’s borrowings at March 31, 2026 were mostly from $500.0 million of 5.625% unsecured notes due December 1, 2033, $149.1 million in outstanding borrowings under the Company’s revolving credit facility, and real estate and capital term loans of $152.7 million at the</w:t>
      </w:r>
    </w:p>
    <w:p>
      <w:pPr>
        <w:spacing w:after="0" w:line="235" w:lineRule="auto"/>
        <w:rPr>
          <w:sz w:val="20"/>
          <w:szCs w:val="20"/>
          <w:color w:val="auto"/>
        </w:rPr>
      </w:pPr>
      <w:r>
        <w:rPr>
          <w:rFonts w:ascii="Arial" w:cs="Arial" w:eastAsia="Arial" w:hAnsi="Arial"/>
          <w:sz w:val="18"/>
          <w:szCs w:val="18"/>
          <w:color w:val="auto"/>
        </w:rPr>
        <w:t>automotive subsidiary. The Company’s borrowings at December 31, 2025 were mostly from $500.0 million of 5.625% unsecured notes due</w:t>
      </w:r>
    </w:p>
    <w:p>
      <w:pPr>
        <w:ind w:right="240"/>
        <w:spacing w:after="0" w:line="237" w:lineRule="auto"/>
        <w:rPr>
          <w:sz w:val="20"/>
          <w:szCs w:val="20"/>
          <w:color w:val="auto"/>
        </w:rPr>
      </w:pPr>
      <w:r>
        <w:rPr>
          <w:rFonts w:ascii="Arial" w:cs="Arial" w:eastAsia="Arial" w:hAnsi="Arial"/>
          <w:sz w:val="18"/>
          <w:szCs w:val="18"/>
          <w:color w:val="auto"/>
        </w:rPr>
        <w:t>December 1, 2033, $222.5 million in outstanding borrowings under the Company’s revolving credit facility, and real estate and capital term loans of $155.9 million at the automotive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November 24, 2025, the Company issued $500 million of 5.625% unsecured eight-year fixed-rate notes due December 1, 2033 (the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Notes). Interest is paid semi-annually on June 1 and December 1. Also on November 24, 2025, the Company used the net proceeds from the sale of the notes, together with the borrowings under the revolving credit agreement, to (i) redeem the $400 million of 5.75% unsecured</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notes due June 1, 2026, (ii) refinance outstanding revolving loans under the existing revolving credit facility, and (iii) repay all amounts outstanding under the Company’s existing $150 million term loan.</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In combination with the issuance of the Notes, the Company amended and restated the Second Amended and Restated Five Year Credit Agreement, dated as of May 3, 2022, to, among other things, (i) increase the Company’s borrowing capacity by replacing the existing</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revolving commitments with a new revolving credit facility in the aggregate principal amount of $400 million, (ii) extend the maturity of the facility to November 24, 2030, and (iii) increase the letter of credit sublimit to $40 million.</w:t>
      </w:r>
    </w:p>
    <w:p>
      <w:pPr>
        <w:spacing w:after="0" w:line="12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October 21, 2025, the automotive subsidiary borrowed $38.7 million under the delayed draw term loan to finance the acquisition of a Honda automotive dealership, including the real property for the dealership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and 2025, the Company had average borrowings outstanding of approximately $892.8</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million and $789.1 million, respectively, at average annual interest rates of approximately 5.7% and 6.0%, respectively. During the three months ended March 31, 2026 and 2025, the Company incurred net interest expense of $13.8 million and $79.8 million, respectively.</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Included in the net interest expense for the three months ended March 31, 2026 and 2025 is $0.7 million of interest income and $66.4 million of interest expense, respectively, to adjust the fair value of the mandatorily redeemable noncontrolling interest (see Notes 7 and 8).</w:t>
      </w:r>
    </w:p>
    <w:p>
      <w:pPr>
        <w:spacing w:after="0" w:line="10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related to GHC One, including CSI, for a total of $205 million, which consisted of approximately $186.25 million in cash and $18.75 million in Graham Holdings Company Class B common stock.</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 related to GHC One and GHC Two was $7.6 million at March 31, 2026.</w:t>
      </w:r>
    </w:p>
    <w:p>
      <w:pPr>
        <w:spacing w:after="0" w:line="1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November 12, 2025, Moody’s affirmed the Company’s credit rating and maintained the outlook as Stable. Also on November 12, 2025, Standard &amp; Poor’s affirmed the Company’s credit rating and maintained the outlook as Stable.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needed, from borrowings under its revolving credit facility. As of March 31, 2026, the Company had $149.1 million outstanding under the $400 million revolving credit facility. In management’s opinion, the Company will have sufficient financial resources to meet its business</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2025</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67,732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46,014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10,500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(18,590)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(152,095)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(121,727)</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(3,585)</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3,388</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(77,448)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(90,915)</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3"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30,751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25,721</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asset group held for sale impairment</w:t>
            </w:r>
          </w:p>
        </w:tc>
        <w:tc>
          <w:tcPr>
            <w:tcW w:w="300" w:type="dxa"/>
            <w:vAlign w:val="bottom"/>
          </w:tcPr>
          <w:p>
            <w:pPr>
              <w:spacing w:after="0"/>
              <w:rPr>
                <w:sz w:val="20"/>
                <w:szCs w:val="20"/>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43,478</w:t>
            </w:r>
          </w:p>
        </w:tc>
        <w:tc>
          <w:tcPr>
            <w:tcW w:w="460" w:type="dxa"/>
            <w:vAlign w:val="bottom"/>
          </w:tcPr>
          <w:p>
            <w:pPr>
              <w:spacing w:after="0"/>
              <w:rPr>
                <w:sz w:val="20"/>
                <w:szCs w:val="20"/>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28,378</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14,814</w:t>
            </w:r>
          </w:p>
        </w:tc>
        <w:tc>
          <w:tcPr>
            <w:tcW w:w="460" w:type="dxa"/>
            <w:vAlign w:val="bottom"/>
          </w:tcPr>
          <w:p>
            <w:pPr>
              <w:spacing w:after="0"/>
              <w:rPr>
                <w:sz w:val="19"/>
                <w:szCs w:val="19"/>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14,103</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(20,401)</w:t>
            </w:r>
          </w:p>
        </w:tc>
        <w:tc>
          <w:tcPr>
            <w:tcW w:w="460" w:type="dxa"/>
            <w:vAlign w:val="bottom"/>
          </w:tcPr>
          <w:p>
            <w:pPr>
              <w:spacing w:after="0"/>
              <w:rPr>
                <w:sz w:val="19"/>
                <w:szCs w:val="19"/>
                <w:color w:val="auto"/>
              </w:rPr>
            </w:pPr>
          </w:p>
        </w:tc>
        <w:tc>
          <w:tcPr>
            <w:tcW w:w="940" w:type="dxa"/>
            <w:vAlign w:val="bottom"/>
          </w:tcPr>
          <w:p>
            <w:pPr>
              <w:jc w:val="center"/>
              <w:ind w:left="200"/>
              <w:spacing w:after="0"/>
              <w:rPr>
                <w:sz w:val="20"/>
                <w:szCs w:val="20"/>
                <w:color w:val="auto"/>
              </w:rPr>
            </w:pPr>
            <w:r>
              <w:rPr>
                <w:rFonts w:ascii="Arial" w:cs="Arial" w:eastAsia="Arial" w:hAnsi="Arial"/>
                <w:sz w:val="16"/>
                <w:szCs w:val="16"/>
                <w:color w:val="auto"/>
              </w:rPr>
              <w:t>(23,253)</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67,541</w:t>
            </w:r>
          </w:p>
        </w:tc>
        <w:tc>
          <w:tcPr>
            <w:tcW w:w="460" w:type="dxa"/>
            <w:vAlign w:val="bottom"/>
          </w:tcPr>
          <w:p>
            <w:pPr>
              <w:spacing w:after="0"/>
              <w:rPr>
                <w:sz w:val="19"/>
                <w:szCs w:val="19"/>
                <w:color w:val="auto"/>
              </w:rPr>
            </w:pPr>
          </w:p>
        </w:tc>
        <w:tc>
          <w:tcPr>
            <w:tcW w:w="940" w:type="dxa"/>
            <w:vAlign w:val="bottom"/>
          </w:tcPr>
          <w:p>
            <w:pPr>
              <w:jc w:val="center"/>
              <w:ind w:left="200"/>
              <w:spacing w:after="0"/>
              <w:rPr>
                <w:sz w:val="20"/>
                <w:szCs w:val="20"/>
                <w:color w:val="auto"/>
              </w:rPr>
            </w:pPr>
            <w:r>
              <w:rPr>
                <w:rFonts w:ascii="Arial" w:cs="Arial" w:eastAsia="Arial" w:hAnsi="Arial"/>
                <w:sz w:val="16"/>
                <w:szCs w:val="16"/>
                <w:color w:val="auto"/>
              </w:rPr>
              <w:t>(23,402)</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rPr>
              <w:t>(68,451)</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8"/>
              </w:rPr>
              <w:t>24,467</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b w:val="1"/>
                <w:bCs w:val="1"/>
                <w:color w:val="auto"/>
              </w:rPr>
              <w:t>67,732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8"/>
              </w:rPr>
              <w:t>46,014</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00"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For the first three months of 2026 compared to the first three months of 2025, the increase in net cash provided by operating activities is primarily driven by higher net income, net of non-cash adjustments, offset by changes in operating assets and liabilities. Changes in</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operating assets and liabilities were driven by higher purchases of inventory and a significant decrease in the interest expense related to the mandatorily redeemable noncontrolling interest, offset by an increase in customer collections.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provided by (used in) investing activities were as follows:</w:t>
      </w:r>
    </w:p>
    <w:p>
      <w:pPr>
        <w:spacing w:after="0" w:line="2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proceeds from sales (purchases) of marketable equity securities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46,296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(4,823)</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(19,171)</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(15,482)</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(18,162)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1,537</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10,500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(18,590)</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31" w:right="379" w:bottom="1440" w:gutter="0" w:footer="0" w:header="0"/>
          <w:type w:val="continuous"/>
        </w:sectPr>
      </w:pPr>
    </w:p>
    <w:p>
      <w:pPr>
        <w:spacing w:after="0" w:line="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i w:val="1"/>
          <w:iCs w:val="1"/>
          <w:color w:val="auto"/>
        </w:rPr>
        <w:t xml:space="preserve">Net proceeds from sales (purchases) of marketable equity securities. </w:t>
      </w:r>
      <w:r>
        <w:rPr>
          <w:rFonts w:ascii="Arial" w:cs="Arial" w:eastAsia="Arial" w:hAnsi="Arial"/>
          <w:sz w:val="18"/>
          <w:szCs w:val="18"/>
          <w:color w:val="auto"/>
        </w:rPr>
        <w:t>During the first three months of 2026, the Company sold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that generated proceeds of $50.0 million. There were no sales of marketable equity securities during the first three months</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of 2025. The Company purchased $3.7 million and $4.8 million of marketable equity securities during the first three months of 2026 and 2025,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Condensed Consolidated Statements of Cash Flows are based on cash</w:t>
      </w:r>
    </w:p>
    <w:p>
      <w:pPr>
        <w:spacing w:after="0" w:line="14" w:lineRule="exact"/>
        <w:rPr>
          <w:sz w:val="20"/>
          <w:szCs w:val="20"/>
          <w:color w:val="auto"/>
        </w:rPr>
      </w:pPr>
    </w:p>
    <w:p>
      <w:pPr>
        <w:ind w:right="600"/>
        <w:spacing w:after="0" w:line="226" w:lineRule="auto"/>
        <w:rPr>
          <w:sz w:val="20"/>
          <w:szCs w:val="20"/>
          <w:color w:val="auto"/>
        </w:rPr>
      </w:pPr>
      <w:r>
        <w:rPr>
          <w:rFonts w:ascii="Arial" w:cs="Arial" w:eastAsia="Arial" w:hAnsi="Arial"/>
          <w:sz w:val="18"/>
          <w:szCs w:val="18"/>
          <w:color w:val="auto"/>
        </w:rPr>
        <w:t>payments made during the relevant periods, whereas the Company’s capital expenditures for the first three months of 2026 and 2025 disclosed in Note 15 to the Condensed Consolidated Financial Statements include assets acquired during the period.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estimates that its capital expenditures will be in the range of $90 million to $100 million in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March 2026, the Company acquired one small business which is included in other healthcare businesses.</w:t>
      </w:r>
    </w:p>
    <w:p>
      <w:pPr>
        <w:sectPr>
          <w:pgSz w:w="11900" w:h="16838" w:orient="portrait"/>
          <w:cols w:equalWidth="0" w:num="1">
            <w:col w:w="11200"/>
          </w:cols>
          <w:pgMar w:left="320" w:top="931"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borrowing under revolving credit facility</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(68,210)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121,400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(11,972)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repayments of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(4,291)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(32,301)</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(34,143)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(17,340)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(8,200)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(7,813)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(3,235)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(188,253)</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(4,704)</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(152,095)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(121,727)</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i w:val="1"/>
          <w:iCs w:val="1"/>
          <w:color w:val="auto"/>
        </w:rPr>
        <w:t xml:space="preserve">Borrowings and Vehicle Floor Plan Payable. </w:t>
      </w:r>
      <w:r>
        <w:rPr>
          <w:rFonts w:ascii="Arial" w:cs="Arial" w:eastAsia="Arial" w:hAnsi="Arial"/>
          <w:sz w:val="17"/>
          <w:szCs w:val="17"/>
          <w:color w:val="auto"/>
        </w:rPr>
        <w:t>In the first three months of 2026, the Company repaid amounts borrowed under the $400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commercial notes at the automotive subsidiary and other debt. In the first three months of 2025, the Company made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additional borrowings on the $300 million revolving credit facility and repaid amounts borrowed under the term loan and commercial notes at the automotive subsidiary. In the first three months of 2026 and 2025, the Company used vehicle floor plan financing to fund the purchase of</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new, used and service loaner vehicles at its automotive subsidiary. The repayments of vehicle floor plan payable fluctuates with changes in the amount of vehicle inventory held by the automotive dealerships.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2026, the Company purchased a total of 32,190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$34.5 million, including commissions and accrued excise tax of $0.3 million. On September 12, 2024, the</w:t>
      </w:r>
    </w:p>
    <w:p>
      <w:pPr>
        <w:ind w:right="40"/>
        <w:spacing w:after="0" w:line="226" w:lineRule="auto"/>
        <w:rPr>
          <w:sz w:val="20"/>
          <w:szCs w:val="20"/>
          <w:color w:val="auto"/>
        </w:rPr>
      </w:pPr>
      <w:r>
        <w:rPr>
          <w:rFonts w:ascii="Arial" w:cs="Arial" w:eastAsia="Arial" w:hAnsi="Arial"/>
          <w:sz w:val="18"/>
          <w:szCs w:val="18"/>
          <w:color w:val="auto"/>
        </w:rPr>
        <w:t>Board of Directors authorized the Company to acquire up to 500,000 shares of its Class B common stock. The Company did not announce a ceiling price or time limit for the purchases. At March 31, 2026, the Company had remaining authorization from the Board of Directors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purchase up to 430,292 shares of Class B common stock.</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i w:val="1"/>
          <w:iCs w:val="1"/>
          <w:color w:val="auto"/>
        </w:rPr>
        <w:t xml:space="preserve">Transactions with minority shareholders. </w:t>
      </w:r>
      <w:r>
        <w:rPr>
          <w:rFonts w:ascii="Arial" w:cs="Arial" w:eastAsia="Arial" w:hAnsi="Arial"/>
          <w:sz w:val="17"/>
          <w:szCs w:val="17"/>
          <w:color w:val="auto"/>
        </w:rPr>
        <w:t>In March 2026, the Company acquired some of the minority-owned shares of CSI for a total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$41.0 million. The Company paid cash of $16.4 million and entered into promissory notes with the minority owners for the remaining $24.6</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million. In January 2026, pursuant to the exercise of a put right, the Company purchased some of the minority-owned interest of Clarus for $1.0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w:t>
      </w:r>
    </w:p>
    <w:p>
      <w:pPr>
        <w:spacing w:after="0" w:line="14" w:lineRule="exact"/>
        <w:rPr>
          <w:sz w:val="20"/>
          <w:szCs w:val="20"/>
          <w:color w:val="auto"/>
        </w:rPr>
      </w:pPr>
    </w:p>
    <w:p>
      <w:pPr>
        <w:ind w:right="1020"/>
        <w:spacing w:after="0" w:line="237" w:lineRule="auto"/>
        <w:rPr>
          <w:sz w:val="20"/>
          <w:szCs w:val="20"/>
          <w:color w:val="auto"/>
        </w:rPr>
      </w:pPr>
      <w:r>
        <w:rPr>
          <w:rFonts w:ascii="Arial" w:cs="Arial" w:eastAsia="Arial" w:hAnsi="Arial"/>
          <w:sz w:val="18"/>
          <w:szCs w:val="18"/>
          <w:color w:val="auto"/>
        </w:rPr>
        <w:t>mandatorily redeemable noncontrolling interest related to GHC One, including CSI, for a total of $205 million, which consisted of approximately $186.25 million in cash and $18.75 million in Graham Holdings Company Class B common stock.</w:t>
      </w:r>
    </w:p>
    <w:p>
      <w:pPr>
        <w:spacing w:after="0" w:line="12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$1.88 and $1.80 for the first three months of 2026 and 2025,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pay a dividend of $7.52 per share in 2026.</w:t>
      </w:r>
    </w:p>
    <w:p>
      <w:pPr>
        <w:spacing w:after="0" w:line="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2025 Annual Report to Stockholders, are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statements” within the meaning of the Private Securities Litigation Reform Act of 1995. Forward-looking statements are based on expectations, forecasts, and assumptions by the Company’s management and involve a number of risks, uncertainties, and other factors that</w:t>
      </w:r>
    </w:p>
    <w:p>
      <w:pPr>
        <w:spacing w:after="0" w:line="235"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w:t>
      </w:r>
    </w:p>
    <w:p>
      <w:pPr>
        <w:ind w:right="380"/>
        <w:spacing w:after="0" w:line="226"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 various business operations, the Company’s future financial performance, and the risks and uncertainties described in Item 1A of the</w:t>
      </w:r>
    </w:p>
    <w:p>
      <w:pPr>
        <w:spacing w:after="0" w:line="23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2025 Annual Report filed on Form 10-K have not otherwise changed significantly.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March 31, 2026. Based on that evaluation, the</w:t>
      </w:r>
    </w:p>
    <w:p>
      <w:pPr>
        <w:spacing w:after="0" w:line="236" w:lineRule="auto"/>
        <w:rPr>
          <w:sz w:val="20"/>
          <w:szCs w:val="20"/>
          <w:color w:val="auto"/>
        </w:rPr>
      </w:pPr>
      <w:r>
        <w:rPr>
          <w:rFonts w:ascii="Arial" w:cs="Arial" w:eastAsia="Arial" w:hAnsi="Arial"/>
          <w:sz w:val="18"/>
          <w:szCs w:val="18"/>
          <w:color w:val="auto"/>
        </w:rPr>
        <w:t>Company’s Chief Executive Officer and Chief Financial Officer have concluded that the Company’s disclosure controls and procedures, as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2026</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39" w:name="page40"/>
    <w:bookmarkEnd w:id="39"/>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2026,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line="159"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3"/>
                <w:szCs w:val="13"/>
                <w:color w:val="auto"/>
              </w:rPr>
            </w:pPr>
          </w:p>
        </w:tc>
        <w:tc>
          <w:tcPr>
            <w:tcW w:w="960" w:type="dxa"/>
            <w:vAlign w:val="bottom"/>
          </w:tcPr>
          <w:p>
            <w:pPr>
              <w:jc w:val="center"/>
              <w:ind w:right="142"/>
              <w:spacing w:after="0" w:line="15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5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8"/>
                <w:szCs w:val="18"/>
                <w:b w:val="1"/>
                <w:bCs w:val="1"/>
                <w:color w:val="auto"/>
                <w:w w:val="98"/>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230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Arial" w:cs="Arial" w:eastAsia="Arial" w:hAnsi="Arial"/>
                <w:sz w:val="16"/>
                <w:szCs w:val="16"/>
                <w:color w:val="auto"/>
              </w:rPr>
              <w:t>January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462,482</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February 1 - 28</w:t>
            </w:r>
          </w:p>
        </w:tc>
        <w:tc>
          <w:tcPr>
            <w:tcW w:w="1320" w:type="dxa"/>
            <w:vAlign w:val="bottom"/>
          </w:tcPr>
          <w:p>
            <w:pPr>
              <w:jc w:val="right"/>
              <w:spacing w:after="0"/>
              <w:rPr>
                <w:sz w:val="20"/>
                <w:szCs w:val="20"/>
                <w:color w:val="auto"/>
              </w:rPr>
            </w:pPr>
            <w:r>
              <w:rPr>
                <w:rFonts w:ascii="Arial" w:cs="Arial" w:eastAsia="Arial" w:hAnsi="Arial"/>
                <w:sz w:val="16"/>
                <w:szCs w:val="16"/>
                <w:color w:val="auto"/>
              </w:rPr>
              <w:t>1,395</w:t>
            </w:r>
          </w:p>
        </w:tc>
        <w:tc>
          <w:tcPr>
            <w:tcW w:w="2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1,085.63</w:t>
            </w:r>
          </w:p>
        </w:tc>
        <w:tc>
          <w:tcPr>
            <w:tcW w:w="1720" w:type="dxa"/>
            <w:vAlign w:val="bottom"/>
          </w:tcPr>
          <w:p>
            <w:pPr>
              <w:jc w:val="right"/>
              <w:spacing w:after="0"/>
              <w:rPr>
                <w:sz w:val="20"/>
                <w:szCs w:val="20"/>
                <w:color w:val="auto"/>
              </w:rPr>
            </w:pPr>
            <w:r>
              <w:rPr>
                <w:rFonts w:ascii="Arial" w:cs="Arial" w:eastAsia="Arial" w:hAnsi="Arial"/>
                <w:sz w:val="16"/>
                <w:szCs w:val="16"/>
                <w:color w:val="auto"/>
              </w:rPr>
              <w:t>1,395</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461,087</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March 1 - 31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30,795</w:t>
            </w:r>
          </w:p>
        </w:tc>
        <w:tc>
          <w:tcPr>
            <w:tcW w:w="24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1,070.34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30,795</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430,292</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32,190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1,071.00</w:t>
            </w:r>
          </w:p>
        </w:tc>
        <w:tc>
          <w:tcPr>
            <w:tcW w:w="1720" w:type="dxa"/>
            <w:vAlign w:val="bottom"/>
          </w:tcPr>
          <w:p>
            <w:pPr>
              <w:jc w:val="right"/>
              <w:spacing w:after="0"/>
              <w:rPr>
                <w:sz w:val="20"/>
                <w:szCs w:val="20"/>
                <w:color w:val="auto"/>
              </w:rPr>
            </w:pPr>
            <w:r>
              <w:rPr>
                <w:rFonts w:ascii="Arial" w:cs="Arial" w:eastAsia="Arial" w:hAnsi="Arial"/>
                <w:sz w:val="16"/>
                <w:szCs w:val="16"/>
                <w:color w:val="auto"/>
              </w:rPr>
              <w:t>32,190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repurchases, including commissions and excise taxes.</w:t>
      </w:r>
    </w:p>
    <w:p>
      <w:pPr>
        <w:spacing w:after="0" w:line="149" w:lineRule="exact"/>
        <w:rPr>
          <w:rFonts w:ascii="Arial" w:cs="Arial" w:eastAsia="Arial" w:hAnsi="Arial"/>
          <w:sz w:val="14"/>
          <w:szCs w:val="14"/>
          <w:color w:val="auto"/>
        </w:rPr>
      </w:pPr>
    </w:p>
    <w:p>
      <w:pPr>
        <w:ind w:right="80" w:firstLine="8"/>
        <w:spacing w:after="0" w:line="263" w:lineRule="auto"/>
        <w:tabs>
          <w:tab w:leader="none" w:pos="2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September 12, 2024,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share purchases made during the quarter ended March 31, 2026 were open market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During the quarter ended March 31, 2026, none of the Company’s directors or officers (as defined in Rule 16a-1(f) of the Exchange Act) adopted, modified or terminated a “Rule 10b5-1 trading arrangement” or “non-Rule 10b5-1 trading arrangement,” as defined in Item 408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80" w:type="dxa"/>
            <w:vAlign w:val="bottom"/>
          </w:tcPr>
          <w:p>
            <w:pPr>
              <w:spacing w:after="0"/>
              <w:rPr>
                <w:sz w:val="14"/>
                <w:szCs w:val="14"/>
                <w:color w:val="auto"/>
              </w:rPr>
            </w:pPr>
          </w:p>
        </w:tc>
        <w:tc>
          <w:tcPr>
            <w:tcW w:w="6020" w:type="dxa"/>
            <w:vAlign w:val="bottom"/>
            <w:gridSpan w:val="10"/>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08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1"/>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r:id="rId60">
              <w:r>
                <w:rPr>
                  <w:rFonts w:ascii="Arial" w:cs="Arial" w:eastAsia="Arial" w:hAnsi="Arial"/>
                  <w:sz w:val="16"/>
                  <w:szCs w:val="16"/>
                  <w:color w:val="0000FF"/>
                </w:rPr>
                <w:t>Annual Report on Form 10-K for the fiscal year ended December 28, 2003).</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11"/>
          </w:tcPr>
          <w:p>
            <w:pPr>
              <w:spacing w:after="0"/>
              <w:rPr>
                <w:rFonts w:ascii="Arial" w:cs="Arial" w:eastAsia="Arial" w:hAnsi="Arial"/>
                <w:sz w:val="16"/>
                <w:szCs w:val="16"/>
                <w:color w:val="0000FF"/>
              </w:rPr>
            </w:pPr>
            <w:hyperlink r:id="rId61">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6"/>
          </w:tcPr>
          <w:p>
            <w:pPr>
              <w:spacing w:after="0" w:line="155" w:lineRule="exact"/>
              <w:rPr>
                <w:rFonts w:ascii="Arial" w:cs="Arial" w:eastAsia="Arial" w:hAnsi="Arial"/>
                <w:sz w:val="16"/>
                <w:szCs w:val="16"/>
                <w:color w:val="0000FF"/>
              </w:rPr>
            </w:pPr>
            <w:hyperlink r:id="rId61">
              <w:r>
                <w:rPr>
                  <w:rFonts w:ascii="Arial" w:cs="Arial" w:eastAsia="Arial" w:hAnsi="Arial"/>
                  <w:sz w:val="16"/>
                  <w:szCs w:val="16"/>
                  <w:color w:val="0000FF"/>
                </w:rPr>
                <w:t>reference to Exhibit 3.1 to the Company’s current Report on Form 8-K dated November 29, 2013).</w:t>
              </w:r>
            </w:hyperlink>
          </w:p>
        </w:tc>
        <w:tc>
          <w:tcPr>
            <w:tcW w:w="3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11"/>
          </w:tcPr>
          <w:p>
            <w:pPr>
              <w:spacing w:after="0"/>
              <w:rPr>
                <w:rFonts w:ascii="Arial" w:cs="Arial" w:eastAsia="Arial" w:hAnsi="Arial"/>
                <w:sz w:val="16"/>
                <w:szCs w:val="16"/>
                <w:color w:val="0000FF"/>
              </w:rPr>
            </w:pPr>
            <w:hyperlink r:id="rId62">
              <w:r>
                <w:rPr>
                  <w:rFonts w:ascii="Arial" w:cs="Arial" w:eastAsia="Arial" w:hAnsi="Arial"/>
                  <w:sz w:val="16"/>
                  <w:szCs w:val="16"/>
                  <w:color w:val="0000FF"/>
                </w:rPr>
                <w:t>By-Laws of the Company as amended and restated through September 12, 2024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08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Current Report on Form 8-K dated September 12, 2024).</w:t>
              </w:r>
            </w:hyperlink>
          </w:p>
        </w:tc>
        <w:tc>
          <w:tcPr>
            <w:tcW w:w="594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11"/>
          </w:tcPr>
          <w:p>
            <w:pPr>
              <w:spacing w:after="0"/>
              <w:rPr>
                <w:rFonts w:ascii="Arial" w:cs="Arial" w:eastAsia="Arial" w:hAnsi="Arial"/>
                <w:sz w:val="17"/>
                <w:szCs w:val="17"/>
                <w:color w:val="0000FF"/>
              </w:rPr>
            </w:pPr>
            <w:hyperlink r:id="rId63">
              <w:r>
                <w:rPr>
                  <w:rFonts w:ascii="Arial" w:cs="Arial" w:eastAsia="Arial" w:hAnsi="Arial"/>
                  <w:sz w:val="17"/>
                  <w:szCs w:val="17"/>
                  <w:color w:val="0000FF"/>
                </w:rPr>
                <w:t>Senior Notes Indenture dated as of November 24, 2025, between the Company and The Bank of New York Mellon Trust Company,</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9860" w:type="dxa"/>
            <w:vAlign w:val="bottom"/>
            <w:tcBorders>
              <w:top w:val="single" w:sz="8" w:color="0000FF"/>
            </w:tcBorders>
            <w:gridSpan w:val="7"/>
          </w:tcPr>
          <w:p>
            <w:pPr>
              <w:spacing w:after="0" w:line="169" w:lineRule="exact"/>
              <w:rPr>
                <w:rFonts w:ascii="Arial" w:cs="Arial" w:eastAsia="Arial" w:hAnsi="Arial"/>
                <w:sz w:val="17"/>
                <w:szCs w:val="17"/>
                <w:color w:val="0000FF"/>
                <w:w w:val="99"/>
              </w:rPr>
            </w:pPr>
            <w:hyperlink r:id="rId63">
              <w:r>
                <w:rPr>
                  <w:rFonts w:ascii="Arial" w:cs="Arial" w:eastAsia="Arial" w:hAnsi="Arial"/>
                  <w:sz w:val="17"/>
                  <w:szCs w:val="17"/>
                  <w:color w:val="0000FF"/>
                  <w:w w:val="99"/>
                </w:rPr>
                <w:t>N.A., as Trustee (incorporated by reference to Exhibit 4.1 to the Company’s Current Report on Form 8-K dated November 24, 2025)</w:t>
              </w:r>
            </w:hyperlink>
          </w:p>
        </w:tc>
        <w:tc>
          <w:tcPr>
            <w:tcW w:w="240" w:type="dxa"/>
            <w:vAlign w:val="bottom"/>
            <w:gridSpan w:val="4"/>
          </w:tcPr>
          <w:p>
            <w:pPr>
              <w:jc w:val="right"/>
              <w:ind w:right="120"/>
              <w:spacing w:after="0" w:line="169" w:lineRule="exact"/>
              <w:rPr>
                <w:rFonts w:ascii="Arial" w:cs="Arial" w:eastAsia="Arial" w:hAnsi="Arial"/>
                <w:sz w:val="17"/>
                <w:szCs w:val="17"/>
                <w:color w:val="0000FF"/>
              </w:rPr>
            </w:pPr>
            <w:hyperlink r:id="rId63">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080" w:type="dxa"/>
            <w:vAlign w:val="bottom"/>
            <w:tcBorders>
              <w:top w:val="single" w:sz="8" w:color="0000FF"/>
            </w:tcBorders>
            <w:gridSpan w:val="6"/>
          </w:tcPr>
          <w:p>
            <w:pPr>
              <w:spacing w:after="0"/>
              <w:rPr>
                <w:sz w:val="24"/>
                <w:szCs w:val="24"/>
                <w:color w:val="auto"/>
              </w:rPr>
            </w:pP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540" w:type="dxa"/>
            <w:vAlign w:val="bottom"/>
          </w:tcPr>
          <w:p>
            <w:pPr>
              <w:spacing w:after="0"/>
              <w:rPr>
                <w:sz w:val="20"/>
                <w:szCs w:val="20"/>
                <w:color w:val="auto"/>
              </w:rPr>
            </w:pPr>
            <w:r>
              <w:rPr>
                <w:rFonts w:ascii="Arial" w:cs="Arial" w:eastAsia="Arial" w:hAnsi="Arial"/>
                <w:sz w:val="18"/>
                <w:szCs w:val="18"/>
                <w:color w:val="auto"/>
              </w:rPr>
              <w:t>Date: April 30, 2026</w:t>
            </w:r>
          </w:p>
        </w:tc>
        <w:tc>
          <w:tcPr>
            <w:tcW w:w="362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5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540" w:type="dxa"/>
            <w:vAlign w:val="bottom"/>
          </w:tcPr>
          <w:p>
            <w:pPr>
              <w:spacing w:after="0"/>
              <w:rPr>
                <w:sz w:val="20"/>
                <w:szCs w:val="20"/>
                <w:color w:val="auto"/>
              </w:rPr>
            </w:pPr>
            <w:r>
              <w:rPr>
                <w:rFonts w:ascii="Arial" w:cs="Arial" w:eastAsia="Arial" w:hAnsi="Arial"/>
                <w:sz w:val="18"/>
                <w:szCs w:val="18"/>
                <w:color w:val="auto"/>
              </w:rPr>
              <w:t>Date: April 30, 2026</w:t>
            </w:r>
          </w:p>
        </w:tc>
        <w:tc>
          <w:tcPr>
            <w:tcW w:w="362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5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5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540" w:type="dxa"/>
            <w:vAlign w:val="bottom"/>
          </w:tcPr>
          <w:p>
            <w:pPr>
              <w:spacing w:after="0"/>
              <w:rPr>
                <w:sz w:val="24"/>
                <w:szCs w:val="24"/>
                <w:color w:val="auto"/>
              </w:rPr>
            </w:pPr>
          </w:p>
        </w:tc>
        <w:tc>
          <w:tcPr>
            <w:tcW w:w="3620" w:type="dxa"/>
            <w:vAlign w:val="bottom"/>
          </w:tcPr>
          <w:p>
            <w:pPr>
              <w:jc w:val="right"/>
              <w:ind w:right="1390"/>
              <w:spacing w:after="0"/>
              <w:rPr>
                <w:sz w:val="20"/>
                <w:szCs w:val="20"/>
                <w:color w:val="auto"/>
              </w:rPr>
            </w:pPr>
            <w:r>
              <w:rPr>
                <w:rFonts w:ascii="Arial" w:cs="Arial" w:eastAsia="Arial" w:hAnsi="Arial"/>
                <w:sz w:val="18"/>
                <w:szCs w:val="18"/>
                <w:color w:val="auto"/>
              </w:rPr>
              <w:t>40</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ectPr>
          <w:pgSz w:w="11900" w:h="16838" w:orient="portrait"/>
          <w:cols w:equalWidth="0" w:num="1">
            <w:col w:w="11240"/>
          </w:cols>
          <w:pgMar w:left="320" w:top="11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ectPr>
          <w:pgSz w:w="11900" w:h="16838" w:orient="portrait"/>
          <w:cols w:equalWidth="0" w:num="1">
            <w:col w:w="11240"/>
          </w:cols>
          <w:pgMar w:left="320" w:top="114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2026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Roman"/>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lvl w:ilvl="1">
      <w:lvlJc w:val="left"/>
      <w:lvlText w:val="(%2)"/>
      <w:numFmt w:val="lowerLetter"/>
      <w:start w:val="1"/>
    </w:lvl>
  </w:abstractNum>
  <w:abstractNum w:abstractNumId="12">
    <w:nsid w:val="431BD7B7"/>
    <w:multiLevelType w:val="hybridMultilevel"/>
    <w:lvl w:ilvl="0">
      <w:lvlJc w:val="left"/>
      <w:lvlText w:val="(%1)"/>
      <w:numFmt w:val="decimal"/>
      <w:start w:val="1"/>
    </w:lvl>
    <w:lvl w:ilvl="1">
      <w:lvlJc w:val="left"/>
      <w:lvlText w:val="(%2)"/>
      <w:numFmt w:val="lowerLetter"/>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0" Type="http://schemas.openxmlformats.org/officeDocument/2006/relationships/hyperlink" Target="https://www.sec.gov/Archives/edgar/data/104889/000095013304000785/w94191exv3w1.htm" TargetMode="External"/><Relationship Id="rId61" Type="http://schemas.openxmlformats.org/officeDocument/2006/relationships/hyperlink" Target="https://www.sec.gov/Archives/edgar/data/104889/000095015713000428/ex3-1.htm" TargetMode="External"/><Relationship Id="rId62" Type="http://schemas.openxmlformats.org/officeDocument/2006/relationships/hyperlink" Target="https://www.sec.gov/Archives/edgar/data/104889/000010488924000047/a2024-09x12form8xkexhibit31.htm" TargetMode="External"/><Relationship Id="rId63" Type="http://schemas.openxmlformats.org/officeDocument/2006/relationships/hyperlink" Target="https://www.sec.gov/Archives/edgar/data/104889/000162828025053825/a2025-11x24form8xk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2026-04-30T07:30:22Z</dcterms:created>
  <dcterms:modified xsi:type="dcterms:W3CDTF">2026-04-30T07:30:22Z</dcterms:modified>
</cp:coreProperties>
</file>