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2024</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367"/>
        <w:spacing w:after="0"/>
        <w:rPr>
          <w:sz w:val="20"/>
          <w:szCs w:val="20"/>
          <w:color w:val="auto"/>
        </w:rPr>
      </w:pPr>
      <w:r>
        <w:rPr>
          <w:rFonts w:ascii="Arial" w:cs="Arial" w:eastAsia="Arial" w:hAnsi="Arial"/>
          <w:sz w:val="28"/>
          <w:szCs w:val="28"/>
          <w:b w:val="1"/>
          <w:bCs w:val="1"/>
          <w:color w:val="auto"/>
        </w:rPr>
        <w:t>The Savings Plan for Graham Holdings Company</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Reports of Independent Registered Public Accounting Firms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2024 and 2023</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2024</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13</w:t>
            </w: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Administrator and Plan Participants of The Savings Plan for Graham Holdings Company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Savings Plan for Graham Holdings Company (the “Plan”)</w:t>
      </w:r>
    </w:p>
    <w:p>
      <w:pPr>
        <w:spacing w:after="0" w:line="14"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as of December 31, 2024 and the related statement of changes in net assets available for benefits for the year then ended, including the related notes (collectively referred to as the “financial statements”). In our opinion, the financial statements present fairly, in all material respects, the net</w:t>
      </w:r>
    </w:p>
    <w:p>
      <w:pPr>
        <w:ind w:right="200"/>
        <w:spacing w:after="0" w:line="255" w:lineRule="auto"/>
        <w:rPr>
          <w:sz w:val="20"/>
          <w:szCs w:val="20"/>
          <w:color w:val="auto"/>
        </w:rPr>
      </w:pPr>
      <w:r>
        <w:rPr>
          <w:rFonts w:ascii="Arial" w:cs="Arial" w:eastAsia="Arial" w:hAnsi="Arial"/>
          <w:sz w:val="17"/>
          <w:szCs w:val="17"/>
          <w:color w:val="auto"/>
        </w:rPr>
        <w:t>assets available for benefits of the Plan as of December 31, 2024, and the changes in net assets available for benefits for the year then ended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9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4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supplemental Schedule H, Line 4i – Schedule of Assets (Held at End of Year) as of December 31, 2024 has been subjected to audit procedures performed in conjunction with the audit of the Plan’s financial statements. The supplemental schedule is the responsibility of the Plan’s</w:t>
      </w:r>
    </w:p>
    <w:p>
      <w:pPr>
        <w:spacing w:after="0" w:line="1" w:lineRule="exact"/>
        <w:rPr>
          <w:sz w:val="20"/>
          <w:szCs w:val="20"/>
          <w:color w:val="auto"/>
        </w:rPr>
      </w:pPr>
    </w:p>
    <w:p>
      <w:pPr>
        <w:ind w:right="500"/>
        <w:spacing w:after="0" w:line="230" w:lineRule="auto"/>
        <w:rPr>
          <w:sz w:val="20"/>
          <w:szCs w:val="20"/>
          <w:color w:val="auto"/>
        </w:rPr>
      </w:pPr>
      <w:r>
        <w:rPr>
          <w:rFonts w:ascii="Arial" w:cs="Arial" w:eastAsia="Arial" w:hAnsi="Arial"/>
          <w:sz w:val="17"/>
          <w:szCs w:val="17"/>
          <w:color w:val="auto"/>
        </w:rPr>
        <w:t>management. Our audit procedures included determining whether the supplemental schedule reconciles to the financial statements or the underlying accounting and other records, as applicable, and performing procedures to test the completeness and accuracy of the information</w:t>
      </w:r>
    </w:p>
    <w:p>
      <w:pPr>
        <w:spacing w:after="0" w:line="238" w:lineRule="auto"/>
        <w:rPr>
          <w:sz w:val="20"/>
          <w:szCs w:val="20"/>
          <w:color w:val="auto"/>
        </w:rPr>
      </w:pPr>
      <w:r>
        <w:rPr>
          <w:rFonts w:ascii="Arial" w:cs="Arial" w:eastAsia="Arial" w:hAnsi="Arial"/>
          <w:sz w:val="17"/>
          <w:szCs w:val="17"/>
          <w:color w:val="auto"/>
        </w:rPr>
        <w:t>presented in the supplemental schedule. In forming our opinion on the supplemental schedule, we evaluated whether the supplemental schedule,</w:t>
      </w:r>
    </w:p>
    <w:p>
      <w:pPr>
        <w:spacing w:after="0" w:line="230" w:lineRule="auto"/>
        <w:rPr>
          <w:sz w:val="20"/>
          <w:szCs w:val="20"/>
          <w:color w:val="auto"/>
        </w:rPr>
      </w:pPr>
      <w:r>
        <w:rPr>
          <w:rFonts w:ascii="Arial" w:cs="Arial" w:eastAsia="Arial" w:hAnsi="Arial"/>
          <w:sz w:val="17"/>
          <w:szCs w:val="17"/>
          <w:color w:val="auto"/>
        </w:rPr>
        <w:t>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w:t>
      </w:r>
    </w:p>
    <w:p>
      <w:pPr>
        <w:spacing w:after="0"/>
        <w:rPr>
          <w:sz w:val="20"/>
          <w:szCs w:val="20"/>
          <w:color w:val="auto"/>
        </w:rPr>
      </w:pPr>
      <w:r>
        <w:rPr>
          <w:rFonts w:ascii="Arial" w:cs="Arial" w:eastAsia="Arial" w:hAnsi="Arial"/>
          <w:sz w:val="17"/>
          <w:szCs w:val="17"/>
          <w:color w:val="auto"/>
        </w:rPr>
        <w:t>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2D2D2D"/>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320" w:top="850"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Savings Plan for Graham Holdings Company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audited the accompanying statement of net assets available for benefits of The Savings Plan for Graham Holdings Company (the Plan) as of December 31, 2023, and the related notes (collectively referred to as the financial statements). In our opinion, the financial statements present</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fairly, in all material respects, the net assets available for benefits of the Plan as of December 31, 2023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ind w:right="380"/>
        <w:spacing w:after="0" w:line="24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w:t>
      </w:r>
    </w:p>
    <w:p>
      <w:pPr>
        <w:spacing w:after="0" w:line="1"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w:t>
      </w:r>
    </w:p>
    <w:p>
      <w:pPr>
        <w:spacing w:after="0"/>
        <w:rPr>
          <w:sz w:val="20"/>
          <w:szCs w:val="20"/>
          <w:color w:val="auto"/>
        </w:rPr>
      </w:pPr>
      <w:r>
        <w:rPr>
          <w:rFonts w:ascii="Arial" w:cs="Arial" w:eastAsia="Arial" w:hAnsi="Arial"/>
          <w:sz w:val="17"/>
          <w:szCs w:val="17"/>
          <w:color w:val="auto"/>
        </w:rPr>
        <w:t>Plan’s internal control over financial reporting. Accordingly, we express no such opinion.</w:t>
      </w:r>
    </w:p>
    <w:p>
      <w:pPr>
        <w:spacing w:after="0" w:line="137"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w:t>
      </w:r>
    </w:p>
    <w:p>
      <w:pPr>
        <w:ind w:right="200"/>
        <w:spacing w:after="0" w:line="239" w:lineRule="auto"/>
        <w:rPr>
          <w:sz w:val="20"/>
          <w:szCs w:val="20"/>
          <w:color w:val="auto"/>
        </w:rPr>
      </w:pPr>
      <w:r>
        <w:rPr>
          <w:rFonts w:ascii="Arial" w:cs="Arial" w:eastAsia="Arial" w:hAnsi="Arial"/>
          <w:sz w:val="17"/>
          <w:szCs w:val="17"/>
          <w:color w:val="auto"/>
        </w:rPr>
        <w:t>management, as well as evaluating the overall presentation of the financial statements.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Plan’s auditor from 2007 to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850" w:right="359" w:bottom="1440" w:gutter="0" w:footer="0" w:header="0"/>
        </w:sectPr>
      </w:pPr>
    </w:p>
    <w:bookmarkStart w:id="4" w:name="page5"/>
    <w:bookmarkEnd w:id="4"/>
    <w:p>
      <w:pPr>
        <w:ind w:left="2760"/>
        <w:spacing w:after="0"/>
        <w:rPr>
          <w:sz w:val="20"/>
          <w:szCs w:val="20"/>
          <w:color w:val="auto"/>
        </w:rPr>
      </w:pPr>
      <w:r>
        <w:rPr>
          <w:rFonts w:ascii="Arial" w:cs="Arial" w:eastAsia="Arial" w:hAnsi="Arial"/>
          <w:sz w:val="21"/>
          <w:szCs w:val="21"/>
          <w:b w:val="1"/>
          <w:bCs w:val="1"/>
          <w:color w:val="auto"/>
        </w:rPr>
        <w:t>THE SAVINGS PLAN FOR GRAHAM HOLDINGS COMPANY</w:t>
      </w:r>
    </w:p>
    <w:p>
      <w:pPr>
        <w:ind w:left="2700"/>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2023</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534,792,628</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465,638,644</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534,792,628</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465,638,644</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Plan assets and notes receivable - Leaf Group Ltd. 401(k) Plan (Note 1)</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39,384,784</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125,478</w:t>
            </w: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2,199,937</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53,947</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2,325,415</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39,438,731</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537,118,043</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505,077,375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1"/>
          <w:szCs w:val="21"/>
          <w:b w:val="1"/>
          <w:bCs w:val="1"/>
          <w:color w:val="auto"/>
        </w:rPr>
        <w:t>THE SAVINGS PLAN FOR GRAHAM HOLDINGS COMPANY</w:t>
      </w: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right="3191"/>
        <w:spacing w:after="0" w:line="274" w:lineRule="auto"/>
        <w:rPr>
          <w:sz w:val="20"/>
          <w:szCs w:val="20"/>
          <w:color w:val="auto"/>
        </w:rPr>
      </w:pPr>
      <w:r>
        <w:rPr>
          <w:rFonts w:ascii="Arial" w:cs="Arial" w:eastAsia="Arial" w:hAnsi="Arial"/>
          <w:sz w:val="16"/>
          <w:szCs w:val="16"/>
          <w:color w:val="auto"/>
        </w:rPr>
        <w:t>Plan interest in investment income of the Graham Holdings Company Master Trust Interest income - notes receivable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investment income</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Contributions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Participant</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(to)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Kaplan Tax Deferred Savings Plan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401(k) Savings Plan for GHC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Kaplan Tax Deferred Savings Plan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(to) from other affiliated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increase prior to plan mergers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Plan mergers (Note 1)</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31, 2024</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77,104,106</w:t>
      </w:r>
    </w:p>
    <w:p>
      <w:pPr>
        <w:spacing w:after="0" w:line="22"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135,411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77,239,517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16,688,713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846,541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2,614,425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20,149,679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(80,005,678)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(292,531)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(80,298,209)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2,606,569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99,228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(7,687,523)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(4,981,726)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12,109,261</w:t>
      </w:r>
    </w:p>
    <w:p>
      <w:pPr>
        <w:spacing w:after="0" w:line="229"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19,931,407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669"/>
        <w:spacing w:after="0"/>
        <w:rPr>
          <w:sz w:val="20"/>
          <w:szCs w:val="20"/>
          <w:color w:val="auto"/>
        </w:rPr>
      </w:pPr>
      <w:r>
        <w:rPr>
          <w:rFonts w:ascii="Arial" w:cs="Arial" w:eastAsia="Arial" w:hAnsi="Arial"/>
          <w:sz w:val="16"/>
          <w:szCs w:val="16"/>
          <w:color w:val="auto"/>
        </w:rPr>
        <w:t>32,040,668</w:t>
      </w:r>
    </w:p>
    <w:p>
      <w:pPr>
        <w:spacing w:after="0" w:line="200" w:lineRule="exact"/>
        <w:rPr>
          <w:sz w:val="20"/>
          <w:szCs w:val="20"/>
          <w:color w:val="auto"/>
        </w:rPr>
      </w:pPr>
    </w:p>
    <w:p>
      <w:pPr>
        <w:spacing w:after="0" w:line="236" w:lineRule="exact"/>
        <w:rPr>
          <w:sz w:val="20"/>
          <w:szCs w:val="20"/>
          <w:color w:val="auto"/>
        </w:rPr>
      </w:pPr>
    </w:p>
    <w:p>
      <w:pPr>
        <w:ind w:left="589"/>
        <w:spacing w:after="0"/>
        <w:rPr>
          <w:sz w:val="20"/>
          <w:szCs w:val="20"/>
          <w:color w:val="auto"/>
        </w:rPr>
      </w:pPr>
      <w:r>
        <w:rPr>
          <w:rFonts w:ascii="Arial" w:cs="Arial" w:eastAsia="Arial" w:hAnsi="Arial"/>
          <w:sz w:val="16"/>
          <w:szCs w:val="16"/>
          <w:color w:val="auto"/>
        </w:rPr>
        <w:t>505,077,375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09" w:hanging="609"/>
        <w:spacing w:after="0"/>
        <w:tabs>
          <w:tab w:leader="none" w:pos="609" w:val="left"/>
        </w:tabs>
        <w:numPr>
          <w:ilvl w:val="0"/>
          <w:numId w:val="5"/>
        </w:numPr>
        <w:rPr>
          <w:rFonts w:ascii="Arial" w:cs="Arial" w:eastAsia="Arial" w:hAnsi="Arial"/>
          <w:sz w:val="14"/>
          <w:szCs w:val="14"/>
          <w:color w:val="auto"/>
        </w:rPr>
      </w:pPr>
      <w:r>
        <w:rPr>
          <w:rFonts w:ascii="Arial" w:cs="Arial" w:eastAsia="Arial" w:hAnsi="Arial"/>
          <w:sz w:val="14"/>
          <w:szCs w:val="14"/>
          <w:color w:val="auto"/>
        </w:rPr>
        <w:t>537,118,043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53340</wp:posOffset>
            </wp:positionV>
            <wp:extent cx="976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822"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Savings Plan for Graham Holdings Company (the Plan) provides only general information. Participants should refer</w:t>
      </w:r>
    </w:p>
    <w:p>
      <w:pPr>
        <w:spacing w:after="0" w:line="1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to the Plan document and Summary Plan Description (SPD)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jc w:val="both"/>
        <w:ind w:right="120"/>
        <w:spacing w:after="0" w:line="247" w:lineRule="auto"/>
        <w:rPr>
          <w:sz w:val="20"/>
          <w:szCs w:val="20"/>
          <w:color w:val="auto"/>
        </w:rPr>
      </w:pPr>
      <w:r>
        <w:rPr>
          <w:rFonts w:ascii="Arial" w:cs="Arial" w:eastAsia="Arial" w:hAnsi="Arial"/>
          <w:sz w:val="17"/>
          <w:szCs w:val="17"/>
          <w:color w:val="auto"/>
        </w:rPr>
        <w:t>The Plan is a defined contribution plan permitting eligible employees of Graham Holdings Company (the Company), and participating subsidiaries to participate upon hire. The Company is the Plan Sponsor. The Plan was amended and restated in 2016 whereby The Graham Media Group, Inc.</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Tax Deferred Savings Plan (GMG Plan) and the Savings Plan for GHC Divisions (GHC Divisions Plan) (collectively,the predecessor plans) merged to form the Plan. The Plan was again amended and restated effective January 1, 2024 to incorporate the amendments detailed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The GHC Savings Plan Committee (the Plan Administrator), whose members are appointed by the Plan Sponsor.</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Vanguard Fiduciary Trust Company (VFTC) is the Plan’s Trustee and recordkeeper. The Plan entered into a Master Trust Agreement with VFTC to establish the Graham Holdings Company Master Trust (Master Trust) effective January 1,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2024 and 2023, the Plan Administrator adopted amendments to the Plan, which are not expected to affect the Plan’s qualified status under</w:t>
      </w:r>
    </w:p>
    <w:p>
      <w:pPr>
        <w:spacing w:after="0" w:line="1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ERISA. Substantially all of these amendments became effective in 2024. The Plan was restated in 2024 and the Summary Plan Description was amended on January 1, 2024 and July 1, 2024, and again in January 1, 2025.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153" w:lineRule="exact"/>
        <w:rPr>
          <w:sz w:val="20"/>
          <w:szCs w:val="20"/>
          <w:color w:val="auto"/>
        </w:rPr>
      </w:pPr>
    </w:p>
    <w:p>
      <w:pPr>
        <w:ind w:left="620" w:right="22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Substantially all employees in this Plan participate in The Retirement Plan for Graham Holdings Company. Accordingly, these employees are not eligible for Company Matching Contributions for participating employers in the Plan;</w:t>
      </w:r>
    </w:p>
    <w:p>
      <w:pPr>
        <w:spacing w:after="0" w:line="4" w:lineRule="exact"/>
        <w:rPr>
          <w:rFonts w:ascii="Arial" w:cs="Arial" w:eastAsia="Arial" w:hAnsi="Arial"/>
          <w:sz w:val="17"/>
          <w:szCs w:val="17"/>
          <w:color w:val="auto"/>
        </w:rPr>
      </w:pPr>
    </w:p>
    <w:p>
      <w:pPr>
        <w:ind w:left="620" w:right="200" w:hanging="307"/>
        <w:spacing w:after="0" w:line="261"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Added Roth and Roth catch-up employee contributions as an option to the Plan, and allow rollover contributions to the Plan in the form of Roth contributions;</w:t>
      </w:r>
    </w:p>
    <w:p>
      <w:pPr>
        <w:spacing w:after="0" w:line="1"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in accordance with the Plan’s provisions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37" w:lineRule="exact"/>
        <w:rPr>
          <w:rFonts w:ascii="Arial" w:cs="Arial" w:eastAsia="Arial" w:hAnsi="Arial"/>
          <w:sz w:val="17"/>
          <w:szCs w:val="17"/>
          <w:color w:val="auto"/>
        </w:rPr>
      </w:pPr>
    </w:p>
    <w:p>
      <w:pPr>
        <w:ind w:left="620" w:right="100" w:hanging="307"/>
        <w:spacing w:after="0" w:line="24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of base salary on a pre-tax basis. The default increases at a rate of 1% on an annual basis not to exceed 10%. Participants may at any time change deferral elections and can opt out of auto-enrollment within a 30-day period. If the participant does not enroll in the Plan when they are first eligible to participate or opt out if automatically enrolled, they may enroll at any time thereafter.</w:t>
      </w:r>
    </w:p>
    <w:p>
      <w:pPr>
        <w:spacing w:after="0" w:line="15" w:lineRule="exact"/>
        <w:rPr>
          <w:rFonts w:ascii="Arial" w:cs="Arial" w:eastAsia="Arial" w:hAnsi="Arial"/>
          <w:sz w:val="17"/>
          <w:szCs w:val="17"/>
          <w:color w:val="auto"/>
        </w:rPr>
      </w:pPr>
    </w:p>
    <w:p>
      <w:pPr>
        <w:jc w:val="both"/>
        <w:ind w:left="62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14" w:lineRule="exact"/>
        <w:rPr>
          <w:rFonts w:ascii="Arial" w:cs="Arial" w:eastAsia="Arial" w:hAnsi="Arial"/>
          <w:sz w:val="17"/>
          <w:szCs w:val="17"/>
          <w:color w:val="auto"/>
        </w:rPr>
      </w:pPr>
    </w:p>
    <w:p>
      <w:pPr>
        <w:ind w:left="620" w:hanging="307"/>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Participants may allocate up to 20% of their employee contributions into the Graham Holdings Company Stock Fund, in accordance with the Plan’s provisions.</w:t>
      </w:r>
    </w:p>
    <w:p>
      <w:pPr>
        <w:spacing w:after="0" w:line="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January 1, 2024, Leaf Group Ltd. (also known as World of Good Brands, or WGB), Saatchi Online, Inc. and Society6, LLC became participating employers in the Plan.</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Effective July 1, 2024, Hoover Treated Wood Products, Inc. became a participating employer in the Plan when its plans merged with and into the Plan. Effective with these mergers, $13,052,919 from the Hoover Treated Wood Products, Inc. 401(k) Savings Plan and $6,878,488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Hoover Treated Wood Products, Inc. 401(k) Retirement Plan were transferred into the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5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 total pre-tax and Roth combined contributions, however, is subject to dollar limitations set forth by the Internal Revenue Code ($23,000 in 2024).</w:t>
      </w:r>
    </w:p>
    <w:p>
      <w:pPr>
        <w:spacing w:after="0"/>
        <w:rPr>
          <w:sz w:val="20"/>
          <w:szCs w:val="20"/>
          <w:color w:val="auto"/>
        </w:rPr>
      </w:pPr>
      <w:r>
        <w:rPr>
          <w:rFonts w:ascii="Arial" w:cs="Arial" w:eastAsia="Arial" w:hAnsi="Arial"/>
          <w:sz w:val="17"/>
          <w:szCs w:val="17"/>
          <w:color w:val="auto"/>
        </w:rPr>
        <w:t>Participants age 50 or older by the end of the plan year, may make additional pre-tax or Roth 401(k) contributions (of up to $7,500 in 2024) that are</w:t>
      </w:r>
    </w:p>
    <w:p>
      <w:pPr>
        <w:ind w:right="720"/>
        <w:spacing w:after="0" w:line="239"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 established by the Plan Administrator.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the Berkshire Hathaway Stock Fund may not exceed 25% of a participant’s own contributions to a participant’s account. Exchanges</w:t>
      </w:r>
    </w:p>
    <w:p>
      <w:pPr>
        <w:spacing w:after="0" w:line="14"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into the Berkshire Hathaway Stock Fund from any other fund(s) may be made only if the resulting investment in the Berkshire Hathaway Stock Fund immediately following the exchange is no more than 25% of the participant’s total account balance.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w:t>
      </w:r>
    </w:p>
    <w:p>
      <w:pPr>
        <w:spacing w:after="0" w:line="1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Date Retirement Fund with the target date closest to the year in which the participant reaches age 65. This serves as the Plan’s Qualified Default Investment Alternative (“QDIA”).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Each participant’s account is credited with his/her contributions and an allocation of the investment income (losses) and administrative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Allocations are based on participant earnings, account balances, or specific participant transactions, as defined.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 rate as received by Vanguard from Reuters. Reuters calculates their prime rate through a formula, which includes the average lending rates of the</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top 30 banks in the United States. General purpose loans have a maximum term of 5 years and principal residence loans have a maximum term of 10 years. A participant may borrow as much as 50% of his or her vested account balance, subject to certain minimum and maximum limitations as</w:t>
      </w:r>
    </w:p>
    <w:p>
      <w:pPr>
        <w:spacing w:after="0" w:line="238" w:lineRule="auto"/>
        <w:rPr>
          <w:sz w:val="20"/>
          <w:szCs w:val="20"/>
          <w:color w:val="auto"/>
        </w:rPr>
      </w:pPr>
      <w:r>
        <w:rPr>
          <w:rFonts w:ascii="Arial" w:cs="Arial" w:eastAsia="Arial" w:hAnsi="Arial"/>
          <w:sz w:val="17"/>
          <w:szCs w:val="17"/>
          <w:color w:val="auto"/>
        </w:rPr>
        <w:t>defined in the Plan. The minimum loan amount is $1,000 with a maximum of $50,000. Loan processing fees are paid by the participant. As a result</w:t>
      </w:r>
    </w:p>
    <w:p>
      <w:pPr>
        <w:ind w:right="220"/>
        <w:spacing w:after="0" w:line="239" w:lineRule="auto"/>
        <w:rPr>
          <w:sz w:val="20"/>
          <w:szCs w:val="20"/>
          <w:color w:val="auto"/>
        </w:rPr>
      </w:pPr>
      <w:r>
        <w:rPr>
          <w:rFonts w:ascii="Arial" w:cs="Arial" w:eastAsia="Arial" w:hAnsi="Arial"/>
          <w:sz w:val="17"/>
          <w:szCs w:val="17"/>
          <w:color w:val="auto"/>
        </w:rPr>
        <w:t>of a plan merger or rollovers received, there may be additional participant loans transferred to the Plan and administered in accordance with their terms.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Company plans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w:t>
      </w:r>
    </w:p>
    <w:p>
      <w:pPr>
        <w:spacing w:after="0" w:line="1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Additionally, transfers may also occur between the Plan and other Company plans that relate to individuals that move from a Highly Compensated Employee to a Non-Highly Compensated Employee position and vice-versa.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 expenses that are not paid by the Company are paid by the Plan itself. The Plan charges certain expenses directly to each of the participants’</w:t>
      </w:r>
    </w:p>
    <w:p>
      <w:pPr>
        <w:spacing w:after="0" w:line="1" w:lineRule="exact"/>
        <w:rPr>
          <w:sz w:val="20"/>
          <w:szCs w:val="20"/>
          <w:color w:val="auto"/>
        </w:rPr>
      </w:pPr>
    </w:p>
    <w:p>
      <w:pPr>
        <w:ind w:right="800"/>
        <w:spacing w:after="0" w:line="255" w:lineRule="auto"/>
        <w:rPr>
          <w:sz w:val="20"/>
          <w:szCs w:val="20"/>
          <w:color w:val="auto"/>
        </w:rPr>
      </w:pPr>
      <w:r>
        <w:rPr>
          <w:rFonts w:ascii="Arial" w:cs="Arial" w:eastAsia="Arial" w:hAnsi="Arial"/>
          <w:sz w:val="17"/>
          <w:szCs w:val="17"/>
          <w:color w:val="auto"/>
        </w:rPr>
        <w:t>accounts such as recordkeeping and maintenance of the website and phone services to participants. Each of the investment funds incurs investment and administrative expenses that are paid by the fund itself, which reduce the net investment return to participants.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 disability and withdrawals based on whether or not the participant has reached age 59 1/2. Upon termination of employment with the Company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(including termination due to death, disability, or retirement), participants may receive a lump-sum payment of their entire account balance, net of any outstanding loan balances. Otherwise, distributions generally begin on a participant's required beginning date, which is set by Federal law, and</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not by the Company. Participants may roll over account balances to individual retirement accounts or another employer’s qualified retirement plan. If a terminated participant with an account balance dies prior to receiving the full value of the account, the account balance will be paid to the</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participant’s beneficiary or in the absence of an election pursuant to the Plan’s provisions. Account balances of $7,000 (in 2024) or less may not be deferred and are subject to automatic rollover/automatic cash out.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44"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full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their accounts from the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4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changes therein and disclosure of contingent assets and liabilities. Actual results could differ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those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4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specifically in relation to the fair value of the assets assigned to the Plan. Fair value is the price that would be received to sell an asset</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or paid to transfer a liability in an orderly transaction between market participants at the measurement date. The Committee determines the Master Trust’s valuation policies utilizing information provided by the trustee. See Note 6 for discussion of fair value measurements.</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 income is recorded on the ex-dividend date. Capital gain distributions are included in dividend income. The Master Trust’s net appreciation includes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Master Trust’s gains and losses on investments bought and sold as well as held during the year. See Note 5 for the Plan’s interest in the Master Trust, as well as the Master Trust’s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 the values of investment securities will occur in the near term and that such changes could materially affect participant’s account balances and the</w:t>
      </w:r>
    </w:p>
    <w:p>
      <w:pPr>
        <w:spacing w:after="0"/>
        <w:rPr>
          <w:sz w:val="20"/>
          <w:szCs w:val="20"/>
          <w:color w:val="auto"/>
        </w:rPr>
      </w:pPr>
      <w:r>
        <w:rPr>
          <w:rFonts w:ascii="Arial" w:cs="Arial" w:eastAsia="Arial" w:hAnsi="Arial"/>
          <w:sz w:val="17"/>
          <w:szCs w:val="17"/>
          <w:color w:val="auto"/>
        </w:rPr>
        <w:t>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9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Management of the Plan has evaluated subsequent events from December 31, 2024 through the date these financial statements were issued. Other than described below, management of the Plan is not aware of any subsequent events that require recognition or additional disclosure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w:t>
      </w:r>
    </w:p>
    <w:p>
      <w:pPr>
        <w:spacing w:after="0" w:line="137"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Effective January 1, 2025, the SPD was revised to reflect updated 2025 regulatory limits, changes to the Plan’s one eligibility year of service affecting highly compensated employees, designating short-term disability pay as eligible compensation in certain situations, and how account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balances between $1,000 and $7,000 and greater than $7,000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844" w:right="359" w:bottom="1440" w:gutter="0" w:footer="0" w:header="0"/>
        </w:sectPr>
      </w:pPr>
    </w:p>
    <w:bookmarkStart w:id="9" w:name="page10"/>
    <w:bookmarkEnd w:id="9"/>
    <w:p>
      <w:pPr>
        <w:ind w:right="100"/>
        <w:spacing w:after="0" w:line="275" w:lineRule="auto"/>
        <w:rPr>
          <w:sz w:val="20"/>
          <w:szCs w:val="20"/>
          <w:color w:val="auto"/>
        </w:rPr>
      </w:pPr>
      <w:r>
        <w:rPr>
          <w:rFonts w:ascii="Arial" w:cs="Arial" w:eastAsia="Arial" w:hAnsi="Arial"/>
          <w:sz w:val="17"/>
          <w:szCs w:val="17"/>
          <w:color w:val="auto"/>
        </w:rPr>
        <w:t>can be automatically distributed. The Plan now allows certain small account balances of terminated participants to be automatically rolled over into an IRA with a third-party vendor, Portability Services Network ("PSN"). Participants have the option to opt out of this auto-portability service.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AND PARTY-IN-INTEREST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relationship between VFTC as Trustee of the Master Trust and the Plan, investment transactions managed by The Vanguard Group, Inc. qualify as party-in-interest transactions. Investments in the Vanguard registered investment companies and common collective trusts are exempt from the</w:t>
      </w:r>
    </w:p>
    <w:p>
      <w:pPr>
        <w:spacing w:after="0" w:line="238"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w:t>
      </w:r>
    </w:p>
    <w:p>
      <w:pPr>
        <w:ind w:right="180"/>
        <w:spacing w:after="0" w:line="239" w:lineRule="auto"/>
        <w:rPr>
          <w:sz w:val="20"/>
          <w:szCs w:val="20"/>
          <w:color w:val="auto"/>
        </w:rPr>
      </w:pPr>
      <w:r>
        <w:rPr>
          <w:rFonts w:ascii="Arial" w:cs="Arial" w:eastAsia="Arial" w:hAnsi="Arial"/>
          <w:sz w:val="17"/>
          <w:szCs w:val="17"/>
          <w:color w:val="auto"/>
        </w:rPr>
        <w:t>the management of these investments by The Vanguard Group, Inc. are included in the Master Trust’s net appreciation (depreciation) in fair value of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invests in shares of the Company through the Graham Holdings Company Stock Fund in the Master Trust; therefore, these transactions</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qualify as party-in-interest transactions. Purchases and sales of Graham Holdings stock within the Graham Holdings Stock Fund in the Master Trust for the period ended December 31, 2024, were $157,057 and $969,619, respectively. Additionally, personnel and facilities of the Company have</w:t>
      </w:r>
    </w:p>
    <w:p>
      <w:pPr>
        <w:spacing w:after="0"/>
        <w:rPr>
          <w:sz w:val="20"/>
          <w:szCs w:val="20"/>
          <w:color w:val="auto"/>
        </w:rPr>
      </w:pPr>
      <w:r>
        <w:rPr>
          <w:rFonts w:ascii="Arial" w:cs="Arial" w:eastAsia="Arial" w:hAnsi="Arial"/>
          <w:sz w:val="17"/>
          <w:szCs w:val="17"/>
          <w:color w:val="auto"/>
        </w:rPr>
        <w:t>been used to perform administrative functions for the Plan at no cost to the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42" w:lineRule="exact"/>
        <w:rPr>
          <w:sz w:val="20"/>
          <w:szCs w:val="20"/>
          <w:color w:val="auto"/>
        </w:rPr>
      </w:pPr>
    </w:p>
    <w:p>
      <w:pPr>
        <w:ind w:right="440"/>
        <w:spacing w:after="0" w:line="247" w:lineRule="auto"/>
        <w:rPr>
          <w:sz w:val="20"/>
          <w:szCs w:val="20"/>
          <w:color w:val="auto"/>
        </w:rPr>
      </w:pPr>
      <w:r>
        <w:rPr>
          <w:rFonts w:ascii="Arial" w:cs="Arial" w:eastAsia="Arial" w:hAnsi="Arial"/>
          <w:sz w:val="17"/>
          <w:szCs w:val="17"/>
          <w:color w:val="auto"/>
        </w:rPr>
        <w:t>On September 6, 2016 and October 21, 2016, the Internal Revenue Service made a favorable determination that The GMG Plan and GHC Divisions Plan, respectively, as then designed, were qualified under IRC Section 401(a). Such predecessor plans’ determination letters did not</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involve a review of the effect on the Plan of certain amendments subsequently adopted. Plan management engaged the Plan’s ERISA counsel to examine the plan document and amendments, and ERISA counsel concluded that none of the amendments had an adverse effect on the tax-</w:t>
      </w:r>
    </w:p>
    <w:p>
      <w:pPr>
        <w:spacing w:after="0"/>
        <w:rPr>
          <w:sz w:val="20"/>
          <w:szCs w:val="20"/>
          <w:color w:val="auto"/>
        </w:rPr>
      </w:pPr>
      <w:r>
        <w:rPr>
          <w:rFonts w:ascii="Arial" w:cs="Arial" w:eastAsia="Arial" w:hAnsi="Arial"/>
          <w:sz w:val="17"/>
          <w:szCs w:val="17"/>
          <w:color w:val="auto"/>
        </w:rPr>
        <w:t>qualified status of the Plan under Section 401(a), including the 2016 and 2024 restatements.</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9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w:t>
      </w:r>
    </w:p>
    <w:p>
      <w:pPr>
        <w:spacing w:after="0" w:line="14" w:lineRule="exact"/>
        <w:rPr>
          <w:sz w:val="20"/>
          <w:szCs w:val="20"/>
          <w:color w:val="auto"/>
        </w:rPr>
      </w:pPr>
    </w:p>
    <w:p>
      <w:pPr>
        <w:ind w:right="460"/>
        <w:spacing w:after="0" w:line="230" w:lineRule="auto"/>
        <w:rPr>
          <w:sz w:val="20"/>
          <w:szCs w:val="20"/>
          <w:color w:val="auto"/>
        </w:rPr>
      </w:pPr>
      <w:r>
        <w:rPr>
          <w:rFonts w:ascii="Arial" w:cs="Arial" w:eastAsia="Arial" w:hAnsi="Arial"/>
          <w:sz w:val="17"/>
          <w:szCs w:val="17"/>
          <w:color w:val="auto"/>
        </w:rPr>
        <w:t>uncertain position that more likely than not would not be sustained upon examination by federal, state and/or local taxing authorities. The plan administrator has analyzed the tax positions by the Plan, and has concluded that as of December 31, 2024 and 2023, there are no uncertain</w:t>
      </w:r>
    </w:p>
    <w:p>
      <w:pPr>
        <w:spacing w:after="0" w:line="238"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w:t>
      </w:r>
    </w:p>
    <w:p>
      <w:pPr>
        <w:ind w:right="560"/>
        <w:spacing w:after="0" w:line="239" w:lineRule="auto"/>
        <w:rPr>
          <w:sz w:val="20"/>
          <w:szCs w:val="20"/>
          <w:color w:val="auto"/>
        </w:rPr>
      </w:pPr>
      <w:r>
        <w:rPr>
          <w:rFonts w:ascii="Arial" w:cs="Arial" w:eastAsia="Arial" w:hAnsi="Arial"/>
          <w:sz w:val="17"/>
          <w:szCs w:val="17"/>
          <w:color w:val="auto"/>
        </w:rPr>
        <w:t>subject to routine audits by taxing jurisdictions; however, there are currently no audits for any tax periods in progress. The Plan administrator believes it is no longer subject to income tax examinations for the years prior to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w:t>
      </w:r>
    </w:p>
    <w:p>
      <w:pPr>
        <w:ind w:right="360"/>
        <w:spacing w:after="0" w:line="230" w:lineRule="auto"/>
        <w:rPr>
          <w:sz w:val="20"/>
          <w:szCs w:val="20"/>
          <w:color w:val="auto"/>
        </w:rPr>
      </w:pPr>
      <w:r>
        <w:rPr>
          <w:rFonts w:ascii="Arial" w:cs="Arial" w:eastAsia="Arial" w:hAnsi="Arial"/>
          <w:sz w:val="17"/>
          <w:szCs w:val="17"/>
          <w:color w:val="auto"/>
        </w:rPr>
        <w:t>and their elected investment options specific to each plan. The Master Trust assets are allocated among the Participating Plans by assigning to each Participating Plan the entire amount of contributions received on behalf of each Participating Plan, benefit payments, or other expenses</w:t>
      </w:r>
    </w:p>
    <w:p>
      <w:pPr>
        <w:spacing w:after="0" w:line="238"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w:t>
      </w:r>
    </w:p>
    <w:p>
      <w:pPr>
        <w:ind w:right="440"/>
        <w:spacing w:after="0" w:line="239" w:lineRule="auto"/>
        <w:rPr>
          <w:sz w:val="20"/>
          <w:szCs w:val="20"/>
          <w:color w:val="auto"/>
        </w:rPr>
      </w:pPr>
      <w:r>
        <w:rPr>
          <w:rFonts w:ascii="Arial" w:cs="Arial" w:eastAsia="Arial" w:hAnsi="Arial"/>
          <w:sz w:val="17"/>
          <w:szCs w:val="17"/>
          <w:color w:val="auto"/>
        </w:rPr>
        <w:t>Participating Plans, in proportion to the value of the assets assigned to each Participating Plan, income and expenses resulting from collective investment of the assets of the Master Trust.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2024</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309,771,022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301,445,178</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193,296,428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136,157,858</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28,345,857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24,587,837</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3,379,321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3,447,771</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534,792,628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465,638,644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95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113,332,031</w:t>
            </w:r>
          </w:p>
        </w:tc>
        <w:tc>
          <w:tcPr>
            <w:tcW w:w="0" w:type="dxa"/>
            <w:vAlign w:val="bottom"/>
          </w:tcPr>
          <w:p>
            <w:pPr>
              <w:spacing w:after="0"/>
              <w:rPr>
                <w:sz w:val="1"/>
                <w:szCs w:val="1"/>
                <w:color w:val="auto"/>
              </w:rPr>
            </w:pPr>
          </w:p>
        </w:tc>
      </w:tr>
      <w:tr>
        <w:trPr>
          <w:trHeight w:val="245"/>
        </w:trPr>
        <w:tc>
          <w:tcPr>
            <w:tcW w:w="95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26,359,033</w:t>
            </w:r>
          </w:p>
        </w:tc>
        <w:tc>
          <w:tcPr>
            <w:tcW w:w="0" w:type="dxa"/>
            <w:vAlign w:val="bottom"/>
          </w:tcPr>
          <w:p>
            <w:pPr>
              <w:spacing w:after="0"/>
              <w:rPr>
                <w:sz w:val="1"/>
                <w:szCs w:val="1"/>
                <w:color w:val="auto"/>
              </w:rPr>
            </w:pPr>
          </w:p>
        </w:tc>
      </w:tr>
      <w:tr>
        <w:trPr>
          <w:trHeight w:val="24"/>
        </w:trPr>
        <w:tc>
          <w:tcPr>
            <w:tcW w:w="95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58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139,691,064</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w:t>
      </w:r>
    </w:p>
    <w:p>
      <w:pPr>
        <w:spacing w:after="0" w:line="230" w:lineRule="auto"/>
        <w:rPr>
          <w:sz w:val="20"/>
          <w:szCs w:val="20"/>
          <w:color w:val="auto"/>
        </w:rPr>
      </w:pPr>
      <w:r>
        <w:rPr>
          <w:rFonts w:ascii="Arial" w:cs="Arial" w:eastAsia="Arial" w:hAnsi="Arial"/>
          <w:sz w:val="17"/>
          <w:szCs w:val="17"/>
          <w:color w:val="auto"/>
        </w:rPr>
        <w:t>unobservable inputs that require the Master Trust to use present value and other valuation techniques in the determination of fair value (Level 3). Financial assets and liabilities are classified in their entirety based on the lowest level of input that is significant to the fair value measure. The</w:t>
      </w:r>
    </w:p>
    <w:p>
      <w:pPr>
        <w:spacing w:after="0" w:line="255"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p>
    <w:p>
      <w:pPr>
        <w:spacing w:after="0" w:line="1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values. The net asset values are typically determined by the fund at the close of regular trading. These funds are required to publish their daily net asset value (NAV) and to transact at that price. The mutual funds are considered actively traded.</w:t>
      </w:r>
    </w:p>
    <w:p>
      <w:pPr>
        <w:spacing w:after="0" w:line="12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40"/>
        <w:spacing w:after="0" w:line="255"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9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4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2024</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common stock</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common stock</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240" w:right="120" w:hanging="237"/>
        <w:spacing w:after="0" w:line="221" w:lineRule="auto"/>
        <w:tabs>
          <w:tab w:leader="none" w:pos="254"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2024</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2023</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338,587,009</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267,276,011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6,837,311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7,640,841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345,424,320</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274,916,852</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THE SAVINGS PLAN FOR GRAHAM HOLDINGS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534,792,628</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(4.25%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2,199,937</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536,992,565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8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center"/>
              <w:ind w:right="1400"/>
              <w:spacing w:after="0"/>
              <w:rPr>
                <w:sz w:val="20"/>
                <w:szCs w:val="20"/>
                <w:color w:val="auto"/>
              </w:rPr>
            </w:pPr>
            <w:r>
              <w:rPr>
                <w:rFonts w:ascii="Arial" w:cs="Arial" w:eastAsia="Arial" w:hAnsi="Arial"/>
                <w:sz w:val="21"/>
                <w:szCs w:val="21"/>
                <w:b w:val="1"/>
                <w:bCs w:val="1"/>
                <w:color w:val="auto"/>
                <w:w w:val="98"/>
              </w:rPr>
              <w:t>INDEX TO EXHIBITS</w:t>
            </w:r>
          </w:p>
        </w:tc>
      </w:tr>
      <w:tr>
        <w:trPr>
          <w:trHeight w:val="542"/>
        </w:trPr>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Number</w:t>
            </w:r>
          </w:p>
        </w:tc>
        <w:tc>
          <w:tcPr>
            <w:tcW w:w="98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63"/>
        </w:trPr>
        <w:tc>
          <w:tcPr>
            <w:tcW w:w="1300" w:type="dxa"/>
            <w:vAlign w:val="bottom"/>
            <w:tcBorders>
              <w:top w:val="single" w:sz="8" w:color="auto"/>
            </w:tcBorders>
          </w:tcPr>
          <w:p>
            <w:pPr>
              <w:ind w:left="20"/>
              <w:spacing w:after="0" w:line="163" w:lineRule="exact"/>
              <w:rPr>
                <w:sz w:val="20"/>
                <w:szCs w:val="20"/>
                <w:color w:val="auto"/>
              </w:rPr>
            </w:pPr>
            <w:r>
              <w:rPr>
                <w:rFonts w:ascii="Arial" w:cs="Arial" w:eastAsia="Arial" w:hAnsi="Arial"/>
                <w:sz w:val="16"/>
                <w:szCs w:val="16"/>
                <w:color w:val="auto"/>
              </w:rPr>
              <w:t>23.1</w:t>
            </w:r>
          </w:p>
        </w:tc>
        <w:tc>
          <w:tcPr>
            <w:tcW w:w="120" w:type="dxa"/>
            <w:vAlign w:val="bottom"/>
          </w:tcPr>
          <w:p>
            <w:pPr>
              <w:spacing w:after="0"/>
              <w:rPr>
                <w:sz w:val="14"/>
                <w:szCs w:val="14"/>
                <w:color w:val="auto"/>
              </w:rPr>
            </w:pPr>
          </w:p>
        </w:tc>
        <w:tc>
          <w:tcPr>
            <w:tcW w:w="4200" w:type="dxa"/>
            <w:vAlign w:val="bottom"/>
            <w:tcBorders>
              <w:top w:val="single" w:sz="8" w:color="auto"/>
              <w:bottom w:val="single" w:sz="8" w:color="0000FF"/>
            </w:tcBorders>
          </w:tcPr>
          <w:p>
            <w:pPr>
              <w:spacing w:after="0" w:line="163" w:lineRule="exact"/>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Borders>
              <w:top w:val="single" w:sz="8" w:color="auto"/>
            </w:tcBorders>
          </w:tcPr>
          <w:p>
            <w:pPr>
              <w:spacing w:after="0"/>
              <w:rPr>
                <w:sz w:val="14"/>
                <w:szCs w:val="14"/>
                <w:color w:val="auto"/>
              </w:rPr>
            </w:pPr>
          </w:p>
        </w:tc>
      </w:tr>
      <w:tr>
        <w:trPr>
          <w:trHeight w:val="200"/>
        </w:trPr>
        <w:tc>
          <w:tcPr>
            <w:tcW w:w="1300" w:type="dxa"/>
            <w:vAlign w:val="bottom"/>
          </w:tcPr>
          <w:p>
            <w:pPr>
              <w:ind w:left="2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42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Pr>
          <w:p>
            <w:pPr>
              <w:spacing w:after="0"/>
              <w:rPr>
                <w:sz w:val="17"/>
                <w:szCs w:val="17"/>
                <w:color w:val="auto"/>
              </w:rPr>
            </w:pPr>
          </w:p>
        </w:tc>
      </w:tr>
      <w:tr>
        <w:trPr>
          <w:trHeight w:val="900"/>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right"/>
              <w:ind w:right="5520"/>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1240"/>
          </w:cols>
          <w:pgMar w:left="320" w:top="863" w:right="339" w:bottom="1440" w:gutter="0" w:footer="0" w:header="0"/>
        </w:sectPr>
      </w:pPr>
    </w:p>
    <w:bookmarkStart w:id="14" w:name="page15"/>
    <w:bookmarkEnd w:id="14"/>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60"/>
        <w:spacing w:after="0"/>
        <w:rPr>
          <w:sz w:val="20"/>
          <w:szCs w:val="20"/>
          <w:color w:val="auto"/>
        </w:rPr>
      </w:pPr>
      <w:r>
        <w:rPr>
          <w:rFonts w:ascii="Arial" w:cs="Arial" w:eastAsia="Arial" w:hAnsi="Arial"/>
          <w:sz w:val="17"/>
          <w:szCs w:val="17"/>
          <w:b w:val="1"/>
          <w:bCs w:val="1"/>
          <w:color w:val="auto"/>
        </w:rPr>
        <w:t>THE SAVINGS PLAN FOR GRAHAM HOLDINGS</w:t>
      </w:r>
    </w:p>
    <w:p>
      <w:pPr>
        <w:jc w:val="center"/>
        <w:ind w:left="7160"/>
        <w:spacing w:after="0"/>
        <w:rPr>
          <w:sz w:val="20"/>
          <w:szCs w:val="20"/>
          <w:color w:val="auto"/>
        </w:rPr>
      </w:pPr>
      <w:r>
        <w:rPr>
          <w:rFonts w:ascii="Arial" w:cs="Arial" w:eastAsia="Arial" w:hAnsi="Arial"/>
          <w:sz w:val="17"/>
          <w:szCs w:val="17"/>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June 27,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Wallace R. Cooney,</w:t>
      </w:r>
    </w:p>
    <w:p>
      <w:pPr>
        <w:jc w:val="center"/>
        <w:ind w:left="71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140"/>
          </w:cols>
          <w:pgMar w:left="320" w:top="1018"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 on Form S-8 (No.333-276044) of Graham Holdings Company of our report dated June 27, 2025 relating to the financial statements and supplemental schedules of The Savings Plan for Graham Holdings Company, which appears in this Form 11-K.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ectPr>
          <w:pgSz w:w="11900" w:h="16838" w:orient="portrait"/>
          <w:cols w:equalWidth="0" w:num="1">
            <w:col w:w="11240"/>
          </w:cols>
          <w:pgMar w:left="320" w:top="85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7"/>
          <w:szCs w:val="17"/>
          <w:b w:val="1"/>
          <w:bCs w:val="1"/>
          <w:color w:val="auto"/>
        </w:rPr>
        <w:t>EXHIBIT 23.2</w:t>
      </w:r>
    </w:p>
    <w:p>
      <w:pPr>
        <w:spacing w:after="0" w:line="17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Savings Plan for Graham Holdings Company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report dated October 4, 2024, relating to the financial statements of The Savings Plan for Graham Holdings Company as of December 31, 2023 appearing in this Annual Report on Form 11-K for the year ended December 31, 2024.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2025-06-27T12:06:50Z</dcterms:created>
  <dcterms:modified xsi:type="dcterms:W3CDTF">2025-06-27T12:06:50Z</dcterms:modified>
</cp:coreProperties>
</file>