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5"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8-K</w:t>
      </w:r>
    </w:p>
    <w:p>
      <w:pPr>
        <w:spacing w:after="0" w:line="164"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Current Report Pursuant to Section 13 or 15(d)</w:t>
      </w:r>
    </w:p>
    <w:p>
      <w:pPr>
        <w:spacing w:after="0" w:line="1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of the Securities Exchange Act of 1934</w:t>
      </w:r>
    </w:p>
    <w:p>
      <w:pPr>
        <w:spacing w:after="0" w:line="15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April 22, 2003</w:t>
      </w:r>
    </w:p>
    <w:p>
      <w:pPr>
        <w:spacing w:after="0" w:line="158"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THE WASHINGTON POST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19"/>
                <w:szCs w:val="19"/>
                <w:color w:val="auto"/>
              </w:rPr>
            </w:pPr>
          </w:p>
        </w:tc>
        <w:tc>
          <w:tcPr>
            <w:tcW w:w="4240" w:type="dxa"/>
            <w:vAlign w:val="bottom"/>
            <w:gridSpan w:val="5"/>
          </w:tcPr>
          <w:p>
            <w:pPr>
              <w:jc w:val="center"/>
              <w:spacing w:after="0"/>
              <w:rPr>
                <w:sz w:val="20"/>
                <w:szCs w:val="20"/>
                <w:color w:val="auto"/>
              </w:rPr>
            </w:pPr>
            <w:r>
              <w:rPr>
                <w:rFonts w:ascii="Arial" w:cs="Arial" w:eastAsia="Arial" w:hAnsi="Arial"/>
                <w:sz w:val="18"/>
                <w:szCs w:val="18"/>
                <w:color w:val="auto"/>
                <w:w w:val="88"/>
              </w:rPr>
              <w:t>(Exact name of registrant as specified in its charter)</w:t>
            </w:r>
          </w:p>
        </w:tc>
        <w:tc>
          <w:tcPr>
            <w:tcW w:w="3600" w:type="dxa"/>
            <w:vAlign w:val="bottom"/>
          </w:tcPr>
          <w:p>
            <w:pPr>
              <w:spacing w:after="0"/>
              <w:rPr>
                <w:sz w:val="19"/>
                <w:szCs w:val="19"/>
                <w:color w:val="auto"/>
              </w:rPr>
            </w:pPr>
          </w:p>
        </w:tc>
      </w:tr>
      <w:tr>
        <w:trPr>
          <w:trHeight w:val="365"/>
        </w:trPr>
        <w:tc>
          <w:tcPr>
            <w:tcW w:w="35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3620" w:type="dxa"/>
            <w:vAlign w:val="bottom"/>
            <w:gridSpan w:val="2"/>
          </w:tcPr>
          <w:p>
            <w:pPr>
              <w:jc w:val="center"/>
              <w:ind w:left="552"/>
              <w:spacing w:after="0"/>
              <w:rPr>
                <w:sz w:val="20"/>
                <w:szCs w:val="20"/>
                <w:color w:val="auto"/>
              </w:rPr>
            </w:pPr>
            <w:r>
              <w:rPr>
                <w:rFonts w:ascii="Arial" w:cs="Arial" w:eastAsia="Arial" w:hAnsi="Arial"/>
                <w:sz w:val="18"/>
                <w:szCs w:val="18"/>
                <w:color w:val="auto"/>
                <w:w w:val="89"/>
              </w:rPr>
              <w:t>1-6714</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53-0182885</w:t>
            </w:r>
          </w:p>
        </w:tc>
      </w:tr>
      <w:tr>
        <w:trPr>
          <w:trHeight w:val="110"/>
        </w:trPr>
        <w:tc>
          <w:tcPr>
            <w:tcW w:w="3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r>
      <w:tr>
        <w:trPr>
          <w:trHeight w:val="309"/>
        </w:trPr>
        <w:tc>
          <w:tcPr>
            <w:tcW w:w="358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340" w:type="dxa"/>
            <w:vAlign w:val="bottom"/>
          </w:tcPr>
          <w:p>
            <w:pPr>
              <w:spacing w:after="0"/>
              <w:rPr>
                <w:sz w:val="24"/>
                <w:szCs w:val="24"/>
                <w:color w:val="auto"/>
              </w:rPr>
            </w:pPr>
          </w:p>
        </w:tc>
        <w:tc>
          <w:tcPr>
            <w:tcW w:w="3900" w:type="dxa"/>
            <w:vAlign w:val="bottom"/>
            <w:gridSpan w:val="4"/>
          </w:tcPr>
          <w:p>
            <w:pPr>
              <w:ind w:left="1380"/>
              <w:spacing w:after="0"/>
              <w:rPr>
                <w:sz w:val="20"/>
                <w:szCs w:val="20"/>
                <w:color w:val="auto"/>
              </w:rPr>
            </w:pPr>
            <w:r>
              <w:rPr>
                <w:rFonts w:ascii="Arial" w:cs="Arial" w:eastAsia="Arial" w:hAnsi="Arial"/>
                <w:sz w:val="18"/>
                <w:szCs w:val="18"/>
                <w:color w:val="auto"/>
              </w:rPr>
              <w:t>(Commission</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358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340" w:type="dxa"/>
            <w:vAlign w:val="bottom"/>
          </w:tcPr>
          <w:p>
            <w:pPr>
              <w:spacing w:after="0"/>
              <w:rPr>
                <w:sz w:val="19"/>
                <w:szCs w:val="19"/>
                <w:color w:val="auto"/>
              </w:rPr>
            </w:pPr>
          </w:p>
        </w:tc>
        <w:tc>
          <w:tcPr>
            <w:tcW w:w="3900" w:type="dxa"/>
            <w:vAlign w:val="bottom"/>
            <w:gridSpan w:val="4"/>
          </w:tcPr>
          <w:p>
            <w:pPr>
              <w:ind w:left="1380"/>
              <w:spacing w:after="0"/>
              <w:rPr>
                <w:sz w:val="20"/>
                <w:szCs w:val="20"/>
                <w:color w:val="auto"/>
              </w:rPr>
            </w:pPr>
            <w:r>
              <w:rPr>
                <w:rFonts w:ascii="Arial" w:cs="Arial" w:eastAsia="Arial" w:hAnsi="Arial"/>
                <w:sz w:val="18"/>
                <w:szCs w:val="18"/>
                <w:color w:val="auto"/>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r>
      <w:tr>
        <w:trPr>
          <w:trHeight w:val="365"/>
        </w:trPr>
        <w:tc>
          <w:tcPr>
            <w:tcW w:w="7820" w:type="dxa"/>
            <w:vAlign w:val="bottom"/>
            <w:gridSpan w:val="6"/>
          </w:tcPr>
          <w:p>
            <w:pPr>
              <w:jc w:val="center"/>
              <w:ind w:right="600"/>
              <w:spacing w:after="0"/>
              <w:rPr>
                <w:sz w:val="20"/>
                <w:szCs w:val="20"/>
                <w:color w:val="auto"/>
              </w:rPr>
            </w:pPr>
            <w:r>
              <w:rPr>
                <w:rFonts w:ascii="Arial" w:cs="Arial" w:eastAsia="Arial" w:hAnsi="Arial"/>
                <w:sz w:val="18"/>
                <w:szCs w:val="18"/>
                <w:color w:val="auto"/>
                <w:w w:val="88"/>
              </w:rPr>
              <w:t>1150 15th Street, N.W. Washington, D.C.</w:t>
            </w:r>
          </w:p>
        </w:tc>
        <w:tc>
          <w:tcPr>
            <w:tcW w:w="3600" w:type="dxa"/>
            <w:vAlign w:val="bottom"/>
          </w:tcPr>
          <w:p>
            <w:pPr>
              <w:jc w:val="right"/>
              <w:ind w:right="1632"/>
              <w:spacing w:after="0"/>
              <w:rPr>
                <w:sz w:val="20"/>
                <w:szCs w:val="20"/>
                <w:color w:val="auto"/>
              </w:rPr>
            </w:pPr>
            <w:r>
              <w:rPr>
                <w:rFonts w:ascii="Arial" w:cs="Arial" w:eastAsia="Arial" w:hAnsi="Arial"/>
                <w:sz w:val="18"/>
                <w:szCs w:val="18"/>
                <w:color w:val="auto"/>
              </w:rPr>
              <w:t>20071</w:t>
            </w:r>
          </w:p>
        </w:tc>
      </w:tr>
      <w:tr>
        <w:trPr>
          <w:trHeight w:val="110"/>
        </w:trPr>
        <w:tc>
          <w:tcPr>
            <w:tcW w:w="7200" w:type="dxa"/>
            <w:vAlign w:val="bottom"/>
            <w:tcBorders>
              <w:bottom w:val="single" w:sz="8" w:color="auto"/>
            </w:tcBorders>
            <w:gridSpan w:val="3"/>
          </w:tcPr>
          <w:p>
            <w:pPr>
              <w:spacing w:after="0"/>
              <w:rPr>
                <w:sz w:val="9"/>
                <w:szCs w:val="9"/>
                <w:color w:val="auto"/>
              </w:rPr>
            </w:pPr>
          </w:p>
        </w:tc>
        <w:tc>
          <w:tcPr>
            <w:tcW w:w="340" w:type="dxa"/>
            <w:vAlign w:val="bottom"/>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r>
      <w:tr>
        <w:trPr>
          <w:trHeight w:val="316"/>
        </w:trPr>
        <w:tc>
          <w:tcPr>
            <w:tcW w:w="7820" w:type="dxa"/>
            <w:vAlign w:val="bottom"/>
            <w:gridSpan w:val="6"/>
          </w:tcPr>
          <w:p>
            <w:pPr>
              <w:jc w:val="center"/>
              <w:ind w:right="620"/>
              <w:spacing w:after="0"/>
              <w:rPr>
                <w:sz w:val="20"/>
                <w:szCs w:val="20"/>
                <w:color w:val="auto"/>
              </w:rPr>
            </w:pPr>
            <w:r>
              <w:rPr>
                <w:rFonts w:ascii="Arial" w:cs="Arial" w:eastAsia="Arial" w:hAnsi="Arial"/>
                <w:sz w:val="18"/>
                <w:szCs w:val="18"/>
                <w:color w:val="auto"/>
                <w:w w:val="90"/>
              </w:rPr>
              <w:t>(Address of principal executive offices)</w:t>
            </w:r>
          </w:p>
        </w:tc>
        <w:tc>
          <w:tcPr>
            <w:tcW w:w="3600" w:type="dxa"/>
            <w:vAlign w:val="bottom"/>
          </w:tcPr>
          <w:p>
            <w:pPr>
              <w:jc w:val="center"/>
              <w:ind w:right="212"/>
              <w:spacing w:after="0"/>
              <w:rPr>
                <w:sz w:val="20"/>
                <w:szCs w:val="20"/>
                <w:color w:val="auto"/>
              </w:rPr>
            </w:pPr>
            <w:r>
              <w:rPr>
                <w:rFonts w:ascii="Arial" w:cs="Arial" w:eastAsia="Arial" w:hAnsi="Arial"/>
                <w:sz w:val="18"/>
                <w:szCs w:val="18"/>
                <w:color w:val="auto"/>
                <w:w w:val="91"/>
              </w:rPr>
              <w:t>(Zip Code)</w:t>
            </w:r>
          </w:p>
        </w:tc>
      </w:tr>
      <w:tr>
        <w:trPr>
          <w:trHeight w:val="365"/>
        </w:trPr>
        <w:tc>
          <w:tcPr>
            <w:tcW w:w="3580" w:type="dxa"/>
            <w:vAlign w:val="bottom"/>
          </w:tcPr>
          <w:p>
            <w:pPr>
              <w:spacing w:after="0"/>
              <w:rPr>
                <w:sz w:val="24"/>
                <w:szCs w:val="24"/>
                <w:color w:val="auto"/>
              </w:rPr>
            </w:pPr>
          </w:p>
        </w:tc>
        <w:tc>
          <w:tcPr>
            <w:tcW w:w="3620" w:type="dxa"/>
            <w:vAlign w:val="bottom"/>
            <w:gridSpan w:val="2"/>
          </w:tcPr>
          <w:p>
            <w:pPr>
              <w:jc w:val="center"/>
              <w:ind w:left="552"/>
              <w:spacing w:after="0"/>
              <w:rPr>
                <w:sz w:val="20"/>
                <w:szCs w:val="20"/>
                <w:color w:val="auto"/>
              </w:rPr>
            </w:pPr>
            <w:r>
              <w:rPr>
                <w:rFonts w:ascii="Arial" w:cs="Arial" w:eastAsia="Arial" w:hAnsi="Arial"/>
                <w:sz w:val="18"/>
                <w:szCs w:val="18"/>
                <w:color w:val="auto"/>
                <w:w w:val="89"/>
              </w:rPr>
              <w:t>(202) 334-6000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10"/>
        </w:trPr>
        <w:tc>
          <w:tcPr>
            <w:tcW w:w="358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gridSpan w:val="5"/>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r>
      <w:tr>
        <w:trPr>
          <w:trHeight w:val="316"/>
        </w:trPr>
        <w:tc>
          <w:tcPr>
            <w:tcW w:w="3580" w:type="dxa"/>
            <w:vAlign w:val="bottom"/>
          </w:tcPr>
          <w:p>
            <w:pPr>
              <w:spacing w:after="0"/>
              <w:rPr>
                <w:sz w:val="24"/>
                <w:szCs w:val="24"/>
                <w:color w:val="auto"/>
              </w:rPr>
            </w:pPr>
          </w:p>
        </w:tc>
        <w:tc>
          <w:tcPr>
            <w:tcW w:w="4240" w:type="dxa"/>
            <w:vAlign w:val="bottom"/>
            <w:gridSpan w:val="5"/>
          </w:tcPr>
          <w:p>
            <w:pPr>
              <w:jc w:val="center"/>
              <w:spacing w:after="0"/>
              <w:rPr>
                <w:sz w:val="20"/>
                <w:szCs w:val="20"/>
                <w:color w:val="auto"/>
              </w:rPr>
            </w:pPr>
            <w:r>
              <w:rPr>
                <w:rFonts w:ascii="Arial" w:cs="Arial" w:eastAsia="Arial" w:hAnsi="Arial"/>
                <w:sz w:val="18"/>
                <w:szCs w:val="18"/>
                <w:color w:val="auto"/>
                <w:w w:val="87"/>
              </w:rPr>
              <w:t>(Registrant’s telephone number, including area code)</w:t>
            </w:r>
          </w:p>
        </w:tc>
        <w:tc>
          <w:tcPr>
            <w:tcW w:w="360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840" w:hanging="376"/>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900"/>
        <w:spacing w:after="0"/>
        <w:tabs>
          <w:tab w:leader="none" w:pos="1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The Washington Post Company Earnings Press Release dated April 22,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Regulation FD Disclosure</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22, 2003, The Washington Post Company issued a press release announcing the Company’s earnings for the quarter ended March 30, 2003. A copy of this press release is furnished with this report as an exhibit to this Form 8-K. The information contained in this report is being furnished pursuant to Item 12 under Item 9 of Form 8-K.</w:t>
      </w:r>
    </w:p>
    <w:p>
      <w:pPr>
        <w:sectPr>
          <w:pgSz w:w="11900" w:h="16838" w:orient="portrait"/>
          <w:cols w:equalWidth="0" w:num="1">
            <w:col w:w="11400"/>
          </w:cols>
          <w:pgMar w:left="240" w:top="422"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jc w:val="center"/>
        <w:ind w:left="63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3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2640" w:val="left"/>
          <w:tab w:leader="none" w:pos="63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22,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w:t>
      </w:r>
      <w:r>
        <w:rPr>
          <w:rFonts w:ascii="Arial" w:cs="Arial" w:eastAsia="Arial" w:hAnsi="Arial"/>
          <w:sz w:val="13"/>
          <w:szCs w:val="13"/>
          <w:color w:val="auto"/>
        </w:rPr>
        <w:t>OHN</w:t>
      </w:r>
      <w:r>
        <w:rPr>
          <w:rFonts w:ascii="Arial" w:cs="Arial" w:eastAsia="Arial" w:hAnsi="Arial"/>
          <w:sz w:val="16"/>
          <w:szCs w:val="16"/>
          <w:color w:val="auto"/>
        </w:rPr>
        <w:t xml:space="preserve"> B. M</w:t>
      </w:r>
      <w:r>
        <w:rPr>
          <w:rFonts w:ascii="Arial" w:cs="Arial" w:eastAsia="Arial" w:hAnsi="Arial"/>
          <w:sz w:val="13"/>
          <w:szCs w:val="13"/>
          <w:color w:val="auto"/>
        </w:rPr>
        <w:t>ORSE</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80010</wp:posOffset>
            </wp:positionV>
            <wp:extent cx="6791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219" w:lineRule="exact"/>
        <w:rPr>
          <w:sz w:val="20"/>
          <w:szCs w:val="20"/>
          <w:color w:val="auto"/>
        </w:rPr>
      </w:pPr>
    </w:p>
    <w:p>
      <w:pPr>
        <w:jc w:val="center"/>
        <w:ind w:left="692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92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69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April 22, 2003</w:t>
      </w:r>
    </w:p>
    <w:p>
      <w:pPr>
        <w:sectPr>
          <w:pgSz w:w="11900" w:h="16838" w:orient="portrait"/>
          <w:cols w:equalWidth="0" w:num="1">
            <w:col w:w="11000"/>
          </w:cols>
          <w:pgMar w:left="240" w:top="422"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Contact:</w:t>
            </w:r>
          </w:p>
        </w:tc>
        <w:tc>
          <w:tcPr>
            <w:tcW w:w="2260" w:type="dxa"/>
            <w:vAlign w:val="bottom"/>
          </w:tcPr>
          <w:p>
            <w:pPr>
              <w:ind w:left="560"/>
              <w:spacing w:after="0"/>
              <w:rPr>
                <w:sz w:val="20"/>
                <w:szCs w:val="20"/>
                <w:color w:val="auto"/>
              </w:rPr>
            </w:pPr>
            <w:r>
              <w:rPr>
                <w:rFonts w:ascii="Arial" w:cs="Arial" w:eastAsia="Arial" w:hAnsi="Arial"/>
                <w:sz w:val="18"/>
                <w:szCs w:val="18"/>
                <w:color w:val="auto"/>
              </w:rPr>
              <w:t>John B. Morse, Jr.</w:t>
            </w:r>
          </w:p>
        </w:tc>
        <w:tc>
          <w:tcPr>
            <w:tcW w:w="1580" w:type="dxa"/>
            <w:vAlign w:val="bottom"/>
          </w:tcPr>
          <w:p>
            <w:pPr>
              <w:spacing w:after="0"/>
              <w:rPr>
                <w:sz w:val="17"/>
                <w:szCs w:val="17"/>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c>
          <w:tcPr>
            <w:tcW w:w="940" w:type="dxa"/>
            <w:vAlign w:val="bottom"/>
          </w:tcPr>
          <w:p>
            <w:pPr>
              <w:spacing w:after="0"/>
              <w:rPr>
                <w:sz w:val="17"/>
                <w:szCs w:val="17"/>
                <w:color w:val="auto"/>
              </w:rPr>
            </w:pPr>
          </w:p>
        </w:tc>
      </w:tr>
      <w:tr>
        <w:trPr>
          <w:trHeight w:val="235"/>
        </w:trPr>
        <w:tc>
          <w:tcPr>
            <w:tcW w:w="1160" w:type="dxa"/>
            <w:vAlign w:val="bottom"/>
          </w:tcPr>
          <w:p>
            <w:pPr>
              <w:spacing w:after="0"/>
              <w:rPr>
                <w:sz w:val="20"/>
                <w:szCs w:val="20"/>
                <w:color w:val="auto"/>
              </w:rPr>
            </w:pPr>
          </w:p>
        </w:tc>
        <w:tc>
          <w:tcPr>
            <w:tcW w:w="2260" w:type="dxa"/>
            <w:vAlign w:val="bottom"/>
          </w:tcPr>
          <w:p>
            <w:pPr>
              <w:ind w:left="560"/>
              <w:spacing w:after="0"/>
              <w:rPr>
                <w:sz w:val="20"/>
                <w:szCs w:val="20"/>
                <w:color w:val="auto"/>
              </w:rPr>
            </w:pPr>
            <w:r>
              <w:rPr>
                <w:rFonts w:ascii="Arial" w:cs="Arial" w:eastAsia="Arial" w:hAnsi="Arial"/>
                <w:sz w:val="18"/>
                <w:szCs w:val="18"/>
                <w:color w:val="auto"/>
              </w:rPr>
              <w:t>(202) 334-6662</w:t>
            </w:r>
          </w:p>
        </w:tc>
        <w:tc>
          <w:tcPr>
            <w:tcW w:w="158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April 22, 2003</w:t>
            </w:r>
          </w:p>
        </w:tc>
      </w:tr>
      <w:tr>
        <w:trPr>
          <w:trHeight w:val="358"/>
        </w:trPr>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160" w:type="dxa"/>
            <w:vAlign w:val="bottom"/>
            <w:gridSpan w:val="3"/>
          </w:tcPr>
          <w:p>
            <w:pPr>
              <w:jc w:val="center"/>
              <w:ind w:left="332"/>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1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160" w:type="dxa"/>
            <w:vAlign w:val="bottom"/>
            <w:gridSpan w:val="3"/>
          </w:tcPr>
          <w:p>
            <w:pPr>
              <w:jc w:val="center"/>
              <w:ind w:left="352"/>
              <w:spacing w:after="0"/>
              <w:rPr>
                <w:sz w:val="20"/>
                <w:szCs w:val="20"/>
                <w:color w:val="auto"/>
              </w:rPr>
            </w:pPr>
            <w:r>
              <w:rPr>
                <w:rFonts w:ascii="Arial" w:cs="Arial" w:eastAsia="Arial" w:hAnsi="Arial"/>
                <w:sz w:val="18"/>
                <w:szCs w:val="18"/>
                <w:color w:val="auto"/>
                <w:w w:val="93"/>
              </w:rPr>
              <w:t>FIRST QUARTER EARNINGS</w:t>
            </w:r>
          </w:p>
        </w:tc>
      </w:tr>
    </w:tbl>
    <w:p>
      <w:pPr>
        <w:spacing w:after="0" w:line="14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$73.1 million ($7.59 per share) for its first quarter ended March 30, 2003, up from net income of $11.6 million ($1.16 per share) in the first quarter of last year.</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Results for the first quarter of 2003 include an after-tax non-operating gain from the sale of the Company’s 50 percent interest in the International Herald Tribune (after-tax impact of $32.3 million, or $3.38 per share). Results for the first quarter of 2002 included a transitional goodwill impairment loss (after-tax impact of $12.1 million, or $1.27 per share), a charge arising from an early retirement program at Newsweek (after-tax impact of $6.1 million, or $0.64 per share), and a net non-operating gain primarily from the sale of marketable securities (after-tax impact of $3.8 million, or $0.40 per share).</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Revenue for the first quarter of 2003 was $640.4 million, up 7 percent from $600.3 million in 2002. The increase in revenue is due mostly to significant revenue growth at the education and cable divisions. Although advertising revenues have suffered due to the war in Iraq, the magazine and newspaper divisions showed modest revenue growth; revenues were down at the broadcast division.</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Operating income for the quarter increased 62 percent to $79.1 million, from $48.9 million in 2002. Operating results for 2002 included a $10.3 million pre-tax charge from the Newsweek early retirement program. The Company’s results benefited from significantly improved operating results at the education, cable and newspaper divisions. These factors were offset by a reduction in advertising demand late in the quarter and certain incremental costs due to the war in Iraq, a reduction in operating income at the broadcast division, increased depreciation expense, and a reduced net pension credit.</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Company’s operating income for the first quarter of 2003 includes $13.4 million of net pension credits, compared to $16.1 million in the first quarter of 2002. At December 29, 2002, the Company reduced its assumption on discount rate from 7.0 percent to 6.75 percent. Due to the reduction in the discount rate and lower than expected investment returns in 2002, the pension credit for 2003 is expected to be down by about $10 million compared to 2002, excluding charges related to early retirement programs.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Newspaper publishing division revenue totaled $204.0 million for the first quarter of 2003, a 2 percent increase from revenue of $200.8 million in the first quarter of 2002. Division operating income increased 22 percent to $21.4 million, from $17.5 million in 2002. The increase in division operating income is primarily attributable to increases in print and online advertising revenue, combined with an 11 percent decrease in newsprint expense at The Post.</w:t>
      </w:r>
    </w:p>
    <w:p>
      <w:pPr>
        <w:spacing w:after="0" w:line="9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Print advertising revenue at The Washington Post newspaper increased slightly to $132.5 million, from $131.5 million in 2002, due to increases in preprint and zone advertising revenue, which more than offset a decrease in classified advertising revenue from volume declines. Recruitment advertising revenue was down $2.3 million due to a 17 percent volume decline. Advertising demand was down late in the quarter due to the war in Iraq.</w:t>
      </w:r>
    </w:p>
    <w:p>
      <w:pPr>
        <w:spacing w:after="0" w:line="9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the first quarter of 2003, Post daily and Sunday circulation declined 1.9 percent and 1.1 percent, respectively, compared to the first quarter of 2002. For the three months ended March 30, 2003, average daily circulation at The Post totaled 757,000 and average Sunday circulation totaled 1,052,000.</w:t>
      </w:r>
    </w:p>
    <w:p>
      <w:pPr>
        <w:spacing w:after="0" w:line="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Revenues generated by the Company’s online publishing activities, primarily washingtonpost.com, increased 27 percent to $9.5 million for the first quarter of 2003, versus $7.5 million for 2002. Local and national online advertising revenues grew 78 percent in 2003, while revenue at the Jobs section of washingtonpost.com increased 17 percent.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77" w:lineRule="exact"/>
        <w:rPr>
          <w:sz w:val="20"/>
          <w:szCs w:val="20"/>
          <w:color w:val="auto"/>
        </w:rPr>
      </w:pPr>
    </w:p>
    <w:p>
      <w:pPr>
        <w:jc w:val="both"/>
        <w:ind w:right="700" w:firstLine="456"/>
        <w:spacing w:after="0" w:line="306" w:lineRule="auto"/>
        <w:rPr>
          <w:sz w:val="20"/>
          <w:szCs w:val="20"/>
          <w:color w:val="auto"/>
        </w:rPr>
      </w:pPr>
      <w:r>
        <w:rPr>
          <w:rFonts w:ascii="Arial" w:cs="Arial" w:eastAsia="Arial" w:hAnsi="Arial"/>
          <w:sz w:val="16"/>
          <w:szCs w:val="16"/>
          <w:color w:val="auto"/>
        </w:rPr>
        <w:t>Revenue for the broadcast division decreased 6 percent in the first quarter of 2003 to $70.8 million, from $75.4 million in 2002, due to significant Olympics related advertising at the Company’s NBC affiliates in 2002 and several days of commercial-free coverage in connection with the war in Iraq. Operating income for the first quarter of 2003 decreased 21 percent to $26.3 million, from $33.6 million in 2002.</w:t>
      </w:r>
    </w:p>
    <w:p>
      <w:pPr>
        <w:spacing w:after="0" w:line="93" w:lineRule="exact"/>
        <w:rPr>
          <w:sz w:val="20"/>
          <w:szCs w:val="20"/>
          <w:color w:val="auto"/>
        </w:rPr>
      </w:pPr>
    </w:p>
    <w:p>
      <w:pPr>
        <w:ind w:right="1540" w:firstLine="456"/>
        <w:spacing w:after="0" w:line="375" w:lineRule="auto"/>
        <w:rPr>
          <w:sz w:val="20"/>
          <w:szCs w:val="20"/>
          <w:color w:val="auto"/>
        </w:rPr>
      </w:pPr>
      <w:r>
        <w:rPr>
          <w:rFonts w:ascii="Arial" w:cs="Arial" w:eastAsia="Arial" w:hAnsi="Arial"/>
          <w:sz w:val="18"/>
          <w:szCs w:val="18"/>
          <w:color w:val="auto"/>
        </w:rPr>
        <w:t xml:space="preserve">In July 2002, WJXT in Jacksonville, Florida began operations as an independent station when its network affiliation with CBS ended. </w:t>
      </w:r>
      <w:r>
        <w:rPr>
          <w:rFonts w:ascii="Arial" w:cs="Arial" w:eastAsia="Arial" w:hAnsi="Arial"/>
          <w:sz w:val="18"/>
          <w:szCs w:val="18"/>
          <w:i w:val="1"/>
          <w:iCs w:val="1"/>
          <w:color w:val="auto"/>
        </w:rPr>
        <w:t>Magazine Publishing</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 for the magazine publishing division totaled $77.5 million for the first quarter of 2003, a 3 percent increase from $75.0 million for the first quarter of 2002.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8" w:right="259" w:bottom="1440" w:gutter="0" w:footer="0" w:header="0"/>
        </w:sectPr>
      </w:pPr>
    </w:p>
    <w:bookmarkStart w:id="5" w:name="page6"/>
    <w:bookmarkEnd w:id="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increase was primarily due to an 18 percent increase in advertising revenue at Newsweek, as a result of increased ad pages at both the domestic and international editions, as well as an additional issue of the magazine in the first quarter of 2003 versus the first quarter of 2002. This revenue increase was partially offset by reduced advertising demand late in the quarter due to the Iraq war, and a decline in revenue at PostNewsweek Tech Media, whose primary trade show is in the second quarter of 2003, versus the first quarter in 2002.</w:t>
      </w:r>
    </w:p>
    <w:p>
      <w:pPr>
        <w:spacing w:after="0" w:line="13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Magazine division operating income totaled $0.8 million, compared to a loss of $11.6 million for the first quarter of 2002. The improvement in operating results is primarily attributable to a $10.3 million charge in connection with an early retirement program at Newsweek in the first quarter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Cable division revenue of $110.4 million for the first quarter of 2003 represents an 8 percent increase over 2002 first quarter revenue of $102.0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2003 revenue increase is due to continued growth in the division’s cable modem and digital service revenues, offset by lower pay revenues.</w:t>
      </w:r>
    </w:p>
    <w:p>
      <w:pPr>
        <w:spacing w:after="0" w:line="17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Cable division operating income increased 29 percent to $20.8 million in the first quarter of 2003, versus $16.0 million in the first quarter of 2002. The increase in operating income is due mostly to the division’s revenue growth, offset by higher depreciation expense and increased programming expense.</w:t>
      </w:r>
    </w:p>
    <w:p>
      <w:pPr>
        <w:spacing w:after="0" w:line="72"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The increase in depreciation expense is due to significant capital spending in recent years that has enabled the cable division to offer digital and broadband cable services to its subscribers. The cable division began its rollout plan for these services in the third quarter of 2000. At March 31, 2003, the cable division had approximately 210,500 digital cable subscribers, representing a 30 percent penetration of the subscriber base in the markets where digital services are offered.</w:t>
      </w:r>
    </w:p>
    <w:p>
      <w:pPr>
        <w:spacing w:after="0" w:line="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Digital services are offered in markets serving 99 percent of the cable division’s subscriber base. The initial rollout plan for the new digital cable services included an offer for the cable division’s customers to obtain these services free for one year. At the end of March 2003, the cable division had about 205,300 paying digital subscribers.</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March 31, 2003, the cable division had 719,300 basic subscribers, lower than 751,700 basic subscribers at the end of March 2002 but up slightly from 718,000 basic subscribers at the end of December 2002. At March 31, 2003, the cable division had 95,800 CableONE.net service subscribers, compared to 53,100 at the end of March 2002, due to a large increase in the Company’s cable modem deployment (offered to 97 percent of homes passed at the end of March 2003) and take-up rates.</w:t>
      </w:r>
    </w:p>
    <w:p>
      <w:pPr>
        <w:spacing w:after="0" w:line="13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March 31, 2003, Revenue Generating Units (RGUs), representing the sum of basic, digital and high-speed data customers, as defined by the NCTA Standard Reporting Categories, totaled 1,020,500, compared to 870,000 as of March 31,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Education division revenue totaled $177.8 million for the first quarter of 2003, a 21 percent increase over revenue of $147.1 million for the same period of</w:t>
      </w:r>
    </w:p>
    <w:p>
      <w:pPr>
        <w:spacing w:after="0" w:line="38"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2002. Kaplan reported operating income for the first quarter of 2003 of $15.9 million, compared to an operating loss of $0.6 million in the first quarter of 2002. Approximately 20 percent of the increase in Kaplan revenue is from acquired businesses, primarily in the higher education division. A summary of first quarter operating results is as follows:</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0" w:type="dxa"/>
            <w:vAlign w:val="bottom"/>
            <w:gridSpan w:val="2"/>
            <w:vMerge w:val="restart"/>
          </w:tcPr>
          <w:p>
            <w:pPr>
              <w:ind w:left="32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First Quarter</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0" w:type="dxa"/>
            <w:vAlign w:val="bottom"/>
            <w:vMerge w:val="restart"/>
          </w:tcPr>
          <w:p>
            <w:pPr>
              <w:spacing w:after="0"/>
              <w:rPr>
                <w:sz w:val="8"/>
                <w:szCs w:val="8"/>
                <w:color w:val="auto"/>
              </w:rPr>
            </w:pPr>
          </w:p>
        </w:tc>
        <w:tc>
          <w:tcPr>
            <w:tcW w:w="1080" w:type="dxa"/>
            <w:vAlign w:val="bottom"/>
            <w:vMerge w:val="restart"/>
          </w:tcPr>
          <w:p>
            <w:pPr>
              <w:spacing w:after="0"/>
              <w:rPr>
                <w:sz w:val="8"/>
                <w:szCs w:val="8"/>
                <w:color w:val="auto"/>
              </w:rPr>
            </w:pPr>
          </w:p>
        </w:tc>
        <w:tc>
          <w:tcPr>
            <w:tcW w:w="3600" w:type="dxa"/>
            <w:vAlign w:val="bottom"/>
            <w:gridSpan w:val="2"/>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3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8"/>
                <w:szCs w:val="8"/>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4"/>
        </w:trPr>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3"/>
              </w:rPr>
              <w:t>Revenue</w:t>
            </w:r>
          </w:p>
        </w:tc>
        <w:tc>
          <w:tcPr>
            <w:tcW w:w="468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ind w:left="200"/>
              <w:spacing w:after="0"/>
              <w:rPr>
                <w:sz w:val="20"/>
                <w:szCs w:val="20"/>
                <w:color w:val="auto"/>
              </w:rPr>
            </w:pPr>
            <w:r>
              <w:rPr>
                <w:rFonts w:ascii="Arial" w:cs="Arial" w:eastAsia="Arial" w:hAnsi="Arial"/>
                <w:sz w:val="18"/>
                <w:szCs w:val="18"/>
                <w:color w:val="auto"/>
              </w:rPr>
              <w:t>Supplemental education</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98,182</w:t>
            </w: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90,750</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Higher education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177,778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147,081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Operating income (loss)</w:t>
            </w:r>
          </w:p>
        </w:tc>
        <w:tc>
          <w:tcPr>
            <w:tcW w:w="360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ind w:left="200"/>
              <w:spacing w:after="0"/>
              <w:rPr>
                <w:sz w:val="20"/>
                <w:szCs w:val="20"/>
                <w:color w:val="auto"/>
              </w:rPr>
            </w:pPr>
            <w:r>
              <w:rPr>
                <w:rFonts w:ascii="Arial" w:cs="Arial" w:eastAsia="Arial" w:hAnsi="Arial"/>
                <w:sz w:val="18"/>
                <w:szCs w:val="18"/>
                <w:color w:val="auto"/>
              </w:rPr>
              <w:t>Supplemental education</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18,552</w:t>
            </w: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13,204</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Higher education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4"/>
          </w:tcPr>
          <w:p>
            <w:pPr>
              <w:ind w:left="200"/>
              <w:spacing w:after="0"/>
              <w:rPr>
                <w:sz w:val="20"/>
                <w:szCs w:val="20"/>
                <w:color w:val="auto"/>
              </w:rPr>
            </w:pPr>
            <w:r>
              <w:rPr>
                <w:rFonts w:ascii="Arial" w:cs="Arial" w:eastAsia="Arial" w:hAnsi="Arial"/>
                <w:sz w:val="18"/>
                <w:szCs w:val="18"/>
                <w:color w:val="auto"/>
              </w:rPr>
              <w:t>Kaplan corporate overhead</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(7,440)</w:t>
            </w: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(5,902)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3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-1161415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-1161415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-1161415</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-1161415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-1161415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-1161415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-1161415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-1161415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6" w:lineRule="exact"/>
        <w:rPr>
          <w:sz w:val="20"/>
          <w:szCs w:val="20"/>
          <w:color w:val="auto"/>
        </w:rPr>
      </w:pPr>
    </w:p>
    <w:p>
      <w:pPr>
        <w:ind w:left="460" w:hanging="364"/>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Supplemental education includes Kaplan’s test preparation, professional training, and Score! businesses. The improvement in supplemental education results for the first quarter of 2003 is due mostly to increased enrollment at Kaplan’s traditional test preparation business, as well as a significant increase in the professional real estate courses. Score! also contributed to the improved results, with increased enrollment from existing sites and two new centers compared to last year, combined with tight cost controls.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high student retention rates, and several acquisitions.</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the first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 of 2003 and 2002, the Company recorded expense of $10.0 million and $16.6 million, respectively, related to this plan.</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March 31, 2003, Kaplan completed its acquisition of the stock of FTC Holdings Limited (FTC) for £55.3 million ($87.4 million), financed through cash and debt. Headquartered in London, FTC is a leader in test preparation services for accountants and financial services professionals, with 18 training centers in the United Kingdom and a growing presence in Asia, including operations in Hong Kong and Singapore.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in Losses of Affiliates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equity in losses of affiliates for the first quarter of 2003 was $2.6 million, compared to losses of $6.5 million for the first quarter of 2002. The Company’s affiliate investments consist of a 49 percent interest in BrassRing LLC and a 49 percent interest in Bowater Mersey Paper Company Limited. The reduction in first quarter 2003 affiliate losses is primarily attributable to improved operating results at BrassRing.</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Non-Operating Income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recorded other non-operating income, net, of $48.1 million for the first quarter of 2003, compared to non-operating income, net, of $6.5 million for the first quarter of 2002. The 2003 non-operating income is comprised mostly of a $49.8 million pre-tax gain from the sale of the Company’s 50 percent interest in the International Herald Tribune. The 2002 non-operating income is comprised mostly of a gain from the sale of marketable securities, offset by write-downs recorded on certain investments.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Interest Expense</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incurred net interest expense of $7.1 million for the first quarter of 2003, compared to $8.7 million for the same period of the prior year. The reduction is due to lower average borrowings in the first quarter of 2003 versus the same period of the prior year. At March 30, 2003, the Company had $648.5 million in borrowings outstanding at an average interest rate of 4.0 percent.</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Provision for Income Taxes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effective tax rate for the first quarter of 2003 was 37.8 percent, compared to 40.9 percent for the same period of 2002. The 2003 rate benefited from a lower effective tax rate applicable to the one-time gain arising from the sale of the Company’s interest in the International Herald Tribune. Excluding the effect of the International Herald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Tribune gain, the Company’s effective tax rate approximated 39.8 percent for the first quarter of 2003. The effective tax rate for 2003 has declined due to an increase in operating earnings.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Cumulative Effect of Change in Accounting Principle</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2002, the Company completed its transitional goodwill impairment test required under Statement of Financial Accounting Standards No. 142, “Goodwill and Other Intangible Assets” (SFAS 142), resulting in an after-tax impairment loss of $12.1 million, or $1.27 per share, related to PostNewsweek Tech Media (part of magazine publishing segment). This loss is included in the Company’s 2002 results as a cumulative effect of change in accounting principle.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Earnings Per Share</w:t>
      </w:r>
    </w:p>
    <w:p>
      <w:pPr>
        <w:spacing w:after="0" w:line="7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calculation of diluted earnings per share for the first quarter of 2003 was based on 9,553,000 weighted average shares outstanding, compared to 9,512,000 for the first quarter of 2002. The Company made no repurchases of its stock during the first quarter of 2003.</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Options — Change in Accounting Method</w:t>
      </w:r>
    </w:p>
    <w:p>
      <w:pPr>
        <w:spacing w:after="0" w:line="7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recorded $142,000 in Company stock option expense for the first quarter of 2003; there was no Company stock option expense in the first quarter of 2002.</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Forward-looking Statements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95"/>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8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r>
      <w:tr>
        <w:trPr>
          <w:trHeight w:val="95"/>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600,322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22"/>
        </w:trPr>
        <w:tc>
          <w:tcPr>
            <w:tcW w:w="8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(517,804)</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(510,105)</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102"/>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r>
      <w:tr>
        <w:trPr>
          <w:trHeight w:val="216"/>
        </w:trPr>
        <w:tc>
          <w:tcPr>
            <w:tcW w:w="85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(43,395)</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(41,173)</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08"/>
        </w:trPr>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r>
      <w:tr>
        <w:trPr>
          <w:trHeight w:val="216"/>
        </w:trPr>
        <w:tc>
          <w:tcPr>
            <w:tcW w:w="8500" w:type="dxa"/>
            <w:vAlign w:val="bottom"/>
          </w:tcPr>
          <w:p>
            <w:pPr>
              <w:ind w:left="20"/>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(6,506)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(7,237)</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(8,867)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60" w:type="dxa"/>
            <w:vAlign w:val="bottom"/>
            <w:shd w:val="clear" w:color="auto" w:fill="CCEEFF"/>
          </w:tcPr>
          <w:p>
            <w:pPr>
              <w:spacing w:after="0"/>
              <w:rPr>
                <w:sz w:val="18"/>
                <w:szCs w:val="18"/>
                <w:color w:val="auto"/>
              </w:rPr>
            </w:pPr>
          </w:p>
        </w:tc>
      </w:tr>
      <w:tr>
        <w:trPr>
          <w:trHeight w:val="108"/>
        </w:trPr>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r>
      <w:tr>
        <w:trPr>
          <w:trHeight w:val="222"/>
        </w:trPr>
        <w:tc>
          <w:tcPr>
            <w:tcW w:w="8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(44,400)</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(16,400)</w:t>
            </w: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9"/>
                <w:szCs w:val="19"/>
                <w:color w:val="auto"/>
              </w:rPr>
            </w:pPr>
          </w:p>
        </w:tc>
      </w:tr>
      <w:tr>
        <w:trPr>
          <w:trHeight w:val="102"/>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r>
      <w:tr>
        <w:trPr>
          <w:trHeight w:val="222"/>
        </w:trPr>
        <w:tc>
          <w:tcPr>
            <w:tcW w:w="8500" w:type="dxa"/>
            <w:vAlign w:val="bottom"/>
          </w:tcPr>
          <w:p>
            <w:pPr>
              <w:ind w:left="20"/>
              <w:spacing w:after="0"/>
              <w:rPr>
                <w:sz w:val="20"/>
                <w:szCs w:val="20"/>
                <w:color w:val="auto"/>
              </w:rPr>
            </w:pPr>
            <w:r>
              <w:rPr>
                <w:rFonts w:ascii="Arial" w:cs="Arial" w:eastAsia="Arial" w:hAnsi="Arial"/>
                <w:sz w:val="18"/>
                <w:szCs w:val="18"/>
                <w:color w:val="auto"/>
              </w:rPr>
              <w:t>Cumulative effect of change in method of accounting for goodwill and other intangible assets</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(12,100)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r>
      <w:tr>
        <w:trPr>
          <w:trHeight w:val="222"/>
        </w:trPr>
        <w:tc>
          <w:tcPr>
            <w:tcW w:w="8500" w:type="dxa"/>
            <w:vAlign w:val="bottom"/>
          </w:tcPr>
          <w:p>
            <w:pPr>
              <w:ind w:left="20"/>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02"/>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r>
      <w:tr>
        <w:trPr>
          <w:trHeight w:val="132"/>
        </w:trPr>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500" w:type="dxa"/>
            <w:vAlign w:val="bottom"/>
          </w:tcPr>
          <w:p>
            <w:pPr>
              <w:ind w:left="34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r>
      <w:tr>
        <w:trPr>
          <w:trHeight w:val="216"/>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r>
      <w:tr>
        <w:trPr>
          <w:trHeight w:val="132"/>
        </w:trPr>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321"/>
        </w:trPr>
        <w:tc>
          <w:tcPr>
            <w:tcW w:w="8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500" w:type="dxa"/>
            <w:vAlign w:val="bottom"/>
          </w:tcPr>
          <w:p>
            <w:pPr>
              <w:ind w:left="34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r>
      <w:tr>
        <w:trPr>
          <w:trHeight w:val="216"/>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r>
      <w:tr>
        <w:trPr>
          <w:trHeight w:val="132"/>
        </w:trPr>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321"/>
        </w:trPr>
        <w:tc>
          <w:tcPr>
            <w:tcW w:w="8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9,526,000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9,498,000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8500" w:type="dxa"/>
            <w:vAlign w:val="bottom"/>
          </w:tcPr>
          <w:p>
            <w:pPr>
              <w:ind w:left="20"/>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9,553,000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9,512,000</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6"/>
        </w:trPr>
        <w:tc>
          <w:tcPr>
            <w:tcW w:w="8500" w:type="dxa"/>
            <w:vAlign w:val="bottom"/>
          </w:tcPr>
          <w:p>
            <w:pPr>
              <w:ind w:left="56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-2590165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-2590165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-2590165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-2590165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-2590165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-2590165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-1732280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-1732280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-1732280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-1732280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-1732280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-1732280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-737870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-737870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-737870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-737870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-737870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-737870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8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Newspaper publishing</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204,040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200,772</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Television broadcasting</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70,752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75,418</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Magazine publishing</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77,502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75,018</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Cable television</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110,368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102,033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360"/>
              <w:spacing w:after="0"/>
              <w:rPr>
                <w:sz w:val="20"/>
                <w:szCs w:val="20"/>
                <w:color w:val="auto"/>
              </w:rPr>
            </w:pPr>
            <w:r>
              <w:rPr>
                <w:rFonts w:ascii="Arial" w:cs="Arial" w:eastAsia="Arial" w:hAnsi="Arial"/>
                <w:sz w:val="18"/>
                <w:szCs w:val="18"/>
                <w:color w:val="auto"/>
              </w:rPr>
              <w:t>Education</w:t>
            </w: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177,778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147,081</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640,440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600,322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Newspaper publishing</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182,682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183,229</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Television broadcasting</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44,405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Magazine publishing</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76,665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86,596</w:t>
            </w:r>
          </w:p>
        </w:tc>
        <w:tc>
          <w:tcPr>
            <w:tcW w:w="4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Cable television</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89,606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Education</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161,851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147,631</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office</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561,348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551,430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Newspaper publishing</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21,358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17,543</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Television broadcasting</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26,347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33,551</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Magazine publishing</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(11,578)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Cable television</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Education</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15,927</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(550)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office</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79,092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Newspaper publishing</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11,297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10,879</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Television broadcasting</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Magazine publishing</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w:t>
            </w:r>
          </w:p>
        </w:tc>
        <w:tc>
          <w:tcPr>
            <w:tcW w:w="4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Cable television</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360"/>
              <w:spacing w:after="0"/>
              <w:rPr>
                <w:sz w:val="20"/>
                <w:szCs w:val="20"/>
                <w:color w:val="auto"/>
              </w:rPr>
            </w:pPr>
            <w:r>
              <w:rPr>
                <w:rFonts w:ascii="Arial" w:cs="Arial" w:eastAsia="Arial" w:hAnsi="Arial"/>
                <w:sz w:val="18"/>
                <w:szCs w:val="18"/>
                <w:color w:val="auto"/>
              </w:rPr>
              <w:t>Education</w:t>
            </w: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4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Newspaper publishing</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Television broadcasting</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Magazine publishing</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Cable television</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3840" w:type="dxa"/>
            <w:vAlign w:val="bottom"/>
          </w:tcPr>
          <w:p>
            <w:pPr>
              <w:ind w:left="360"/>
              <w:spacing w:after="0"/>
              <w:rPr>
                <w:sz w:val="20"/>
                <w:szCs w:val="20"/>
                <w:color w:val="auto"/>
              </w:rPr>
            </w:pPr>
            <w:r>
              <w:rPr>
                <w:rFonts w:ascii="Arial" w:cs="Arial" w:eastAsia="Arial" w:hAnsi="Arial"/>
                <w:sz w:val="18"/>
                <w:szCs w:val="18"/>
                <w:color w:val="auto"/>
              </w:rPr>
              <w:t>Education</w:t>
            </w: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4900" w:type="dxa"/>
            <w:vAlign w:val="bottom"/>
            <w:vMerge w:val="restart"/>
          </w:tcPr>
          <w:p>
            <w:pPr>
              <w:jc w:val="right"/>
              <w:ind w:right="289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38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2019-12-13T08:15:24Z</dcterms:created>
  <dcterms:modified xsi:type="dcterms:W3CDTF">2019-12-13T08:15:24Z</dcterms:modified>
</cp:coreProperties>
</file>