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162560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213360</wp:posOffset>
            </wp:positionV>
            <wp:extent cx="4869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September 10, 2020</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3820" w:type="dxa"/>
            <w:vAlign w:val="bottom"/>
          </w:tcPr>
          <w:p>
            <w:pPr>
              <w:jc w:val="center"/>
              <w:ind w:right="201"/>
              <w:spacing w:after="0"/>
              <w:rPr>
                <w:sz w:val="20"/>
                <w:szCs w:val="20"/>
                <w:color w:val="auto"/>
              </w:rPr>
            </w:pPr>
            <w:r>
              <w:rPr>
                <w:rFonts w:ascii="Arial" w:cs="Arial" w:eastAsia="Arial" w:hAnsi="Arial"/>
                <w:sz w:val="18"/>
                <w:szCs w:val="18"/>
                <w:b w:val="1"/>
                <w:bCs w:val="1"/>
                <w:color w:val="auto"/>
                <w:w w:val="98"/>
              </w:rPr>
              <w:t>Delaware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7"/>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(State or other jurisdiction of</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3820" w:type="dxa"/>
            <w:vAlign w:val="bottom"/>
          </w:tcPr>
          <w:p>
            <w:pPr>
              <w:jc w:val="center"/>
              <w:ind w:right="201"/>
              <w:spacing w:after="0"/>
              <w:rPr>
                <w:sz w:val="20"/>
                <w:szCs w:val="20"/>
                <w:color w:val="auto"/>
              </w:rPr>
            </w:pPr>
            <w:r>
              <w:rPr>
                <w:rFonts w:ascii="Arial" w:cs="Arial" w:eastAsia="Arial" w:hAnsi="Arial"/>
                <w:sz w:val="14"/>
                <w:szCs w:val="14"/>
                <w:b w:val="1"/>
                <w:bCs w:val="1"/>
                <w:color w:val="auto"/>
              </w:rPr>
              <w:t>incorporation)</w:t>
            </w: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r>
      <w:tr>
        <w:trPr>
          <w:trHeight w:val="512"/>
        </w:trPr>
        <w:tc>
          <w:tcPr>
            <w:tcW w:w="382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780" w:type="dxa"/>
            <w:vAlign w:val="bottom"/>
          </w:tcPr>
          <w:p>
            <w:pPr>
              <w:spacing w:after="0"/>
              <w:rPr>
                <w:sz w:val="24"/>
                <w:szCs w:val="24"/>
                <w:color w:val="auto"/>
              </w:rPr>
            </w:pPr>
          </w:p>
        </w:tc>
        <w:tc>
          <w:tcPr>
            <w:tcW w:w="214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3820" w:type="dxa"/>
            <w:vAlign w:val="bottom"/>
          </w:tcPr>
          <w:p>
            <w:pPr>
              <w:jc w:val="center"/>
              <w:ind w:right="181"/>
              <w:spacing w:after="0"/>
              <w:rPr>
                <w:sz w:val="20"/>
                <w:szCs w:val="20"/>
                <w:color w:val="auto"/>
              </w:rPr>
            </w:pPr>
            <w:r>
              <w:rPr>
                <w:rFonts w:ascii="Arial" w:cs="Arial" w:eastAsia="Arial" w:hAnsi="Arial"/>
                <w:sz w:val="14"/>
                <w:szCs w:val="14"/>
                <w:b w:val="1"/>
                <w:bCs w:val="1"/>
                <w:color w:val="auto"/>
              </w:rPr>
              <w:t>(Address of principal executive offices)</w:t>
            </w:r>
          </w:p>
        </w:tc>
        <w:tc>
          <w:tcPr>
            <w:tcW w:w="2780" w:type="dxa"/>
            <w:vAlign w:val="bottom"/>
          </w:tcPr>
          <w:p>
            <w:pPr>
              <w:spacing w:after="0"/>
              <w:rPr>
                <w:sz w:val="18"/>
                <w:szCs w:val="18"/>
                <w:color w:val="auto"/>
              </w:rPr>
            </w:pPr>
          </w:p>
        </w:tc>
        <w:tc>
          <w:tcPr>
            <w:tcW w:w="2140" w:type="dxa"/>
            <w:vAlign w:val="bottom"/>
          </w:tcPr>
          <w:p>
            <w:pPr>
              <w:jc w:val="center"/>
              <w:ind w:left="861"/>
              <w:spacing w:after="0"/>
              <w:rPr>
                <w:sz w:val="20"/>
                <w:szCs w:val="20"/>
                <w:color w:val="auto"/>
              </w:rPr>
            </w:pPr>
            <w:r>
              <w:rPr>
                <w:rFonts w:ascii="Arial" w:cs="Arial" w:eastAsia="Arial" w:hAnsi="Arial"/>
                <w:sz w:val="14"/>
                <w:szCs w:val="14"/>
                <w:b w:val="1"/>
                <w:bCs w:val="1"/>
                <w:color w:val="auto"/>
              </w:rPr>
              <w:t>(Zip Code)</w:t>
            </w:r>
          </w:p>
        </w:tc>
      </w:tr>
      <w:tr>
        <w:trPr>
          <w:trHeight w:val="432"/>
        </w:trPr>
        <w:tc>
          <w:tcPr>
            <w:tcW w:w="3820" w:type="dxa"/>
            <w:vAlign w:val="bottom"/>
          </w:tcPr>
          <w:p>
            <w:pPr>
              <w:spacing w:after="0"/>
              <w:rPr>
                <w:sz w:val="24"/>
                <w:szCs w:val="24"/>
                <w:color w:val="auto"/>
              </w:rPr>
            </w:pPr>
          </w:p>
        </w:tc>
        <w:tc>
          <w:tcPr>
            <w:tcW w:w="2780" w:type="dxa"/>
            <w:vAlign w:val="bottom"/>
          </w:tcPr>
          <w:p>
            <w:pPr>
              <w:jc w:val="right"/>
              <w:ind w:right="1199"/>
              <w:spacing w:after="0"/>
              <w:rPr>
                <w:sz w:val="20"/>
                <w:szCs w:val="20"/>
                <w:color w:val="auto"/>
              </w:rPr>
            </w:pPr>
            <w:r>
              <w:rPr>
                <w:rFonts w:ascii="Arial" w:cs="Arial" w:eastAsia="Arial" w:hAnsi="Arial"/>
                <w:sz w:val="18"/>
                <w:szCs w:val="18"/>
                <w:b w:val="1"/>
                <w:bCs w:val="1"/>
                <w:color w:val="auto"/>
              </w:rPr>
              <w:t>(703) 345-6300</w:t>
            </w:r>
          </w:p>
        </w:tc>
        <w:tc>
          <w:tcPr>
            <w:tcW w:w="2140" w:type="dxa"/>
            <w:vAlign w:val="bottom"/>
          </w:tcPr>
          <w:p>
            <w:pPr>
              <w:spacing w:after="0"/>
              <w:rPr>
                <w:sz w:val="24"/>
                <w:szCs w:val="24"/>
                <w:color w:val="auto"/>
              </w:rPr>
            </w:pPr>
          </w:p>
        </w:tc>
      </w:tr>
    </w:tbl>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130175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370" w:lineRule="exact"/>
        <w:rPr>
          <w:sz w:val="24"/>
          <w:szCs w:val="24"/>
          <w:color w:val="auto"/>
        </w:rPr>
      </w:pPr>
    </w:p>
    <w:p>
      <w:pPr>
        <w:ind w:right="280"/>
        <w:spacing w:after="0" w:line="27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2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427"/>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ind w:right="580"/>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33"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ind w:right="12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10, 2020, the Company issued the press release attached hereto as Exhibit 99.1.</w:t>
      </w:r>
    </w:p>
    <w:p>
      <w:pPr>
        <w:spacing w:after="0" w:line="200" w:lineRule="exact"/>
        <w:rPr>
          <w:sz w:val="20"/>
          <w:szCs w:val="20"/>
          <w:color w:val="auto"/>
        </w:rPr>
      </w:pPr>
    </w:p>
    <w:p>
      <w:pPr>
        <w:spacing w:after="0" w:line="32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Graham Holdings Company dated September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560070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120" w:val="left"/>
        </w:tabs>
        <w:rPr>
          <w:rFonts w:ascii="Arial" w:cs="Arial" w:eastAsia="Arial" w:hAnsi="Arial"/>
          <w:sz w:val="18"/>
          <w:szCs w:val="18"/>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8"/>
            <w:szCs w:val="18"/>
            <w:u w:val="single" w:color="auto"/>
            <w:color w:val="0000FF"/>
          </w:rPr>
          <w:t>Graham Holdings Company Press Release dated September 10, 2020.</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104 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405765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September 10,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28575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spacing w:after="0" w:line="1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1035050</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Graham Holdings Company Announces Stock Repurchase Authorization</w:t>
      </w:r>
    </w:p>
    <w:p>
      <w:pPr>
        <w:spacing w:after="0" w:line="200" w:lineRule="exact"/>
        <w:rPr>
          <w:sz w:val="20"/>
          <w:szCs w:val="20"/>
          <w:color w:val="auto"/>
        </w:rPr>
      </w:pPr>
    </w:p>
    <w:p>
      <w:pPr>
        <w:spacing w:after="0" w:line="28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ARLINGTON, VA—September 10, 2020—Graham Holdings Company (NYSE: GHC) announced today that its Board of Directors has authorized the Company to acquire up to 500,000 shares of its Class B common stock. The Company did not announce a ceiling price or time limit for the purchases.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 2020, there were 4,094,073 Class B shares outstanding.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93"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50" w:lineRule="exact"/>
        <w:rPr>
          <w:sz w:val="20"/>
          <w:szCs w:val="20"/>
          <w:color w:val="auto"/>
        </w:rPr>
      </w:pPr>
    </w:p>
    <w:p>
      <w:pPr>
        <w:ind w:left="1480" w:right="7600" w:hanging="10"/>
        <w:spacing w:after="0" w:line="373"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2020-09-10T15:57:42Z</dcterms:created>
  <dcterms:modified xsi:type="dcterms:W3CDTF">2020-09-10T15:57:42Z</dcterms:modified>
</cp:coreProperties>
</file>