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509270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50"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2475230</wp:posOffset>
            </wp:positionH>
            <wp:positionV relativeFrom="paragraph">
              <wp:posOffset>100965</wp:posOffset>
            </wp:positionV>
            <wp:extent cx="23069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197"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2475230</wp:posOffset>
            </wp:positionH>
            <wp:positionV relativeFrom="paragraph">
              <wp:posOffset>175260</wp:posOffset>
            </wp:positionV>
            <wp:extent cx="23069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318" w:lineRule="exact"/>
        <w:rPr>
          <w:sz w:val="24"/>
          <w:szCs w:val="24"/>
          <w:color w:val="auto"/>
        </w:rPr>
      </w:pPr>
    </w:p>
    <w:p>
      <w:pPr>
        <w:ind w:left="400" w:hanging="393"/>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6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June 30, 2013</w:t>
      </w:r>
    </w:p>
    <w:p>
      <w:pPr>
        <w:spacing w:after="0" w:line="15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440"/>
        <w:spacing w:after="0"/>
        <w:rPr>
          <w:sz w:val="20"/>
          <w:szCs w:val="20"/>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6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1-6714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2475230</wp:posOffset>
            </wp:positionH>
            <wp:positionV relativeFrom="paragraph">
              <wp:posOffset>123190</wp:posOffset>
            </wp:positionV>
            <wp:extent cx="23069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215"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THE WASHINGTON POST COMPANY</w:t>
      </w:r>
    </w:p>
    <w:p>
      <w:pPr>
        <w:spacing w:after="0" w:line="5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2475230</wp:posOffset>
            </wp:positionH>
            <wp:positionV relativeFrom="paragraph">
              <wp:posOffset>100965</wp:posOffset>
            </wp:positionV>
            <wp:extent cx="23069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224" w:lineRule="exact"/>
        <w:rPr>
          <w:sz w:val="24"/>
          <w:szCs w:val="24"/>
          <w:color w:val="auto"/>
        </w:rPr>
      </w:pPr>
    </w:p>
    <w:tbl>
      <w:tblPr>
        <w:tblLayout w:type="fixed"/>
        <w:tblInd w:w="1160" w:type="dxa"/>
        <w:tblCellMar>
          <w:top w:w="0" w:type="dxa"/>
          <w:left w:w="0" w:type="dxa"/>
          <w:bottom w:w="0" w:type="dxa"/>
          <w:right w:w="0" w:type="dxa"/>
        </w:tblCellMar>
      </w:tblPr>
      <w:tr>
        <w:trPr>
          <w:trHeight w:val="209"/>
        </w:trPr>
        <w:tc>
          <w:tcPr>
            <w:tcW w:w="6540" w:type="dxa"/>
            <w:vAlign w:val="bottom"/>
          </w:tcPr>
          <w:p>
            <w:pPr>
              <w:jc w:val="center"/>
              <w:ind w:right="3063"/>
              <w:spacing w:after="0"/>
              <w:rPr>
                <w:sz w:val="20"/>
                <w:szCs w:val="20"/>
                <w:color w:val="auto"/>
              </w:rPr>
            </w:pPr>
            <w:r>
              <w:rPr>
                <w:rFonts w:ascii="Arial" w:cs="Arial" w:eastAsia="Arial" w:hAnsi="Arial"/>
                <w:sz w:val="18"/>
                <w:szCs w:val="18"/>
                <w:b w:val="1"/>
                <w:bCs w:val="1"/>
                <w:color w:val="auto"/>
              </w:rPr>
              <w:t>Delaware</w:t>
            </w:r>
          </w:p>
        </w:tc>
        <w:tc>
          <w:tcPr>
            <w:tcW w:w="1440" w:type="dxa"/>
            <w:vAlign w:val="bottom"/>
          </w:tcPr>
          <w:p>
            <w:pPr>
              <w:jc w:val="right"/>
              <w:ind w:right="3"/>
              <w:spacing w:after="0"/>
              <w:rPr>
                <w:sz w:val="20"/>
                <w:szCs w:val="20"/>
                <w:color w:val="auto"/>
              </w:rPr>
            </w:pPr>
            <w:r>
              <w:rPr>
                <w:rFonts w:ascii="Arial" w:cs="Arial" w:eastAsia="Arial" w:hAnsi="Arial"/>
                <w:sz w:val="18"/>
                <w:szCs w:val="18"/>
                <w:b w:val="1"/>
                <w:bCs w:val="1"/>
                <w:color w:val="auto"/>
              </w:rPr>
              <w:t>53-0182885</w:t>
            </w:r>
          </w:p>
        </w:tc>
      </w:tr>
      <w:tr>
        <w:trPr>
          <w:trHeight w:val="149"/>
        </w:trPr>
        <w:tc>
          <w:tcPr>
            <w:tcW w:w="6540" w:type="dxa"/>
            <w:vAlign w:val="bottom"/>
          </w:tcPr>
          <w:p>
            <w:pPr>
              <w:jc w:val="center"/>
              <w:ind w:right="3043"/>
              <w:spacing w:after="0" w:line="149" w:lineRule="exact"/>
              <w:rPr>
                <w:sz w:val="20"/>
                <w:szCs w:val="20"/>
                <w:color w:val="auto"/>
              </w:rPr>
            </w:pPr>
            <w:r>
              <w:rPr>
                <w:rFonts w:ascii="Arial" w:cs="Arial" w:eastAsia="Arial" w:hAnsi="Arial"/>
                <w:sz w:val="14"/>
                <w:szCs w:val="14"/>
                <w:b w:val="1"/>
                <w:bCs w:val="1"/>
                <w:color w:val="auto"/>
                <w:w w:val="96"/>
              </w:rPr>
              <w:t>(State or other jurisdiction of</w:t>
            </w:r>
          </w:p>
        </w:tc>
        <w:tc>
          <w:tcPr>
            <w:tcW w:w="1440" w:type="dxa"/>
            <w:vAlign w:val="bottom"/>
          </w:tcPr>
          <w:p>
            <w:pPr>
              <w:jc w:val="center"/>
              <w:ind w:left="223"/>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78"/>
        </w:trPr>
        <w:tc>
          <w:tcPr>
            <w:tcW w:w="6540" w:type="dxa"/>
            <w:vAlign w:val="bottom"/>
          </w:tcPr>
          <w:p>
            <w:pPr>
              <w:jc w:val="center"/>
              <w:ind w:right="3063"/>
              <w:spacing w:after="0"/>
              <w:rPr>
                <w:sz w:val="20"/>
                <w:szCs w:val="20"/>
                <w:color w:val="auto"/>
              </w:rPr>
            </w:pPr>
            <w:r>
              <w:rPr>
                <w:rFonts w:ascii="Arial" w:cs="Arial" w:eastAsia="Arial" w:hAnsi="Arial"/>
                <w:sz w:val="14"/>
                <w:szCs w:val="14"/>
                <w:b w:val="1"/>
                <w:bCs w:val="1"/>
                <w:color w:val="auto"/>
                <w:w w:val="96"/>
              </w:rPr>
              <w:t>incorporation or organization)</w:t>
            </w:r>
          </w:p>
        </w:tc>
        <w:tc>
          <w:tcPr>
            <w:tcW w:w="1440" w:type="dxa"/>
            <w:vAlign w:val="bottom"/>
          </w:tcPr>
          <w:p>
            <w:pPr>
              <w:jc w:val="center"/>
              <w:ind w:left="223"/>
              <w:spacing w:after="0"/>
              <w:rPr>
                <w:sz w:val="20"/>
                <w:szCs w:val="20"/>
                <w:color w:val="auto"/>
              </w:rPr>
            </w:pPr>
            <w:r>
              <w:rPr>
                <w:rFonts w:ascii="Arial" w:cs="Arial" w:eastAsia="Arial" w:hAnsi="Arial"/>
                <w:sz w:val="14"/>
                <w:szCs w:val="14"/>
                <w:b w:val="1"/>
                <w:bCs w:val="1"/>
                <w:color w:val="auto"/>
                <w:w w:val="96"/>
              </w:rPr>
              <w:t>Identification No.)</w:t>
            </w:r>
          </w:p>
        </w:tc>
      </w:tr>
      <w:tr>
        <w:trPr>
          <w:trHeight w:val="430"/>
        </w:trPr>
        <w:tc>
          <w:tcPr>
            <w:tcW w:w="6540" w:type="dxa"/>
            <w:vAlign w:val="bottom"/>
          </w:tcPr>
          <w:p>
            <w:pPr>
              <w:jc w:val="center"/>
              <w:ind w:right="3063"/>
              <w:spacing w:after="0"/>
              <w:rPr>
                <w:sz w:val="20"/>
                <w:szCs w:val="20"/>
                <w:color w:val="auto"/>
              </w:rPr>
            </w:pPr>
            <w:r>
              <w:rPr>
                <w:rFonts w:ascii="Arial" w:cs="Arial" w:eastAsia="Arial" w:hAnsi="Arial"/>
                <w:sz w:val="18"/>
                <w:szCs w:val="18"/>
                <w:b w:val="1"/>
                <w:bCs w:val="1"/>
                <w:color w:val="auto"/>
                <w:w w:val="99"/>
              </w:rPr>
              <w:t>1150 15th Street, N.W. Washington, D.C.</w:t>
            </w:r>
          </w:p>
        </w:tc>
        <w:tc>
          <w:tcPr>
            <w:tcW w:w="1440" w:type="dxa"/>
            <w:vAlign w:val="bottom"/>
          </w:tcPr>
          <w:p>
            <w:pPr>
              <w:jc w:val="right"/>
              <w:ind w:right="243"/>
              <w:spacing w:after="0"/>
              <w:rPr>
                <w:sz w:val="20"/>
                <w:szCs w:val="20"/>
                <w:color w:val="auto"/>
              </w:rPr>
            </w:pPr>
            <w:r>
              <w:rPr>
                <w:rFonts w:ascii="Arial" w:cs="Arial" w:eastAsia="Arial" w:hAnsi="Arial"/>
                <w:sz w:val="18"/>
                <w:szCs w:val="18"/>
                <w:b w:val="1"/>
                <w:bCs w:val="1"/>
                <w:color w:val="auto"/>
              </w:rPr>
              <w:t>20071</w:t>
            </w:r>
          </w:p>
        </w:tc>
      </w:tr>
      <w:tr>
        <w:trPr>
          <w:trHeight w:val="178"/>
        </w:trPr>
        <w:tc>
          <w:tcPr>
            <w:tcW w:w="6540" w:type="dxa"/>
            <w:vAlign w:val="bottom"/>
          </w:tcPr>
          <w:p>
            <w:pPr>
              <w:jc w:val="center"/>
              <w:ind w:right="3063"/>
              <w:spacing w:after="0"/>
              <w:rPr>
                <w:sz w:val="20"/>
                <w:szCs w:val="20"/>
                <w:color w:val="auto"/>
              </w:rPr>
            </w:pPr>
            <w:r>
              <w:rPr>
                <w:rFonts w:ascii="Arial" w:cs="Arial" w:eastAsia="Arial" w:hAnsi="Arial"/>
                <w:sz w:val="14"/>
                <w:szCs w:val="14"/>
                <w:b w:val="1"/>
                <w:bCs w:val="1"/>
                <w:color w:val="auto"/>
                <w:w w:val="96"/>
              </w:rPr>
              <w:t>(Address of principal executive offices)</w:t>
            </w:r>
          </w:p>
        </w:tc>
        <w:tc>
          <w:tcPr>
            <w:tcW w:w="1440" w:type="dxa"/>
            <w:vAlign w:val="bottom"/>
          </w:tcPr>
          <w:p>
            <w:pPr>
              <w:jc w:val="center"/>
              <w:ind w:left="223"/>
              <w:spacing w:after="0"/>
              <w:rPr>
                <w:sz w:val="20"/>
                <w:szCs w:val="20"/>
                <w:color w:val="auto"/>
              </w:rPr>
            </w:pPr>
            <w:r>
              <w:rPr>
                <w:rFonts w:ascii="Arial" w:cs="Arial" w:eastAsia="Arial" w:hAnsi="Arial"/>
                <w:sz w:val="14"/>
                <w:szCs w:val="14"/>
                <w:b w:val="1"/>
                <w:bCs w:val="1"/>
                <w:color w:val="auto"/>
                <w:w w:val="95"/>
              </w:rPr>
              <w:t>(Zip Code)</w:t>
            </w:r>
          </w:p>
        </w:tc>
      </w:tr>
      <w:tr>
        <w:trPr>
          <w:trHeight w:val="335"/>
        </w:trPr>
        <w:tc>
          <w:tcPr>
            <w:tcW w:w="6540" w:type="dxa"/>
            <w:vAlign w:val="bottom"/>
          </w:tcPr>
          <w:p>
            <w:pPr>
              <w:jc w:val="right"/>
              <w:ind w:right="1303"/>
              <w:spacing w:after="0"/>
              <w:rPr>
                <w:sz w:val="20"/>
                <w:szCs w:val="20"/>
                <w:color w:val="auto"/>
              </w:rPr>
            </w:pPr>
            <w:r>
              <w:rPr>
                <w:rFonts w:ascii="Arial" w:cs="Arial" w:eastAsia="Arial" w:hAnsi="Arial"/>
                <w:sz w:val="18"/>
                <w:szCs w:val="18"/>
                <w:b w:val="1"/>
                <w:bCs w:val="1"/>
                <w:color w:val="auto"/>
              </w:rPr>
              <w:t>(202) 334-6000</w:t>
            </w:r>
          </w:p>
        </w:tc>
        <w:tc>
          <w:tcPr>
            <w:tcW w:w="1440" w:type="dxa"/>
            <w:vAlign w:val="bottom"/>
          </w:tcPr>
          <w:p>
            <w:pPr>
              <w:spacing w:after="0"/>
              <w:rPr>
                <w:sz w:val="24"/>
                <w:szCs w:val="24"/>
                <w:color w:val="auto"/>
              </w:rPr>
            </w:pPr>
          </w:p>
        </w:tc>
      </w:tr>
      <w:tr>
        <w:trPr>
          <w:trHeight w:val="178"/>
        </w:trPr>
        <w:tc>
          <w:tcPr>
            <w:tcW w:w="6540" w:type="dxa"/>
            <w:vAlign w:val="bottom"/>
          </w:tcPr>
          <w:p>
            <w:pPr>
              <w:jc w:val="center"/>
              <w:ind w:left="2483"/>
              <w:spacing w:after="0"/>
              <w:rPr>
                <w:sz w:val="20"/>
                <w:szCs w:val="20"/>
                <w:color w:val="auto"/>
              </w:rPr>
            </w:pPr>
            <w:r>
              <w:rPr>
                <w:rFonts w:ascii="Arial" w:cs="Arial" w:eastAsia="Arial" w:hAnsi="Arial"/>
                <w:sz w:val="14"/>
                <w:szCs w:val="14"/>
                <w:b w:val="1"/>
                <w:bCs w:val="1"/>
                <w:color w:val="auto"/>
                <w:w w:val="96"/>
              </w:rPr>
              <w:t>(Registrant’s telephone number, including area code)</w:t>
            </w:r>
          </w:p>
        </w:tc>
        <w:tc>
          <w:tcPr>
            <w:tcW w:w="144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2475230</wp:posOffset>
            </wp:positionH>
            <wp:positionV relativeFrom="paragraph">
              <wp:posOffset>103505</wp:posOffset>
            </wp:positionV>
            <wp:extent cx="23069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236" w:lineRule="exact"/>
        <w:rPr>
          <w:sz w:val="24"/>
          <w:szCs w:val="24"/>
          <w:color w:val="auto"/>
        </w:rPr>
      </w:pPr>
    </w:p>
    <w:p>
      <w:pPr>
        <w:ind w:right="20"/>
        <w:spacing w:after="0" w:line="214"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6"/>
          <w:szCs w:val="16"/>
          <w:color w:val="auto"/>
        </w:rPr>
        <w:t>x</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42" w:lineRule="exact"/>
        <w:rPr>
          <w:sz w:val="24"/>
          <w:szCs w:val="24"/>
          <w:color w:val="auto"/>
        </w:rPr>
      </w:pPr>
    </w:p>
    <w:p>
      <w:pPr>
        <w:spacing w:after="0" w:line="214"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42" w:lineRule="exact"/>
        <w:rPr>
          <w:sz w:val="24"/>
          <w:szCs w:val="24"/>
          <w:color w:val="auto"/>
        </w:rPr>
      </w:pPr>
    </w:p>
    <w:p>
      <w:pPr>
        <w:ind w:right="380"/>
        <w:spacing w:after="0" w:line="275"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 of “large accelerated filer,” accelerated filer” and “small reporting company” in Rule 12b-2 of the Exchange Act.</w:t>
      </w:r>
    </w:p>
    <w:p>
      <w:pPr>
        <w:spacing w:after="0" w:line="100" w:lineRule="exact"/>
        <w:rPr>
          <w:sz w:val="24"/>
          <w:szCs w:val="24"/>
          <w:color w:val="auto"/>
        </w:rPr>
      </w:pPr>
    </w:p>
    <w:p>
      <w:pPr>
        <w:spacing w:after="0" w:line="207" w:lineRule="exact"/>
        <w:tabs>
          <w:tab w:leader="none" w:pos="2180" w:val="left"/>
          <w:tab w:leader="none" w:pos="3100" w:val="left"/>
          <w:tab w:leader="none" w:pos="4840" w:val="left"/>
          <w:tab w:leader="none" w:pos="5840" w:val="left"/>
          <w:tab w:leader="none" w:pos="7900" w:val="left"/>
          <w:tab w:leader="none" w:pos="8560" w:val="left"/>
          <w:tab w:leader="none" w:pos="10960" w:val="left"/>
        </w:tabs>
        <w:rPr>
          <w:sz w:val="20"/>
          <w:szCs w:val="20"/>
          <w:color w:val="auto"/>
        </w:rPr>
      </w:pPr>
      <w:r>
        <w:rPr>
          <w:rFonts w:ascii="Arial" w:cs="Arial" w:eastAsia="Arial" w:hAnsi="Arial"/>
          <w:sz w:val="16"/>
          <w:szCs w:val="16"/>
          <w:color w:val="auto"/>
        </w:rPr>
        <w:t>Large accelerated filer</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6"/>
          <w:szCs w:val="16"/>
          <w:color w:val="auto"/>
        </w:rPr>
        <w:t>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Non-accelerated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Smaller reporting company</w:t>
      </w:r>
      <w:r>
        <w:rPr>
          <w:sz w:val="20"/>
          <w:szCs w:val="20"/>
          <w:color w:val="auto"/>
        </w:rPr>
        <w:tab/>
      </w:r>
      <w:r>
        <w:rPr>
          <w:rFonts w:ascii="MS PGothic" w:cs="MS PGothic" w:eastAsia="MS PGothic" w:hAnsi="MS PGothic"/>
          <w:sz w:val="16"/>
          <w:szCs w:val="16"/>
          <w:color w:val="auto"/>
        </w:rPr>
        <w:t>☐</w:t>
      </w:r>
    </w:p>
    <w:p>
      <w:pPr>
        <w:spacing w:after="0" w:line="171" w:lineRule="exact"/>
        <w:rPr>
          <w:sz w:val="24"/>
          <w:szCs w:val="24"/>
          <w:color w:val="auto"/>
        </w:rPr>
      </w:pPr>
    </w:p>
    <w:p>
      <w:pPr>
        <w:spacing w:after="0" w:line="207" w:lineRule="exact"/>
        <w:tabs>
          <w:tab w:leader="none" w:pos="8260" w:val="left"/>
          <w:tab w:leader="none" w:pos="90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Arial" w:cs="Arial" w:eastAsia="Arial" w:hAnsi="Arial"/>
          <w:sz w:val="16"/>
          <w:szCs w:val="16"/>
          <w:color w:val="auto"/>
        </w:rPr>
        <w:t>.</w:t>
        <w:tab/>
        <w:t xml:space="preserve">No </w:t>
      </w:r>
      <w:r>
        <w:rPr>
          <w:rFonts w:ascii="Arial" w:cs="Arial" w:eastAsia="Arial" w:hAnsi="Arial"/>
          <w:sz w:val="18"/>
          <w:szCs w:val="18"/>
          <w:color w:val="auto"/>
        </w:rPr>
        <w:t>x</w:t>
      </w:r>
      <w:r>
        <w:rPr>
          <w:rFonts w:ascii="Arial" w:cs="Arial" w:eastAsia="Arial" w:hAnsi="Arial"/>
          <w:sz w:val="16"/>
          <w:szCs w:val="16"/>
          <w:color w:val="auto"/>
        </w:rPr>
        <w:t>.</w:t>
      </w:r>
    </w:p>
    <w:p>
      <w:pPr>
        <w:spacing w:after="0" w:line="217" w:lineRule="exact"/>
        <w:rPr>
          <w:sz w:val="24"/>
          <w:szCs w:val="24"/>
          <w:color w:val="auto"/>
        </w:rPr>
      </w:pPr>
    </w:p>
    <w:p>
      <w:pPr>
        <w:spacing w:after="0"/>
        <w:rPr>
          <w:sz w:val="20"/>
          <w:szCs w:val="20"/>
          <w:color w:val="auto"/>
        </w:rPr>
      </w:pPr>
      <w:r>
        <w:rPr>
          <w:rFonts w:ascii="Arial" w:cs="Arial" w:eastAsia="Arial" w:hAnsi="Arial"/>
          <w:sz w:val="18"/>
          <w:szCs w:val="18"/>
          <w:color w:val="auto"/>
        </w:rPr>
        <w:t>Shares outstanding at August 2, 2013:</w:t>
      </w:r>
    </w:p>
    <w:p>
      <w:pPr>
        <w:spacing w:after="0" w:line="99" w:lineRule="exact"/>
        <w:rPr>
          <w:sz w:val="24"/>
          <w:szCs w:val="24"/>
          <w:color w:val="auto"/>
        </w:rPr>
      </w:pPr>
    </w:p>
    <w:p>
      <w:pPr>
        <w:ind w:left="2600"/>
        <w:spacing w:after="0"/>
        <w:rPr>
          <w:sz w:val="20"/>
          <w:szCs w:val="20"/>
          <w:color w:val="auto"/>
        </w:rPr>
      </w:pPr>
      <w:r>
        <w:rPr>
          <w:rFonts w:ascii="Arial" w:cs="Arial" w:eastAsia="Arial" w:hAnsi="Arial"/>
          <w:sz w:val="18"/>
          <w:szCs w:val="18"/>
          <w:color w:val="auto"/>
        </w:rPr>
        <w:t>Class A Common Stock – 1,179,199 Shares</w:t>
      </w:r>
    </w:p>
    <w:p>
      <w:pPr>
        <w:ind w:left="2600"/>
        <w:spacing w:after="0"/>
        <w:rPr>
          <w:sz w:val="20"/>
          <w:szCs w:val="20"/>
          <w:color w:val="auto"/>
        </w:rPr>
      </w:pPr>
      <w:r>
        <w:rPr>
          <w:rFonts w:ascii="Arial" w:cs="Arial" w:eastAsia="Arial" w:hAnsi="Arial"/>
          <w:sz w:val="18"/>
          <w:szCs w:val="18"/>
          <w:color w:val="auto"/>
        </w:rPr>
        <w:t>Class B Common Stock – 6,242,864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638810</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900" w:right="299" w:bottom="1440" w:gutter="0" w:footer="0" w:header="0"/>
        </w:sectPr>
      </w:pPr>
    </w:p>
    <w:bookmarkStart w:id="1" w:name="page2"/>
    <w:bookmarkEnd w:id="1"/>
    <w:p>
      <w:pPr>
        <w:jc w:val="center"/>
        <w:ind w:left="1100"/>
        <w:spacing w:after="0"/>
        <w:rPr>
          <w:sz w:val="20"/>
          <w:szCs w:val="20"/>
          <w:color w:val="auto"/>
        </w:rPr>
      </w:pPr>
      <w:r>
        <w:rPr>
          <w:rFonts w:ascii="Arial" w:cs="Arial" w:eastAsia="Arial" w:hAnsi="Arial"/>
          <w:sz w:val="18"/>
          <w:szCs w:val="18"/>
          <w:b w:val="1"/>
          <w:bCs w:val="1"/>
          <w:color w:val="auto"/>
        </w:rPr>
        <w:t>THE WASHINGTON POST COMPANY</w:t>
      </w:r>
    </w:p>
    <w:p>
      <w:pPr>
        <w:spacing w:after="0" w:line="77" w:lineRule="exact"/>
        <w:rPr>
          <w:sz w:val="20"/>
          <w:szCs w:val="20"/>
          <w:color w:val="auto"/>
        </w:rPr>
      </w:pPr>
    </w:p>
    <w:p>
      <w:pPr>
        <w:jc w:val="center"/>
        <w:ind w:left="1100"/>
        <w:spacing w:after="0"/>
        <w:rPr>
          <w:sz w:val="20"/>
          <w:szCs w:val="20"/>
          <w:color w:val="auto"/>
        </w:rPr>
      </w:pPr>
      <w:r>
        <w:rPr>
          <w:rFonts w:ascii="Arial" w:cs="Arial" w:eastAsia="Arial" w:hAnsi="Arial"/>
          <w:sz w:val="18"/>
          <w:szCs w:val="18"/>
          <w:b w:val="1"/>
          <w:bCs w:val="1"/>
          <w:color w:val="auto"/>
        </w:rPr>
        <w:t>Index to Form 10-Q</w:t>
      </w:r>
    </w:p>
    <w:p>
      <w:pPr>
        <w:spacing w:after="0" w:line="398" w:lineRule="exact"/>
        <w:rPr>
          <w:sz w:val="20"/>
          <w:szCs w:val="20"/>
          <w:color w:val="auto"/>
        </w:rPr>
      </w:pPr>
    </w:p>
    <w:p>
      <w:pPr>
        <w:spacing w:after="0"/>
        <w:rPr>
          <w:sz w:val="20"/>
          <w:szCs w:val="20"/>
          <w:color w:val="auto"/>
        </w:rPr>
      </w:pPr>
      <w:r>
        <w:rPr>
          <w:rFonts w:ascii="Arial" w:cs="Arial" w:eastAsia="Arial" w:hAnsi="Arial"/>
          <w:sz w:val="16"/>
          <w:szCs w:val="16"/>
          <w:color w:val="auto"/>
        </w:rPr>
        <w:t>PART I. FINANCIAL INFORMATION</w:t>
      </w:r>
    </w:p>
    <w:p>
      <w:pPr>
        <w:spacing w:after="0" w:line="194" w:lineRule="exact"/>
        <w:rPr>
          <w:sz w:val="20"/>
          <w:szCs w:val="20"/>
          <w:color w:val="auto"/>
        </w:rPr>
      </w:pPr>
    </w:p>
    <w:p>
      <w:pPr>
        <w:spacing w:after="0"/>
        <w:tabs>
          <w:tab w:leader="none" w:pos="680" w:val="left"/>
        </w:tabs>
        <w:rPr>
          <w:sz w:val="20"/>
          <w:szCs w:val="20"/>
          <w:color w:val="auto"/>
        </w:rPr>
      </w:pPr>
      <w:r>
        <w:rPr>
          <w:rFonts w:ascii="Arial" w:cs="Arial" w:eastAsia="Arial" w:hAnsi="Arial"/>
          <w:sz w:val="16"/>
          <w:szCs w:val="16"/>
          <w:color w:val="auto"/>
        </w:rPr>
        <w:t>Item 1.</w:t>
        <w:tab/>
        <w:t>Financial Statements</w:t>
      </w:r>
    </w:p>
    <w:p>
      <w:pPr>
        <w:spacing w:after="0" w:line="194" w:lineRule="exact"/>
        <w:rPr>
          <w:sz w:val="20"/>
          <w:szCs w:val="20"/>
          <w:color w:val="auto"/>
        </w:rPr>
      </w:pPr>
    </w:p>
    <w:p>
      <w:pPr>
        <w:ind w:left="1040" w:right="660" w:hanging="343"/>
        <w:spacing w:after="0" w:line="260" w:lineRule="auto"/>
        <w:tabs>
          <w:tab w:leader="none" w:pos="1050" w:val="left"/>
        </w:tabs>
        <w:numPr>
          <w:ilvl w:val="0"/>
          <w:numId w:val="2"/>
        </w:numPr>
        <w:rPr>
          <w:rFonts w:ascii="Arial" w:cs="Arial" w:eastAsia="Arial" w:hAnsi="Arial"/>
          <w:sz w:val="16"/>
          <w:szCs w:val="16"/>
          <w:color w:val="auto"/>
        </w:rPr>
      </w:pPr>
      <w:r>
        <w:rPr>
          <w:rFonts w:ascii="Arial" w:cs="Arial" w:eastAsia="Arial" w:hAnsi="Arial"/>
          <w:sz w:val="16"/>
          <w:szCs w:val="16"/>
          <w:color w:val="auto"/>
        </w:rPr>
        <w:t>Condensed Consolidated Statements of Operations (Unaudited) for the Three and Six Months Ended June 30, 2013 and 2012</w:t>
      </w:r>
    </w:p>
    <w:p>
      <w:pPr>
        <w:spacing w:after="0" w:line="344" w:lineRule="exact"/>
        <w:rPr>
          <w:rFonts w:ascii="Arial" w:cs="Arial" w:eastAsia="Arial" w:hAnsi="Arial"/>
          <w:sz w:val="16"/>
          <w:szCs w:val="16"/>
          <w:color w:val="auto"/>
        </w:rPr>
      </w:pPr>
    </w:p>
    <w:p>
      <w:pPr>
        <w:ind w:left="1040" w:right="40" w:hanging="343"/>
        <w:spacing w:after="0" w:line="260" w:lineRule="auto"/>
        <w:tabs>
          <w:tab w:leader="none" w:pos="1055" w:val="left"/>
        </w:tabs>
        <w:numPr>
          <w:ilvl w:val="0"/>
          <w:numId w:val="2"/>
        </w:numPr>
        <w:rPr>
          <w:rFonts w:ascii="Arial" w:cs="Arial" w:eastAsia="Arial" w:hAnsi="Arial"/>
          <w:sz w:val="16"/>
          <w:szCs w:val="16"/>
          <w:color w:val="auto"/>
        </w:rPr>
      </w:pPr>
      <w:r>
        <w:rPr>
          <w:rFonts w:ascii="Arial" w:cs="Arial" w:eastAsia="Arial" w:hAnsi="Arial"/>
          <w:sz w:val="16"/>
          <w:szCs w:val="16"/>
          <w:color w:val="auto"/>
        </w:rPr>
        <w:t>Condensed Consolidated Statements of Comprehensive Income (Unaudited) for the Three and Six Months Ended June 30, 2013 and 2012</w:t>
      </w:r>
    </w:p>
    <w:p>
      <w:pPr>
        <w:spacing w:after="0" w:line="344" w:lineRule="exact"/>
        <w:rPr>
          <w:rFonts w:ascii="Arial" w:cs="Arial" w:eastAsia="Arial" w:hAnsi="Arial"/>
          <w:sz w:val="16"/>
          <w:szCs w:val="16"/>
          <w:color w:val="auto"/>
        </w:rPr>
      </w:pPr>
    </w:p>
    <w:p>
      <w:pPr>
        <w:ind w:left="1100" w:hanging="403"/>
        <w:spacing w:after="0"/>
        <w:tabs>
          <w:tab w:leader="none" w:pos="1100" w:val="left"/>
        </w:tabs>
        <w:numPr>
          <w:ilvl w:val="0"/>
          <w:numId w:val="2"/>
        </w:numPr>
        <w:rPr>
          <w:rFonts w:ascii="Arial" w:cs="Arial" w:eastAsia="Arial" w:hAnsi="Arial"/>
          <w:sz w:val="16"/>
          <w:szCs w:val="16"/>
          <w:color w:val="auto"/>
        </w:rPr>
      </w:pPr>
      <w:r>
        <w:rPr>
          <w:rFonts w:ascii="Arial" w:cs="Arial" w:eastAsia="Arial" w:hAnsi="Arial"/>
          <w:sz w:val="16"/>
          <w:szCs w:val="16"/>
          <w:color w:val="auto"/>
        </w:rPr>
        <w:t>Condensed Consolidated Balance Sheets at June 30, 2013 (Unaudited) and December 31, 2012</w:t>
      </w:r>
    </w:p>
    <w:p>
      <w:pPr>
        <w:spacing w:after="0" w:line="369" w:lineRule="exact"/>
        <w:rPr>
          <w:rFonts w:ascii="Arial" w:cs="Arial" w:eastAsia="Arial" w:hAnsi="Arial"/>
          <w:sz w:val="16"/>
          <w:szCs w:val="16"/>
          <w:color w:val="auto"/>
        </w:rPr>
      </w:pPr>
    </w:p>
    <w:p>
      <w:pPr>
        <w:ind w:left="1060" w:hanging="363"/>
        <w:spacing w:after="0"/>
        <w:tabs>
          <w:tab w:leader="none" w:pos="1060" w:val="left"/>
        </w:tabs>
        <w:numPr>
          <w:ilvl w:val="0"/>
          <w:numId w:val="2"/>
        </w:numPr>
        <w:rPr>
          <w:rFonts w:ascii="Arial" w:cs="Arial" w:eastAsia="Arial" w:hAnsi="Arial"/>
          <w:sz w:val="16"/>
          <w:szCs w:val="16"/>
          <w:color w:val="auto"/>
        </w:rPr>
      </w:pPr>
      <w:r>
        <w:rPr>
          <w:rFonts w:ascii="Arial" w:cs="Arial" w:eastAsia="Arial" w:hAnsi="Arial"/>
          <w:sz w:val="16"/>
          <w:szCs w:val="16"/>
          <w:color w:val="auto"/>
        </w:rPr>
        <w:t>Condensed Consolidated Statements of Cash Flows (Unaudited) for the Six Months Ended June 30, 2013 and 2012</w:t>
      </w:r>
    </w:p>
    <w:p>
      <w:pPr>
        <w:spacing w:after="0" w:line="369" w:lineRule="exact"/>
        <w:rPr>
          <w:rFonts w:ascii="Arial" w:cs="Arial" w:eastAsia="Arial" w:hAnsi="Arial"/>
          <w:sz w:val="16"/>
          <w:szCs w:val="16"/>
          <w:color w:val="auto"/>
        </w:rPr>
      </w:pPr>
    </w:p>
    <w:p>
      <w:pPr>
        <w:ind w:left="1060" w:hanging="363"/>
        <w:spacing w:after="0"/>
        <w:tabs>
          <w:tab w:leader="none" w:pos="1060" w:val="left"/>
        </w:tabs>
        <w:numPr>
          <w:ilvl w:val="0"/>
          <w:numId w:val="2"/>
        </w:numPr>
        <w:rPr>
          <w:rFonts w:ascii="Arial" w:cs="Arial" w:eastAsia="Arial" w:hAnsi="Arial"/>
          <w:sz w:val="16"/>
          <w:szCs w:val="16"/>
          <w:color w:val="auto"/>
        </w:rPr>
      </w:pPr>
      <w:r>
        <w:rPr>
          <w:rFonts w:ascii="Arial" w:cs="Arial" w:eastAsia="Arial" w:hAnsi="Arial"/>
          <w:sz w:val="16"/>
          <w:szCs w:val="16"/>
          <w:color w:val="auto"/>
        </w:rPr>
        <w:t>Notes to Condensed Consolidated Financial Statements (Unaudited)</w:t>
      </w:r>
    </w:p>
    <w:p>
      <w:pPr>
        <w:spacing w:after="0" w:line="370" w:lineRule="exact"/>
        <w:rPr>
          <w:sz w:val="20"/>
          <w:szCs w:val="20"/>
          <w:color w:val="auto"/>
        </w:rPr>
      </w:pPr>
    </w:p>
    <w:p>
      <w:pPr>
        <w:spacing w:after="0"/>
        <w:tabs>
          <w:tab w:leader="none" w:pos="680" w:val="left"/>
        </w:tabs>
        <w:rPr>
          <w:sz w:val="20"/>
          <w:szCs w:val="20"/>
          <w:color w:val="auto"/>
        </w:rPr>
      </w:pPr>
      <w:r>
        <w:rPr>
          <w:rFonts w:ascii="Arial" w:cs="Arial" w:eastAsia="Arial" w:hAnsi="Arial"/>
          <w:sz w:val="16"/>
          <w:szCs w:val="16"/>
          <w:color w:val="auto"/>
        </w:rPr>
        <w:t>Item 2.</w:t>
        <w:tab/>
        <w:t>Management’s Discussion and Analysis of Results of Operations and Financial Condition</w:t>
      </w:r>
    </w:p>
    <w:p>
      <w:pPr>
        <w:spacing w:after="0" w:line="218" w:lineRule="exact"/>
        <w:rPr>
          <w:sz w:val="20"/>
          <w:szCs w:val="20"/>
          <w:color w:val="auto"/>
        </w:rPr>
      </w:pPr>
    </w:p>
    <w:p>
      <w:pPr>
        <w:spacing w:after="0"/>
        <w:tabs>
          <w:tab w:leader="none" w:pos="680" w:val="left"/>
        </w:tabs>
        <w:rPr>
          <w:sz w:val="20"/>
          <w:szCs w:val="20"/>
          <w:color w:val="auto"/>
        </w:rPr>
      </w:pPr>
      <w:r>
        <w:rPr>
          <w:rFonts w:ascii="Arial" w:cs="Arial" w:eastAsia="Arial" w:hAnsi="Arial"/>
          <w:sz w:val="16"/>
          <w:szCs w:val="16"/>
          <w:color w:val="auto"/>
        </w:rPr>
        <w:t>Item 3.</w:t>
        <w:tab/>
        <w:t>Quantitative and Qualitative Disclosures about Market Risk</w:t>
      </w:r>
    </w:p>
    <w:p>
      <w:pPr>
        <w:spacing w:after="0" w:line="205" w:lineRule="exact"/>
        <w:rPr>
          <w:sz w:val="20"/>
          <w:szCs w:val="20"/>
          <w:color w:val="auto"/>
        </w:rPr>
      </w:pPr>
    </w:p>
    <w:p>
      <w:pPr>
        <w:spacing w:after="0"/>
        <w:tabs>
          <w:tab w:leader="none" w:pos="680" w:val="left"/>
        </w:tabs>
        <w:rPr>
          <w:sz w:val="20"/>
          <w:szCs w:val="20"/>
          <w:color w:val="auto"/>
        </w:rPr>
      </w:pPr>
      <w:r>
        <w:rPr>
          <w:rFonts w:ascii="Arial" w:cs="Arial" w:eastAsia="Arial" w:hAnsi="Arial"/>
          <w:sz w:val="16"/>
          <w:szCs w:val="16"/>
          <w:color w:val="auto"/>
        </w:rPr>
        <w:t>Item 4.</w:t>
        <w:tab/>
        <w:t>Controls and Procedures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PART II. OTHER INFORMATION</w:t>
      </w:r>
    </w:p>
    <w:p>
      <w:pPr>
        <w:spacing w:after="0" w:line="194" w:lineRule="exact"/>
        <w:rPr>
          <w:sz w:val="20"/>
          <w:szCs w:val="20"/>
          <w:color w:val="auto"/>
        </w:rPr>
      </w:pPr>
    </w:p>
    <w:p>
      <w:pPr>
        <w:spacing w:after="0"/>
        <w:tabs>
          <w:tab w:leader="none" w:pos="680" w:val="left"/>
        </w:tabs>
        <w:rPr>
          <w:sz w:val="20"/>
          <w:szCs w:val="20"/>
          <w:color w:val="auto"/>
        </w:rPr>
      </w:pPr>
      <w:r>
        <w:rPr>
          <w:rFonts w:ascii="Arial" w:cs="Arial" w:eastAsia="Arial" w:hAnsi="Arial"/>
          <w:sz w:val="16"/>
          <w:szCs w:val="16"/>
          <w:color w:val="auto"/>
        </w:rPr>
        <w:t>Item 6.</w:t>
      </w:r>
      <w:r>
        <w:rPr>
          <w:sz w:val="20"/>
          <w:szCs w:val="20"/>
          <w:color w:val="auto"/>
        </w:rPr>
        <w:tab/>
      </w:r>
      <w:r>
        <w:rPr>
          <w:rFonts w:ascii="Arial" w:cs="Arial" w:eastAsia="Arial" w:hAnsi="Arial"/>
          <w:sz w:val="15"/>
          <w:szCs w:val="15"/>
          <w:color w:val="auto"/>
        </w:rPr>
        <w:t>Exhibits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506095</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w:t>
      </w:r>
    </w:p>
    <w:p>
      <w:pPr>
        <w:spacing w:after="0" w:line="200" w:lineRule="exact"/>
        <w:rPr>
          <w:sz w:val="20"/>
          <w:szCs w:val="20"/>
          <w:color w:val="auto"/>
        </w:rPr>
      </w:pPr>
    </w:p>
    <w:p>
      <w:pPr>
        <w:spacing w:after="0" w:line="35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w:t>
      </w:r>
    </w:p>
    <w:p>
      <w:pPr>
        <w:spacing w:after="0" w:line="37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w:t>
      </w:r>
    </w:p>
    <w:p>
      <w:pPr>
        <w:spacing w:after="0" w:line="37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w:t>
      </w:r>
    </w:p>
    <w:p>
      <w:pPr>
        <w:spacing w:after="0" w:line="370" w:lineRule="exact"/>
        <w:rPr>
          <w:sz w:val="20"/>
          <w:szCs w:val="20"/>
          <w:color w:val="auto"/>
        </w:rPr>
      </w:pPr>
    </w:p>
    <w:p>
      <w:pPr>
        <w:ind w:left="80"/>
        <w:spacing w:after="0"/>
        <w:rPr>
          <w:sz w:val="20"/>
          <w:szCs w:val="20"/>
          <w:color w:val="auto"/>
        </w:rPr>
      </w:pPr>
      <w:r>
        <w:rPr>
          <w:rFonts w:ascii="Arial" w:cs="Arial" w:eastAsia="Arial" w:hAnsi="Arial"/>
          <w:sz w:val="16"/>
          <w:szCs w:val="16"/>
          <w:color w:val="auto"/>
        </w:rPr>
        <w:t>5</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19</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26</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26</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auto"/>
        </w:rPr>
        <w:t>27</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28</w:t>
      </w:r>
    </w:p>
    <w:p>
      <w:pPr>
        <w:sectPr>
          <w:pgSz w:w="11900" w:h="16838" w:orient="portrait"/>
          <w:cols w:equalWidth="0" w:num="2">
            <w:col w:w="10340" w:space="720"/>
            <w:col w:w="180"/>
          </w:cols>
          <w:pgMar w:left="240" w:top="846" w:right="4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WASHINGTON POST COMPANY</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0" w:type="dxa"/>
            <w:vAlign w:val="bottom"/>
            <w:gridSpan w:val="3"/>
          </w:tcPr>
          <w:p>
            <w:pPr>
              <w:jc w:val="right"/>
              <w:ind w:right="679"/>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5"/>
                <w:szCs w:val="15"/>
                <w:color w:val="auto"/>
              </w:rPr>
            </w:pPr>
          </w:p>
        </w:tc>
        <w:tc>
          <w:tcPr>
            <w:tcW w:w="2260" w:type="dxa"/>
            <w:vAlign w:val="bottom"/>
            <w:gridSpan w:val="3"/>
          </w:tcPr>
          <w:p>
            <w:pPr>
              <w:jc w:val="right"/>
              <w:ind w:right="639"/>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0"/>
        </w:trPr>
        <w:tc>
          <w:tcPr>
            <w:tcW w:w="6080" w:type="dxa"/>
            <w:vAlign w:val="bottom"/>
            <w:vMerge w:val="restart"/>
          </w:tcPr>
          <w:p>
            <w:pPr>
              <w:spacing w:after="0"/>
              <w:rPr>
                <w:sz w:val="20"/>
                <w:szCs w:val="20"/>
                <w:color w:val="auto"/>
              </w:rPr>
            </w:pPr>
            <w:r>
              <w:rPr>
                <w:rFonts w:ascii="Arial" w:cs="Arial" w:eastAsia="Arial" w:hAnsi="Arial"/>
                <w:sz w:val="14"/>
                <w:szCs w:val="14"/>
                <w:color w:val="auto"/>
              </w:rPr>
              <w:t>(In thousands, except per share amounts)</w:t>
            </w:r>
          </w:p>
        </w:tc>
        <w:tc>
          <w:tcPr>
            <w:tcW w:w="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4"/>
                <w:szCs w:val="14"/>
                <w:b w:val="1"/>
                <w:bCs w:val="1"/>
                <w:color w:val="auto"/>
              </w:rPr>
              <w:t>June 30,</w:t>
            </w:r>
          </w:p>
        </w:tc>
        <w:tc>
          <w:tcPr>
            <w:tcW w:w="10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6080" w:type="dxa"/>
            <w:vAlign w:val="bottom"/>
            <w:tcBorders>
              <w:bottom w:val="single" w:sz="8" w:color="auto"/>
            </w:tcBorders>
            <w:vMerge w:val="continue"/>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20"/>
              <w:spacing w:after="0" w:line="142" w:lineRule="exact"/>
              <w:rPr>
                <w:sz w:val="20"/>
                <w:szCs w:val="20"/>
                <w:color w:val="auto"/>
              </w:rPr>
            </w:pPr>
            <w:r>
              <w:rPr>
                <w:rFonts w:ascii="Arial" w:cs="Arial" w:eastAsia="Arial" w:hAnsi="Arial"/>
                <w:sz w:val="14"/>
                <w:szCs w:val="14"/>
                <w:b w:val="1"/>
                <w:bCs w:val="1"/>
                <w:color w:val="auto"/>
              </w:rPr>
              <w:t>2013</w:t>
            </w:r>
          </w:p>
        </w:tc>
        <w:tc>
          <w:tcPr>
            <w:tcW w:w="3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19"/>
              <w:spacing w:after="0" w:line="142" w:lineRule="exact"/>
              <w:rPr>
                <w:sz w:val="20"/>
                <w:szCs w:val="20"/>
                <w:color w:val="auto"/>
              </w:rPr>
            </w:pPr>
            <w:r>
              <w:rPr>
                <w:rFonts w:ascii="Arial" w:cs="Arial" w:eastAsia="Arial" w:hAnsi="Arial"/>
                <w:sz w:val="14"/>
                <w:szCs w:val="14"/>
                <w:color w:val="auto"/>
              </w:rPr>
              <w:t>2012</w:t>
            </w:r>
          </w:p>
        </w:tc>
        <w:tc>
          <w:tcPr>
            <w:tcW w:w="3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00"/>
              <w:spacing w:after="0" w:line="142" w:lineRule="exact"/>
              <w:rPr>
                <w:sz w:val="20"/>
                <w:szCs w:val="20"/>
                <w:color w:val="auto"/>
              </w:rPr>
            </w:pPr>
            <w:r>
              <w:rPr>
                <w:rFonts w:ascii="Arial" w:cs="Arial" w:eastAsia="Arial" w:hAnsi="Arial"/>
                <w:sz w:val="14"/>
                <w:szCs w:val="14"/>
                <w:b w:val="1"/>
                <w:bCs w:val="1"/>
                <w:color w:val="auto"/>
              </w:rPr>
              <w:t>2013</w:t>
            </w:r>
          </w:p>
        </w:tc>
        <w:tc>
          <w:tcPr>
            <w:tcW w:w="3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99"/>
              <w:spacing w:after="0" w:line="142" w:lineRule="exact"/>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205"/>
        </w:trPr>
        <w:tc>
          <w:tcPr>
            <w:tcW w:w="6080" w:type="dxa"/>
            <w:vAlign w:val="bottom"/>
          </w:tcPr>
          <w:p>
            <w:pPr>
              <w:spacing w:after="0"/>
              <w:rPr>
                <w:sz w:val="20"/>
                <w:szCs w:val="20"/>
                <w:color w:val="auto"/>
              </w:rPr>
            </w:pPr>
            <w:r>
              <w:rPr>
                <w:rFonts w:ascii="Arial" w:cs="Arial" w:eastAsia="Arial" w:hAnsi="Arial"/>
                <w:sz w:val="16"/>
                <w:szCs w:val="16"/>
                <w:b w:val="1"/>
                <w:bCs w:val="1"/>
                <w:color w:val="auto"/>
              </w:rPr>
              <w:t>Operating Revenues</w:t>
            </w: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080" w:type="dxa"/>
            <w:vAlign w:val="bottom"/>
          </w:tcPr>
          <w:p>
            <w:pPr>
              <w:ind w:left="240"/>
              <w:spacing w:after="0"/>
              <w:rPr>
                <w:sz w:val="20"/>
                <w:szCs w:val="20"/>
                <w:color w:val="auto"/>
              </w:rPr>
            </w:pPr>
            <w:r>
              <w:rPr>
                <w:rFonts w:ascii="Arial" w:cs="Arial" w:eastAsia="Arial" w:hAnsi="Arial"/>
                <w:sz w:val="16"/>
                <w:szCs w:val="16"/>
                <w:color w:val="auto"/>
              </w:rPr>
              <w:t>Education</w:t>
            </w:r>
          </w:p>
        </w:tc>
        <w:tc>
          <w:tcPr>
            <w:tcW w:w="3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60"/>
              <w:spacing w:after="0"/>
              <w:rPr>
                <w:sz w:val="20"/>
                <w:szCs w:val="20"/>
                <w:color w:val="auto"/>
              </w:rPr>
            </w:pPr>
            <w:r>
              <w:rPr>
                <w:rFonts w:ascii="Arial" w:cs="Arial" w:eastAsia="Arial" w:hAnsi="Arial"/>
                <w:sz w:val="16"/>
                <w:szCs w:val="16"/>
                <w:b w:val="1"/>
                <w:bCs w:val="1"/>
                <w:color w:val="auto"/>
              </w:rPr>
              <w:t>548,230</w:t>
            </w: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551,774</w:t>
            </w:r>
          </w:p>
        </w:tc>
        <w:tc>
          <w:tcPr>
            <w:tcW w:w="3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1,076,045</w:t>
            </w: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1,098,459</w:t>
            </w:r>
          </w:p>
        </w:tc>
        <w:tc>
          <w:tcPr>
            <w:tcW w:w="0" w:type="dxa"/>
            <w:vAlign w:val="bottom"/>
          </w:tcPr>
          <w:p>
            <w:pPr>
              <w:spacing w:after="0"/>
              <w:rPr>
                <w:sz w:val="1"/>
                <w:szCs w:val="1"/>
                <w:color w:val="auto"/>
              </w:rPr>
            </w:pPr>
          </w:p>
        </w:tc>
      </w:tr>
      <w:tr>
        <w:trPr>
          <w:trHeight w:val="216"/>
        </w:trPr>
        <w:tc>
          <w:tcPr>
            <w:tcW w:w="6080" w:type="dxa"/>
            <w:vAlign w:val="bottom"/>
          </w:tcPr>
          <w:p>
            <w:pPr>
              <w:ind w:left="240"/>
              <w:spacing w:after="0"/>
              <w:rPr>
                <w:sz w:val="20"/>
                <w:szCs w:val="20"/>
                <w:color w:val="auto"/>
              </w:rPr>
            </w:pPr>
            <w:r>
              <w:rPr>
                <w:rFonts w:ascii="Arial" w:cs="Arial" w:eastAsia="Arial" w:hAnsi="Arial"/>
                <w:sz w:val="16"/>
                <w:szCs w:val="16"/>
                <w:color w:val="auto"/>
              </w:rPr>
              <w:t>Advertising</w:t>
            </w:r>
          </w:p>
        </w:tc>
        <w:tc>
          <w:tcPr>
            <w:tcW w:w="340" w:type="dxa"/>
            <w:vAlign w:val="bottom"/>
          </w:tcPr>
          <w:p>
            <w:pPr>
              <w:spacing w:after="0"/>
              <w:rPr>
                <w:sz w:val="18"/>
                <w:szCs w:val="18"/>
                <w:color w:val="auto"/>
              </w:rPr>
            </w:pPr>
          </w:p>
        </w:tc>
        <w:tc>
          <w:tcPr>
            <w:tcW w:w="1020" w:type="dxa"/>
            <w:vAlign w:val="bottom"/>
          </w:tcPr>
          <w:p>
            <w:pPr>
              <w:jc w:val="right"/>
              <w:ind w:right="60"/>
              <w:spacing w:after="0"/>
              <w:rPr>
                <w:sz w:val="20"/>
                <w:szCs w:val="20"/>
                <w:color w:val="auto"/>
              </w:rPr>
            </w:pPr>
            <w:r>
              <w:rPr>
                <w:rFonts w:ascii="Arial" w:cs="Arial" w:eastAsia="Arial" w:hAnsi="Arial"/>
                <w:sz w:val="16"/>
                <w:szCs w:val="16"/>
                <w:b w:val="1"/>
                <w:bCs w:val="1"/>
                <w:color w:val="auto"/>
              </w:rPr>
              <w:t>186,702</w:t>
            </w:r>
          </w:p>
        </w:tc>
        <w:tc>
          <w:tcPr>
            <w:tcW w:w="360" w:type="dxa"/>
            <w:vAlign w:val="bottom"/>
          </w:tcPr>
          <w:p>
            <w:pPr>
              <w:spacing w:after="0"/>
              <w:rPr>
                <w:sz w:val="18"/>
                <w:szCs w:val="18"/>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186,486</w:t>
            </w:r>
          </w:p>
        </w:tc>
        <w:tc>
          <w:tcPr>
            <w:tcW w:w="340" w:type="dxa"/>
            <w:vAlign w:val="bottom"/>
          </w:tcPr>
          <w:p>
            <w:pPr>
              <w:spacing w:after="0"/>
              <w:rPr>
                <w:sz w:val="18"/>
                <w:szCs w:val="18"/>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349,850</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354,044</w:t>
            </w:r>
          </w:p>
        </w:tc>
        <w:tc>
          <w:tcPr>
            <w:tcW w:w="0" w:type="dxa"/>
            <w:vAlign w:val="bottom"/>
          </w:tcPr>
          <w:p>
            <w:pPr>
              <w:spacing w:after="0"/>
              <w:rPr>
                <w:sz w:val="1"/>
                <w:szCs w:val="1"/>
                <w:color w:val="auto"/>
              </w:rPr>
            </w:pPr>
          </w:p>
        </w:tc>
      </w:tr>
      <w:tr>
        <w:trPr>
          <w:trHeight w:val="216"/>
        </w:trPr>
        <w:tc>
          <w:tcPr>
            <w:tcW w:w="6080" w:type="dxa"/>
            <w:vAlign w:val="bottom"/>
          </w:tcPr>
          <w:p>
            <w:pPr>
              <w:ind w:left="240"/>
              <w:spacing w:after="0"/>
              <w:rPr>
                <w:sz w:val="20"/>
                <w:szCs w:val="20"/>
                <w:color w:val="auto"/>
              </w:rPr>
            </w:pPr>
            <w:r>
              <w:rPr>
                <w:rFonts w:ascii="Arial" w:cs="Arial" w:eastAsia="Arial" w:hAnsi="Arial"/>
                <w:sz w:val="16"/>
                <w:szCs w:val="16"/>
                <w:color w:val="auto"/>
              </w:rPr>
              <w:t>Circulation and subscriber</w:t>
            </w:r>
          </w:p>
        </w:tc>
        <w:tc>
          <w:tcPr>
            <w:tcW w:w="340" w:type="dxa"/>
            <w:vAlign w:val="bottom"/>
          </w:tcPr>
          <w:p>
            <w:pPr>
              <w:spacing w:after="0"/>
              <w:rPr>
                <w:sz w:val="18"/>
                <w:szCs w:val="18"/>
                <w:color w:val="auto"/>
              </w:rPr>
            </w:pPr>
          </w:p>
        </w:tc>
        <w:tc>
          <w:tcPr>
            <w:tcW w:w="1020" w:type="dxa"/>
            <w:vAlign w:val="bottom"/>
          </w:tcPr>
          <w:p>
            <w:pPr>
              <w:jc w:val="right"/>
              <w:ind w:right="60"/>
              <w:spacing w:after="0"/>
              <w:rPr>
                <w:sz w:val="20"/>
                <w:szCs w:val="20"/>
                <w:color w:val="auto"/>
              </w:rPr>
            </w:pPr>
            <w:r>
              <w:rPr>
                <w:rFonts w:ascii="Arial" w:cs="Arial" w:eastAsia="Arial" w:hAnsi="Arial"/>
                <w:sz w:val="16"/>
                <w:szCs w:val="16"/>
                <w:b w:val="1"/>
                <w:bCs w:val="1"/>
                <w:color w:val="auto"/>
              </w:rPr>
              <w:t>227,753</w:t>
            </w:r>
          </w:p>
        </w:tc>
        <w:tc>
          <w:tcPr>
            <w:tcW w:w="360" w:type="dxa"/>
            <w:vAlign w:val="bottom"/>
          </w:tcPr>
          <w:p>
            <w:pPr>
              <w:spacing w:after="0"/>
              <w:rPr>
                <w:sz w:val="18"/>
                <w:szCs w:val="18"/>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217,747</w:t>
            </w:r>
          </w:p>
        </w:tc>
        <w:tc>
          <w:tcPr>
            <w:tcW w:w="340" w:type="dxa"/>
            <w:vAlign w:val="bottom"/>
          </w:tcPr>
          <w:p>
            <w:pPr>
              <w:spacing w:after="0"/>
              <w:rPr>
                <w:sz w:val="18"/>
                <w:szCs w:val="18"/>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449,462</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431,424</w:t>
            </w:r>
          </w:p>
        </w:tc>
        <w:tc>
          <w:tcPr>
            <w:tcW w:w="0" w:type="dxa"/>
            <w:vAlign w:val="bottom"/>
          </w:tcPr>
          <w:p>
            <w:pPr>
              <w:spacing w:after="0"/>
              <w:rPr>
                <w:sz w:val="1"/>
                <w:szCs w:val="1"/>
                <w:color w:val="auto"/>
              </w:rPr>
            </w:pPr>
          </w:p>
        </w:tc>
      </w:tr>
      <w:tr>
        <w:trPr>
          <w:trHeight w:val="209"/>
        </w:trPr>
        <w:tc>
          <w:tcPr>
            <w:tcW w:w="6080" w:type="dxa"/>
            <w:vAlign w:val="bottom"/>
          </w:tcPr>
          <w:p>
            <w:pPr>
              <w:ind w:left="24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59,166</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33,096</w:t>
            </w: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105,599</w:t>
            </w: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60,677</w:t>
            </w:r>
          </w:p>
        </w:tc>
        <w:tc>
          <w:tcPr>
            <w:tcW w:w="0" w:type="dxa"/>
            <w:vAlign w:val="bottom"/>
          </w:tcPr>
          <w:p>
            <w:pPr>
              <w:spacing w:after="0"/>
              <w:rPr>
                <w:sz w:val="1"/>
                <w:szCs w:val="1"/>
                <w:color w:val="auto"/>
              </w:rPr>
            </w:pPr>
          </w:p>
        </w:tc>
      </w:tr>
      <w:tr>
        <w:trPr>
          <w:trHeight w:val="196"/>
        </w:trPr>
        <w:tc>
          <w:tcPr>
            <w:tcW w:w="60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1,021,851</w:t>
            </w: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989,103</w:t>
            </w:r>
          </w:p>
        </w:tc>
        <w:tc>
          <w:tcPr>
            <w:tcW w:w="3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1,980,956</w:t>
            </w: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1,944,604</w:t>
            </w:r>
          </w:p>
        </w:tc>
        <w:tc>
          <w:tcPr>
            <w:tcW w:w="0" w:type="dxa"/>
            <w:vAlign w:val="bottom"/>
          </w:tcPr>
          <w:p>
            <w:pPr>
              <w:spacing w:after="0"/>
              <w:rPr>
                <w:sz w:val="1"/>
                <w:szCs w:val="1"/>
                <w:color w:val="auto"/>
              </w:rPr>
            </w:pPr>
          </w:p>
        </w:tc>
      </w:tr>
      <w:tr>
        <w:trPr>
          <w:trHeight w:val="204"/>
        </w:trPr>
        <w:tc>
          <w:tcPr>
            <w:tcW w:w="6080" w:type="dxa"/>
            <w:vAlign w:val="bottom"/>
          </w:tcPr>
          <w:p>
            <w:pPr>
              <w:spacing w:after="0"/>
              <w:rPr>
                <w:sz w:val="20"/>
                <w:szCs w:val="20"/>
                <w:color w:val="auto"/>
              </w:rPr>
            </w:pPr>
            <w:r>
              <w:rPr>
                <w:rFonts w:ascii="Arial" w:cs="Arial" w:eastAsia="Arial" w:hAnsi="Arial"/>
                <w:sz w:val="16"/>
                <w:szCs w:val="16"/>
                <w:b w:val="1"/>
                <w:bCs w:val="1"/>
                <w:color w:val="auto"/>
              </w:rPr>
              <w:t>Operating Costs and Expenses</w:t>
            </w:r>
          </w:p>
        </w:tc>
        <w:tc>
          <w:tcPr>
            <w:tcW w:w="340" w:type="dxa"/>
            <w:vAlign w:val="bottom"/>
          </w:tcPr>
          <w:p>
            <w:pPr>
              <w:spacing w:after="0"/>
              <w:rPr>
                <w:sz w:val="17"/>
                <w:szCs w:val="17"/>
                <w:color w:val="auto"/>
              </w:rPr>
            </w:pPr>
          </w:p>
        </w:tc>
        <w:tc>
          <w:tcPr>
            <w:tcW w:w="1020" w:type="dxa"/>
            <w:vAlign w:val="bottom"/>
            <w:vMerge w:val="restart"/>
          </w:tcPr>
          <w:p>
            <w:pPr>
              <w:jc w:val="right"/>
              <w:ind w:right="60"/>
              <w:spacing w:after="0"/>
              <w:rPr>
                <w:sz w:val="20"/>
                <w:szCs w:val="20"/>
                <w:color w:val="auto"/>
              </w:rPr>
            </w:pPr>
            <w:r>
              <w:rPr>
                <w:rFonts w:ascii="Arial" w:cs="Arial" w:eastAsia="Arial" w:hAnsi="Arial"/>
                <w:sz w:val="16"/>
                <w:szCs w:val="16"/>
                <w:b w:val="1"/>
                <w:bCs w:val="1"/>
                <w:color w:val="auto"/>
              </w:rPr>
              <w:t>469,319</w:t>
            </w: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vMerge w:val="restart"/>
          </w:tcPr>
          <w:p>
            <w:pPr>
              <w:jc w:val="right"/>
              <w:ind w:right="60"/>
              <w:spacing w:after="0"/>
              <w:rPr>
                <w:sz w:val="20"/>
                <w:szCs w:val="20"/>
                <w:color w:val="auto"/>
              </w:rPr>
            </w:pPr>
            <w:r>
              <w:rPr>
                <w:rFonts w:ascii="Arial" w:cs="Arial" w:eastAsia="Arial" w:hAnsi="Arial"/>
                <w:sz w:val="16"/>
                <w:szCs w:val="16"/>
                <w:b w:val="1"/>
                <w:bCs w:val="1"/>
                <w:color w:val="auto"/>
              </w:rPr>
              <w:t>921,300</w:t>
            </w: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240"/>
              <w:spacing w:after="0"/>
              <w:rPr>
                <w:sz w:val="20"/>
                <w:szCs w:val="20"/>
                <w:color w:val="auto"/>
              </w:rPr>
            </w:pPr>
            <w:r>
              <w:rPr>
                <w:rFonts w:ascii="Arial" w:cs="Arial" w:eastAsia="Arial" w:hAnsi="Arial"/>
                <w:sz w:val="16"/>
                <w:szCs w:val="16"/>
                <w:color w:val="auto"/>
              </w:rPr>
              <w:t>Operating</w:t>
            </w:r>
          </w:p>
        </w:tc>
        <w:tc>
          <w:tcPr>
            <w:tcW w:w="34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461,788</w:t>
            </w:r>
          </w:p>
        </w:tc>
        <w:tc>
          <w:tcPr>
            <w:tcW w:w="34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922,088</w:t>
            </w:r>
          </w:p>
        </w:tc>
        <w:tc>
          <w:tcPr>
            <w:tcW w:w="0" w:type="dxa"/>
            <w:vAlign w:val="bottom"/>
          </w:tcPr>
          <w:p>
            <w:pPr>
              <w:spacing w:after="0"/>
              <w:rPr>
                <w:sz w:val="1"/>
                <w:szCs w:val="1"/>
                <w:color w:val="auto"/>
              </w:rPr>
            </w:pPr>
          </w:p>
        </w:tc>
      </w:tr>
      <w:tr>
        <w:trPr>
          <w:trHeight w:val="216"/>
        </w:trPr>
        <w:tc>
          <w:tcPr>
            <w:tcW w:w="6080" w:type="dxa"/>
            <w:vAlign w:val="bottom"/>
          </w:tcPr>
          <w:p>
            <w:pPr>
              <w:ind w:left="240"/>
              <w:spacing w:after="0"/>
              <w:rPr>
                <w:sz w:val="20"/>
                <w:szCs w:val="20"/>
                <w:color w:val="auto"/>
              </w:rPr>
            </w:pPr>
            <w:r>
              <w:rPr>
                <w:rFonts w:ascii="Arial" w:cs="Arial" w:eastAsia="Arial" w:hAnsi="Arial"/>
                <w:sz w:val="16"/>
                <w:szCs w:val="16"/>
                <w:color w:val="auto"/>
              </w:rPr>
              <w:t>Selling, general and administrative</w:t>
            </w:r>
          </w:p>
        </w:tc>
        <w:tc>
          <w:tcPr>
            <w:tcW w:w="340" w:type="dxa"/>
            <w:vAlign w:val="bottom"/>
          </w:tcPr>
          <w:p>
            <w:pPr>
              <w:spacing w:after="0"/>
              <w:rPr>
                <w:sz w:val="18"/>
                <w:szCs w:val="18"/>
                <w:color w:val="auto"/>
              </w:rPr>
            </w:pPr>
          </w:p>
        </w:tc>
        <w:tc>
          <w:tcPr>
            <w:tcW w:w="1020" w:type="dxa"/>
            <w:vAlign w:val="bottom"/>
          </w:tcPr>
          <w:p>
            <w:pPr>
              <w:jc w:val="right"/>
              <w:ind w:right="60"/>
              <w:spacing w:after="0"/>
              <w:rPr>
                <w:sz w:val="20"/>
                <w:szCs w:val="20"/>
                <w:color w:val="auto"/>
              </w:rPr>
            </w:pPr>
            <w:r>
              <w:rPr>
                <w:rFonts w:ascii="Arial" w:cs="Arial" w:eastAsia="Arial" w:hAnsi="Arial"/>
                <w:sz w:val="16"/>
                <w:szCs w:val="16"/>
                <w:b w:val="1"/>
                <w:bCs w:val="1"/>
                <w:color w:val="auto"/>
              </w:rPr>
              <w:t>392,294</w:t>
            </w:r>
          </w:p>
        </w:tc>
        <w:tc>
          <w:tcPr>
            <w:tcW w:w="360" w:type="dxa"/>
            <w:vAlign w:val="bottom"/>
          </w:tcPr>
          <w:p>
            <w:pPr>
              <w:spacing w:after="0"/>
              <w:rPr>
                <w:sz w:val="18"/>
                <w:szCs w:val="18"/>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397,465</w:t>
            </w:r>
          </w:p>
        </w:tc>
        <w:tc>
          <w:tcPr>
            <w:tcW w:w="340" w:type="dxa"/>
            <w:vAlign w:val="bottom"/>
          </w:tcPr>
          <w:p>
            <w:pPr>
              <w:spacing w:after="0"/>
              <w:rPr>
                <w:sz w:val="18"/>
                <w:szCs w:val="18"/>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806,850</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805,571</w:t>
            </w:r>
          </w:p>
        </w:tc>
        <w:tc>
          <w:tcPr>
            <w:tcW w:w="0" w:type="dxa"/>
            <w:vAlign w:val="bottom"/>
          </w:tcPr>
          <w:p>
            <w:pPr>
              <w:spacing w:after="0"/>
              <w:rPr>
                <w:sz w:val="1"/>
                <w:szCs w:val="1"/>
                <w:color w:val="auto"/>
              </w:rPr>
            </w:pPr>
          </w:p>
        </w:tc>
      </w:tr>
      <w:tr>
        <w:trPr>
          <w:trHeight w:val="216"/>
        </w:trPr>
        <w:tc>
          <w:tcPr>
            <w:tcW w:w="6080" w:type="dxa"/>
            <w:vAlign w:val="bottom"/>
          </w:tcPr>
          <w:p>
            <w:pPr>
              <w:ind w:left="240"/>
              <w:spacing w:after="0"/>
              <w:rPr>
                <w:sz w:val="20"/>
                <w:szCs w:val="20"/>
                <w:color w:val="auto"/>
              </w:rPr>
            </w:pPr>
            <w:r>
              <w:rPr>
                <w:rFonts w:ascii="Arial" w:cs="Arial" w:eastAsia="Arial" w:hAnsi="Arial"/>
                <w:sz w:val="16"/>
                <w:szCs w:val="16"/>
                <w:color w:val="auto"/>
              </w:rPr>
              <w:t>Depreciation of property, plant and equipment</w:t>
            </w:r>
          </w:p>
        </w:tc>
        <w:tc>
          <w:tcPr>
            <w:tcW w:w="340" w:type="dxa"/>
            <w:vAlign w:val="bottom"/>
          </w:tcPr>
          <w:p>
            <w:pPr>
              <w:spacing w:after="0"/>
              <w:rPr>
                <w:sz w:val="18"/>
                <w:szCs w:val="18"/>
                <w:color w:val="auto"/>
              </w:rPr>
            </w:pPr>
          </w:p>
        </w:tc>
        <w:tc>
          <w:tcPr>
            <w:tcW w:w="1020" w:type="dxa"/>
            <w:vAlign w:val="bottom"/>
          </w:tcPr>
          <w:p>
            <w:pPr>
              <w:jc w:val="right"/>
              <w:ind w:right="60"/>
              <w:spacing w:after="0"/>
              <w:rPr>
                <w:sz w:val="20"/>
                <w:szCs w:val="20"/>
                <w:color w:val="auto"/>
              </w:rPr>
            </w:pPr>
            <w:r>
              <w:rPr>
                <w:rFonts w:ascii="Arial" w:cs="Arial" w:eastAsia="Arial" w:hAnsi="Arial"/>
                <w:sz w:val="16"/>
                <w:szCs w:val="16"/>
                <w:b w:val="1"/>
                <w:bCs w:val="1"/>
                <w:color w:val="auto"/>
              </w:rPr>
              <w:t>63,875</w:t>
            </w:r>
          </w:p>
        </w:tc>
        <w:tc>
          <w:tcPr>
            <w:tcW w:w="360" w:type="dxa"/>
            <w:vAlign w:val="bottom"/>
          </w:tcPr>
          <w:p>
            <w:pPr>
              <w:spacing w:after="0"/>
              <w:rPr>
                <w:sz w:val="18"/>
                <w:szCs w:val="18"/>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62,401</w:t>
            </w:r>
          </w:p>
        </w:tc>
        <w:tc>
          <w:tcPr>
            <w:tcW w:w="340" w:type="dxa"/>
            <w:vAlign w:val="bottom"/>
          </w:tcPr>
          <w:p>
            <w:pPr>
              <w:spacing w:after="0"/>
              <w:rPr>
                <w:sz w:val="18"/>
                <w:szCs w:val="18"/>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129,666</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124,325</w:t>
            </w:r>
          </w:p>
        </w:tc>
        <w:tc>
          <w:tcPr>
            <w:tcW w:w="0" w:type="dxa"/>
            <w:vAlign w:val="bottom"/>
          </w:tcPr>
          <w:p>
            <w:pPr>
              <w:spacing w:after="0"/>
              <w:rPr>
                <w:sz w:val="1"/>
                <w:szCs w:val="1"/>
                <w:color w:val="auto"/>
              </w:rPr>
            </w:pPr>
          </w:p>
        </w:tc>
      </w:tr>
      <w:tr>
        <w:trPr>
          <w:trHeight w:val="209"/>
        </w:trPr>
        <w:tc>
          <w:tcPr>
            <w:tcW w:w="6080" w:type="dxa"/>
            <w:vAlign w:val="bottom"/>
          </w:tcPr>
          <w:p>
            <w:pPr>
              <w:ind w:left="240"/>
              <w:spacing w:after="0"/>
              <w:rPr>
                <w:sz w:val="20"/>
                <w:szCs w:val="20"/>
                <w:color w:val="auto"/>
              </w:rPr>
            </w:pPr>
            <w:r>
              <w:rPr>
                <w:rFonts w:ascii="Arial" w:cs="Arial" w:eastAsia="Arial" w:hAnsi="Arial"/>
                <w:sz w:val="16"/>
                <w:szCs w:val="16"/>
                <w:color w:val="auto"/>
              </w:rPr>
              <w:t>Amortization of intangible assets</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3,313</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4,428</w:t>
            </w: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7,030</w:t>
            </w: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8,301</w:t>
            </w:r>
          </w:p>
        </w:tc>
        <w:tc>
          <w:tcPr>
            <w:tcW w:w="0" w:type="dxa"/>
            <w:vAlign w:val="bottom"/>
          </w:tcPr>
          <w:p>
            <w:pPr>
              <w:spacing w:after="0"/>
              <w:rPr>
                <w:sz w:val="1"/>
                <w:szCs w:val="1"/>
                <w:color w:val="auto"/>
              </w:rPr>
            </w:pPr>
          </w:p>
        </w:tc>
      </w:tr>
      <w:tr>
        <w:trPr>
          <w:trHeight w:val="196"/>
        </w:trPr>
        <w:tc>
          <w:tcPr>
            <w:tcW w:w="60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928,801</w:t>
            </w:r>
          </w:p>
        </w:tc>
        <w:tc>
          <w:tcPr>
            <w:tcW w:w="3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926,082</w:t>
            </w:r>
          </w:p>
        </w:tc>
        <w:tc>
          <w:tcPr>
            <w:tcW w:w="3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1,864,846</w:t>
            </w: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1,860,285</w:t>
            </w:r>
          </w:p>
        </w:tc>
        <w:tc>
          <w:tcPr>
            <w:tcW w:w="0" w:type="dxa"/>
            <w:vAlign w:val="bottom"/>
          </w:tcPr>
          <w:p>
            <w:pPr>
              <w:spacing w:after="0"/>
              <w:rPr>
                <w:sz w:val="1"/>
                <w:szCs w:val="1"/>
                <w:color w:val="auto"/>
              </w:rPr>
            </w:pPr>
          </w:p>
        </w:tc>
      </w:tr>
      <w:tr>
        <w:trPr>
          <w:trHeight w:val="205"/>
        </w:trPr>
        <w:tc>
          <w:tcPr>
            <w:tcW w:w="6080" w:type="dxa"/>
            <w:vAlign w:val="bottom"/>
          </w:tcPr>
          <w:p>
            <w:pPr>
              <w:spacing w:after="0"/>
              <w:rPr>
                <w:sz w:val="20"/>
                <w:szCs w:val="20"/>
                <w:color w:val="auto"/>
              </w:rPr>
            </w:pPr>
            <w:r>
              <w:rPr>
                <w:rFonts w:ascii="Arial" w:cs="Arial" w:eastAsia="Arial" w:hAnsi="Arial"/>
                <w:sz w:val="16"/>
                <w:szCs w:val="16"/>
                <w:b w:val="1"/>
                <w:bCs w:val="1"/>
                <w:color w:val="auto"/>
              </w:rPr>
              <w:t>Income from Operations</w:t>
            </w:r>
          </w:p>
        </w:tc>
        <w:tc>
          <w:tcPr>
            <w:tcW w:w="340" w:type="dxa"/>
            <w:vAlign w:val="bottom"/>
          </w:tcPr>
          <w:p>
            <w:pPr>
              <w:spacing w:after="0"/>
              <w:rPr>
                <w:sz w:val="17"/>
                <w:szCs w:val="17"/>
                <w:color w:val="auto"/>
              </w:rPr>
            </w:pPr>
          </w:p>
        </w:tc>
        <w:tc>
          <w:tcPr>
            <w:tcW w:w="1020" w:type="dxa"/>
            <w:vAlign w:val="bottom"/>
          </w:tcPr>
          <w:p>
            <w:pPr>
              <w:jc w:val="right"/>
              <w:ind w:right="60"/>
              <w:spacing w:after="0"/>
              <w:rPr>
                <w:sz w:val="20"/>
                <w:szCs w:val="20"/>
                <w:color w:val="auto"/>
              </w:rPr>
            </w:pPr>
            <w:r>
              <w:rPr>
                <w:rFonts w:ascii="Arial" w:cs="Arial" w:eastAsia="Arial" w:hAnsi="Arial"/>
                <w:sz w:val="16"/>
                <w:szCs w:val="16"/>
                <w:b w:val="1"/>
                <w:bCs w:val="1"/>
                <w:color w:val="auto"/>
              </w:rPr>
              <w:t>93,050</w:t>
            </w:r>
          </w:p>
        </w:tc>
        <w:tc>
          <w:tcPr>
            <w:tcW w:w="360" w:type="dxa"/>
            <w:vAlign w:val="bottom"/>
          </w:tcPr>
          <w:p>
            <w:pPr>
              <w:spacing w:after="0"/>
              <w:rPr>
                <w:sz w:val="17"/>
                <w:szCs w:val="17"/>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63,021</w:t>
            </w:r>
          </w:p>
        </w:tc>
        <w:tc>
          <w:tcPr>
            <w:tcW w:w="340" w:type="dxa"/>
            <w:vAlign w:val="bottom"/>
          </w:tcPr>
          <w:p>
            <w:pPr>
              <w:spacing w:after="0"/>
              <w:rPr>
                <w:sz w:val="17"/>
                <w:szCs w:val="17"/>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116,110</w:t>
            </w:r>
          </w:p>
        </w:tc>
        <w:tc>
          <w:tcPr>
            <w:tcW w:w="3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84,319</w:t>
            </w:r>
          </w:p>
        </w:tc>
        <w:tc>
          <w:tcPr>
            <w:tcW w:w="0" w:type="dxa"/>
            <w:vAlign w:val="bottom"/>
          </w:tcPr>
          <w:p>
            <w:pPr>
              <w:spacing w:after="0"/>
              <w:rPr>
                <w:sz w:val="1"/>
                <w:szCs w:val="1"/>
                <w:color w:val="auto"/>
              </w:rPr>
            </w:pPr>
          </w:p>
        </w:tc>
      </w:tr>
      <w:tr>
        <w:trPr>
          <w:trHeight w:val="215"/>
        </w:trPr>
        <w:tc>
          <w:tcPr>
            <w:tcW w:w="6080" w:type="dxa"/>
            <w:vAlign w:val="bottom"/>
          </w:tcPr>
          <w:p>
            <w:pPr>
              <w:ind w:left="240"/>
              <w:spacing w:after="0"/>
              <w:rPr>
                <w:sz w:val="20"/>
                <w:szCs w:val="20"/>
                <w:color w:val="auto"/>
              </w:rPr>
            </w:pPr>
            <w:r>
              <w:rPr>
                <w:rFonts w:ascii="Arial" w:cs="Arial" w:eastAsia="Arial" w:hAnsi="Arial"/>
                <w:sz w:val="16"/>
                <w:szCs w:val="16"/>
                <w:color w:val="auto"/>
              </w:rPr>
              <w:t>Equity in earnings of affiliates, net</w:t>
            </w:r>
          </w:p>
        </w:tc>
        <w:tc>
          <w:tcPr>
            <w:tcW w:w="340" w:type="dxa"/>
            <w:vAlign w:val="bottom"/>
          </w:tcPr>
          <w:p>
            <w:pPr>
              <w:spacing w:after="0"/>
              <w:rPr>
                <w:sz w:val="18"/>
                <w:szCs w:val="18"/>
                <w:color w:val="auto"/>
              </w:rPr>
            </w:pPr>
          </w:p>
        </w:tc>
        <w:tc>
          <w:tcPr>
            <w:tcW w:w="1020" w:type="dxa"/>
            <w:vAlign w:val="bottom"/>
          </w:tcPr>
          <w:p>
            <w:pPr>
              <w:jc w:val="right"/>
              <w:ind w:right="60"/>
              <w:spacing w:after="0"/>
              <w:rPr>
                <w:sz w:val="20"/>
                <w:szCs w:val="20"/>
                <w:color w:val="auto"/>
              </w:rPr>
            </w:pPr>
            <w:r>
              <w:rPr>
                <w:rFonts w:ascii="Arial" w:cs="Arial" w:eastAsia="Arial" w:hAnsi="Arial"/>
                <w:sz w:val="16"/>
                <w:szCs w:val="16"/>
                <w:b w:val="1"/>
                <w:bCs w:val="1"/>
                <w:color w:val="auto"/>
              </w:rPr>
              <w:t>3,868</w:t>
            </w:r>
          </w:p>
        </w:tc>
        <w:tc>
          <w:tcPr>
            <w:tcW w:w="360" w:type="dxa"/>
            <w:vAlign w:val="bottom"/>
          </w:tcPr>
          <w:p>
            <w:pPr>
              <w:spacing w:after="0"/>
              <w:rPr>
                <w:sz w:val="18"/>
                <w:szCs w:val="18"/>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3,314</w:t>
            </w:r>
          </w:p>
        </w:tc>
        <w:tc>
          <w:tcPr>
            <w:tcW w:w="340" w:type="dxa"/>
            <w:vAlign w:val="bottom"/>
          </w:tcPr>
          <w:p>
            <w:pPr>
              <w:spacing w:after="0"/>
              <w:rPr>
                <w:sz w:val="18"/>
                <w:szCs w:val="18"/>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7,286</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7,202</w:t>
            </w:r>
          </w:p>
        </w:tc>
        <w:tc>
          <w:tcPr>
            <w:tcW w:w="0" w:type="dxa"/>
            <w:vAlign w:val="bottom"/>
          </w:tcPr>
          <w:p>
            <w:pPr>
              <w:spacing w:after="0"/>
              <w:rPr>
                <w:sz w:val="1"/>
                <w:szCs w:val="1"/>
                <w:color w:val="auto"/>
              </w:rPr>
            </w:pPr>
          </w:p>
        </w:tc>
      </w:tr>
      <w:tr>
        <w:trPr>
          <w:trHeight w:val="216"/>
        </w:trPr>
        <w:tc>
          <w:tcPr>
            <w:tcW w:w="6080" w:type="dxa"/>
            <w:vAlign w:val="bottom"/>
          </w:tcPr>
          <w:p>
            <w:pPr>
              <w:ind w:left="240"/>
              <w:spacing w:after="0"/>
              <w:rPr>
                <w:sz w:val="20"/>
                <w:szCs w:val="20"/>
                <w:color w:val="auto"/>
              </w:rPr>
            </w:pPr>
            <w:r>
              <w:rPr>
                <w:rFonts w:ascii="Arial" w:cs="Arial" w:eastAsia="Arial" w:hAnsi="Arial"/>
                <w:sz w:val="16"/>
                <w:szCs w:val="16"/>
                <w:color w:val="auto"/>
              </w:rPr>
              <w:t>Interest income</w:t>
            </w:r>
          </w:p>
        </w:tc>
        <w:tc>
          <w:tcPr>
            <w:tcW w:w="340" w:type="dxa"/>
            <w:vAlign w:val="bottom"/>
          </w:tcPr>
          <w:p>
            <w:pPr>
              <w:spacing w:after="0"/>
              <w:rPr>
                <w:sz w:val="18"/>
                <w:szCs w:val="18"/>
                <w:color w:val="auto"/>
              </w:rPr>
            </w:pPr>
          </w:p>
        </w:tc>
        <w:tc>
          <w:tcPr>
            <w:tcW w:w="1020" w:type="dxa"/>
            <w:vAlign w:val="bottom"/>
          </w:tcPr>
          <w:p>
            <w:pPr>
              <w:jc w:val="right"/>
              <w:ind w:right="60"/>
              <w:spacing w:after="0"/>
              <w:rPr>
                <w:sz w:val="20"/>
                <w:szCs w:val="20"/>
                <w:color w:val="auto"/>
              </w:rPr>
            </w:pPr>
            <w:r>
              <w:rPr>
                <w:rFonts w:ascii="Arial" w:cs="Arial" w:eastAsia="Arial" w:hAnsi="Arial"/>
                <w:sz w:val="16"/>
                <w:szCs w:val="16"/>
                <w:b w:val="1"/>
                <w:bCs w:val="1"/>
                <w:color w:val="auto"/>
              </w:rPr>
              <w:t>522</w:t>
            </w:r>
          </w:p>
        </w:tc>
        <w:tc>
          <w:tcPr>
            <w:tcW w:w="360" w:type="dxa"/>
            <w:vAlign w:val="bottom"/>
          </w:tcPr>
          <w:p>
            <w:pPr>
              <w:spacing w:after="0"/>
              <w:rPr>
                <w:sz w:val="18"/>
                <w:szCs w:val="18"/>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775</w:t>
            </w:r>
          </w:p>
        </w:tc>
        <w:tc>
          <w:tcPr>
            <w:tcW w:w="340" w:type="dxa"/>
            <w:vAlign w:val="bottom"/>
          </w:tcPr>
          <w:p>
            <w:pPr>
              <w:spacing w:after="0"/>
              <w:rPr>
                <w:sz w:val="18"/>
                <w:szCs w:val="18"/>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1,032</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1,844</w:t>
            </w:r>
          </w:p>
        </w:tc>
        <w:tc>
          <w:tcPr>
            <w:tcW w:w="0" w:type="dxa"/>
            <w:vAlign w:val="bottom"/>
          </w:tcPr>
          <w:p>
            <w:pPr>
              <w:spacing w:after="0"/>
              <w:rPr>
                <w:sz w:val="1"/>
                <w:szCs w:val="1"/>
                <w:color w:val="auto"/>
              </w:rPr>
            </w:pPr>
          </w:p>
        </w:tc>
      </w:tr>
      <w:tr>
        <w:trPr>
          <w:trHeight w:val="216"/>
        </w:trPr>
        <w:tc>
          <w:tcPr>
            <w:tcW w:w="6080" w:type="dxa"/>
            <w:vAlign w:val="bottom"/>
          </w:tcPr>
          <w:p>
            <w:pPr>
              <w:ind w:left="240"/>
              <w:spacing w:after="0"/>
              <w:rPr>
                <w:sz w:val="20"/>
                <w:szCs w:val="20"/>
                <w:color w:val="auto"/>
              </w:rPr>
            </w:pPr>
            <w:r>
              <w:rPr>
                <w:rFonts w:ascii="Arial" w:cs="Arial" w:eastAsia="Arial" w:hAnsi="Arial"/>
                <w:sz w:val="16"/>
                <w:szCs w:val="16"/>
                <w:color w:val="auto"/>
              </w:rPr>
              <w:t>Interest expense</w:t>
            </w:r>
          </w:p>
        </w:tc>
        <w:tc>
          <w:tcPr>
            <w:tcW w:w="340" w:type="dxa"/>
            <w:vAlign w:val="bottom"/>
          </w:tcPr>
          <w:p>
            <w:pPr>
              <w:spacing w:after="0"/>
              <w:rPr>
                <w:sz w:val="18"/>
                <w:szCs w:val="18"/>
                <w:color w:val="auto"/>
              </w:rPr>
            </w:pPr>
          </w:p>
        </w:tc>
        <w:tc>
          <w:tcPr>
            <w:tcW w:w="1020" w:type="dxa"/>
            <w:vAlign w:val="bottom"/>
          </w:tcPr>
          <w:p>
            <w:pPr>
              <w:jc w:val="right"/>
              <w:ind w:right="60"/>
              <w:spacing w:after="0"/>
              <w:rPr>
                <w:sz w:val="20"/>
                <w:szCs w:val="20"/>
                <w:color w:val="auto"/>
              </w:rPr>
            </w:pPr>
            <w:r>
              <w:rPr>
                <w:rFonts w:ascii="Arial" w:cs="Arial" w:eastAsia="Arial" w:hAnsi="Arial"/>
                <w:sz w:val="16"/>
                <w:szCs w:val="16"/>
                <w:b w:val="1"/>
                <w:bCs w:val="1"/>
                <w:color w:val="auto"/>
              </w:rPr>
              <w:t>(9,048)</w:t>
            </w:r>
          </w:p>
        </w:tc>
        <w:tc>
          <w:tcPr>
            <w:tcW w:w="360" w:type="dxa"/>
            <w:vAlign w:val="bottom"/>
          </w:tcPr>
          <w:p>
            <w:pPr>
              <w:spacing w:after="0"/>
              <w:rPr>
                <w:sz w:val="18"/>
                <w:szCs w:val="18"/>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(8,979)</w:t>
            </w:r>
          </w:p>
        </w:tc>
        <w:tc>
          <w:tcPr>
            <w:tcW w:w="340" w:type="dxa"/>
            <w:vAlign w:val="bottom"/>
          </w:tcPr>
          <w:p>
            <w:pPr>
              <w:spacing w:after="0"/>
              <w:rPr>
                <w:sz w:val="18"/>
                <w:szCs w:val="18"/>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(18,008)</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(18,142)</w:t>
            </w:r>
          </w:p>
        </w:tc>
        <w:tc>
          <w:tcPr>
            <w:tcW w:w="0" w:type="dxa"/>
            <w:vAlign w:val="bottom"/>
          </w:tcPr>
          <w:p>
            <w:pPr>
              <w:spacing w:after="0"/>
              <w:rPr>
                <w:sz w:val="1"/>
                <w:szCs w:val="1"/>
                <w:color w:val="auto"/>
              </w:rPr>
            </w:pPr>
          </w:p>
        </w:tc>
      </w:tr>
      <w:tr>
        <w:trPr>
          <w:trHeight w:val="209"/>
        </w:trPr>
        <w:tc>
          <w:tcPr>
            <w:tcW w:w="6080" w:type="dxa"/>
            <w:vAlign w:val="bottom"/>
          </w:tcPr>
          <w:p>
            <w:pPr>
              <w:ind w:left="240"/>
              <w:spacing w:after="0"/>
              <w:rPr>
                <w:sz w:val="20"/>
                <w:szCs w:val="20"/>
                <w:color w:val="auto"/>
              </w:rPr>
            </w:pPr>
            <w:r>
              <w:rPr>
                <w:rFonts w:ascii="Arial" w:cs="Arial" w:eastAsia="Arial" w:hAnsi="Arial"/>
                <w:sz w:val="16"/>
                <w:szCs w:val="16"/>
                <w:color w:val="auto"/>
              </w:rPr>
              <w:t>Other (expense) income, net</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(12,858)</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(635)</w:t>
            </w: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(16,941)</w:t>
            </w: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7,953</w:t>
            </w:r>
          </w:p>
        </w:tc>
        <w:tc>
          <w:tcPr>
            <w:tcW w:w="0" w:type="dxa"/>
            <w:vAlign w:val="bottom"/>
          </w:tcPr>
          <w:p>
            <w:pPr>
              <w:spacing w:after="0"/>
              <w:rPr>
                <w:sz w:val="1"/>
                <w:szCs w:val="1"/>
                <w:color w:val="auto"/>
              </w:rPr>
            </w:pPr>
          </w:p>
        </w:tc>
      </w:tr>
      <w:tr>
        <w:trPr>
          <w:trHeight w:val="205"/>
        </w:trPr>
        <w:tc>
          <w:tcPr>
            <w:tcW w:w="6080" w:type="dxa"/>
            <w:vAlign w:val="bottom"/>
          </w:tcPr>
          <w:p>
            <w:pPr>
              <w:spacing w:after="0"/>
              <w:rPr>
                <w:sz w:val="20"/>
                <w:szCs w:val="20"/>
                <w:color w:val="auto"/>
              </w:rPr>
            </w:pPr>
            <w:r>
              <w:rPr>
                <w:rFonts w:ascii="Arial" w:cs="Arial" w:eastAsia="Arial" w:hAnsi="Arial"/>
                <w:sz w:val="16"/>
                <w:szCs w:val="16"/>
                <w:b w:val="1"/>
                <w:bCs w:val="1"/>
                <w:color w:val="auto"/>
              </w:rPr>
              <w:t>Income from Continuing Operations Before Income Taxes</w:t>
            </w:r>
          </w:p>
        </w:tc>
        <w:tc>
          <w:tcPr>
            <w:tcW w:w="340" w:type="dxa"/>
            <w:vAlign w:val="bottom"/>
          </w:tcPr>
          <w:p>
            <w:pPr>
              <w:spacing w:after="0"/>
              <w:rPr>
                <w:sz w:val="17"/>
                <w:szCs w:val="17"/>
                <w:color w:val="auto"/>
              </w:rPr>
            </w:pPr>
          </w:p>
        </w:tc>
        <w:tc>
          <w:tcPr>
            <w:tcW w:w="1020" w:type="dxa"/>
            <w:vAlign w:val="bottom"/>
          </w:tcPr>
          <w:p>
            <w:pPr>
              <w:jc w:val="right"/>
              <w:ind w:right="60"/>
              <w:spacing w:after="0"/>
              <w:rPr>
                <w:sz w:val="20"/>
                <w:szCs w:val="20"/>
                <w:color w:val="auto"/>
              </w:rPr>
            </w:pPr>
            <w:r>
              <w:rPr>
                <w:rFonts w:ascii="Arial" w:cs="Arial" w:eastAsia="Arial" w:hAnsi="Arial"/>
                <w:sz w:val="16"/>
                <w:szCs w:val="16"/>
                <w:b w:val="1"/>
                <w:bCs w:val="1"/>
                <w:color w:val="auto"/>
              </w:rPr>
              <w:t>75,534</w:t>
            </w:r>
          </w:p>
        </w:tc>
        <w:tc>
          <w:tcPr>
            <w:tcW w:w="360" w:type="dxa"/>
            <w:vAlign w:val="bottom"/>
          </w:tcPr>
          <w:p>
            <w:pPr>
              <w:spacing w:after="0"/>
              <w:rPr>
                <w:sz w:val="17"/>
                <w:szCs w:val="17"/>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57,496</w:t>
            </w:r>
          </w:p>
        </w:tc>
        <w:tc>
          <w:tcPr>
            <w:tcW w:w="340" w:type="dxa"/>
            <w:vAlign w:val="bottom"/>
          </w:tcPr>
          <w:p>
            <w:pPr>
              <w:spacing w:after="0"/>
              <w:rPr>
                <w:sz w:val="17"/>
                <w:szCs w:val="17"/>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89,479</w:t>
            </w:r>
          </w:p>
        </w:tc>
        <w:tc>
          <w:tcPr>
            <w:tcW w:w="3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83,176</w:t>
            </w:r>
          </w:p>
        </w:tc>
        <w:tc>
          <w:tcPr>
            <w:tcW w:w="0" w:type="dxa"/>
            <w:vAlign w:val="bottom"/>
          </w:tcPr>
          <w:p>
            <w:pPr>
              <w:spacing w:after="0"/>
              <w:rPr>
                <w:sz w:val="1"/>
                <w:szCs w:val="1"/>
                <w:color w:val="auto"/>
              </w:rPr>
            </w:pPr>
          </w:p>
        </w:tc>
      </w:tr>
      <w:tr>
        <w:trPr>
          <w:trHeight w:val="207"/>
        </w:trPr>
        <w:tc>
          <w:tcPr>
            <w:tcW w:w="6080" w:type="dxa"/>
            <w:vAlign w:val="bottom"/>
          </w:tcPr>
          <w:p>
            <w:pPr>
              <w:spacing w:after="0"/>
              <w:rPr>
                <w:sz w:val="20"/>
                <w:szCs w:val="20"/>
                <w:color w:val="auto"/>
              </w:rPr>
            </w:pPr>
            <w:r>
              <w:rPr>
                <w:rFonts w:ascii="Arial" w:cs="Arial" w:eastAsia="Arial" w:hAnsi="Arial"/>
                <w:sz w:val="16"/>
                <w:szCs w:val="16"/>
                <w:b w:val="1"/>
                <w:bCs w:val="1"/>
                <w:color w:val="auto"/>
              </w:rPr>
              <w:t>Provision for Income Taxes</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30,400</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21,200</w:t>
            </w: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37,700</w:t>
            </w: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32,900</w:t>
            </w:r>
          </w:p>
        </w:tc>
        <w:tc>
          <w:tcPr>
            <w:tcW w:w="0" w:type="dxa"/>
            <w:vAlign w:val="bottom"/>
          </w:tcPr>
          <w:p>
            <w:pPr>
              <w:spacing w:after="0"/>
              <w:rPr>
                <w:sz w:val="1"/>
                <w:szCs w:val="1"/>
                <w:color w:val="auto"/>
              </w:rPr>
            </w:pPr>
          </w:p>
        </w:tc>
      </w:tr>
      <w:tr>
        <w:trPr>
          <w:trHeight w:val="205"/>
        </w:trPr>
        <w:tc>
          <w:tcPr>
            <w:tcW w:w="6080" w:type="dxa"/>
            <w:vAlign w:val="bottom"/>
          </w:tcPr>
          <w:p>
            <w:pPr>
              <w:spacing w:after="0"/>
              <w:rPr>
                <w:sz w:val="20"/>
                <w:szCs w:val="20"/>
                <w:color w:val="auto"/>
              </w:rPr>
            </w:pPr>
            <w:r>
              <w:rPr>
                <w:rFonts w:ascii="Arial" w:cs="Arial" w:eastAsia="Arial" w:hAnsi="Arial"/>
                <w:sz w:val="16"/>
                <w:szCs w:val="16"/>
                <w:b w:val="1"/>
                <w:bCs w:val="1"/>
                <w:color w:val="auto"/>
              </w:rPr>
              <w:t>Income from Continuing Operations</w:t>
            </w:r>
          </w:p>
        </w:tc>
        <w:tc>
          <w:tcPr>
            <w:tcW w:w="340" w:type="dxa"/>
            <w:vAlign w:val="bottom"/>
          </w:tcPr>
          <w:p>
            <w:pPr>
              <w:spacing w:after="0"/>
              <w:rPr>
                <w:sz w:val="17"/>
                <w:szCs w:val="17"/>
                <w:color w:val="auto"/>
              </w:rPr>
            </w:pPr>
          </w:p>
        </w:tc>
        <w:tc>
          <w:tcPr>
            <w:tcW w:w="1020" w:type="dxa"/>
            <w:vAlign w:val="bottom"/>
          </w:tcPr>
          <w:p>
            <w:pPr>
              <w:jc w:val="right"/>
              <w:ind w:right="60"/>
              <w:spacing w:after="0"/>
              <w:rPr>
                <w:sz w:val="20"/>
                <w:szCs w:val="20"/>
                <w:color w:val="auto"/>
              </w:rPr>
            </w:pPr>
            <w:r>
              <w:rPr>
                <w:rFonts w:ascii="Arial" w:cs="Arial" w:eastAsia="Arial" w:hAnsi="Arial"/>
                <w:sz w:val="16"/>
                <w:szCs w:val="16"/>
                <w:b w:val="1"/>
                <w:bCs w:val="1"/>
                <w:color w:val="auto"/>
              </w:rPr>
              <w:t>45,134</w:t>
            </w:r>
          </w:p>
        </w:tc>
        <w:tc>
          <w:tcPr>
            <w:tcW w:w="360" w:type="dxa"/>
            <w:vAlign w:val="bottom"/>
          </w:tcPr>
          <w:p>
            <w:pPr>
              <w:spacing w:after="0"/>
              <w:rPr>
                <w:sz w:val="17"/>
                <w:szCs w:val="17"/>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36,296</w:t>
            </w:r>
          </w:p>
        </w:tc>
        <w:tc>
          <w:tcPr>
            <w:tcW w:w="340" w:type="dxa"/>
            <w:vAlign w:val="bottom"/>
          </w:tcPr>
          <w:p>
            <w:pPr>
              <w:spacing w:after="0"/>
              <w:rPr>
                <w:sz w:val="17"/>
                <w:szCs w:val="17"/>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51,779</w:t>
            </w:r>
          </w:p>
        </w:tc>
        <w:tc>
          <w:tcPr>
            <w:tcW w:w="3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50,276</w:t>
            </w:r>
          </w:p>
        </w:tc>
        <w:tc>
          <w:tcPr>
            <w:tcW w:w="0" w:type="dxa"/>
            <w:vAlign w:val="bottom"/>
          </w:tcPr>
          <w:p>
            <w:pPr>
              <w:spacing w:after="0"/>
              <w:rPr>
                <w:sz w:val="1"/>
                <w:szCs w:val="1"/>
                <w:color w:val="auto"/>
              </w:rPr>
            </w:pPr>
          </w:p>
        </w:tc>
      </w:tr>
      <w:tr>
        <w:trPr>
          <w:trHeight w:val="207"/>
        </w:trPr>
        <w:tc>
          <w:tcPr>
            <w:tcW w:w="6080" w:type="dxa"/>
            <w:vAlign w:val="bottom"/>
          </w:tcPr>
          <w:p>
            <w:pPr>
              <w:spacing w:after="0"/>
              <w:rPr>
                <w:sz w:val="20"/>
                <w:szCs w:val="20"/>
                <w:color w:val="auto"/>
              </w:rPr>
            </w:pPr>
            <w:r>
              <w:rPr>
                <w:rFonts w:ascii="Arial" w:cs="Arial" w:eastAsia="Arial" w:hAnsi="Arial"/>
                <w:sz w:val="16"/>
                <w:szCs w:val="16"/>
                <w:b w:val="1"/>
                <w:bCs w:val="1"/>
                <w:color w:val="auto"/>
              </w:rPr>
              <w:t>Income (Loss) from Discontinued Operations, Net of Tax</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15,751</w:t>
            </w: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(1,386)</w:t>
            </w: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33,339</w:t>
            </w:r>
          </w:p>
        </w:tc>
        <w:tc>
          <w:tcPr>
            <w:tcW w:w="0" w:type="dxa"/>
            <w:vAlign w:val="bottom"/>
          </w:tcPr>
          <w:p>
            <w:pPr>
              <w:spacing w:after="0"/>
              <w:rPr>
                <w:sz w:val="1"/>
                <w:szCs w:val="1"/>
                <w:color w:val="auto"/>
              </w:rPr>
            </w:pPr>
          </w:p>
        </w:tc>
      </w:tr>
      <w:tr>
        <w:trPr>
          <w:trHeight w:val="205"/>
        </w:trPr>
        <w:tc>
          <w:tcPr>
            <w:tcW w:w="6080" w:type="dxa"/>
            <w:vAlign w:val="bottom"/>
          </w:tcPr>
          <w:p>
            <w:pPr>
              <w:spacing w:after="0"/>
              <w:rPr>
                <w:sz w:val="20"/>
                <w:szCs w:val="20"/>
                <w:color w:val="auto"/>
              </w:rPr>
            </w:pPr>
            <w:r>
              <w:rPr>
                <w:rFonts w:ascii="Arial" w:cs="Arial" w:eastAsia="Arial" w:hAnsi="Arial"/>
                <w:sz w:val="16"/>
                <w:szCs w:val="16"/>
                <w:b w:val="1"/>
                <w:bCs w:val="1"/>
                <w:color w:val="auto"/>
              </w:rPr>
              <w:t>Net Income</w:t>
            </w:r>
          </w:p>
        </w:tc>
        <w:tc>
          <w:tcPr>
            <w:tcW w:w="340" w:type="dxa"/>
            <w:vAlign w:val="bottom"/>
          </w:tcPr>
          <w:p>
            <w:pPr>
              <w:spacing w:after="0"/>
              <w:rPr>
                <w:sz w:val="17"/>
                <w:szCs w:val="17"/>
                <w:color w:val="auto"/>
              </w:rPr>
            </w:pPr>
          </w:p>
        </w:tc>
        <w:tc>
          <w:tcPr>
            <w:tcW w:w="1020" w:type="dxa"/>
            <w:vAlign w:val="bottom"/>
          </w:tcPr>
          <w:p>
            <w:pPr>
              <w:jc w:val="right"/>
              <w:ind w:right="60"/>
              <w:spacing w:after="0"/>
              <w:rPr>
                <w:sz w:val="20"/>
                <w:szCs w:val="20"/>
                <w:color w:val="auto"/>
              </w:rPr>
            </w:pPr>
            <w:r>
              <w:rPr>
                <w:rFonts w:ascii="Arial" w:cs="Arial" w:eastAsia="Arial" w:hAnsi="Arial"/>
                <w:sz w:val="16"/>
                <w:szCs w:val="16"/>
                <w:b w:val="1"/>
                <w:bCs w:val="1"/>
                <w:color w:val="auto"/>
              </w:rPr>
              <w:t>45,134</w:t>
            </w:r>
          </w:p>
        </w:tc>
        <w:tc>
          <w:tcPr>
            <w:tcW w:w="360" w:type="dxa"/>
            <w:vAlign w:val="bottom"/>
          </w:tcPr>
          <w:p>
            <w:pPr>
              <w:spacing w:after="0"/>
              <w:rPr>
                <w:sz w:val="17"/>
                <w:szCs w:val="17"/>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52,047</w:t>
            </w:r>
          </w:p>
        </w:tc>
        <w:tc>
          <w:tcPr>
            <w:tcW w:w="340" w:type="dxa"/>
            <w:vAlign w:val="bottom"/>
          </w:tcPr>
          <w:p>
            <w:pPr>
              <w:spacing w:after="0"/>
              <w:rPr>
                <w:sz w:val="17"/>
                <w:szCs w:val="17"/>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50,393</w:t>
            </w:r>
          </w:p>
        </w:tc>
        <w:tc>
          <w:tcPr>
            <w:tcW w:w="3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83,615</w:t>
            </w:r>
          </w:p>
        </w:tc>
        <w:tc>
          <w:tcPr>
            <w:tcW w:w="0" w:type="dxa"/>
            <w:vAlign w:val="bottom"/>
          </w:tcPr>
          <w:p>
            <w:pPr>
              <w:spacing w:after="0"/>
              <w:rPr>
                <w:sz w:val="1"/>
                <w:szCs w:val="1"/>
                <w:color w:val="auto"/>
              </w:rPr>
            </w:pPr>
          </w:p>
        </w:tc>
      </w:tr>
      <w:tr>
        <w:trPr>
          <w:trHeight w:val="207"/>
        </w:trPr>
        <w:tc>
          <w:tcPr>
            <w:tcW w:w="6080" w:type="dxa"/>
            <w:vAlign w:val="bottom"/>
          </w:tcPr>
          <w:p>
            <w:pPr>
              <w:spacing w:after="0"/>
              <w:rPr>
                <w:sz w:val="20"/>
                <w:szCs w:val="20"/>
                <w:color w:val="auto"/>
              </w:rPr>
            </w:pPr>
            <w:r>
              <w:rPr>
                <w:rFonts w:ascii="Arial" w:cs="Arial" w:eastAsia="Arial" w:hAnsi="Arial"/>
                <w:sz w:val="16"/>
                <w:szCs w:val="16"/>
                <w:b w:val="1"/>
                <w:bCs w:val="1"/>
                <w:color w:val="auto"/>
              </w:rPr>
              <w:t>Net Income Attributable to Noncontrolling Interests</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(253)</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(11)</w:t>
            </w: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(350)</w:t>
            </w: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05"/>
        </w:trPr>
        <w:tc>
          <w:tcPr>
            <w:tcW w:w="6080" w:type="dxa"/>
            <w:vAlign w:val="bottom"/>
          </w:tcPr>
          <w:p>
            <w:pPr>
              <w:spacing w:after="0"/>
              <w:rPr>
                <w:sz w:val="20"/>
                <w:szCs w:val="20"/>
                <w:color w:val="auto"/>
              </w:rPr>
            </w:pPr>
            <w:r>
              <w:rPr>
                <w:rFonts w:ascii="Arial" w:cs="Arial" w:eastAsia="Arial" w:hAnsi="Arial"/>
                <w:sz w:val="16"/>
                <w:szCs w:val="16"/>
                <w:b w:val="1"/>
                <w:bCs w:val="1"/>
                <w:color w:val="auto"/>
              </w:rPr>
              <w:t>Net Income Attributable to The Washington Post Company</w:t>
            </w:r>
          </w:p>
        </w:tc>
        <w:tc>
          <w:tcPr>
            <w:tcW w:w="340" w:type="dxa"/>
            <w:vAlign w:val="bottom"/>
          </w:tcPr>
          <w:p>
            <w:pPr>
              <w:spacing w:after="0"/>
              <w:rPr>
                <w:sz w:val="17"/>
                <w:szCs w:val="17"/>
                <w:color w:val="auto"/>
              </w:rPr>
            </w:pPr>
          </w:p>
        </w:tc>
        <w:tc>
          <w:tcPr>
            <w:tcW w:w="1020" w:type="dxa"/>
            <w:vAlign w:val="bottom"/>
          </w:tcPr>
          <w:p>
            <w:pPr>
              <w:jc w:val="right"/>
              <w:ind w:right="60"/>
              <w:spacing w:after="0"/>
              <w:rPr>
                <w:sz w:val="20"/>
                <w:szCs w:val="20"/>
                <w:color w:val="auto"/>
              </w:rPr>
            </w:pPr>
            <w:r>
              <w:rPr>
                <w:rFonts w:ascii="Arial" w:cs="Arial" w:eastAsia="Arial" w:hAnsi="Arial"/>
                <w:sz w:val="16"/>
                <w:szCs w:val="16"/>
                <w:b w:val="1"/>
                <w:bCs w:val="1"/>
                <w:color w:val="auto"/>
              </w:rPr>
              <w:t>44,881</w:t>
            </w:r>
          </w:p>
        </w:tc>
        <w:tc>
          <w:tcPr>
            <w:tcW w:w="360" w:type="dxa"/>
            <w:vAlign w:val="bottom"/>
          </w:tcPr>
          <w:p>
            <w:pPr>
              <w:spacing w:after="0"/>
              <w:rPr>
                <w:sz w:val="17"/>
                <w:szCs w:val="17"/>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52,036</w:t>
            </w:r>
          </w:p>
        </w:tc>
        <w:tc>
          <w:tcPr>
            <w:tcW w:w="340" w:type="dxa"/>
            <w:vAlign w:val="bottom"/>
          </w:tcPr>
          <w:p>
            <w:pPr>
              <w:spacing w:after="0"/>
              <w:rPr>
                <w:sz w:val="17"/>
                <w:szCs w:val="17"/>
                <w:color w:val="auto"/>
              </w:rPr>
            </w:pP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50,043</w:t>
            </w:r>
          </w:p>
        </w:tc>
        <w:tc>
          <w:tcPr>
            <w:tcW w:w="3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83,534</w:t>
            </w:r>
          </w:p>
        </w:tc>
        <w:tc>
          <w:tcPr>
            <w:tcW w:w="0" w:type="dxa"/>
            <w:vAlign w:val="bottom"/>
          </w:tcPr>
          <w:p>
            <w:pPr>
              <w:spacing w:after="0"/>
              <w:rPr>
                <w:sz w:val="1"/>
                <w:szCs w:val="1"/>
                <w:color w:val="auto"/>
              </w:rPr>
            </w:pPr>
          </w:p>
        </w:tc>
      </w:tr>
      <w:tr>
        <w:trPr>
          <w:trHeight w:val="207"/>
        </w:trPr>
        <w:tc>
          <w:tcPr>
            <w:tcW w:w="6080" w:type="dxa"/>
            <w:vAlign w:val="bottom"/>
          </w:tcPr>
          <w:p>
            <w:pPr>
              <w:spacing w:after="0"/>
              <w:rPr>
                <w:sz w:val="20"/>
                <w:szCs w:val="20"/>
                <w:color w:val="auto"/>
              </w:rPr>
            </w:pPr>
            <w:r>
              <w:rPr>
                <w:rFonts w:ascii="Arial" w:cs="Arial" w:eastAsia="Arial" w:hAnsi="Arial"/>
                <w:sz w:val="16"/>
                <w:szCs w:val="16"/>
                <w:b w:val="1"/>
                <w:bCs w:val="1"/>
                <w:color w:val="auto"/>
              </w:rPr>
              <w:t>Redeemable Preferred Stock Dividends</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(206)</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(222)</w:t>
            </w: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(650)</w:t>
            </w: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(673)</w:t>
            </w:r>
          </w:p>
        </w:tc>
        <w:tc>
          <w:tcPr>
            <w:tcW w:w="0" w:type="dxa"/>
            <w:vAlign w:val="bottom"/>
          </w:tcPr>
          <w:p>
            <w:pPr>
              <w:spacing w:after="0"/>
              <w:rPr>
                <w:sz w:val="1"/>
                <w:szCs w:val="1"/>
                <w:color w:val="auto"/>
              </w:rPr>
            </w:pPr>
          </w:p>
        </w:tc>
      </w:tr>
      <w:tr>
        <w:trPr>
          <w:trHeight w:val="204"/>
        </w:trPr>
        <w:tc>
          <w:tcPr>
            <w:tcW w:w="6080" w:type="dxa"/>
            <w:vAlign w:val="bottom"/>
          </w:tcPr>
          <w:p>
            <w:pPr>
              <w:spacing w:after="0"/>
              <w:rPr>
                <w:sz w:val="20"/>
                <w:szCs w:val="20"/>
                <w:color w:val="auto"/>
              </w:rPr>
            </w:pPr>
            <w:r>
              <w:rPr>
                <w:rFonts w:ascii="Arial" w:cs="Arial" w:eastAsia="Arial" w:hAnsi="Arial"/>
                <w:sz w:val="16"/>
                <w:szCs w:val="16"/>
                <w:b w:val="1"/>
                <w:bCs w:val="1"/>
                <w:color w:val="auto"/>
              </w:rPr>
              <w:t>Net Income Attributable to The Washington Post</w:t>
            </w:r>
          </w:p>
        </w:tc>
        <w:tc>
          <w:tcPr>
            <w:tcW w:w="34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w:t>
            </w:r>
          </w:p>
        </w:tc>
        <w:tc>
          <w:tcPr>
            <w:tcW w:w="1020" w:type="dxa"/>
            <w:vAlign w:val="bottom"/>
            <w:vMerge w:val="restart"/>
          </w:tcPr>
          <w:p>
            <w:pPr>
              <w:jc w:val="right"/>
              <w:ind w:right="60"/>
              <w:spacing w:after="0"/>
              <w:rPr>
                <w:sz w:val="20"/>
                <w:szCs w:val="20"/>
                <w:color w:val="auto"/>
              </w:rPr>
            </w:pPr>
            <w:r>
              <w:rPr>
                <w:rFonts w:ascii="Arial" w:cs="Arial" w:eastAsia="Arial" w:hAnsi="Arial"/>
                <w:sz w:val="16"/>
                <w:szCs w:val="16"/>
                <w:b w:val="1"/>
                <w:bCs w:val="1"/>
                <w:color w:val="auto"/>
              </w:rPr>
              <w:t>44,675</w:t>
            </w: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w:t>
            </w:r>
          </w:p>
        </w:tc>
        <w:tc>
          <w:tcPr>
            <w:tcW w:w="1000" w:type="dxa"/>
            <w:vAlign w:val="bottom"/>
            <w:vMerge w:val="restart"/>
          </w:tcPr>
          <w:p>
            <w:pPr>
              <w:jc w:val="right"/>
              <w:ind w:right="60"/>
              <w:spacing w:after="0"/>
              <w:rPr>
                <w:sz w:val="20"/>
                <w:szCs w:val="20"/>
                <w:color w:val="auto"/>
              </w:rPr>
            </w:pPr>
            <w:r>
              <w:rPr>
                <w:rFonts w:ascii="Arial" w:cs="Arial" w:eastAsia="Arial" w:hAnsi="Arial"/>
                <w:sz w:val="16"/>
                <w:szCs w:val="16"/>
                <w:b w:val="1"/>
                <w:bCs w:val="1"/>
                <w:color w:val="auto"/>
              </w:rPr>
              <w:t>49,393</w:t>
            </w: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080" w:type="dxa"/>
            <w:vAlign w:val="bottom"/>
          </w:tcPr>
          <w:p>
            <w:pPr>
              <w:ind w:left="240"/>
              <w:spacing w:after="0"/>
              <w:rPr>
                <w:sz w:val="20"/>
                <w:szCs w:val="20"/>
                <w:color w:val="auto"/>
              </w:rPr>
            </w:pPr>
            <w:r>
              <w:rPr>
                <w:rFonts w:ascii="Arial" w:cs="Arial" w:eastAsia="Arial" w:hAnsi="Arial"/>
                <w:sz w:val="16"/>
                <w:szCs w:val="16"/>
                <w:b w:val="1"/>
                <w:bCs w:val="1"/>
                <w:color w:val="auto"/>
              </w:rPr>
              <w:t>Company Common Stockholders</w:t>
            </w:r>
          </w:p>
        </w:tc>
        <w:tc>
          <w:tcPr>
            <w:tcW w:w="34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51,814</w:t>
            </w:r>
          </w:p>
        </w:tc>
        <w:tc>
          <w:tcPr>
            <w:tcW w:w="340" w:type="dxa"/>
            <w:vAlign w:val="bottom"/>
            <w:tcBorders>
              <w:bottom w:val="single" w:sz="8" w:color="auto"/>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82,861</w:t>
            </w: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6"/>
                <w:szCs w:val="16"/>
                <w:b w:val="1"/>
                <w:bCs w:val="1"/>
                <w:color w:val="auto"/>
              </w:rPr>
              <w:t>Amounts Attributable to The Washington Post Company</w:t>
            </w: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0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240"/>
              <w:spacing w:after="0"/>
              <w:rPr>
                <w:sz w:val="20"/>
                <w:szCs w:val="20"/>
                <w:color w:val="auto"/>
              </w:rPr>
            </w:pPr>
            <w:r>
              <w:rPr>
                <w:rFonts w:ascii="Arial" w:cs="Arial" w:eastAsia="Arial" w:hAnsi="Arial"/>
                <w:sz w:val="16"/>
                <w:szCs w:val="16"/>
                <w:b w:val="1"/>
                <w:bCs w:val="1"/>
                <w:color w:val="auto"/>
              </w:rPr>
              <w:t>Common Stockholders</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6"/>
                <w:szCs w:val="16"/>
                <w:color w:val="auto"/>
              </w:rPr>
              <w:t>Income from continuing operations</w:t>
            </w:r>
          </w:p>
        </w:tc>
        <w:tc>
          <w:tcPr>
            <w:tcW w:w="3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60"/>
              <w:spacing w:after="0"/>
              <w:rPr>
                <w:sz w:val="20"/>
                <w:szCs w:val="20"/>
                <w:color w:val="auto"/>
              </w:rPr>
            </w:pPr>
            <w:r>
              <w:rPr>
                <w:rFonts w:ascii="Arial" w:cs="Arial" w:eastAsia="Arial" w:hAnsi="Arial"/>
                <w:sz w:val="16"/>
                <w:szCs w:val="16"/>
                <w:b w:val="1"/>
                <w:bCs w:val="1"/>
                <w:color w:val="auto"/>
              </w:rPr>
              <w:t>44,675</w:t>
            </w: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36,063</w:t>
            </w:r>
          </w:p>
        </w:tc>
        <w:tc>
          <w:tcPr>
            <w:tcW w:w="3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50,779</w:t>
            </w: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49,522</w:t>
            </w:r>
          </w:p>
        </w:tc>
        <w:tc>
          <w:tcPr>
            <w:tcW w:w="0" w:type="dxa"/>
            <w:vAlign w:val="bottom"/>
          </w:tcPr>
          <w:p>
            <w:pPr>
              <w:spacing w:after="0"/>
              <w:rPr>
                <w:sz w:val="1"/>
                <w:szCs w:val="1"/>
                <w:color w:val="auto"/>
              </w:rPr>
            </w:pPr>
          </w:p>
        </w:tc>
      </w:tr>
      <w:tr>
        <w:trPr>
          <w:trHeight w:val="209"/>
        </w:trPr>
        <w:tc>
          <w:tcPr>
            <w:tcW w:w="6080" w:type="dxa"/>
            <w:vAlign w:val="bottom"/>
          </w:tcPr>
          <w:p>
            <w:pPr>
              <w:spacing w:after="0"/>
              <w:rPr>
                <w:sz w:val="20"/>
                <w:szCs w:val="20"/>
                <w:color w:val="auto"/>
              </w:rPr>
            </w:pPr>
            <w:r>
              <w:rPr>
                <w:rFonts w:ascii="Arial" w:cs="Arial" w:eastAsia="Arial" w:hAnsi="Arial"/>
                <w:sz w:val="16"/>
                <w:szCs w:val="16"/>
                <w:color w:val="auto"/>
              </w:rPr>
              <w:t>Income (loss) from discontinued operations, net of tax</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15,751</w:t>
            </w: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(1,386)</w:t>
            </w: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33,339</w:t>
            </w:r>
          </w:p>
        </w:tc>
        <w:tc>
          <w:tcPr>
            <w:tcW w:w="0" w:type="dxa"/>
            <w:vAlign w:val="bottom"/>
          </w:tcPr>
          <w:p>
            <w:pPr>
              <w:spacing w:after="0"/>
              <w:rPr>
                <w:sz w:val="1"/>
                <w:szCs w:val="1"/>
                <w:color w:val="auto"/>
              </w:rPr>
            </w:pPr>
          </w:p>
        </w:tc>
      </w:tr>
      <w:tr>
        <w:trPr>
          <w:trHeight w:val="204"/>
        </w:trPr>
        <w:tc>
          <w:tcPr>
            <w:tcW w:w="6080" w:type="dxa"/>
            <w:vAlign w:val="bottom"/>
          </w:tcPr>
          <w:p>
            <w:pPr>
              <w:spacing w:after="0"/>
              <w:rPr>
                <w:sz w:val="20"/>
                <w:szCs w:val="20"/>
                <w:color w:val="auto"/>
              </w:rPr>
            </w:pPr>
            <w:r>
              <w:rPr>
                <w:rFonts w:ascii="Arial" w:cs="Arial" w:eastAsia="Arial" w:hAnsi="Arial"/>
                <w:sz w:val="16"/>
                <w:szCs w:val="16"/>
                <w:color w:val="auto"/>
              </w:rPr>
              <w:t>Net income attributable to The Washington Post Company</w:t>
            </w:r>
          </w:p>
        </w:tc>
        <w:tc>
          <w:tcPr>
            <w:tcW w:w="34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w:t>
            </w:r>
          </w:p>
        </w:tc>
        <w:tc>
          <w:tcPr>
            <w:tcW w:w="1020" w:type="dxa"/>
            <w:vAlign w:val="bottom"/>
            <w:vMerge w:val="restart"/>
          </w:tcPr>
          <w:p>
            <w:pPr>
              <w:jc w:val="right"/>
              <w:ind w:right="60"/>
              <w:spacing w:after="0"/>
              <w:rPr>
                <w:sz w:val="20"/>
                <w:szCs w:val="20"/>
                <w:color w:val="auto"/>
              </w:rPr>
            </w:pPr>
            <w:r>
              <w:rPr>
                <w:rFonts w:ascii="Arial" w:cs="Arial" w:eastAsia="Arial" w:hAnsi="Arial"/>
                <w:sz w:val="16"/>
                <w:szCs w:val="16"/>
                <w:b w:val="1"/>
                <w:bCs w:val="1"/>
                <w:color w:val="auto"/>
              </w:rPr>
              <w:t>44,675</w:t>
            </w: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w:t>
            </w:r>
          </w:p>
        </w:tc>
        <w:tc>
          <w:tcPr>
            <w:tcW w:w="1000" w:type="dxa"/>
            <w:vAlign w:val="bottom"/>
            <w:vMerge w:val="restart"/>
          </w:tcPr>
          <w:p>
            <w:pPr>
              <w:jc w:val="right"/>
              <w:ind w:right="60"/>
              <w:spacing w:after="0"/>
              <w:rPr>
                <w:sz w:val="20"/>
                <w:szCs w:val="20"/>
                <w:color w:val="auto"/>
              </w:rPr>
            </w:pPr>
            <w:r>
              <w:rPr>
                <w:rFonts w:ascii="Arial" w:cs="Arial" w:eastAsia="Arial" w:hAnsi="Arial"/>
                <w:sz w:val="16"/>
                <w:szCs w:val="16"/>
                <w:b w:val="1"/>
                <w:bCs w:val="1"/>
                <w:color w:val="auto"/>
              </w:rPr>
              <w:t>49,393</w:t>
            </w: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080" w:type="dxa"/>
            <w:vAlign w:val="bottom"/>
          </w:tcPr>
          <w:p>
            <w:pPr>
              <w:ind w:left="240"/>
              <w:spacing w:after="0"/>
              <w:rPr>
                <w:sz w:val="20"/>
                <w:szCs w:val="20"/>
                <w:color w:val="auto"/>
              </w:rPr>
            </w:pPr>
            <w:r>
              <w:rPr>
                <w:rFonts w:ascii="Arial" w:cs="Arial" w:eastAsia="Arial" w:hAnsi="Arial"/>
                <w:sz w:val="16"/>
                <w:szCs w:val="16"/>
                <w:color w:val="auto"/>
              </w:rPr>
              <w:t>common stockholders</w:t>
            </w:r>
          </w:p>
        </w:tc>
        <w:tc>
          <w:tcPr>
            <w:tcW w:w="34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51,814</w:t>
            </w:r>
          </w:p>
        </w:tc>
        <w:tc>
          <w:tcPr>
            <w:tcW w:w="340" w:type="dxa"/>
            <w:vAlign w:val="bottom"/>
            <w:tcBorders>
              <w:bottom w:val="single" w:sz="8" w:color="auto"/>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82,861</w:t>
            </w: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6"/>
                <w:szCs w:val="16"/>
                <w:b w:val="1"/>
                <w:bCs w:val="1"/>
                <w:color w:val="auto"/>
              </w:rPr>
              <w:t>Per Share Information Attributable to The Washington</w:t>
            </w: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0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240"/>
              <w:spacing w:after="0"/>
              <w:rPr>
                <w:sz w:val="20"/>
                <w:szCs w:val="20"/>
                <w:color w:val="auto"/>
              </w:rPr>
            </w:pPr>
            <w:r>
              <w:rPr>
                <w:rFonts w:ascii="Arial" w:cs="Arial" w:eastAsia="Arial" w:hAnsi="Arial"/>
                <w:sz w:val="16"/>
                <w:szCs w:val="16"/>
                <w:b w:val="1"/>
                <w:bCs w:val="1"/>
                <w:color w:val="auto"/>
              </w:rPr>
              <w:t>Post Company Common Stockholders</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6"/>
                <w:szCs w:val="16"/>
                <w:color w:val="auto"/>
              </w:rPr>
              <w:t>Basic income per common share from continuing operations</w:t>
            </w:r>
          </w:p>
        </w:tc>
        <w:tc>
          <w:tcPr>
            <w:tcW w:w="3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60"/>
              <w:spacing w:after="0"/>
              <w:rPr>
                <w:sz w:val="20"/>
                <w:szCs w:val="20"/>
                <w:color w:val="auto"/>
              </w:rPr>
            </w:pPr>
            <w:r>
              <w:rPr>
                <w:rFonts w:ascii="Arial" w:cs="Arial" w:eastAsia="Arial" w:hAnsi="Arial"/>
                <w:sz w:val="16"/>
                <w:szCs w:val="16"/>
                <w:b w:val="1"/>
                <w:bCs w:val="1"/>
                <w:color w:val="auto"/>
              </w:rPr>
              <w:t>6.02</w:t>
            </w: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4.76</w:t>
            </w:r>
          </w:p>
        </w:tc>
        <w:tc>
          <w:tcPr>
            <w:tcW w:w="3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60"/>
              <w:spacing w:after="0"/>
              <w:rPr>
                <w:sz w:val="20"/>
                <w:szCs w:val="20"/>
                <w:color w:val="auto"/>
              </w:rPr>
            </w:pPr>
            <w:r>
              <w:rPr>
                <w:rFonts w:ascii="Arial" w:cs="Arial" w:eastAsia="Arial" w:hAnsi="Arial"/>
                <w:sz w:val="16"/>
                <w:szCs w:val="16"/>
                <w:b w:val="1"/>
                <w:bCs w:val="1"/>
                <w:color w:val="auto"/>
              </w:rPr>
              <w:t>6.84</w:t>
            </w: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6.48</w:t>
            </w:r>
          </w:p>
        </w:tc>
        <w:tc>
          <w:tcPr>
            <w:tcW w:w="0" w:type="dxa"/>
            <w:vAlign w:val="bottom"/>
          </w:tcPr>
          <w:p>
            <w:pPr>
              <w:spacing w:after="0"/>
              <w:rPr>
                <w:sz w:val="1"/>
                <w:szCs w:val="1"/>
                <w:color w:val="auto"/>
              </w:rPr>
            </w:pPr>
          </w:p>
        </w:tc>
      </w:tr>
      <w:tr>
        <w:trPr>
          <w:trHeight w:val="209"/>
        </w:trPr>
        <w:tc>
          <w:tcPr>
            <w:tcW w:w="6080" w:type="dxa"/>
            <w:vAlign w:val="bottom"/>
          </w:tcPr>
          <w:p>
            <w:pPr>
              <w:spacing w:after="0"/>
              <w:rPr>
                <w:sz w:val="20"/>
                <w:szCs w:val="20"/>
                <w:color w:val="auto"/>
              </w:rPr>
            </w:pPr>
            <w:r>
              <w:rPr>
                <w:rFonts w:ascii="Arial" w:cs="Arial" w:eastAsia="Arial" w:hAnsi="Arial"/>
                <w:sz w:val="16"/>
                <w:szCs w:val="16"/>
                <w:color w:val="auto"/>
              </w:rPr>
              <w:t>Basic income (loss) per common share from discontinued operations</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2.08</w:t>
            </w: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(0.18)</w:t>
            </w: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w:t>
            </w:r>
          </w:p>
        </w:tc>
        <w:tc>
          <w:tcPr>
            <w:tcW w:w="0" w:type="dxa"/>
            <w:vAlign w:val="bottom"/>
          </w:tcPr>
          <w:p>
            <w:pPr>
              <w:spacing w:after="0"/>
              <w:rPr>
                <w:sz w:val="1"/>
                <w:szCs w:val="1"/>
                <w:color w:val="auto"/>
              </w:rPr>
            </w:pPr>
          </w:p>
        </w:tc>
      </w:tr>
      <w:tr>
        <w:trPr>
          <w:trHeight w:val="183"/>
        </w:trPr>
        <w:tc>
          <w:tcPr>
            <w:tcW w:w="6080" w:type="dxa"/>
            <w:vAlign w:val="bottom"/>
          </w:tcPr>
          <w:p>
            <w:pPr>
              <w:spacing w:after="0" w:line="183" w:lineRule="exact"/>
              <w:rPr>
                <w:sz w:val="20"/>
                <w:szCs w:val="20"/>
                <w:color w:val="auto"/>
              </w:rPr>
            </w:pPr>
            <w:r>
              <w:rPr>
                <w:rFonts w:ascii="Arial" w:cs="Arial" w:eastAsia="Arial" w:hAnsi="Arial"/>
                <w:sz w:val="16"/>
                <w:szCs w:val="16"/>
                <w:color w:val="auto"/>
              </w:rPr>
              <w:t>Basic net income per common share</w:t>
            </w:r>
          </w:p>
        </w:tc>
        <w:tc>
          <w:tcPr>
            <w:tcW w:w="34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60"/>
              <w:spacing w:after="0" w:line="183" w:lineRule="exact"/>
              <w:rPr>
                <w:sz w:val="20"/>
                <w:szCs w:val="20"/>
                <w:color w:val="auto"/>
              </w:rPr>
            </w:pPr>
            <w:r>
              <w:rPr>
                <w:rFonts w:ascii="Arial" w:cs="Arial" w:eastAsia="Arial" w:hAnsi="Arial"/>
                <w:sz w:val="16"/>
                <w:szCs w:val="16"/>
                <w:b w:val="1"/>
                <w:bCs w:val="1"/>
                <w:color w:val="auto"/>
              </w:rPr>
              <w:t>6.02</w:t>
            </w:r>
          </w:p>
        </w:tc>
        <w:tc>
          <w:tcPr>
            <w:tcW w:w="36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6.84</w:t>
            </w:r>
          </w:p>
        </w:tc>
        <w:tc>
          <w:tcPr>
            <w:tcW w:w="34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60"/>
              <w:spacing w:after="0" w:line="183" w:lineRule="exact"/>
              <w:rPr>
                <w:sz w:val="20"/>
                <w:szCs w:val="20"/>
                <w:color w:val="auto"/>
              </w:rPr>
            </w:pPr>
            <w:r>
              <w:rPr>
                <w:rFonts w:ascii="Arial" w:cs="Arial" w:eastAsia="Arial" w:hAnsi="Arial"/>
                <w:sz w:val="16"/>
                <w:szCs w:val="16"/>
                <w:b w:val="1"/>
                <w:bCs w:val="1"/>
                <w:color w:val="auto"/>
              </w:rPr>
              <w:t>6.66</w:t>
            </w:r>
          </w:p>
        </w:tc>
        <w:tc>
          <w:tcPr>
            <w:tcW w:w="36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10.87</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080" w:type="dxa"/>
            <w:vAlign w:val="bottom"/>
          </w:tcPr>
          <w:p>
            <w:pPr>
              <w:spacing w:after="0" w:line="170" w:lineRule="exact"/>
              <w:rPr>
                <w:sz w:val="20"/>
                <w:szCs w:val="20"/>
                <w:color w:val="auto"/>
              </w:rPr>
            </w:pPr>
            <w:r>
              <w:rPr>
                <w:rFonts w:ascii="Arial" w:cs="Arial" w:eastAsia="Arial" w:hAnsi="Arial"/>
                <w:sz w:val="16"/>
                <w:szCs w:val="16"/>
                <w:color w:val="auto"/>
              </w:rPr>
              <w:t>Basic average number of common shares outstanding</w:t>
            </w:r>
          </w:p>
        </w:tc>
        <w:tc>
          <w:tcPr>
            <w:tcW w:w="3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60"/>
              <w:spacing w:after="0" w:line="170" w:lineRule="exact"/>
              <w:rPr>
                <w:sz w:val="20"/>
                <w:szCs w:val="20"/>
                <w:color w:val="auto"/>
              </w:rPr>
            </w:pPr>
            <w:r>
              <w:rPr>
                <w:rFonts w:ascii="Arial" w:cs="Arial" w:eastAsia="Arial" w:hAnsi="Arial"/>
                <w:sz w:val="16"/>
                <w:szCs w:val="16"/>
                <w:b w:val="1"/>
                <w:bCs w:val="1"/>
                <w:color w:val="auto"/>
              </w:rPr>
              <w:t>7,229</w:t>
            </w:r>
          </w:p>
        </w:tc>
        <w:tc>
          <w:tcPr>
            <w:tcW w:w="3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9"/>
              <w:spacing w:after="0" w:line="170" w:lineRule="exact"/>
              <w:rPr>
                <w:sz w:val="20"/>
                <w:szCs w:val="20"/>
                <w:color w:val="auto"/>
              </w:rPr>
            </w:pPr>
            <w:r>
              <w:rPr>
                <w:rFonts w:ascii="Arial" w:cs="Arial" w:eastAsia="Arial" w:hAnsi="Arial"/>
                <w:sz w:val="16"/>
                <w:szCs w:val="16"/>
                <w:color w:val="auto"/>
              </w:rPr>
              <w:t>7,431</w:t>
            </w:r>
          </w:p>
        </w:tc>
        <w:tc>
          <w:tcPr>
            <w:tcW w:w="3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60"/>
              <w:spacing w:after="0" w:line="170" w:lineRule="exact"/>
              <w:rPr>
                <w:sz w:val="20"/>
                <w:szCs w:val="20"/>
                <w:color w:val="auto"/>
              </w:rPr>
            </w:pPr>
            <w:r>
              <w:rPr>
                <w:rFonts w:ascii="Arial" w:cs="Arial" w:eastAsia="Arial" w:hAnsi="Arial"/>
                <w:sz w:val="16"/>
                <w:szCs w:val="16"/>
                <w:b w:val="1"/>
                <w:bCs w:val="1"/>
                <w:color w:val="auto"/>
              </w:rPr>
              <w:t>7,228</w:t>
            </w:r>
          </w:p>
        </w:tc>
        <w:tc>
          <w:tcPr>
            <w:tcW w:w="3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6"/>
                <w:szCs w:val="16"/>
                <w:color w:val="auto"/>
              </w:rPr>
              <w:t>7,473</w:t>
            </w: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6"/>
                <w:szCs w:val="16"/>
                <w:color w:val="auto"/>
              </w:rPr>
              <w:t>Diluted income per common share from continuing operations</w:t>
            </w: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080" w:type="dxa"/>
            <w:vAlign w:val="bottom"/>
            <w:vMerge w:val="continue"/>
          </w:tcPr>
          <w:p>
            <w:pPr>
              <w:spacing w:after="0"/>
              <w:rPr>
                <w:sz w:val="15"/>
                <w:szCs w:val="15"/>
                <w:color w:val="auto"/>
              </w:rPr>
            </w:pPr>
          </w:p>
        </w:tc>
        <w:tc>
          <w:tcPr>
            <w:tcW w:w="340" w:type="dxa"/>
            <w:vAlign w:val="bottom"/>
          </w:tcPr>
          <w:p>
            <w:pPr>
              <w:jc w:val="right"/>
              <w:ind w:right="39"/>
              <w:spacing w:after="0" w:line="178" w:lineRule="exact"/>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60"/>
              <w:spacing w:after="0" w:line="178" w:lineRule="exact"/>
              <w:rPr>
                <w:sz w:val="20"/>
                <w:szCs w:val="20"/>
                <w:color w:val="auto"/>
              </w:rPr>
            </w:pPr>
            <w:r>
              <w:rPr>
                <w:rFonts w:ascii="Arial" w:cs="Arial" w:eastAsia="Arial" w:hAnsi="Arial"/>
                <w:sz w:val="16"/>
                <w:szCs w:val="16"/>
                <w:b w:val="1"/>
                <w:bCs w:val="1"/>
                <w:color w:val="auto"/>
              </w:rPr>
              <w:t>6.02</w:t>
            </w:r>
          </w:p>
        </w:tc>
        <w:tc>
          <w:tcPr>
            <w:tcW w:w="360" w:type="dxa"/>
            <w:vAlign w:val="bottom"/>
          </w:tcPr>
          <w:p>
            <w:pPr>
              <w:jc w:val="right"/>
              <w:ind w:right="19"/>
              <w:spacing w:after="0" w:line="178" w:lineRule="exact"/>
              <w:rPr>
                <w:sz w:val="20"/>
                <w:szCs w:val="20"/>
                <w:color w:val="auto"/>
              </w:rPr>
            </w:pPr>
            <w:r>
              <w:rPr>
                <w:rFonts w:ascii="Arial" w:cs="Arial" w:eastAsia="Arial" w:hAnsi="Arial"/>
                <w:sz w:val="16"/>
                <w:szCs w:val="16"/>
                <w:color w:val="auto"/>
              </w:rPr>
              <w:t>$</w:t>
            </w:r>
          </w:p>
        </w:tc>
        <w:tc>
          <w:tcPr>
            <w:tcW w:w="1020" w:type="dxa"/>
            <w:vAlign w:val="bottom"/>
          </w:tcPr>
          <w:p>
            <w:pPr>
              <w:jc w:val="right"/>
              <w:ind w:right="59"/>
              <w:spacing w:after="0" w:line="178" w:lineRule="exact"/>
              <w:rPr>
                <w:sz w:val="20"/>
                <w:szCs w:val="20"/>
                <w:color w:val="auto"/>
              </w:rPr>
            </w:pPr>
            <w:r>
              <w:rPr>
                <w:rFonts w:ascii="Arial" w:cs="Arial" w:eastAsia="Arial" w:hAnsi="Arial"/>
                <w:sz w:val="16"/>
                <w:szCs w:val="16"/>
                <w:color w:val="auto"/>
              </w:rPr>
              <w:t>4.76</w:t>
            </w:r>
          </w:p>
        </w:tc>
        <w:tc>
          <w:tcPr>
            <w:tcW w:w="340" w:type="dxa"/>
            <w:vAlign w:val="bottom"/>
          </w:tcPr>
          <w:p>
            <w:pPr>
              <w:jc w:val="right"/>
              <w:ind w:right="39"/>
              <w:spacing w:after="0" w:line="178" w:lineRule="exact"/>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60"/>
              <w:spacing w:after="0" w:line="178" w:lineRule="exact"/>
              <w:rPr>
                <w:sz w:val="20"/>
                <w:szCs w:val="20"/>
                <w:color w:val="auto"/>
              </w:rPr>
            </w:pPr>
            <w:r>
              <w:rPr>
                <w:rFonts w:ascii="Arial" w:cs="Arial" w:eastAsia="Arial" w:hAnsi="Arial"/>
                <w:sz w:val="16"/>
                <w:szCs w:val="16"/>
                <w:b w:val="1"/>
                <w:bCs w:val="1"/>
                <w:color w:val="auto"/>
              </w:rPr>
              <w:t>6.84</w:t>
            </w:r>
          </w:p>
        </w:tc>
        <w:tc>
          <w:tcPr>
            <w:tcW w:w="360" w:type="dxa"/>
            <w:vAlign w:val="bottom"/>
          </w:tcPr>
          <w:p>
            <w:pPr>
              <w:jc w:val="right"/>
              <w:ind w:right="39"/>
              <w:spacing w:after="0" w:line="178" w:lineRule="exact"/>
              <w:rPr>
                <w:sz w:val="20"/>
                <w:szCs w:val="20"/>
                <w:color w:val="auto"/>
              </w:rPr>
            </w:pPr>
            <w:r>
              <w:rPr>
                <w:rFonts w:ascii="Arial" w:cs="Arial" w:eastAsia="Arial" w:hAnsi="Arial"/>
                <w:sz w:val="16"/>
                <w:szCs w:val="16"/>
                <w:color w:val="auto"/>
              </w:rPr>
              <w:t>$</w:t>
            </w:r>
          </w:p>
        </w:tc>
        <w:tc>
          <w:tcPr>
            <w:tcW w:w="900" w:type="dxa"/>
            <w:vAlign w:val="bottom"/>
          </w:tcPr>
          <w:p>
            <w:pPr>
              <w:jc w:val="right"/>
              <w:spacing w:after="0" w:line="178" w:lineRule="exact"/>
              <w:rPr>
                <w:sz w:val="20"/>
                <w:szCs w:val="20"/>
                <w:color w:val="auto"/>
              </w:rPr>
            </w:pPr>
            <w:r>
              <w:rPr>
                <w:rFonts w:ascii="Arial" w:cs="Arial" w:eastAsia="Arial" w:hAnsi="Arial"/>
                <w:sz w:val="16"/>
                <w:szCs w:val="16"/>
                <w:color w:val="auto"/>
              </w:rPr>
              <w:t>6.48</w:t>
            </w:r>
          </w:p>
        </w:tc>
        <w:tc>
          <w:tcPr>
            <w:tcW w:w="0" w:type="dxa"/>
            <w:vAlign w:val="bottom"/>
          </w:tcPr>
          <w:p>
            <w:pPr>
              <w:spacing w:after="0"/>
              <w:rPr>
                <w:sz w:val="1"/>
                <w:szCs w:val="1"/>
                <w:color w:val="auto"/>
              </w:rPr>
            </w:pPr>
          </w:p>
        </w:tc>
      </w:tr>
      <w:tr>
        <w:trPr>
          <w:trHeight w:val="207"/>
        </w:trPr>
        <w:tc>
          <w:tcPr>
            <w:tcW w:w="6080" w:type="dxa"/>
            <w:vAlign w:val="bottom"/>
          </w:tcPr>
          <w:p>
            <w:pPr>
              <w:spacing w:after="0"/>
              <w:rPr>
                <w:sz w:val="20"/>
                <w:szCs w:val="20"/>
                <w:color w:val="auto"/>
              </w:rPr>
            </w:pPr>
            <w:r>
              <w:rPr>
                <w:rFonts w:ascii="Arial" w:cs="Arial" w:eastAsia="Arial" w:hAnsi="Arial"/>
                <w:sz w:val="16"/>
                <w:szCs w:val="16"/>
                <w:color w:val="auto"/>
              </w:rPr>
              <w:t>Diluted income (loss) per common share from discontinued operations</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2.08</w:t>
            </w: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(0.18)</w:t>
            </w: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w:t>
            </w:r>
          </w:p>
        </w:tc>
        <w:tc>
          <w:tcPr>
            <w:tcW w:w="0" w:type="dxa"/>
            <w:vAlign w:val="bottom"/>
          </w:tcPr>
          <w:p>
            <w:pPr>
              <w:spacing w:after="0"/>
              <w:rPr>
                <w:sz w:val="1"/>
                <w:szCs w:val="1"/>
                <w:color w:val="auto"/>
              </w:rPr>
            </w:pPr>
          </w:p>
        </w:tc>
      </w:tr>
      <w:tr>
        <w:trPr>
          <w:trHeight w:val="183"/>
        </w:trPr>
        <w:tc>
          <w:tcPr>
            <w:tcW w:w="6080" w:type="dxa"/>
            <w:vAlign w:val="bottom"/>
          </w:tcPr>
          <w:p>
            <w:pPr>
              <w:spacing w:after="0" w:line="183" w:lineRule="exact"/>
              <w:rPr>
                <w:sz w:val="20"/>
                <w:szCs w:val="20"/>
                <w:color w:val="auto"/>
              </w:rPr>
            </w:pPr>
            <w:r>
              <w:rPr>
                <w:rFonts w:ascii="Arial" w:cs="Arial" w:eastAsia="Arial" w:hAnsi="Arial"/>
                <w:sz w:val="16"/>
                <w:szCs w:val="16"/>
                <w:color w:val="auto"/>
              </w:rPr>
              <w:t>Diluted net income per common share</w:t>
            </w:r>
          </w:p>
        </w:tc>
        <w:tc>
          <w:tcPr>
            <w:tcW w:w="34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60"/>
              <w:spacing w:after="0" w:line="183" w:lineRule="exact"/>
              <w:rPr>
                <w:sz w:val="20"/>
                <w:szCs w:val="20"/>
                <w:color w:val="auto"/>
              </w:rPr>
            </w:pPr>
            <w:r>
              <w:rPr>
                <w:rFonts w:ascii="Arial" w:cs="Arial" w:eastAsia="Arial" w:hAnsi="Arial"/>
                <w:sz w:val="16"/>
                <w:szCs w:val="16"/>
                <w:b w:val="1"/>
                <w:bCs w:val="1"/>
                <w:color w:val="auto"/>
              </w:rPr>
              <w:t>6.02</w:t>
            </w:r>
          </w:p>
        </w:tc>
        <w:tc>
          <w:tcPr>
            <w:tcW w:w="36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6.84</w:t>
            </w:r>
          </w:p>
        </w:tc>
        <w:tc>
          <w:tcPr>
            <w:tcW w:w="34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60"/>
              <w:spacing w:after="0" w:line="183" w:lineRule="exact"/>
              <w:rPr>
                <w:sz w:val="20"/>
                <w:szCs w:val="20"/>
                <w:color w:val="auto"/>
              </w:rPr>
            </w:pPr>
            <w:r>
              <w:rPr>
                <w:rFonts w:ascii="Arial" w:cs="Arial" w:eastAsia="Arial" w:hAnsi="Arial"/>
                <w:sz w:val="16"/>
                <w:szCs w:val="16"/>
                <w:b w:val="1"/>
                <w:bCs w:val="1"/>
                <w:color w:val="auto"/>
              </w:rPr>
              <w:t>6.66</w:t>
            </w:r>
          </w:p>
        </w:tc>
        <w:tc>
          <w:tcPr>
            <w:tcW w:w="36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10.87</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080" w:type="dxa"/>
            <w:vAlign w:val="bottom"/>
          </w:tcPr>
          <w:p>
            <w:pPr>
              <w:spacing w:after="0" w:line="170" w:lineRule="exact"/>
              <w:rPr>
                <w:sz w:val="20"/>
                <w:szCs w:val="20"/>
                <w:color w:val="auto"/>
              </w:rPr>
            </w:pPr>
            <w:r>
              <w:rPr>
                <w:rFonts w:ascii="Arial" w:cs="Arial" w:eastAsia="Arial" w:hAnsi="Arial"/>
                <w:sz w:val="16"/>
                <w:szCs w:val="16"/>
                <w:color w:val="auto"/>
              </w:rPr>
              <w:t>Diluted average number of common shares outstanding</w:t>
            </w:r>
          </w:p>
        </w:tc>
        <w:tc>
          <w:tcPr>
            <w:tcW w:w="3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60"/>
              <w:spacing w:after="0" w:line="170" w:lineRule="exact"/>
              <w:rPr>
                <w:sz w:val="20"/>
                <w:szCs w:val="20"/>
                <w:color w:val="auto"/>
              </w:rPr>
            </w:pPr>
            <w:r>
              <w:rPr>
                <w:rFonts w:ascii="Arial" w:cs="Arial" w:eastAsia="Arial" w:hAnsi="Arial"/>
                <w:sz w:val="16"/>
                <w:szCs w:val="16"/>
                <w:b w:val="1"/>
                <w:bCs w:val="1"/>
                <w:color w:val="auto"/>
              </w:rPr>
              <w:t>7,283</w:t>
            </w:r>
          </w:p>
        </w:tc>
        <w:tc>
          <w:tcPr>
            <w:tcW w:w="3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9"/>
              <w:spacing w:after="0" w:line="170" w:lineRule="exact"/>
              <w:rPr>
                <w:sz w:val="20"/>
                <w:szCs w:val="20"/>
                <w:color w:val="auto"/>
              </w:rPr>
            </w:pPr>
            <w:r>
              <w:rPr>
                <w:rFonts w:ascii="Arial" w:cs="Arial" w:eastAsia="Arial" w:hAnsi="Arial"/>
                <w:sz w:val="16"/>
                <w:szCs w:val="16"/>
                <w:color w:val="auto"/>
              </w:rPr>
              <w:t>7,545</w:t>
            </w:r>
          </w:p>
        </w:tc>
        <w:tc>
          <w:tcPr>
            <w:tcW w:w="3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60"/>
              <w:spacing w:after="0" w:line="170" w:lineRule="exact"/>
              <w:rPr>
                <w:sz w:val="20"/>
                <w:szCs w:val="20"/>
                <w:color w:val="auto"/>
              </w:rPr>
            </w:pPr>
            <w:r>
              <w:rPr>
                <w:rFonts w:ascii="Arial" w:cs="Arial" w:eastAsia="Arial" w:hAnsi="Arial"/>
                <w:sz w:val="16"/>
                <w:szCs w:val="16"/>
                <w:b w:val="1"/>
                <w:bCs w:val="1"/>
                <w:color w:val="auto"/>
              </w:rPr>
              <w:t>7,276</w:t>
            </w:r>
          </w:p>
        </w:tc>
        <w:tc>
          <w:tcPr>
            <w:tcW w:w="3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6"/>
                <w:szCs w:val="16"/>
                <w:color w:val="auto"/>
              </w:rPr>
              <w:t>7,580</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846"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THE WASHINGTON POST COMPANY</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400" w:type="dxa"/>
            <w:vAlign w:val="bottom"/>
          </w:tcPr>
          <w:p>
            <w:pPr>
              <w:spacing w:after="0"/>
              <w:rPr>
                <w:sz w:val="15"/>
                <w:szCs w:val="15"/>
                <w:color w:val="auto"/>
              </w:rPr>
            </w:pPr>
          </w:p>
        </w:tc>
        <w:tc>
          <w:tcPr>
            <w:tcW w:w="2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Three Months Ended</w:t>
            </w:r>
          </w:p>
        </w:tc>
        <w:tc>
          <w:tcPr>
            <w:tcW w:w="24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Six Months Ended</w:t>
            </w:r>
          </w:p>
        </w:tc>
        <w:tc>
          <w:tcPr>
            <w:tcW w:w="0" w:type="dxa"/>
            <w:vAlign w:val="bottom"/>
          </w:tcPr>
          <w:p>
            <w:pPr>
              <w:spacing w:after="0"/>
              <w:rPr>
                <w:sz w:val="1"/>
                <w:szCs w:val="1"/>
                <w:color w:val="auto"/>
              </w:rPr>
            </w:pPr>
          </w:p>
        </w:tc>
      </w:tr>
      <w:tr>
        <w:trPr>
          <w:trHeight w:val="190"/>
        </w:trPr>
        <w:tc>
          <w:tcPr>
            <w:tcW w:w="640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8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ind w:right="852"/>
              <w:spacing w:after="0"/>
              <w:rPr>
                <w:sz w:val="20"/>
                <w:szCs w:val="20"/>
                <w:color w:val="auto"/>
              </w:rPr>
            </w:pPr>
            <w:r>
              <w:rPr>
                <w:rFonts w:ascii="Arial" w:cs="Arial" w:eastAsia="Arial" w:hAnsi="Arial"/>
                <w:sz w:val="14"/>
                <w:szCs w:val="14"/>
                <w:b w:val="1"/>
                <w:bCs w:val="1"/>
                <w:color w:val="auto"/>
                <w:w w:val="96"/>
              </w:rPr>
              <w:t>June 30,</w:t>
            </w:r>
          </w:p>
        </w:tc>
        <w:tc>
          <w:tcPr>
            <w:tcW w:w="8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752"/>
              <w:spacing w:after="0"/>
              <w:rPr>
                <w:sz w:val="20"/>
                <w:szCs w:val="20"/>
                <w:color w:val="auto"/>
              </w:rPr>
            </w:pPr>
            <w:r>
              <w:rPr>
                <w:rFonts w:ascii="Arial" w:cs="Arial" w:eastAsia="Arial" w:hAnsi="Arial"/>
                <w:sz w:val="14"/>
                <w:szCs w:val="14"/>
                <w:b w:val="1"/>
                <w:bCs w:val="1"/>
                <w:color w:val="auto"/>
                <w:w w:val="96"/>
              </w:rPr>
              <w:t>June 30,</w:t>
            </w:r>
          </w:p>
        </w:tc>
        <w:tc>
          <w:tcPr>
            <w:tcW w:w="0" w:type="dxa"/>
            <w:vAlign w:val="bottom"/>
          </w:tcPr>
          <w:p>
            <w:pPr>
              <w:spacing w:after="0"/>
              <w:rPr>
                <w:sz w:val="1"/>
                <w:szCs w:val="1"/>
                <w:color w:val="auto"/>
              </w:rPr>
            </w:pPr>
          </w:p>
        </w:tc>
      </w:tr>
      <w:tr>
        <w:trPr>
          <w:trHeight w:val="142"/>
        </w:trPr>
        <w:tc>
          <w:tcPr>
            <w:tcW w:w="6400" w:type="dxa"/>
            <w:vAlign w:val="bottom"/>
            <w:tcBorders>
              <w:bottom w:val="single" w:sz="8" w:color="auto"/>
            </w:tcBorders>
            <w:vMerge w:val="continue"/>
          </w:tcPr>
          <w:p>
            <w:pPr>
              <w:spacing w:after="0"/>
              <w:rPr>
                <w:sz w:val="12"/>
                <w:szCs w:val="12"/>
                <w:color w:val="auto"/>
              </w:rPr>
            </w:pPr>
          </w:p>
        </w:tc>
        <w:tc>
          <w:tcPr>
            <w:tcW w:w="88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2013</w:t>
            </w:r>
          </w:p>
        </w:tc>
        <w:tc>
          <w:tcPr>
            <w:tcW w:w="1700" w:type="dxa"/>
            <w:vAlign w:val="bottom"/>
            <w:tcBorders>
              <w:bottom w:val="single" w:sz="8" w:color="auto"/>
            </w:tcBorders>
          </w:tcPr>
          <w:p>
            <w:pPr>
              <w:jc w:val="right"/>
              <w:ind w:right="412"/>
              <w:spacing w:after="0" w:line="142" w:lineRule="exact"/>
              <w:rPr>
                <w:sz w:val="20"/>
                <w:szCs w:val="20"/>
                <w:color w:val="auto"/>
              </w:rPr>
            </w:pPr>
            <w:r>
              <w:rPr>
                <w:rFonts w:ascii="Arial" w:cs="Arial" w:eastAsia="Arial" w:hAnsi="Arial"/>
                <w:sz w:val="14"/>
                <w:szCs w:val="14"/>
                <w:color w:val="auto"/>
              </w:rPr>
              <w:t>2012</w:t>
            </w:r>
          </w:p>
        </w:tc>
        <w:tc>
          <w:tcPr>
            <w:tcW w:w="88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2013</w:t>
            </w:r>
          </w:p>
        </w:tc>
        <w:tc>
          <w:tcPr>
            <w:tcW w:w="1560" w:type="dxa"/>
            <w:vAlign w:val="bottom"/>
            <w:tcBorders>
              <w:bottom w:val="single" w:sz="8" w:color="auto"/>
            </w:tcBorders>
          </w:tcPr>
          <w:p>
            <w:pPr>
              <w:jc w:val="right"/>
              <w:ind w:right="372"/>
              <w:spacing w:after="0" w:line="142" w:lineRule="exact"/>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846" w:right="239" w:bottom="1440" w:gutter="0" w:footer="0" w:header="0"/>
        </w:sectPr>
      </w:pPr>
    </w:p>
    <w:p>
      <w:pPr>
        <w:spacing w:after="0"/>
        <w:rPr>
          <w:sz w:val="20"/>
          <w:szCs w:val="20"/>
          <w:color w:val="auto"/>
        </w:rPr>
      </w:pPr>
      <w:r>
        <w:rPr>
          <w:rFonts w:ascii="Arial" w:cs="Arial" w:eastAsia="Arial" w:hAnsi="Arial"/>
          <w:sz w:val="16"/>
          <w:szCs w:val="16"/>
          <w:b w:val="1"/>
          <w:bCs w:val="1"/>
          <w:color w:val="auto"/>
        </w:rPr>
        <w:t>Net Income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Comprehensive Income (Loss), Before Tax</w:t>
      </w:r>
    </w:p>
    <w:p>
      <w:pPr>
        <w:spacing w:after="0" w:line="5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Foreign currency translation adjustments:</w:t>
      </w:r>
    </w:p>
    <w:p>
      <w:pPr>
        <w:spacing w:after="0" w:line="32" w:lineRule="exact"/>
        <w:rPr>
          <w:sz w:val="20"/>
          <w:szCs w:val="20"/>
          <w:color w:val="auto"/>
        </w:rPr>
      </w:pPr>
    </w:p>
    <w:p>
      <w:pPr>
        <w:ind w:left="460" w:right="1040"/>
        <w:spacing w:after="0" w:line="295" w:lineRule="auto"/>
        <w:rPr>
          <w:sz w:val="20"/>
          <w:szCs w:val="20"/>
          <w:color w:val="auto"/>
        </w:rPr>
      </w:pPr>
      <w:r>
        <w:rPr>
          <w:rFonts w:ascii="Arial" w:cs="Arial" w:eastAsia="Arial" w:hAnsi="Arial"/>
          <w:sz w:val="16"/>
          <w:szCs w:val="16"/>
          <w:color w:val="auto"/>
        </w:rPr>
        <w:t>Translation adjustments arising during the period Adjustment for sales of businesses with foreign operations</w:t>
      </w:r>
    </w:p>
    <w:p>
      <w:pPr>
        <w:spacing w:after="0" w:line="19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Unrealized gains on available-for-sale securities: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Unrealized gains for the period</w:t>
      </w:r>
    </w:p>
    <w:p>
      <w:pPr>
        <w:spacing w:after="0" w:line="32" w:lineRule="exact"/>
        <w:rPr>
          <w:sz w:val="20"/>
          <w:szCs w:val="20"/>
          <w:color w:val="auto"/>
        </w:rPr>
      </w:pPr>
    </w:p>
    <w:p>
      <w:pPr>
        <w:ind w:left="700" w:right="440" w:hanging="229"/>
        <w:spacing w:after="0" w:line="295" w:lineRule="auto"/>
        <w:rPr>
          <w:sz w:val="20"/>
          <w:szCs w:val="20"/>
          <w:color w:val="auto"/>
        </w:rPr>
      </w:pPr>
      <w:r>
        <w:rPr>
          <w:rFonts w:ascii="Arial" w:cs="Arial" w:eastAsia="Arial" w:hAnsi="Arial"/>
          <w:sz w:val="16"/>
          <w:szCs w:val="16"/>
          <w:color w:val="auto"/>
        </w:rPr>
        <w:t>Reclassification adjustment for gain on available-for-sale securities included in net income</w:t>
      </w:r>
    </w:p>
    <w:p>
      <w:pPr>
        <w:spacing w:after="0" w:line="19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Pension and other postretirement plans: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Amortization of net prior service credit included in net income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Amortization of net actuarial loss included in net income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Settlement gain included in net income</w:t>
      </w:r>
    </w:p>
    <w:p>
      <w:pPr>
        <w:spacing w:after="0" w:line="248"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Cash flow hedge gain (loss)</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Comprehensive Income (Loss), Before Tax</w:t>
      </w:r>
    </w:p>
    <w:p>
      <w:pPr>
        <w:spacing w:after="0" w:line="5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Income tax expense related to items of other comprehensive income</w:t>
      </w:r>
    </w:p>
    <w:p>
      <w:pPr>
        <w:spacing w:after="0" w:line="12" w:lineRule="exact"/>
        <w:rPr>
          <w:sz w:val="20"/>
          <w:szCs w:val="20"/>
          <w:color w:val="auto"/>
        </w:rPr>
      </w:pPr>
    </w:p>
    <w:p>
      <w:pPr>
        <w:ind w:right="1980"/>
        <w:spacing w:after="0" w:line="294" w:lineRule="auto"/>
        <w:rPr>
          <w:sz w:val="20"/>
          <w:szCs w:val="20"/>
          <w:color w:val="auto"/>
        </w:rPr>
      </w:pPr>
      <w:r>
        <w:rPr>
          <w:rFonts w:ascii="Arial" w:cs="Arial" w:eastAsia="Arial" w:hAnsi="Arial"/>
          <w:sz w:val="16"/>
          <w:szCs w:val="16"/>
          <w:b w:val="1"/>
          <w:bCs w:val="1"/>
          <w:color w:val="auto"/>
        </w:rPr>
        <w:t>Other Comprehensive Income (Loss), Net of Tax Comprehensive Income</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Comprehensive income attributable to noncontrolling interests</w:t>
      </w:r>
    </w:p>
    <w:p>
      <w:pPr>
        <w:spacing w:after="0" w:line="12" w:lineRule="exact"/>
        <w:rPr>
          <w:sz w:val="20"/>
          <w:szCs w:val="20"/>
          <w:color w:val="auto"/>
        </w:rPr>
      </w:pPr>
    </w:p>
    <w:p>
      <w:pPr>
        <w:ind w:left="240" w:right="980" w:hanging="229"/>
        <w:spacing w:after="0" w:line="321" w:lineRule="auto"/>
        <w:rPr>
          <w:sz w:val="20"/>
          <w:szCs w:val="20"/>
          <w:color w:val="auto"/>
        </w:rPr>
      </w:pPr>
      <w:r>
        <w:rPr>
          <w:rFonts w:ascii="Arial" w:cs="Arial" w:eastAsia="Arial" w:hAnsi="Arial"/>
          <w:sz w:val="16"/>
          <w:szCs w:val="16"/>
          <w:b w:val="1"/>
          <w:bCs w:val="1"/>
          <w:color w:val="auto"/>
        </w:rPr>
        <w:t>Total Comprehensive Income Attributable to The Washington Post Company</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44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45,134</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52,047</w:t>
            </w:r>
          </w:p>
        </w:tc>
        <w:tc>
          <w:tcPr>
            <w:tcW w:w="36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50,393</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83,615</w:t>
            </w:r>
          </w:p>
        </w:tc>
      </w:tr>
      <w:tr>
        <w:trPr>
          <w:trHeight w:val="644"/>
        </w:trPr>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(3,509)</w:t>
            </w: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(8,911)</w:t>
            </w:r>
          </w:p>
        </w:tc>
        <w:tc>
          <w:tcPr>
            <w:tcW w:w="3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(7,700)</w:t>
            </w:r>
          </w:p>
        </w:tc>
        <w:tc>
          <w:tcPr>
            <w:tcW w:w="3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(1,088)</w:t>
            </w:r>
          </w:p>
        </w:tc>
      </w:tr>
      <w:tr>
        <w:trPr>
          <w:trHeight w:val="209"/>
        </w:trPr>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521</w:t>
            </w:r>
          </w:p>
        </w:tc>
      </w:tr>
      <w:tr>
        <w:trPr>
          <w:trHeight w:val="196"/>
        </w:trPr>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(3,509)</w:t>
            </w:r>
          </w:p>
        </w:tc>
        <w:tc>
          <w:tcPr>
            <w:tcW w:w="4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(8,903)</w:t>
            </w:r>
          </w:p>
        </w:tc>
        <w:tc>
          <w:tcPr>
            <w:tcW w:w="3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(7,700)</w:t>
            </w: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(567)</w:t>
            </w:r>
          </w:p>
        </w:tc>
      </w:tr>
      <w:tr>
        <w:trPr>
          <w:trHeight w:val="420"/>
        </w:trPr>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31,423</w:t>
            </w: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6,590</w:t>
            </w:r>
          </w:p>
        </w:tc>
        <w:tc>
          <w:tcPr>
            <w:tcW w:w="3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80,501</w:t>
            </w:r>
          </w:p>
        </w:tc>
        <w:tc>
          <w:tcPr>
            <w:tcW w:w="3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38,905</w:t>
            </w:r>
          </w:p>
        </w:tc>
      </w:tr>
      <w:tr>
        <w:trPr>
          <w:trHeight w:val="425"/>
        </w:trPr>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(333)</w:t>
            </w: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(772)</w:t>
            </w: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(884)</w:t>
            </w: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(772)</w:t>
            </w:r>
          </w:p>
        </w:tc>
      </w:tr>
      <w:tr>
        <w:trPr>
          <w:trHeight w:val="196"/>
        </w:trPr>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31,090</w:t>
            </w:r>
          </w:p>
        </w:tc>
        <w:tc>
          <w:tcPr>
            <w:tcW w:w="4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5,818</w:t>
            </w:r>
          </w:p>
        </w:tc>
        <w:tc>
          <w:tcPr>
            <w:tcW w:w="3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79,617</w:t>
            </w: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38,133</w:t>
            </w:r>
          </w:p>
        </w:tc>
      </w:tr>
      <w:tr>
        <w:trPr>
          <w:trHeight w:val="420"/>
        </w:trPr>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(384)</w:t>
            </w: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(470)</w:t>
            </w:r>
          </w:p>
        </w:tc>
        <w:tc>
          <w:tcPr>
            <w:tcW w:w="3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(821)</w:t>
            </w:r>
          </w:p>
        </w:tc>
        <w:tc>
          <w:tcPr>
            <w:tcW w:w="3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(921)</w:t>
            </w:r>
          </w:p>
        </w:tc>
      </w:tr>
      <w:tr>
        <w:trPr>
          <w:trHeight w:val="216"/>
        </w:trPr>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2,004</w:t>
            </w: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2,590</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4,321</w:t>
            </w: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4,247</w:t>
            </w:r>
          </w:p>
        </w:tc>
      </w:tr>
      <w:tr>
        <w:trPr>
          <w:trHeight w:val="209"/>
        </w:trPr>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(3,471)</w:t>
            </w: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96"/>
        </w:trPr>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1,620</w:t>
            </w:r>
          </w:p>
        </w:tc>
        <w:tc>
          <w:tcPr>
            <w:tcW w:w="4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2,120</w:t>
            </w:r>
          </w:p>
        </w:tc>
        <w:tc>
          <w:tcPr>
            <w:tcW w:w="3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w:t>
            </w: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3,326</w:t>
            </w:r>
          </w:p>
        </w:tc>
      </w:tr>
      <w:tr>
        <w:trPr>
          <w:trHeight w:val="196"/>
        </w:trPr>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214</w:t>
            </w:r>
          </w:p>
        </w:tc>
        <w:tc>
          <w:tcPr>
            <w:tcW w:w="4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(1,342)</w:t>
            </w:r>
          </w:p>
        </w:tc>
        <w:tc>
          <w:tcPr>
            <w:tcW w:w="3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244</w:t>
            </w: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(1,377)</w:t>
            </w:r>
          </w:p>
        </w:tc>
      </w:tr>
      <w:tr>
        <w:trPr>
          <w:trHeight w:val="205"/>
        </w:trPr>
        <w:tc>
          <w:tcPr>
            <w:tcW w:w="4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29,415</w:t>
            </w:r>
          </w:p>
        </w:tc>
        <w:tc>
          <w:tcPr>
            <w:tcW w:w="4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(2,307)</w:t>
            </w:r>
          </w:p>
        </w:tc>
        <w:tc>
          <w:tcPr>
            <w:tcW w:w="3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72,190</w:t>
            </w:r>
          </w:p>
        </w:tc>
        <w:tc>
          <w:tcPr>
            <w:tcW w:w="3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39,515</w:t>
            </w:r>
          </w:p>
        </w:tc>
      </w:tr>
      <w:tr>
        <w:trPr>
          <w:trHeight w:val="207"/>
        </w:trPr>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(13,170)</w:t>
            </w: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(2,638)</w:t>
            </w: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(31,957)</w:t>
            </w: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(16,031)</w:t>
            </w:r>
          </w:p>
        </w:tc>
      </w:tr>
      <w:tr>
        <w:trPr>
          <w:trHeight w:val="196"/>
        </w:trPr>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16,245</w:t>
            </w:r>
          </w:p>
        </w:tc>
        <w:tc>
          <w:tcPr>
            <w:tcW w:w="4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(4,945)</w:t>
            </w:r>
          </w:p>
        </w:tc>
        <w:tc>
          <w:tcPr>
            <w:tcW w:w="3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40,233</w:t>
            </w: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23,484</w:t>
            </w:r>
          </w:p>
        </w:tc>
      </w:tr>
      <w:tr>
        <w:trPr>
          <w:trHeight w:val="205"/>
        </w:trPr>
        <w:tc>
          <w:tcPr>
            <w:tcW w:w="4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61,379</w:t>
            </w:r>
          </w:p>
        </w:tc>
        <w:tc>
          <w:tcPr>
            <w:tcW w:w="4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47,102</w:t>
            </w:r>
          </w:p>
        </w:tc>
        <w:tc>
          <w:tcPr>
            <w:tcW w:w="3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90,626</w:t>
            </w:r>
          </w:p>
        </w:tc>
        <w:tc>
          <w:tcPr>
            <w:tcW w:w="3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107,099</w:t>
            </w:r>
          </w:p>
        </w:tc>
      </w:tr>
      <w:tr>
        <w:trPr>
          <w:trHeight w:val="207"/>
        </w:trPr>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(254)</w:t>
            </w: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(372)</w:t>
            </w: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w:t>
            </w:r>
          </w:p>
        </w:tc>
      </w:tr>
      <w:tr>
        <w:trPr>
          <w:trHeight w:val="399"/>
        </w:trPr>
        <w:tc>
          <w:tcPr>
            <w:tcW w:w="4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61,125</w:t>
            </w: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47,085</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90,254</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106,992</w:t>
            </w: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606" w:lineRule="exact"/>
        <w:rPr>
          <w:sz w:val="20"/>
          <w:szCs w:val="20"/>
          <w:color w:val="auto"/>
        </w:rPr>
      </w:pPr>
    </w:p>
    <w:p>
      <w:pPr>
        <w:sectPr>
          <w:pgSz w:w="11900" w:h="16838" w:orient="portrait"/>
          <w:cols w:equalWidth="0" w:num="2">
            <w:col w:w="5680" w:space="720"/>
            <w:col w:w="5020"/>
          </w:cols>
          <w:pgMar w:left="240" w:top="846" w:right="239" w:bottom="1440" w:gutter="0" w:footer="0" w:header="0"/>
          <w:type w:val="continuous"/>
        </w:sect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97155</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846" w:right="2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THE WASHINGTON POST COMPANY</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jc w:val="center"/>
              <w:ind w:right="291"/>
              <w:spacing w:after="0"/>
              <w:rPr>
                <w:sz w:val="20"/>
                <w:szCs w:val="20"/>
                <w:color w:val="auto"/>
              </w:rPr>
            </w:pPr>
            <w:r>
              <w:rPr>
                <w:rFonts w:ascii="Arial" w:cs="Arial" w:eastAsia="Arial" w:hAnsi="Arial"/>
                <w:sz w:val="14"/>
                <w:szCs w:val="14"/>
                <w:b w:val="1"/>
                <w:bCs w:val="1"/>
                <w:color w:val="auto"/>
                <w:w w:val="96"/>
              </w:rPr>
              <w:t>June 30,</w:t>
            </w:r>
          </w:p>
        </w:tc>
        <w:tc>
          <w:tcPr>
            <w:tcW w:w="340" w:type="dxa"/>
            <w:vAlign w:val="bottom"/>
          </w:tcPr>
          <w:p>
            <w:pPr>
              <w:spacing w:after="0"/>
              <w:rPr>
                <w:sz w:val="15"/>
                <w:szCs w:val="15"/>
                <w:color w:val="auto"/>
              </w:rPr>
            </w:pPr>
          </w:p>
        </w:tc>
        <w:tc>
          <w:tcPr>
            <w:tcW w:w="1200" w:type="dxa"/>
            <w:vAlign w:val="bottom"/>
          </w:tcPr>
          <w:p>
            <w:pPr>
              <w:jc w:val="right"/>
              <w:ind w:right="211"/>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76"/>
        </w:trPr>
        <w:tc>
          <w:tcPr>
            <w:tcW w:w="82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thousands)</w:t>
            </w: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center"/>
              <w:ind w:right="331"/>
              <w:spacing w:after="0"/>
              <w:rPr>
                <w:sz w:val="20"/>
                <w:szCs w:val="20"/>
                <w:color w:val="auto"/>
              </w:rPr>
            </w:pPr>
            <w:r>
              <w:rPr>
                <w:rFonts w:ascii="Arial" w:cs="Arial" w:eastAsia="Arial" w:hAnsi="Arial"/>
                <w:sz w:val="14"/>
                <w:szCs w:val="14"/>
                <w:b w:val="1"/>
                <w:bCs w:val="1"/>
                <w:color w:val="auto"/>
                <w:w w:val="96"/>
              </w:rPr>
              <w:t>2013</w:t>
            </w: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182"/>
        </w:trPr>
        <w:tc>
          <w:tcPr>
            <w:tcW w:w="824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jc w:val="center"/>
              <w:ind w:right="291"/>
              <w:spacing w:after="0"/>
              <w:rPr>
                <w:sz w:val="20"/>
                <w:szCs w:val="20"/>
                <w:color w:val="auto"/>
              </w:rPr>
            </w:pPr>
            <w:r>
              <w:rPr>
                <w:rFonts w:ascii="Arial" w:cs="Arial" w:eastAsia="Arial" w:hAnsi="Arial"/>
                <w:sz w:val="14"/>
                <w:szCs w:val="14"/>
                <w:b w:val="1"/>
                <w:bCs w:val="1"/>
                <w:color w:val="auto"/>
                <w:w w:val="95"/>
              </w:rPr>
              <w:t>(Unaudited)</w:t>
            </w: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82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824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40" w:type="dxa"/>
            <w:vAlign w:val="bottom"/>
            <w:gridSpan w:val="2"/>
            <w:vMerge w:val="restart"/>
          </w:tcPr>
          <w:p>
            <w:pPr>
              <w:jc w:val="right"/>
              <w:ind w:right="65"/>
              <w:spacing w:after="0"/>
              <w:rPr>
                <w:sz w:val="20"/>
                <w:szCs w:val="20"/>
                <w:color w:val="auto"/>
              </w:rPr>
            </w:pPr>
            <w:r>
              <w:rPr>
                <w:rFonts w:ascii="Arial" w:cs="Arial" w:eastAsia="Arial" w:hAnsi="Arial"/>
                <w:sz w:val="18"/>
                <w:szCs w:val="18"/>
                <w:b w:val="1"/>
                <w:bCs w:val="1"/>
                <w:color w:val="auto"/>
                <w:w w:val="79"/>
              </w:rPr>
              <w:t>$</w:t>
            </w:r>
          </w:p>
        </w:tc>
        <w:tc>
          <w:tcPr>
            <w:tcW w:w="1400" w:type="dxa"/>
            <w:vAlign w:val="bottom"/>
            <w:vMerge w:val="restart"/>
          </w:tcPr>
          <w:p>
            <w:pPr>
              <w:jc w:val="right"/>
              <w:ind w:right="111"/>
              <w:spacing w:after="0"/>
              <w:rPr>
                <w:sz w:val="20"/>
                <w:szCs w:val="20"/>
                <w:color w:val="auto"/>
              </w:rPr>
            </w:pPr>
            <w:r>
              <w:rPr>
                <w:rFonts w:ascii="Arial" w:cs="Arial" w:eastAsia="Arial" w:hAnsi="Arial"/>
                <w:sz w:val="18"/>
                <w:szCs w:val="18"/>
                <w:b w:val="1"/>
                <w:bCs w:val="1"/>
                <w:color w:val="auto"/>
              </w:rPr>
              <w:t>386,567</w:t>
            </w: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8240" w:type="dxa"/>
            <w:vAlign w:val="bottom"/>
          </w:tcPr>
          <w:p>
            <w:pPr>
              <w:ind w:left="240"/>
              <w:spacing w:after="0" w:line="181" w:lineRule="exact"/>
              <w:rPr>
                <w:sz w:val="20"/>
                <w:szCs w:val="20"/>
                <w:color w:val="auto"/>
              </w:rPr>
            </w:pPr>
            <w:r>
              <w:rPr>
                <w:rFonts w:ascii="Arial" w:cs="Arial" w:eastAsia="Arial" w:hAnsi="Arial"/>
                <w:sz w:val="18"/>
                <w:szCs w:val="18"/>
                <w:color w:val="auto"/>
              </w:rPr>
              <w:t>Cash and cash equivalents</w:t>
            </w:r>
          </w:p>
        </w:tc>
        <w:tc>
          <w:tcPr>
            <w:tcW w:w="240" w:type="dxa"/>
            <w:vAlign w:val="bottom"/>
            <w:gridSpan w:val="2"/>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34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181" w:lineRule="exact"/>
              <w:rPr>
                <w:sz w:val="20"/>
                <w:szCs w:val="20"/>
                <w:color w:val="auto"/>
              </w:rPr>
            </w:pPr>
            <w:r>
              <w:rPr>
                <w:rFonts w:ascii="Arial" w:cs="Arial" w:eastAsia="Arial" w:hAnsi="Arial"/>
                <w:sz w:val="18"/>
                <w:szCs w:val="18"/>
                <w:color w:val="auto"/>
              </w:rPr>
              <w:t>512,431</w:t>
            </w:r>
          </w:p>
        </w:tc>
        <w:tc>
          <w:tcPr>
            <w:tcW w:w="0" w:type="dxa"/>
            <w:vAlign w:val="bottom"/>
          </w:tcPr>
          <w:p>
            <w:pPr>
              <w:spacing w:after="0"/>
              <w:rPr>
                <w:sz w:val="1"/>
                <w:szCs w:val="1"/>
                <w:color w:val="auto"/>
              </w:rPr>
            </w:pPr>
          </w:p>
        </w:tc>
      </w:tr>
      <w:tr>
        <w:trPr>
          <w:trHeight w:val="203"/>
        </w:trPr>
        <w:tc>
          <w:tcPr>
            <w:tcW w:w="8240" w:type="dxa"/>
            <w:vAlign w:val="bottom"/>
          </w:tcPr>
          <w:p>
            <w:pPr>
              <w:ind w:left="240"/>
              <w:spacing w:after="0" w:line="202" w:lineRule="exact"/>
              <w:rPr>
                <w:sz w:val="20"/>
                <w:szCs w:val="20"/>
                <w:color w:val="auto"/>
              </w:rPr>
            </w:pPr>
            <w:r>
              <w:rPr>
                <w:rFonts w:ascii="Arial" w:cs="Arial" w:eastAsia="Arial" w:hAnsi="Arial"/>
                <w:sz w:val="18"/>
                <w:szCs w:val="18"/>
                <w:color w:val="auto"/>
              </w:rPr>
              <w:t>Restricted cash</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right"/>
              <w:ind w:right="111"/>
              <w:spacing w:after="0" w:line="202" w:lineRule="exact"/>
              <w:rPr>
                <w:sz w:val="20"/>
                <w:szCs w:val="20"/>
                <w:color w:val="auto"/>
              </w:rPr>
            </w:pPr>
            <w:r>
              <w:rPr>
                <w:rFonts w:ascii="Arial" w:cs="Arial" w:eastAsia="Arial" w:hAnsi="Arial"/>
                <w:sz w:val="18"/>
                <w:szCs w:val="18"/>
                <w:b w:val="1"/>
                <w:bCs w:val="1"/>
                <w:color w:val="auto"/>
              </w:rPr>
              <w:t>30,351</w:t>
            </w:r>
          </w:p>
        </w:tc>
        <w:tc>
          <w:tcPr>
            <w:tcW w:w="3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28,538</w:t>
            </w:r>
          </w:p>
        </w:tc>
        <w:tc>
          <w:tcPr>
            <w:tcW w:w="0" w:type="dxa"/>
            <w:vAlign w:val="bottom"/>
          </w:tcPr>
          <w:p>
            <w:pPr>
              <w:spacing w:after="0"/>
              <w:rPr>
                <w:sz w:val="1"/>
                <w:szCs w:val="1"/>
                <w:color w:val="auto"/>
              </w:rPr>
            </w:pPr>
          </w:p>
        </w:tc>
      </w:tr>
      <w:tr>
        <w:trPr>
          <w:trHeight w:val="203"/>
        </w:trPr>
        <w:tc>
          <w:tcPr>
            <w:tcW w:w="8240" w:type="dxa"/>
            <w:vAlign w:val="bottom"/>
          </w:tcPr>
          <w:p>
            <w:pPr>
              <w:ind w:left="240"/>
              <w:spacing w:after="0" w:line="202" w:lineRule="exact"/>
              <w:rPr>
                <w:sz w:val="20"/>
                <w:szCs w:val="20"/>
                <w:color w:val="auto"/>
              </w:rPr>
            </w:pPr>
            <w:r>
              <w:rPr>
                <w:rFonts w:ascii="Arial" w:cs="Arial" w:eastAsia="Arial" w:hAnsi="Arial"/>
                <w:sz w:val="18"/>
                <w:szCs w:val="18"/>
                <w:color w:val="auto"/>
              </w:rPr>
              <w:t>Investments in marketable equity securities and other investments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right"/>
              <w:ind w:right="111"/>
              <w:spacing w:after="0" w:line="202" w:lineRule="exact"/>
              <w:rPr>
                <w:sz w:val="20"/>
                <w:szCs w:val="20"/>
                <w:color w:val="auto"/>
              </w:rPr>
            </w:pPr>
            <w:r>
              <w:rPr>
                <w:rFonts w:ascii="Arial" w:cs="Arial" w:eastAsia="Arial" w:hAnsi="Arial"/>
                <w:sz w:val="18"/>
                <w:szCs w:val="18"/>
                <w:b w:val="1"/>
                <w:bCs w:val="1"/>
                <w:color w:val="auto"/>
              </w:rPr>
              <w:t>495,219</w:t>
            </w:r>
          </w:p>
        </w:tc>
        <w:tc>
          <w:tcPr>
            <w:tcW w:w="3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418,938</w:t>
            </w:r>
          </w:p>
        </w:tc>
        <w:tc>
          <w:tcPr>
            <w:tcW w:w="0" w:type="dxa"/>
            <w:vAlign w:val="bottom"/>
          </w:tcPr>
          <w:p>
            <w:pPr>
              <w:spacing w:after="0"/>
              <w:rPr>
                <w:sz w:val="1"/>
                <w:szCs w:val="1"/>
                <w:color w:val="auto"/>
              </w:rPr>
            </w:pPr>
          </w:p>
        </w:tc>
      </w:tr>
      <w:tr>
        <w:trPr>
          <w:trHeight w:val="203"/>
        </w:trPr>
        <w:tc>
          <w:tcPr>
            <w:tcW w:w="8240" w:type="dxa"/>
            <w:vAlign w:val="bottom"/>
          </w:tcPr>
          <w:p>
            <w:pPr>
              <w:ind w:left="240"/>
              <w:spacing w:after="0" w:line="202" w:lineRule="exact"/>
              <w:rPr>
                <w:sz w:val="20"/>
                <w:szCs w:val="20"/>
                <w:color w:val="auto"/>
              </w:rPr>
            </w:pPr>
            <w:r>
              <w:rPr>
                <w:rFonts w:ascii="Arial" w:cs="Arial" w:eastAsia="Arial" w:hAnsi="Arial"/>
                <w:sz w:val="18"/>
                <w:szCs w:val="18"/>
                <w:color w:val="auto"/>
              </w:rPr>
              <w:t>Accounts receivable, net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right"/>
              <w:ind w:right="111"/>
              <w:spacing w:after="0" w:line="202" w:lineRule="exact"/>
              <w:rPr>
                <w:sz w:val="20"/>
                <w:szCs w:val="20"/>
                <w:color w:val="auto"/>
              </w:rPr>
            </w:pPr>
            <w:r>
              <w:rPr>
                <w:rFonts w:ascii="Arial" w:cs="Arial" w:eastAsia="Arial" w:hAnsi="Arial"/>
                <w:sz w:val="18"/>
                <w:szCs w:val="18"/>
                <w:b w:val="1"/>
                <w:bCs w:val="1"/>
                <w:color w:val="auto"/>
              </w:rPr>
              <w:t>364,963</w:t>
            </w:r>
          </w:p>
        </w:tc>
        <w:tc>
          <w:tcPr>
            <w:tcW w:w="3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399,204</w:t>
            </w:r>
          </w:p>
        </w:tc>
        <w:tc>
          <w:tcPr>
            <w:tcW w:w="0" w:type="dxa"/>
            <w:vAlign w:val="bottom"/>
          </w:tcPr>
          <w:p>
            <w:pPr>
              <w:spacing w:after="0"/>
              <w:rPr>
                <w:sz w:val="1"/>
                <w:szCs w:val="1"/>
                <w:color w:val="auto"/>
              </w:rPr>
            </w:pPr>
          </w:p>
        </w:tc>
      </w:tr>
      <w:tr>
        <w:trPr>
          <w:trHeight w:val="203"/>
        </w:trPr>
        <w:tc>
          <w:tcPr>
            <w:tcW w:w="8240" w:type="dxa"/>
            <w:vAlign w:val="bottom"/>
          </w:tcPr>
          <w:p>
            <w:pPr>
              <w:ind w:left="240"/>
              <w:spacing w:after="0" w:line="202" w:lineRule="exact"/>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right"/>
              <w:ind w:right="111"/>
              <w:spacing w:after="0" w:line="202" w:lineRule="exact"/>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3,974</w:t>
            </w:r>
          </w:p>
        </w:tc>
        <w:tc>
          <w:tcPr>
            <w:tcW w:w="0" w:type="dxa"/>
            <w:vAlign w:val="bottom"/>
          </w:tcPr>
          <w:p>
            <w:pPr>
              <w:spacing w:after="0"/>
              <w:rPr>
                <w:sz w:val="1"/>
                <w:szCs w:val="1"/>
                <w:color w:val="auto"/>
              </w:rPr>
            </w:pPr>
          </w:p>
        </w:tc>
      </w:tr>
      <w:tr>
        <w:trPr>
          <w:trHeight w:val="203"/>
        </w:trPr>
        <w:tc>
          <w:tcPr>
            <w:tcW w:w="8240" w:type="dxa"/>
            <w:vAlign w:val="bottom"/>
          </w:tcPr>
          <w:p>
            <w:pPr>
              <w:ind w:left="240"/>
              <w:spacing w:after="0" w:line="202" w:lineRule="exact"/>
              <w:rPr>
                <w:sz w:val="20"/>
                <w:szCs w:val="20"/>
                <w:color w:val="auto"/>
              </w:rPr>
            </w:pPr>
            <w:r>
              <w:rPr>
                <w:rFonts w:ascii="Arial" w:cs="Arial" w:eastAsia="Arial" w:hAnsi="Arial"/>
                <w:sz w:val="18"/>
                <w:szCs w:val="18"/>
                <w:color w:val="auto"/>
              </w:rPr>
              <w:t>Inventories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right"/>
              <w:ind w:right="111"/>
              <w:spacing w:after="0" w:line="202" w:lineRule="exact"/>
              <w:rPr>
                <w:sz w:val="20"/>
                <w:szCs w:val="20"/>
                <w:color w:val="auto"/>
              </w:rPr>
            </w:pPr>
            <w:r>
              <w:rPr>
                <w:rFonts w:ascii="Arial" w:cs="Arial" w:eastAsia="Arial" w:hAnsi="Arial"/>
                <w:sz w:val="18"/>
                <w:szCs w:val="18"/>
                <w:b w:val="1"/>
                <w:bCs w:val="1"/>
                <w:color w:val="auto"/>
              </w:rPr>
              <w:t>4,541</w:t>
            </w:r>
          </w:p>
        </w:tc>
        <w:tc>
          <w:tcPr>
            <w:tcW w:w="3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7,985</w:t>
            </w:r>
          </w:p>
        </w:tc>
        <w:tc>
          <w:tcPr>
            <w:tcW w:w="0" w:type="dxa"/>
            <w:vAlign w:val="bottom"/>
          </w:tcPr>
          <w:p>
            <w:pPr>
              <w:spacing w:after="0"/>
              <w:rPr>
                <w:sz w:val="1"/>
                <w:szCs w:val="1"/>
                <w:color w:val="auto"/>
              </w:rPr>
            </w:pPr>
          </w:p>
        </w:tc>
      </w:tr>
      <w:tr>
        <w:trPr>
          <w:trHeight w:val="225"/>
        </w:trPr>
        <w:tc>
          <w:tcPr>
            <w:tcW w:w="8240" w:type="dxa"/>
            <w:vAlign w:val="bottom"/>
          </w:tcPr>
          <w:p>
            <w:pPr>
              <w:ind w:left="240"/>
              <w:spacing w:after="0"/>
              <w:rPr>
                <w:sz w:val="20"/>
                <w:szCs w:val="20"/>
                <w:color w:val="auto"/>
              </w:rPr>
            </w:pPr>
            <w:r>
              <w:rPr>
                <w:rFonts w:ascii="Arial" w:cs="Arial" w:eastAsia="Arial" w:hAnsi="Arial"/>
                <w:sz w:val="18"/>
                <w:szCs w:val="18"/>
                <w:color w:val="auto"/>
              </w:rPr>
              <w:t>Other current assets</w:t>
            </w: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b w:val="1"/>
                <w:bCs w:val="1"/>
                <w:color w:val="auto"/>
              </w:rPr>
              <w:t>84,227</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82,692</w:t>
            </w:r>
          </w:p>
        </w:tc>
        <w:tc>
          <w:tcPr>
            <w:tcW w:w="0" w:type="dxa"/>
            <w:vAlign w:val="bottom"/>
          </w:tcPr>
          <w:p>
            <w:pPr>
              <w:spacing w:after="0"/>
              <w:rPr>
                <w:sz w:val="1"/>
                <w:szCs w:val="1"/>
                <w:color w:val="auto"/>
              </w:rPr>
            </w:pPr>
          </w:p>
        </w:tc>
      </w:tr>
      <w:tr>
        <w:trPr>
          <w:trHeight w:val="173"/>
        </w:trPr>
        <w:tc>
          <w:tcPr>
            <w:tcW w:w="8240" w:type="dxa"/>
            <w:vAlign w:val="bottom"/>
          </w:tcPr>
          <w:p>
            <w:pPr>
              <w:ind w:left="460"/>
              <w:spacing w:after="0" w:line="173" w:lineRule="exact"/>
              <w:rPr>
                <w:sz w:val="20"/>
                <w:szCs w:val="20"/>
                <w:color w:val="auto"/>
              </w:rPr>
            </w:pPr>
            <w:r>
              <w:rPr>
                <w:rFonts w:ascii="Arial" w:cs="Arial" w:eastAsia="Arial" w:hAnsi="Arial"/>
                <w:sz w:val="18"/>
                <w:szCs w:val="18"/>
                <w:b w:val="1"/>
                <w:bCs w:val="1"/>
                <w:color w:val="auto"/>
              </w:rPr>
              <w:t>Total Current Assets</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jc w:val="right"/>
              <w:ind w:right="111"/>
              <w:spacing w:after="0" w:line="173" w:lineRule="exact"/>
              <w:rPr>
                <w:sz w:val="20"/>
                <w:szCs w:val="20"/>
                <w:color w:val="auto"/>
              </w:rPr>
            </w:pPr>
            <w:r>
              <w:rPr>
                <w:rFonts w:ascii="Arial" w:cs="Arial" w:eastAsia="Arial" w:hAnsi="Arial"/>
                <w:sz w:val="18"/>
                <w:szCs w:val="18"/>
                <w:b w:val="1"/>
                <w:bCs w:val="1"/>
                <w:color w:val="auto"/>
              </w:rPr>
              <w:t>1,365,868</w:t>
            </w:r>
          </w:p>
        </w:tc>
        <w:tc>
          <w:tcPr>
            <w:tcW w:w="340" w:type="dxa"/>
            <w:vAlign w:val="bottom"/>
          </w:tcPr>
          <w:p>
            <w:pPr>
              <w:spacing w:after="0"/>
              <w:rPr>
                <w:sz w:val="15"/>
                <w:szCs w:val="15"/>
                <w:color w:val="auto"/>
              </w:rPr>
            </w:pPr>
          </w:p>
        </w:tc>
        <w:tc>
          <w:tcPr>
            <w:tcW w:w="1200" w:type="dxa"/>
            <w:vAlign w:val="bottom"/>
          </w:tcPr>
          <w:p>
            <w:pPr>
              <w:jc w:val="right"/>
              <w:spacing w:after="0" w:line="173" w:lineRule="exact"/>
              <w:rPr>
                <w:sz w:val="20"/>
                <w:szCs w:val="20"/>
                <w:color w:val="auto"/>
              </w:rPr>
            </w:pPr>
            <w:r>
              <w:rPr>
                <w:rFonts w:ascii="Arial" w:cs="Arial" w:eastAsia="Arial" w:hAnsi="Arial"/>
                <w:sz w:val="18"/>
                <w:szCs w:val="18"/>
                <w:color w:val="auto"/>
              </w:rPr>
              <w:t>1,453,762</w:t>
            </w:r>
          </w:p>
        </w:tc>
        <w:tc>
          <w:tcPr>
            <w:tcW w:w="0" w:type="dxa"/>
            <w:vAlign w:val="bottom"/>
          </w:tcPr>
          <w:p>
            <w:pPr>
              <w:spacing w:after="0"/>
              <w:rPr>
                <w:sz w:val="1"/>
                <w:szCs w:val="1"/>
                <w:color w:val="auto"/>
              </w:rPr>
            </w:pPr>
          </w:p>
        </w:tc>
      </w:tr>
      <w:tr>
        <w:trPr>
          <w:trHeight w:val="203"/>
        </w:trPr>
        <w:tc>
          <w:tcPr>
            <w:tcW w:w="8240" w:type="dxa"/>
            <w:vAlign w:val="bottom"/>
          </w:tcPr>
          <w:p>
            <w:pPr>
              <w:spacing w:after="0" w:line="202" w:lineRule="exact"/>
              <w:rPr>
                <w:sz w:val="20"/>
                <w:szCs w:val="20"/>
                <w:color w:val="auto"/>
              </w:rPr>
            </w:pPr>
            <w:r>
              <w:rPr>
                <w:rFonts w:ascii="Arial" w:cs="Arial" w:eastAsia="Arial" w:hAnsi="Arial"/>
                <w:sz w:val="18"/>
                <w:szCs w:val="18"/>
                <w:b w:val="1"/>
                <w:bCs w:val="1"/>
                <w:color w:val="auto"/>
              </w:rPr>
              <w:t>Property, Plant and Equipment, Net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right"/>
              <w:ind w:right="111"/>
              <w:spacing w:after="0" w:line="202" w:lineRule="exact"/>
              <w:rPr>
                <w:sz w:val="20"/>
                <w:szCs w:val="20"/>
                <w:color w:val="auto"/>
              </w:rPr>
            </w:pPr>
            <w:r>
              <w:rPr>
                <w:rFonts w:ascii="Arial" w:cs="Arial" w:eastAsia="Arial" w:hAnsi="Arial"/>
                <w:sz w:val="18"/>
                <w:szCs w:val="18"/>
                <w:b w:val="1"/>
                <w:bCs w:val="1"/>
                <w:color w:val="auto"/>
              </w:rPr>
              <w:t>1,031,754</w:t>
            </w:r>
          </w:p>
        </w:tc>
        <w:tc>
          <w:tcPr>
            <w:tcW w:w="3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1,081,237</w:t>
            </w:r>
          </w:p>
        </w:tc>
        <w:tc>
          <w:tcPr>
            <w:tcW w:w="0" w:type="dxa"/>
            <w:vAlign w:val="bottom"/>
          </w:tcPr>
          <w:p>
            <w:pPr>
              <w:spacing w:after="0"/>
              <w:rPr>
                <w:sz w:val="1"/>
                <w:szCs w:val="1"/>
                <w:color w:val="auto"/>
              </w:rPr>
            </w:pPr>
          </w:p>
        </w:tc>
      </w:tr>
      <w:tr>
        <w:trPr>
          <w:trHeight w:val="203"/>
        </w:trPr>
        <w:tc>
          <w:tcPr>
            <w:tcW w:w="8240" w:type="dxa"/>
            <w:vAlign w:val="bottom"/>
          </w:tcPr>
          <w:p>
            <w:pPr>
              <w:spacing w:after="0" w:line="202" w:lineRule="exact"/>
              <w:rPr>
                <w:sz w:val="20"/>
                <w:szCs w:val="20"/>
                <w:color w:val="auto"/>
              </w:rPr>
            </w:pPr>
            <w:r>
              <w:rPr>
                <w:rFonts w:ascii="Arial" w:cs="Arial" w:eastAsia="Arial" w:hAnsi="Arial"/>
                <w:sz w:val="18"/>
                <w:szCs w:val="18"/>
                <w:b w:val="1"/>
                <w:bCs w:val="1"/>
                <w:color w:val="auto"/>
              </w:rPr>
              <w:t>Investments in Affiliates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right"/>
              <w:ind w:right="111"/>
              <w:spacing w:after="0" w:line="202" w:lineRule="exact"/>
              <w:rPr>
                <w:sz w:val="20"/>
                <w:szCs w:val="20"/>
                <w:color w:val="auto"/>
              </w:rPr>
            </w:pPr>
            <w:r>
              <w:rPr>
                <w:rFonts w:ascii="Arial" w:cs="Arial" w:eastAsia="Arial" w:hAnsi="Arial"/>
                <w:sz w:val="18"/>
                <w:szCs w:val="18"/>
                <w:b w:val="1"/>
                <w:bCs w:val="1"/>
                <w:color w:val="auto"/>
              </w:rPr>
              <w:t>27,386</w:t>
            </w:r>
          </w:p>
        </w:tc>
        <w:tc>
          <w:tcPr>
            <w:tcW w:w="3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15,535</w:t>
            </w:r>
          </w:p>
        </w:tc>
        <w:tc>
          <w:tcPr>
            <w:tcW w:w="0" w:type="dxa"/>
            <w:vAlign w:val="bottom"/>
          </w:tcPr>
          <w:p>
            <w:pPr>
              <w:spacing w:after="0"/>
              <w:rPr>
                <w:sz w:val="1"/>
                <w:szCs w:val="1"/>
                <w:color w:val="auto"/>
              </w:rPr>
            </w:pPr>
          </w:p>
        </w:tc>
      </w:tr>
      <w:tr>
        <w:trPr>
          <w:trHeight w:val="203"/>
        </w:trPr>
        <w:tc>
          <w:tcPr>
            <w:tcW w:w="8240" w:type="dxa"/>
            <w:vAlign w:val="bottom"/>
          </w:tcPr>
          <w:p>
            <w:pPr>
              <w:spacing w:after="0" w:line="202" w:lineRule="exact"/>
              <w:rPr>
                <w:sz w:val="20"/>
                <w:szCs w:val="20"/>
                <w:color w:val="auto"/>
              </w:rPr>
            </w:pPr>
            <w:r>
              <w:rPr>
                <w:rFonts w:ascii="Arial" w:cs="Arial" w:eastAsia="Arial" w:hAnsi="Arial"/>
                <w:sz w:val="18"/>
                <w:szCs w:val="18"/>
                <w:b w:val="1"/>
                <w:bCs w:val="1"/>
                <w:color w:val="auto"/>
              </w:rPr>
              <w:t>Goodwill, Net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right"/>
              <w:ind w:right="111"/>
              <w:spacing w:after="0" w:line="202" w:lineRule="exact"/>
              <w:rPr>
                <w:sz w:val="20"/>
                <w:szCs w:val="20"/>
                <w:color w:val="auto"/>
              </w:rPr>
            </w:pPr>
            <w:r>
              <w:rPr>
                <w:rFonts w:ascii="Arial" w:cs="Arial" w:eastAsia="Arial" w:hAnsi="Arial"/>
                <w:sz w:val="18"/>
                <w:szCs w:val="18"/>
                <w:b w:val="1"/>
                <w:bCs w:val="1"/>
                <w:color w:val="auto"/>
              </w:rPr>
              <w:t>1,288,419</w:t>
            </w:r>
          </w:p>
        </w:tc>
        <w:tc>
          <w:tcPr>
            <w:tcW w:w="3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1,317,915</w:t>
            </w:r>
          </w:p>
        </w:tc>
        <w:tc>
          <w:tcPr>
            <w:tcW w:w="0" w:type="dxa"/>
            <w:vAlign w:val="bottom"/>
          </w:tcPr>
          <w:p>
            <w:pPr>
              <w:spacing w:after="0"/>
              <w:rPr>
                <w:sz w:val="1"/>
                <w:szCs w:val="1"/>
                <w:color w:val="auto"/>
              </w:rPr>
            </w:pPr>
          </w:p>
        </w:tc>
      </w:tr>
      <w:tr>
        <w:trPr>
          <w:trHeight w:val="203"/>
        </w:trPr>
        <w:tc>
          <w:tcPr>
            <w:tcW w:w="8240" w:type="dxa"/>
            <w:vAlign w:val="bottom"/>
          </w:tcPr>
          <w:p>
            <w:pPr>
              <w:spacing w:after="0" w:line="202" w:lineRule="exact"/>
              <w:rPr>
                <w:sz w:val="20"/>
                <w:szCs w:val="20"/>
                <w:color w:val="auto"/>
              </w:rPr>
            </w:pPr>
            <w:r>
              <w:rPr>
                <w:rFonts w:ascii="Arial" w:cs="Arial" w:eastAsia="Arial" w:hAnsi="Arial"/>
                <w:sz w:val="18"/>
                <w:szCs w:val="18"/>
                <w:b w:val="1"/>
                <w:bCs w:val="1"/>
                <w:color w:val="auto"/>
              </w:rPr>
              <w:t>Indefinite-Lived Intangible Assets, Net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right"/>
              <w:ind w:right="111"/>
              <w:spacing w:after="0" w:line="202" w:lineRule="exact"/>
              <w:rPr>
                <w:sz w:val="20"/>
                <w:szCs w:val="20"/>
                <w:color w:val="auto"/>
              </w:rPr>
            </w:pPr>
            <w:r>
              <w:rPr>
                <w:rFonts w:ascii="Arial" w:cs="Arial" w:eastAsia="Arial" w:hAnsi="Arial"/>
                <w:sz w:val="18"/>
                <w:szCs w:val="18"/>
                <w:b w:val="1"/>
                <w:bCs w:val="1"/>
                <w:color w:val="auto"/>
              </w:rPr>
              <w:t>539,728</w:t>
            </w:r>
          </w:p>
        </w:tc>
        <w:tc>
          <w:tcPr>
            <w:tcW w:w="3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539,728</w:t>
            </w:r>
          </w:p>
        </w:tc>
        <w:tc>
          <w:tcPr>
            <w:tcW w:w="0" w:type="dxa"/>
            <w:vAlign w:val="bottom"/>
          </w:tcPr>
          <w:p>
            <w:pPr>
              <w:spacing w:after="0"/>
              <w:rPr>
                <w:sz w:val="1"/>
                <w:szCs w:val="1"/>
                <w:color w:val="auto"/>
              </w:rPr>
            </w:pPr>
          </w:p>
        </w:tc>
      </w:tr>
      <w:tr>
        <w:trPr>
          <w:trHeight w:val="203"/>
        </w:trPr>
        <w:tc>
          <w:tcPr>
            <w:tcW w:w="8240" w:type="dxa"/>
            <w:vAlign w:val="bottom"/>
          </w:tcPr>
          <w:p>
            <w:pPr>
              <w:spacing w:after="0" w:line="202" w:lineRule="exact"/>
              <w:rPr>
                <w:sz w:val="20"/>
                <w:szCs w:val="20"/>
                <w:color w:val="auto"/>
              </w:rPr>
            </w:pPr>
            <w:r>
              <w:rPr>
                <w:rFonts w:ascii="Arial" w:cs="Arial" w:eastAsia="Arial" w:hAnsi="Arial"/>
                <w:sz w:val="18"/>
                <w:szCs w:val="18"/>
                <w:b w:val="1"/>
                <w:bCs w:val="1"/>
                <w:color w:val="auto"/>
              </w:rPr>
              <w:t>Amortized Intangible Assets, Net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right"/>
              <w:ind w:right="111"/>
              <w:spacing w:after="0" w:line="202" w:lineRule="exact"/>
              <w:rPr>
                <w:sz w:val="20"/>
                <w:szCs w:val="20"/>
                <w:color w:val="auto"/>
              </w:rPr>
            </w:pPr>
            <w:r>
              <w:rPr>
                <w:rFonts w:ascii="Arial" w:cs="Arial" w:eastAsia="Arial" w:hAnsi="Arial"/>
                <w:sz w:val="18"/>
                <w:szCs w:val="18"/>
                <w:b w:val="1"/>
                <w:bCs w:val="1"/>
                <w:color w:val="auto"/>
              </w:rPr>
              <w:t>38,535</w:t>
            </w:r>
          </w:p>
        </w:tc>
        <w:tc>
          <w:tcPr>
            <w:tcW w:w="3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45,577</w:t>
            </w:r>
          </w:p>
        </w:tc>
        <w:tc>
          <w:tcPr>
            <w:tcW w:w="0" w:type="dxa"/>
            <w:vAlign w:val="bottom"/>
          </w:tcPr>
          <w:p>
            <w:pPr>
              <w:spacing w:after="0"/>
              <w:rPr>
                <w:sz w:val="1"/>
                <w:szCs w:val="1"/>
                <w:color w:val="auto"/>
              </w:rPr>
            </w:pPr>
          </w:p>
        </w:tc>
      </w:tr>
      <w:tr>
        <w:trPr>
          <w:trHeight w:val="203"/>
        </w:trPr>
        <w:tc>
          <w:tcPr>
            <w:tcW w:w="8240" w:type="dxa"/>
            <w:vAlign w:val="bottom"/>
          </w:tcPr>
          <w:p>
            <w:pPr>
              <w:spacing w:after="0" w:line="202" w:lineRule="exact"/>
              <w:rPr>
                <w:sz w:val="20"/>
                <w:szCs w:val="20"/>
                <w:color w:val="auto"/>
              </w:rPr>
            </w:pPr>
            <w:r>
              <w:rPr>
                <w:rFonts w:ascii="Arial" w:cs="Arial" w:eastAsia="Arial" w:hAnsi="Arial"/>
                <w:sz w:val="18"/>
                <w:szCs w:val="18"/>
                <w:b w:val="1"/>
                <w:bCs w:val="1"/>
                <w:color w:val="auto"/>
              </w:rPr>
              <w:t>Prepaid Pension Cost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right"/>
              <w:ind w:right="111"/>
              <w:spacing w:after="0" w:line="202" w:lineRule="exact"/>
              <w:rPr>
                <w:sz w:val="20"/>
                <w:szCs w:val="20"/>
                <w:color w:val="auto"/>
              </w:rPr>
            </w:pPr>
            <w:r>
              <w:rPr>
                <w:rFonts w:ascii="Arial" w:cs="Arial" w:eastAsia="Arial" w:hAnsi="Arial"/>
                <w:sz w:val="18"/>
                <w:szCs w:val="18"/>
                <w:b w:val="1"/>
                <w:bCs w:val="1"/>
                <w:color w:val="auto"/>
              </w:rPr>
              <w:t>579,303</w:t>
            </w:r>
          </w:p>
        </w:tc>
        <w:tc>
          <w:tcPr>
            <w:tcW w:w="3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604,823</w:t>
            </w:r>
          </w:p>
        </w:tc>
        <w:tc>
          <w:tcPr>
            <w:tcW w:w="0" w:type="dxa"/>
            <w:vAlign w:val="bottom"/>
          </w:tcPr>
          <w:p>
            <w:pPr>
              <w:spacing w:after="0"/>
              <w:rPr>
                <w:sz w:val="1"/>
                <w:szCs w:val="1"/>
                <w:color w:val="auto"/>
              </w:rPr>
            </w:pPr>
          </w:p>
        </w:tc>
      </w:tr>
      <w:tr>
        <w:trPr>
          <w:trHeight w:val="225"/>
        </w:trPr>
        <w:tc>
          <w:tcPr>
            <w:tcW w:w="8240" w:type="dxa"/>
            <w:vAlign w:val="bottom"/>
          </w:tcPr>
          <w:p>
            <w:pPr>
              <w:spacing w:after="0"/>
              <w:rPr>
                <w:sz w:val="20"/>
                <w:szCs w:val="20"/>
                <w:color w:val="auto"/>
              </w:rPr>
            </w:pPr>
            <w:r>
              <w:rPr>
                <w:rFonts w:ascii="Arial" w:cs="Arial" w:eastAsia="Arial" w:hAnsi="Arial"/>
                <w:sz w:val="18"/>
                <w:szCs w:val="18"/>
                <w:b w:val="1"/>
                <w:bCs w:val="1"/>
                <w:color w:val="auto"/>
              </w:rPr>
              <w:t>Deferred Charges and Other Assets</w:t>
            </w: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b w:val="1"/>
                <w:bCs w:val="1"/>
                <w:color w:val="auto"/>
              </w:rPr>
              <w:t>53,027</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46,492</w:t>
            </w:r>
          </w:p>
        </w:tc>
        <w:tc>
          <w:tcPr>
            <w:tcW w:w="0" w:type="dxa"/>
            <w:vAlign w:val="bottom"/>
          </w:tcPr>
          <w:p>
            <w:pPr>
              <w:spacing w:after="0"/>
              <w:rPr>
                <w:sz w:val="1"/>
                <w:szCs w:val="1"/>
                <w:color w:val="auto"/>
              </w:rPr>
            </w:pPr>
          </w:p>
        </w:tc>
      </w:tr>
      <w:tr>
        <w:trPr>
          <w:trHeight w:val="196"/>
        </w:trPr>
        <w:tc>
          <w:tcPr>
            <w:tcW w:w="8240" w:type="dxa"/>
            <w:vAlign w:val="bottom"/>
          </w:tcPr>
          <w:p>
            <w:pPr>
              <w:ind w:left="460"/>
              <w:spacing w:after="0" w:line="196" w:lineRule="exact"/>
              <w:rPr>
                <w:sz w:val="20"/>
                <w:szCs w:val="20"/>
                <w:color w:val="auto"/>
              </w:rPr>
            </w:pPr>
            <w:r>
              <w:rPr>
                <w:rFonts w:ascii="Arial" w:cs="Arial" w:eastAsia="Arial" w:hAnsi="Arial"/>
                <w:sz w:val="18"/>
                <w:szCs w:val="18"/>
                <w:b w:val="1"/>
                <w:bCs w:val="1"/>
                <w:color w:val="auto"/>
              </w:rPr>
              <w:t>Total Assets</w:t>
            </w:r>
          </w:p>
        </w:tc>
        <w:tc>
          <w:tcPr>
            <w:tcW w:w="20" w:type="dxa"/>
            <w:vAlign w:val="bottom"/>
          </w:tcPr>
          <w:p>
            <w:pPr>
              <w:spacing w:after="0"/>
              <w:rPr>
                <w:sz w:val="17"/>
                <w:szCs w:val="17"/>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1400" w:type="dxa"/>
            <w:vAlign w:val="bottom"/>
            <w:tcBorders>
              <w:bottom w:val="single" w:sz="8" w:color="auto"/>
            </w:tcBorders>
          </w:tcPr>
          <w:p>
            <w:pPr>
              <w:jc w:val="right"/>
              <w:ind w:right="111"/>
              <w:spacing w:after="0" w:line="196" w:lineRule="exact"/>
              <w:rPr>
                <w:sz w:val="20"/>
                <w:szCs w:val="20"/>
                <w:color w:val="auto"/>
              </w:rPr>
            </w:pPr>
            <w:r>
              <w:rPr>
                <w:rFonts w:ascii="Arial" w:cs="Arial" w:eastAsia="Arial" w:hAnsi="Arial"/>
                <w:sz w:val="18"/>
                <w:szCs w:val="18"/>
                <w:b w:val="1"/>
                <w:bCs w:val="1"/>
                <w:color w:val="auto"/>
              </w:rPr>
              <w:t>4,924,020</w:t>
            </w:r>
          </w:p>
        </w:tc>
        <w:tc>
          <w:tcPr>
            <w:tcW w:w="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5,105,069</w:t>
            </w:r>
          </w:p>
        </w:tc>
        <w:tc>
          <w:tcPr>
            <w:tcW w:w="0" w:type="dxa"/>
            <w:vAlign w:val="bottom"/>
          </w:tcPr>
          <w:p>
            <w:pPr>
              <w:spacing w:after="0"/>
              <w:rPr>
                <w:sz w:val="1"/>
                <w:szCs w:val="1"/>
                <w:color w:val="auto"/>
              </w:rPr>
            </w:pPr>
          </w:p>
        </w:tc>
      </w:tr>
      <w:tr>
        <w:trPr>
          <w:trHeight w:val="20"/>
        </w:trPr>
        <w:tc>
          <w:tcPr>
            <w:tcW w:w="824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82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824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240" w:type="dxa"/>
            <w:vAlign w:val="bottom"/>
            <w:gridSpan w:val="2"/>
            <w:vMerge w:val="restart"/>
          </w:tcPr>
          <w:p>
            <w:pPr>
              <w:jc w:val="right"/>
              <w:ind w:right="65"/>
              <w:spacing w:after="0"/>
              <w:rPr>
                <w:sz w:val="20"/>
                <w:szCs w:val="20"/>
                <w:color w:val="auto"/>
              </w:rPr>
            </w:pPr>
            <w:r>
              <w:rPr>
                <w:rFonts w:ascii="Arial" w:cs="Arial" w:eastAsia="Arial" w:hAnsi="Arial"/>
                <w:sz w:val="18"/>
                <w:szCs w:val="18"/>
                <w:b w:val="1"/>
                <w:bCs w:val="1"/>
                <w:color w:val="auto"/>
                <w:w w:val="79"/>
              </w:rPr>
              <w:t>$</w:t>
            </w:r>
          </w:p>
        </w:tc>
        <w:tc>
          <w:tcPr>
            <w:tcW w:w="1400" w:type="dxa"/>
            <w:vAlign w:val="bottom"/>
            <w:vMerge w:val="restart"/>
          </w:tcPr>
          <w:p>
            <w:pPr>
              <w:jc w:val="right"/>
              <w:ind w:right="111"/>
              <w:spacing w:after="0"/>
              <w:rPr>
                <w:sz w:val="20"/>
                <w:szCs w:val="20"/>
                <w:color w:val="auto"/>
              </w:rPr>
            </w:pPr>
            <w:r>
              <w:rPr>
                <w:rFonts w:ascii="Arial" w:cs="Arial" w:eastAsia="Arial" w:hAnsi="Arial"/>
                <w:sz w:val="18"/>
                <w:szCs w:val="18"/>
                <w:b w:val="1"/>
                <w:bCs w:val="1"/>
                <w:color w:val="auto"/>
              </w:rPr>
              <w:t>447,538</w:t>
            </w: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8240" w:type="dxa"/>
            <w:vAlign w:val="bottom"/>
          </w:tcPr>
          <w:p>
            <w:pPr>
              <w:ind w:left="240"/>
              <w:spacing w:after="0" w:line="181" w:lineRule="exact"/>
              <w:rPr>
                <w:sz w:val="20"/>
                <w:szCs w:val="20"/>
                <w:color w:val="auto"/>
              </w:rPr>
            </w:pPr>
            <w:r>
              <w:rPr>
                <w:rFonts w:ascii="Arial" w:cs="Arial" w:eastAsia="Arial" w:hAnsi="Arial"/>
                <w:sz w:val="18"/>
                <w:szCs w:val="18"/>
                <w:color w:val="auto"/>
              </w:rPr>
              <w:t>Accounts payable and accrued liabilities</w:t>
            </w:r>
          </w:p>
        </w:tc>
        <w:tc>
          <w:tcPr>
            <w:tcW w:w="240" w:type="dxa"/>
            <w:vAlign w:val="bottom"/>
            <w:gridSpan w:val="2"/>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340" w:type="dxa"/>
            <w:vAlign w:val="bottom"/>
          </w:tcPr>
          <w:p>
            <w:pPr>
              <w:jc w:val="right"/>
              <w:spacing w:after="0" w:line="181"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181" w:lineRule="exact"/>
              <w:rPr>
                <w:sz w:val="20"/>
                <w:szCs w:val="20"/>
                <w:color w:val="auto"/>
              </w:rPr>
            </w:pPr>
            <w:r>
              <w:rPr>
                <w:rFonts w:ascii="Arial" w:cs="Arial" w:eastAsia="Arial" w:hAnsi="Arial"/>
                <w:sz w:val="18"/>
                <w:szCs w:val="18"/>
                <w:color w:val="auto"/>
              </w:rPr>
              <w:t>486,396</w:t>
            </w:r>
          </w:p>
        </w:tc>
        <w:tc>
          <w:tcPr>
            <w:tcW w:w="0" w:type="dxa"/>
            <w:vAlign w:val="bottom"/>
          </w:tcPr>
          <w:p>
            <w:pPr>
              <w:spacing w:after="0"/>
              <w:rPr>
                <w:sz w:val="1"/>
                <w:szCs w:val="1"/>
                <w:color w:val="auto"/>
              </w:rPr>
            </w:pPr>
          </w:p>
        </w:tc>
      </w:tr>
      <w:tr>
        <w:trPr>
          <w:trHeight w:val="203"/>
        </w:trPr>
        <w:tc>
          <w:tcPr>
            <w:tcW w:w="8240" w:type="dxa"/>
            <w:vAlign w:val="bottom"/>
          </w:tcPr>
          <w:p>
            <w:pPr>
              <w:ind w:left="240"/>
              <w:spacing w:after="0" w:line="202" w:lineRule="exact"/>
              <w:rPr>
                <w:sz w:val="20"/>
                <w:szCs w:val="20"/>
                <w:color w:val="auto"/>
              </w:rPr>
            </w:pPr>
            <w:r>
              <w:rPr>
                <w:rFonts w:ascii="Arial" w:cs="Arial" w:eastAsia="Arial" w:hAnsi="Arial"/>
                <w:sz w:val="18"/>
                <w:szCs w:val="18"/>
                <w:color w:val="auto"/>
              </w:rPr>
              <w:t>Income taxes payable</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right"/>
              <w:ind w:right="111"/>
              <w:spacing w:after="0" w:line="202" w:lineRule="exact"/>
              <w:rPr>
                <w:sz w:val="20"/>
                <w:szCs w:val="20"/>
                <w:color w:val="auto"/>
              </w:rPr>
            </w:pPr>
            <w:r>
              <w:rPr>
                <w:rFonts w:ascii="Arial" w:cs="Arial" w:eastAsia="Arial" w:hAnsi="Arial"/>
                <w:sz w:val="18"/>
                <w:szCs w:val="18"/>
                <w:b w:val="1"/>
                <w:bCs w:val="1"/>
                <w:color w:val="auto"/>
              </w:rPr>
              <w:t>15,061</w:t>
            </w:r>
          </w:p>
        </w:tc>
        <w:tc>
          <w:tcPr>
            <w:tcW w:w="3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03"/>
        </w:trPr>
        <w:tc>
          <w:tcPr>
            <w:tcW w:w="8240" w:type="dxa"/>
            <w:vAlign w:val="bottom"/>
          </w:tcPr>
          <w:p>
            <w:pPr>
              <w:ind w:left="240"/>
              <w:spacing w:after="0" w:line="202" w:lineRule="exact"/>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right"/>
              <w:ind w:right="111"/>
              <w:spacing w:after="0" w:line="202" w:lineRule="exact"/>
              <w:rPr>
                <w:sz w:val="20"/>
                <w:szCs w:val="20"/>
                <w:color w:val="auto"/>
              </w:rPr>
            </w:pPr>
            <w:r>
              <w:rPr>
                <w:rFonts w:ascii="Arial" w:cs="Arial" w:eastAsia="Arial" w:hAnsi="Arial"/>
                <w:sz w:val="18"/>
                <w:szCs w:val="18"/>
                <w:b w:val="1"/>
                <w:bCs w:val="1"/>
                <w:color w:val="auto"/>
              </w:rPr>
              <w:t>27,944</w:t>
            </w:r>
          </w:p>
        </w:tc>
        <w:tc>
          <w:tcPr>
            <w:tcW w:w="3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240" w:type="dxa"/>
            <w:vAlign w:val="bottom"/>
          </w:tcPr>
          <w:p>
            <w:pPr>
              <w:ind w:left="240"/>
              <w:spacing w:after="0" w:line="202" w:lineRule="exact"/>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right"/>
              <w:ind w:right="111"/>
              <w:spacing w:after="0" w:line="202" w:lineRule="exact"/>
              <w:rPr>
                <w:sz w:val="20"/>
                <w:szCs w:val="20"/>
                <w:color w:val="auto"/>
              </w:rPr>
            </w:pPr>
            <w:r>
              <w:rPr>
                <w:rFonts w:ascii="Arial" w:cs="Arial" w:eastAsia="Arial" w:hAnsi="Arial"/>
                <w:sz w:val="18"/>
                <w:szCs w:val="18"/>
                <w:b w:val="1"/>
                <w:bCs w:val="1"/>
                <w:color w:val="auto"/>
              </w:rPr>
              <w:t>369,631</w:t>
            </w:r>
          </w:p>
        </w:tc>
        <w:tc>
          <w:tcPr>
            <w:tcW w:w="3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395,837</w:t>
            </w:r>
          </w:p>
        </w:tc>
        <w:tc>
          <w:tcPr>
            <w:tcW w:w="0" w:type="dxa"/>
            <w:vAlign w:val="bottom"/>
          </w:tcPr>
          <w:p>
            <w:pPr>
              <w:spacing w:after="0"/>
              <w:rPr>
                <w:sz w:val="1"/>
                <w:szCs w:val="1"/>
                <w:color w:val="auto"/>
              </w:rPr>
            </w:pPr>
          </w:p>
        </w:tc>
      </w:tr>
      <w:tr>
        <w:trPr>
          <w:trHeight w:val="203"/>
        </w:trPr>
        <w:tc>
          <w:tcPr>
            <w:tcW w:w="8240" w:type="dxa"/>
            <w:vAlign w:val="bottom"/>
          </w:tcPr>
          <w:p>
            <w:pPr>
              <w:ind w:left="240"/>
              <w:spacing w:after="0" w:line="202" w:lineRule="exact"/>
              <w:rPr>
                <w:sz w:val="20"/>
                <w:szCs w:val="20"/>
                <w:color w:val="auto"/>
              </w:rPr>
            </w:pPr>
            <w:r>
              <w:rPr>
                <w:rFonts w:ascii="Arial" w:cs="Arial" w:eastAsia="Arial" w:hAnsi="Arial"/>
                <w:sz w:val="18"/>
                <w:szCs w:val="18"/>
                <w:color w:val="auto"/>
              </w:rPr>
              <w:t>Dividends declared</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right"/>
              <w:ind w:right="111"/>
              <w:spacing w:after="0" w:line="202" w:lineRule="exact"/>
              <w:rPr>
                <w:sz w:val="20"/>
                <w:szCs w:val="20"/>
                <w:color w:val="auto"/>
              </w:rPr>
            </w:pPr>
            <w:r>
              <w:rPr>
                <w:rFonts w:ascii="Arial" w:cs="Arial" w:eastAsia="Arial" w:hAnsi="Arial"/>
                <w:sz w:val="18"/>
                <w:szCs w:val="18"/>
                <w:b w:val="1"/>
                <w:bCs w:val="1"/>
                <w:color w:val="auto"/>
              </w:rPr>
              <w:t>213</w:t>
            </w:r>
          </w:p>
        </w:tc>
        <w:tc>
          <w:tcPr>
            <w:tcW w:w="3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8240" w:type="dxa"/>
            <w:vAlign w:val="bottom"/>
          </w:tcPr>
          <w:p>
            <w:pPr>
              <w:ind w:left="240"/>
              <w:spacing w:after="0"/>
              <w:rPr>
                <w:sz w:val="20"/>
                <w:szCs w:val="20"/>
                <w:color w:val="auto"/>
              </w:rPr>
            </w:pPr>
            <w:r>
              <w:rPr>
                <w:rFonts w:ascii="Arial" w:cs="Arial" w:eastAsia="Arial" w:hAnsi="Arial"/>
                <w:sz w:val="18"/>
                <w:szCs w:val="18"/>
                <w:color w:val="auto"/>
              </w:rPr>
              <w:t>Short-term borrowings</w:t>
            </w: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b w:val="1"/>
                <w:bCs w:val="1"/>
                <w:color w:val="auto"/>
              </w:rPr>
              <w:t>3,129</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243,327</w:t>
            </w:r>
          </w:p>
        </w:tc>
        <w:tc>
          <w:tcPr>
            <w:tcW w:w="0" w:type="dxa"/>
            <w:vAlign w:val="bottom"/>
          </w:tcPr>
          <w:p>
            <w:pPr>
              <w:spacing w:after="0"/>
              <w:rPr>
                <w:sz w:val="1"/>
                <w:szCs w:val="1"/>
                <w:color w:val="auto"/>
              </w:rPr>
            </w:pPr>
          </w:p>
        </w:tc>
      </w:tr>
      <w:tr>
        <w:trPr>
          <w:trHeight w:val="173"/>
        </w:trPr>
        <w:tc>
          <w:tcPr>
            <w:tcW w:w="8240" w:type="dxa"/>
            <w:vAlign w:val="bottom"/>
          </w:tcPr>
          <w:p>
            <w:pPr>
              <w:ind w:left="460"/>
              <w:spacing w:after="0" w:line="173" w:lineRule="exact"/>
              <w:rPr>
                <w:sz w:val="20"/>
                <w:szCs w:val="20"/>
                <w:color w:val="auto"/>
              </w:rPr>
            </w:pPr>
            <w:r>
              <w:rPr>
                <w:rFonts w:ascii="Arial" w:cs="Arial" w:eastAsia="Arial" w:hAnsi="Arial"/>
                <w:sz w:val="18"/>
                <w:szCs w:val="18"/>
                <w:b w:val="1"/>
                <w:bCs w:val="1"/>
                <w:color w:val="auto"/>
              </w:rPr>
              <w:t>Total Current Liabilities</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jc w:val="right"/>
              <w:ind w:right="111"/>
              <w:spacing w:after="0" w:line="173" w:lineRule="exact"/>
              <w:rPr>
                <w:sz w:val="20"/>
                <w:szCs w:val="20"/>
                <w:color w:val="auto"/>
              </w:rPr>
            </w:pPr>
            <w:r>
              <w:rPr>
                <w:rFonts w:ascii="Arial" w:cs="Arial" w:eastAsia="Arial" w:hAnsi="Arial"/>
                <w:sz w:val="18"/>
                <w:szCs w:val="18"/>
                <w:b w:val="1"/>
                <w:bCs w:val="1"/>
                <w:color w:val="auto"/>
              </w:rPr>
              <w:t>863,516</w:t>
            </w:r>
          </w:p>
        </w:tc>
        <w:tc>
          <w:tcPr>
            <w:tcW w:w="340" w:type="dxa"/>
            <w:vAlign w:val="bottom"/>
          </w:tcPr>
          <w:p>
            <w:pPr>
              <w:spacing w:after="0"/>
              <w:rPr>
                <w:sz w:val="15"/>
                <w:szCs w:val="15"/>
                <w:color w:val="auto"/>
              </w:rPr>
            </w:pPr>
          </w:p>
        </w:tc>
        <w:tc>
          <w:tcPr>
            <w:tcW w:w="1200" w:type="dxa"/>
            <w:vAlign w:val="bottom"/>
          </w:tcPr>
          <w:p>
            <w:pPr>
              <w:jc w:val="right"/>
              <w:spacing w:after="0" w:line="173" w:lineRule="exact"/>
              <w:rPr>
                <w:sz w:val="20"/>
                <w:szCs w:val="20"/>
                <w:color w:val="auto"/>
              </w:rPr>
            </w:pPr>
            <w:r>
              <w:rPr>
                <w:rFonts w:ascii="Arial" w:cs="Arial" w:eastAsia="Arial" w:hAnsi="Arial"/>
                <w:sz w:val="18"/>
                <w:szCs w:val="18"/>
                <w:color w:val="auto"/>
              </w:rPr>
              <w:t>1,126,286</w:t>
            </w:r>
          </w:p>
        </w:tc>
        <w:tc>
          <w:tcPr>
            <w:tcW w:w="0" w:type="dxa"/>
            <w:vAlign w:val="bottom"/>
          </w:tcPr>
          <w:p>
            <w:pPr>
              <w:spacing w:after="0"/>
              <w:rPr>
                <w:sz w:val="1"/>
                <w:szCs w:val="1"/>
                <w:color w:val="auto"/>
              </w:rPr>
            </w:pPr>
          </w:p>
        </w:tc>
      </w:tr>
      <w:tr>
        <w:trPr>
          <w:trHeight w:val="203"/>
        </w:trPr>
        <w:tc>
          <w:tcPr>
            <w:tcW w:w="8240" w:type="dxa"/>
            <w:vAlign w:val="bottom"/>
          </w:tcPr>
          <w:p>
            <w:pPr>
              <w:spacing w:after="0" w:line="202" w:lineRule="exact"/>
              <w:rPr>
                <w:sz w:val="20"/>
                <w:szCs w:val="20"/>
                <w:color w:val="auto"/>
              </w:rPr>
            </w:pPr>
            <w:r>
              <w:rPr>
                <w:rFonts w:ascii="Arial" w:cs="Arial" w:eastAsia="Arial" w:hAnsi="Arial"/>
                <w:sz w:val="18"/>
                <w:szCs w:val="18"/>
                <w:b w:val="1"/>
                <w:bCs w:val="1"/>
                <w:color w:val="auto"/>
              </w:rPr>
              <w:t>Postretirement Benefits Other Than Pensions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right"/>
              <w:ind w:right="111"/>
              <w:spacing w:after="0" w:line="202" w:lineRule="exact"/>
              <w:rPr>
                <w:sz w:val="20"/>
                <w:szCs w:val="20"/>
                <w:color w:val="auto"/>
              </w:rPr>
            </w:pPr>
            <w:r>
              <w:rPr>
                <w:rFonts w:ascii="Arial" w:cs="Arial" w:eastAsia="Arial" w:hAnsi="Arial"/>
                <w:sz w:val="18"/>
                <w:szCs w:val="18"/>
                <w:b w:val="1"/>
                <w:bCs w:val="1"/>
                <w:color w:val="auto"/>
              </w:rPr>
              <w:t>61,369</w:t>
            </w:r>
          </w:p>
        </w:tc>
        <w:tc>
          <w:tcPr>
            <w:tcW w:w="3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59,949</w:t>
            </w:r>
          </w:p>
        </w:tc>
        <w:tc>
          <w:tcPr>
            <w:tcW w:w="0" w:type="dxa"/>
            <w:vAlign w:val="bottom"/>
          </w:tcPr>
          <w:p>
            <w:pPr>
              <w:spacing w:after="0"/>
              <w:rPr>
                <w:sz w:val="1"/>
                <w:szCs w:val="1"/>
                <w:color w:val="auto"/>
              </w:rPr>
            </w:pPr>
          </w:p>
        </w:tc>
      </w:tr>
      <w:tr>
        <w:trPr>
          <w:trHeight w:val="203"/>
        </w:trPr>
        <w:tc>
          <w:tcPr>
            <w:tcW w:w="8240" w:type="dxa"/>
            <w:vAlign w:val="bottom"/>
          </w:tcPr>
          <w:p>
            <w:pPr>
              <w:spacing w:after="0" w:line="202" w:lineRule="exact"/>
              <w:rPr>
                <w:sz w:val="20"/>
                <w:szCs w:val="20"/>
                <w:color w:val="auto"/>
              </w:rPr>
            </w:pPr>
            <w:r>
              <w:rPr>
                <w:rFonts w:ascii="Arial" w:cs="Arial" w:eastAsia="Arial" w:hAnsi="Arial"/>
                <w:sz w:val="18"/>
                <w:szCs w:val="18"/>
                <w:b w:val="1"/>
                <w:bCs w:val="1"/>
                <w:color w:val="auto"/>
              </w:rPr>
              <w:t>Accrued Compensation and Related Benefits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right"/>
              <w:ind w:right="111"/>
              <w:spacing w:after="0" w:line="202" w:lineRule="exact"/>
              <w:rPr>
                <w:sz w:val="20"/>
                <w:szCs w:val="20"/>
                <w:color w:val="auto"/>
              </w:rPr>
            </w:pPr>
            <w:r>
              <w:rPr>
                <w:rFonts w:ascii="Arial" w:cs="Arial" w:eastAsia="Arial" w:hAnsi="Arial"/>
                <w:sz w:val="18"/>
                <w:szCs w:val="18"/>
                <w:b w:val="1"/>
                <w:bCs w:val="1"/>
                <w:color w:val="auto"/>
              </w:rPr>
              <w:t>216,222</w:t>
            </w:r>
          </w:p>
        </w:tc>
        <w:tc>
          <w:tcPr>
            <w:tcW w:w="3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216,280</w:t>
            </w:r>
          </w:p>
        </w:tc>
        <w:tc>
          <w:tcPr>
            <w:tcW w:w="0" w:type="dxa"/>
            <w:vAlign w:val="bottom"/>
          </w:tcPr>
          <w:p>
            <w:pPr>
              <w:spacing w:after="0"/>
              <w:rPr>
                <w:sz w:val="1"/>
                <w:szCs w:val="1"/>
                <w:color w:val="auto"/>
              </w:rPr>
            </w:pPr>
          </w:p>
        </w:tc>
      </w:tr>
      <w:tr>
        <w:trPr>
          <w:trHeight w:val="203"/>
        </w:trPr>
        <w:tc>
          <w:tcPr>
            <w:tcW w:w="8240" w:type="dxa"/>
            <w:vAlign w:val="bottom"/>
          </w:tcPr>
          <w:p>
            <w:pPr>
              <w:spacing w:after="0" w:line="202" w:lineRule="exact"/>
              <w:rPr>
                <w:sz w:val="20"/>
                <w:szCs w:val="20"/>
                <w:color w:val="auto"/>
              </w:rPr>
            </w:pPr>
            <w:r>
              <w:rPr>
                <w:rFonts w:ascii="Arial" w:cs="Arial" w:eastAsia="Arial" w:hAnsi="Arial"/>
                <w:sz w:val="18"/>
                <w:szCs w:val="18"/>
                <w:b w:val="1"/>
                <w:bCs w:val="1"/>
                <w:color w:val="auto"/>
              </w:rPr>
              <w:t>Other Liabilities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right"/>
              <w:ind w:right="111"/>
              <w:spacing w:after="0" w:line="202" w:lineRule="exact"/>
              <w:rPr>
                <w:sz w:val="20"/>
                <w:szCs w:val="20"/>
                <w:color w:val="auto"/>
              </w:rPr>
            </w:pPr>
            <w:r>
              <w:rPr>
                <w:rFonts w:ascii="Arial" w:cs="Arial" w:eastAsia="Arial" w:hAnsi="Arial"/>
                <w:sz w:val="18"/>
                <w:szCs w:val="18"/>
                <w:b w:val="1"/>
                <w:bCs w:val="1"/>
                <w:color w:val="auto"/>
              </w:rPr>
              <w:t>102,837</w:t>
            </w:r>
          </w:p>
        </w:tc>
        <w:tc>
          <w:tcPr>
            <w:tcW w:w="3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109,774</w:t>
            </w:r>
          </w:p>
        </w:tc>
        <w:tc>
          <w:tcPr>
            <w:tcW w:w="0" w:type="dxa"/>
            <w:vAlign w:val="bottom"/>
          </w:tcPr>
          <w:p>
            <w:pPr>
              <w:spacing w:after="0"/>
              <w:rPr>
                <w:sz w:val="1"/>
                <w:szCs w:val="1"/>
                <w:color w:val="auto"/>
              </w:rPr>
            </w:pPr>
          </w:p>
        </w:tc>
      </w:tr>
      <w:tr>
        <w:trPr>
          <w:trHeight w:val="203"/>
        </w:trPr>
        <w:tc>
          <w:tcPr>
            <w:tcW w:w="8240" w:type="dxa"/>
            <w:vAlign w:val="bottom"/>
          </w:tcPr>
          <w:p>
            <w:pPr>
              <w:spacing w:after="0" w:line="202" w:lineRule="exact"/>
              <w:rPr>
                <w:sz w:val="20"/>
                <w:szCs w:val="20"/>
                <w:color w:val="auto"/>
              </w:rPr>
            </w:pPr>
            <w:r>
              <w:rPr>
                <w:rFonts w:ascii="Arial" w:cs="Arial" w:eastAsia="Arial" w:hAnsi="Arial"/>
                <w:sz w:val="18"/>
                <w:szCs w:val="18"/>
                <w:b w:val="1"/>
                <w:bCs w:val="1"/>
                <w:color w:val="auto"/>
              </w:rPr>
              <w:t>Deferred Income Taxes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right"/>
              <w:ind w:right="111"/>
              <w:spacing w:after="0" w:line="202" w:lineRule="exact"/>
              <w:rPr>
                <w:sz w:val="20"/>
                <w:szCs w:val="20"/>
                <w:color w:val="auto"/>
              </w:rPr>
            </w:pPr>
            <w:r>
              <w:rPr>
                <w:rFonts w:ascii="Arial" w:cs="Arial" w:eastAsia="Arial" w:hAnsi="Arial"/>
                <w:sz w:val="18"/>
                <w:szCs w:val="18"/>
                <w:b w:val="1"/>
                <w:bCs w:val="1"/>
                <w:color w:val="auto"/>
              </w:rPr>
              <w:t>531,384</w:t>
            </w:r>
          </w:p>
        </w:tc>
        <w:tc>
          <w:tcPr>
            <w:tcW w:w="3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529,427</w:t>
            </w:r>
          </w:p>
        </w:tc>
        <w:tc>
          <w:tcPr>
            <w:tcW w:w="0" w:type="dxa"/>
            <w:vAlign w:val="bottom"/>
          </w:tcPr>
          <w:p>
            <w:pPr>
              <w:spacing w:after="0"/>
              <w:rPr>
                <w:sz w:val="1"/>
                <w:szCs w:val="1"/>
                <w:color w:val="auto"/>
              </w:rPr>
            </w:pPr>
          </w:p>
        </w:tc>
      </w:tr>
      <w:tr>
        <w:trPr>
          <w:trHeight w:val="225"/>
        </w:trPr>
        <w:tc>
          <w:tcPr>
            <w:tcW w:w="8240" w:type="dxa"/>
            <w:vAlign w:val="bottom"/>
          </w:tcPr>
          <w:p>
            <w:pPr>
              <w:spacing w:after="0"/>
              <w:rPr>
                <w:sz w:val="20"/>
                <w:szCs w:val="20"/>
                <w:color w:val="auto"/>
              </w:rPr>
            </w:pPr>
            <w:r>
              <w:rPr>
                <w:rFonts w:ascii="Arial" w:cs="Arial" w:eastAsia="Arial" w:hAnsi="Arial"/>
                <w:sz w:val="18"/>
                <w:szCs w:val="18"/>
                <w:b w:val="1"/>
                <w:bCs w:val="1"/>
                <w:color w:val="auto"/>
              </w:rPr>
              <w:t>Long-Term Debt</w:t>
            </w: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b w:val="1"/>
                <w:bCs w:val="1"/>
                <w:color w:val="auto"/>
              </w:rPr>
              <w:t>446,904</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453,384</w:t>
            </w:r>
          </w:p>
        </w:tc>
        <w:tc>
          <w:tcPr>
            <w:tcW w:w="0" w:type="dxa"/>
            <w:vAlign w:val="bottom"/>
          </w:tcPr>
          <w:p>
            <w:pPr>
              <w:spacing w:after="0"/>
              <w:rPr>
                <w:sz w:val="1"/>
                <w:szCs w:val="1"/>
                <w:color w:val="auto"/>
              </w:rPr>
            </w:pPr>
          </w:p>
        </w:tc>
      </w:tr>
      <w:tr>
        <w:trPr>
          <w:trHeight w:val="196"/>
        </w:trPr>
        <w:tc>
          <w:tcPr>
            <w:tcW w:w="8240" w:type="dxa"/>
            <w:vAlign w:val="bottom"/>
          </w:tcPr>
          <w:p>
            <w:pPr>
              <w:ind w:left="460"/>
              <w:spacing w:after="0" w:line="196" w:lineRule="exact"/>
              <w:rPr>
                <w:sz w:val="20"/>
                <w:szCs w:val="20"/>
                <w:color w:val="auto"/>
              </w:rPr>
            </w:pPr>
            <w:r>
              <w:rPr>
                <w:rFonts w:ascii="Arial" w:cs="Arial" w:eastAsia="Arial" w:hAnsi="Arial"/>
                <w:sz w:val="18"/>
                <w:szCs w:val="18"/>
                <w:b w:val="1"/>
                <w:bCs w:val="1"/>
                <w:color w:val="auto"/>
              </w:rPr>
              <w:t>Total Liabilities</w:t>
            </w:r>
          </w:p>
        </w:tc>
        <w:tc>
          <w:tcPr>
            <w:tcW w:w="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111"/>
              <w:spacing w:after="0" w:line="196" w:lineRule="exact"/>
              <w:rPr>
                <w:sz w:val="20"/>
                <w:szCs w:val="20"/>
                <w:color w:val="auto"/>
              </w:rPr>
            </w:pPr>
            <w:r>
              <w:rPr>
                <w:rFonts w:ascii="Arial" w:cs="Arial" w:eastAsia="Arial" w:hAnsi="Arial"/>
                <w:sz w:val="18"/>
                <w:szCs w:val="18"/>
                <w:b w:val="1"/>
                <w:bCs w:val="1"/>
                <w:color w:val="auto"/>
              </w:rPr>
              <w:t>2,222,232</w:t>
            </w: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2,495,100</w:t>
            </w:r>
          </w:p>
        </w:tc>
        <w:tc>
          <w:tcPr>
            <w:tcW w:w="0" w:type="dxa"/>
            <w:vAlign w:val="bottom"/>
          </w:tcPr>
          <w:p>
            <w:pPr>
              <w:spacing w:after="0"/>
              <w:rPr>
                <w:sz w:val="1"/>
                <w:szCs w:val="1"/>
                <w:color w:val="auto"/>
              </w:rPr>
            </w:pPr>
          </w:p>
        </w:tc>
      </w:tr>
      <w:tr>
        <w:trPr>
          <w:trHeight w:val="173"/>
        </w:trPr>
        <w:tc>
          <w:tcPr>
            <w:tcW w:w="8240" w:type="dxa"/>
            <w:vAlign w:val="bottom"/>
          </w:tcPr>
          <w:p>
            <w:pPr>
              <w:spacing w:after="0" w:line="173" w:lineRule="exact"/>
              <w:rPr>
                <w:sz w:val="20"/>
                <w:szCs w:val="20"/>
                <w:color w:val="auto"/>
              </w:rPr>
            </w:pPr>
            <w:r>
              <w:rPr>
                <w:rFonts w:ascii="Arial" w:cs="Arial" w:eastAsia="Arial" w:hAnsi="Arial"/>
                <w:sz w:val="18"/>
                <w:szCs w:val="18"/>
                <w:b w:val="1"/>
                <w:bCs w:val="1"/>
                <w:color w:val="auto"/>
              </w:rPr>
              <w:t>Redeemable Noncontrolling Interest</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jc w:val="right"/>
              <w:ind w:right="111"/>
              <w:spacing w:after="0" w:line="173" w:lineRule="exact"/>
              <w:rPr>
                <w:sz w:val="20"/>
                <w:szCs w:val="20"/>
                <w:color w:val="auto"/>
              </w:rPr>
            </w:pPr>
            <w:r>
              <w:rPr>
                <w:rFonts w:ascii="Arial" w:cs="Arial" w:eastAsia="Arial" w:hAnsi="Arial"/>
                <w:sz w:val="18"/>
                <w:szCs w:val="18"/>
                <w:b w:val="1"/>
                <w:bCs w:val="1"/>
                <w:color w:val="auto"/>
              </w:rPr>
              <w:t>6,012</w:t>
            </w:r>
          </w:p>
        </w:tc>
        <w:tc>
          <w:tcPr>
            <w:tcW w:w="340" w:type="dxa"/>
            <w:vAlign w:val="bottom"/>
          </w:tcPr>
          <w:p>
            <w:pPr>
              <w:spacing w:after="0"/>
              <w:rPr>
                <w:sz w:val="15"/>
                <w:szCs w:val="15"/>
                <w:color w:val="auto"/>
              </w:rPr>
            </w:pPr>
          </w:p>
        </w:tc>
        <w:tc>
          <w:tcPr>
            <w:tcW w:w="1200" w:type="dxa"/>
            <w:vAlign w:val="bottom"/>
          </w:tcPr>
          <w:p>
            <w:pPr>
              <w:jc w:val="right"/>
              <w:spacing w:after="0" w:line="173" w:lineRule="exact"/>
              <w:rPr>
                <w:sz w:val="20"/>
                <w:szCs w:val="20"/>
                <w:color w:val="auto"/>
              </w:rPr>
            </w:pPr>
            <w:r>
              <w:rPr>
                <w:rFonts w:ascii="Arial" w:cs="Arial" w:eastAsia="Arial" w:hAnsi="Arial"/>
                <w:sz w:val="18"/>
                <w:szCs w:val="18"/>
                <w:color w:val="auto"/>
              </w:rPr>
              <w:t>12,655</w:t>
            </w:r>
          </w:p>
        </w:tc>
        <w:tc>
          <w:tcPr>
            <w:tcW w:w="0" w:type="dxa"/>
            <w:vAlign w:val="bottom"/>
          </w:tcPr>
          <w:p>
            <w:pPr>
              <w:spacing w:after="0"/>
              <w:rPr>
                <w:sz w:val="1"/>
                <w:szCs w:val="1"/>
                <w:color w:val="auto"/>
              </w:rPr>
            </w:pPr>
          </w:p>
        </w:tc>
      </w:tr>
      <w:tr>
        <w:trPr>
          <w:trHeight w:val="225"/>
        </w:trPr>
        <w:tc>
          <w:tcPr>
            <w:tcW w:w="8240" w:type="dxa"/>
            <w:vAlign w:val="bottom"/>
          </w:tcPr>
          <w:p>
            <w:pPr>
              <w:spacing w:after="0"/>
              <w:rPr>
                <w:sz w:val="20"/>
                <w:szCs w:val="20"/>
                <w:color w:val="auto"/>
              </w:rPr>
            </w:pPr>
            <w:r>
              <w:rPr>
                <w:rFonts w:ascii="Arial" w:cs="Arial" w:eastAsia="Arial" w:hAnsi="Arial"/>
                <w:sz w:val="18"/>
                <w:szCs w:val="18"/>
                <w:b w:val="1"/>
                <w:bCs w:val="1"/>
                <w:color w:val="auto"/>
              </w:rPr>
              <w:t>Redeemable Preferred Stock</w:t>
            </w: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b w:val="1"/>
                <w:bCs w:val="1"/>
                <w:color w:val="auto"/>
              </w:rPr>
              <w:t>10,665</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11,096</w:t>
            </w:r>
          </w:p>
        </w:tc>
        <w:tc>
          <w:tcPr>
            <w:tcW w:w="0" w:type="dxa"/>
            <w:vAlign w:val="bottom"/>
          </w:tcPr>
          <w:p>
            <w:pPr>
              <w:spacing w:after="0"/>
              <w:rPr>
                <w:sz w:val="1"/>
                <w:szCs w:val="1"/>
                <w:color w:val="auto"/>
              </w:rPr>
            </w:pPr>
          </w:p>
        </w:tc>
      </w:tr>
      <w:tr>
        <w:trPr>
          <w:trHeight w:val="196"/>
        </w:trPr>
        <w:tc>
          <w:tcPr>
            <w:tcW w:w="8240" w:type="dxa"/>
            <w:vAlign w:val="bottom"/>
          </w:tcPr>
          <w:p>
            <w:pPr>
              <w:spacing w:after="0" w:line="196" w:lineRule="exact"/>
              <w:rPr>
                <w:sz w:val="20"/>
                <w:szCs w:val="20"/>
                <w:color w:val="auto"/>
              </w:rPr>
            </w:pPr>
            <w:r>
              <w:rPr>
                <w:rFonts w:ascii="Arial" w:cs="Arial" w:eastAsia="Arial" w:hAnsi="Arial"/>
                <w:sz w:val="18"/>
                <w:szCs w:val="18"/>
                <w:b w:val="1"/>
                <w:bCs w:val="1"/>
                <w:color w:val="auto"/>
              </w:rPr>
              <w:t>Preferred Stock</w:t>
            </w:r>
          </w:p>
        </w:tc>
        <w:tc>
          <w:tcPr>
            <w:tcW w:w="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111"/>
              <w:spacing w:after="0" w:line="196" w:lineRule="exact"/>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5"/>
        </w:trPr>
        <w:tc>
          <w:tcPr>
            <w:tcW w:w="8240" w:type="dxa"/>
            <w:vAlign w:val="bottom"/>
          </w:tcPr>
          <w:p>
            <w:pPr>
              <w:spacing w:after="0" w:line="195" w:lineRule="exact"/>
              <w:rPr>
                <w:sz w:val="20"/>
                <w:szCs w:val="20"/>
                <w:color w:val="auto"/>
              </w:rPr>
            </w:pPr>
            <w:r>
              <w:rPr>
                <w:rFonts w:ascii="Arial" w:cs="Arial" w:eastAsia="Arial" w:hAnsi="Arial"/>
                <w:sz w:val="18"/>
                <w:szCs w:val="18"/>
                <w:b w:val="1"/>
                <w:bCs w:val="1"/>
                <w:color w:val="auto"/>
              </w:rPr>
              <w:t>Common Stockholders’ Equity</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vMerge w:val="restart"/>
          </w:tcPr>
          <w:p>
            <w:pPr>
              <w:jc w:val="right"/>
              <w:ind w:right="111"/>
              <w:spacing w:after="0"/>
              <w:rPr>
                <w:sz w:val="20"/>
                <w:szCs w:val="20"/>
                <w:color w:val="auto"/>
              </w:rPr>
            </w:pPr>
            <w:r>
              <w:rPr>
                <w:rFonts w:ascii="Arial" w:cs="Arial" w:eastAsia="Arial" w:hAnsi="Arial"/>
                <w:sz w:val="18"/>
                <w:szCs w:val="18"/>
                <w:b w:val="1"/>
                <w:bCs w:val="1"/>
                <w:color w:val="auto"/>
              </w:rPr>
              <w:t>20,000</w:t>
            </w: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8240" w:type="dxa"/>
            <w:vAlign w:val="bottom"/>
          </w:tcPr>
          <w:p>
            <w:pPr>
              <w:ind w:left="240"/>
              <w:spacing w:after="0" w:line="181" w:lineRule="exact"/>
              <w:rPr>
                <w:sz w:val="20"/>
                <w:szCs w:val="20"/>
                <w:color w:val="auto"/>
              </w:rPr>
            </w:pPr>
            <w:r>
              <w:rPr>
                <w:rFonts w:ascii="Arial" w:cs="Arial" w:eastAsia="Arial" w:hAnsi="Arial"/>
                <w:sz w:val="18"/>
                <w:szCs w:val="18"/>
                <w:color w:val="auto"/>
              </w:rPr>
              <w:t>Common stock</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jc w:val="right"/>
              <w:spacing w:after="0" w:line="181" w:lineRule="exact"/>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03"/>
        </w:trPr>
        <w:tc>
          <w:tcPr>
            <w:tcW w:w="8240" w:type="dxa"/>
            <w:vAlign w:val="bottom"/>
          </w:tcPr>
          <w:p>
            <w:pPr>
              <w:ind w:left="240"/>
              <w:spacing w:after="0" w:line="202" w:lineRule="exact"/>
              <w:rPr>
                <w:sz w:val="20"/>
                <w:szCs w:val="20"/>
                <w:color w:val="auto"/>
              </w:rPr>
            </w:pPr>
            <w:r>
              <w:rPr>
                <w:rFonts w:ascii="Arial" w:cs="Arial" w:eastAsia="Arial" w:hAnsi="Arial"/>
                <w:sz w:val="18"/>
                <w:szCs w:val="18"/>
                <w:color w:val="auto"/>
              </w:rPr>
              <w:t>Capital in excess of par value</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right"/>
              <w:ind w:right="111"/>
              <w:spacing w:after="0" w:line="202" w:lineRule="exact"/>
              <w:rPr>
                <w:sz w:val="20"/>
                <w:szCs w:val="20"/>
                <w:color w:val="auto"/>
              </w:rPr>
            </w:pPr>
            <w:r>
              <w:rPr>
                <w:rFonts w:ascii="Arial" w:cs="Arial" w:eastAsia="Arial" w:hAnsi="Arial"/>
                <w:sz w:val="18"/>
                <w:szCs w:val="18"/>
                <w:b w:val="1"/>
                <w:bCs w:val="1"/>
                <w:color w:val="auto"/>
              </w:rPr>
              <w:t>252,767</w:t>
            </w:r>
          </w:p>
        </w:tc>
        <w:tc>
          <w:tcPr>
            <w:tcW w:w="3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240,746</w:t>
            </w:r>
          </w:p>
        </w:tc>
        <w:tc>
          <w:tcPr>
            <w:tcW w:w="0" w:type="dxa"/>
            <w:vAlign w:val="bottom"/>
          </w:tcPr>
          <w:p>
            <w:pPr>
              <w:spacing w:after="0"/>
              <w:rPr>
                <w:sz w:val="1"/>
                <w:szCs w:val="1"/>
                <w:color w:val="auto"/>
              </w:rPr>
            </w:pPr>
          </w:p>
        </w:tc>
      </w:tr>
      <w:tr>
        <w:trPr>
          <w:trHeight w:val="225"/>
        </w:trPr>
        <w:tc>
          <w:tcPr>
            <w:tcW w:w="8240" w:type="dxa"/>
            <w:vAlign w:val="bottom"/>
          </w:tcPr>
          <w:p>
            <w:pPr>
              <w:ind w:left="240"/>
              <w:spacing w:after="0"/>
              <w:rPr>
                <w:sz w:val="20"/>
                <w:szCs w:val="20"/>
                <w:color w:val="auto"/>
              </w:rPr>
            </w:pPr>
            <w:r>
              <w:rPr>
                <w:rFonts w:ascii="Arial" w:cs="Arial" w:eastAsia="Arial" w:hAnsi="Arial"/>
                <w:sz w:val="18"/>
                <w:szCs w:val="18"/>
                <w:color w:val="auto"/>
              </w:rPr>
              <w:t>Retained earnings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ind w:right="111"/>
              <w:spacing w:after="0"/>
              <w:rPr>
                <w:sz w:val="20"/>
                <w:szCs w:val="20"/>
                <w:color w:val="auto"/>
              </w:rPr>
            </w:pPr>
            <w:r>
              <w:rPr>
                <w:rFonts w:ascii="Arial" w:cs="Arial" w:eastAsia="Arial" w:hAnsi="Arial"/>
                <w:sz w:val="18"/>
                <w:szCs w:val="18"/>
                <w:b w:val="1"/>
                <w:bCs w:val="1"/>
                <w:color w:val="auto"/>
              </w:rPr>
              <w:t>4,596,167</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4,546,775</w:t>
            </w:r>
          </w:p>
        </w:tc>
        <w:tc>
          <w:tcPr>
            <w:tcW w:w="0" w:type="dxa"/>
            <w:vAlign w:val="bottom"/>
          </w:tcPr>
          <w:p>
            <w:pPr>
              <w:spacing w:after="0"/>
              <w:rPr>
                <w:sz w:val="1"/>
                <w:szCs w:val="1"/>
                <w:color w:val="auto"/>
              </w:rPr>
            </w:pPr>
          </w:p>
        </w:tc>
      </w:tr>
      <w:tr>
        <w:trPr>
          <w:trHeight w:val="203"/>
        </w:trPr>
        <w:tc>
          <w:tcPr>
            <w:tcW w:w="8240" w:type="dxa"/>
            <w:vAlign w:val="bottom"/>
          </w:tcPr>
          <w:p>
            <w:pPr>
              <w:ind w:left="240"/>
              <w:spacing w:after="0" w:line="202" w:lineRule="exact"/>
              <w:rPr>
                <w:sz w:val="20"/>
                <w:szCs w:val="20"/>
                <w:color w:val="auto"/>
              </w:rPr>
            </w:pPr>
            <w:r>
              <w:rPr>
                <w:rFonts w:ascii="Arial" w:cs="Arial" w:eastAsia="Arial" w:hAnsi="Arial"/>
                <w:sz w:val="18"/>
                <w:szCs w:val="18"/>
                <w:color w:val="auto"/>
              </w:rPr>
              <w:t>Accumulated other comprehensive income, net of tax</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vMerge w:val="restart"/>
          </w:tcPr>
          <w:p>
            <w:pPr>
              <w:jc w:val="right"/>
              <w:ind w:right="111"/>
              <w:spacing w:after="0"/>
              <w:rPr>
                <w:sz w:val="20"/>
                <w:szCs w:val="20"/>
                <w:color w:val="auto"/>
              </w:rPr>
            </w:pPr>
            <w:r>
              <w:rPr>
                <w:rFonts w:ascii="Arial" w:cs="Arial" w:eastAsia="Arial" w:hAnsi="Arial"/>
                <w:sz w:val="18"/>
                <w:szCs w:val="18"/>
                <w:b w:val="1"/>
                <w:bCs w:val="1"/>
                <w:color w:val="auto"/>
              </w:rPr>
              <w:t>18,372</w:t>
            </w: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8240" w:type="dxa"/>
            <w:vAlign w:val="bottom"/>
          </w:tcPr>
          <w:p>
            <w:pPr>
              <w:ind w:left="460"/>
              <w:spacing w:after="0" w:line="181" w:lineRule="exact"/>
              <w:rPr>
                <w:sz w:val="20"/>
                <w:szCs w:val="20"/>
                <w:color w:val="auto"/>
              </w:rPr>
            </w:pPr>
            <w:r>
              <w:rPr>
                <w:rFonts w:ascii="Arial" w:cs="Arial" w:eastAsia="Arial" w:hAnsi="Arial"/>
                <w:sz w:val="18"/>
                <w:szCs w:val="18"/>
                <w:color w:val="auto"/>
              </w:rPr>
              <w:t>Cumulative foreign currency translation adjustment</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jc w:val="right"/>
              <w:spacing w:after="0" w:line="181" w:lineRule="exact"/>
              <w:rPr>
                <w:sz w:val="20"/>
                <w:szCs w:val="20"/>
                <w:color w:val="auto"/>
              </w:rPr>
            </w:pPr>
            <w:r>
              <w:rPr>
                <w:rFonts w:ascii="Arial" w:cs="Arial" w:eastAsia="Arial" w:hAnsi="Arial"/>
                <w:sz w:val="18"/>
                <w:szCs w:val="18"/>
                <w:color w:val="auto"/>
              </w:rPr>
              <w:t>26,072</w:t>
            </w:r>
          </w:p>
        </w:tc>
        <w:tc>
          <w:tcPr>
            <w:tcW w:w="0" w:type="dxa"/>
            <w:vAlign w:val="bottom"/>
          </w:tcPr>
          <w:p>
            <w:pPr>
              <w:spacing w:after="0"/>
              <w:rPr>
                <w:sz w:val="1"/>
                <w:szCs w:val="1"/>
                <w:color w:val="auto"/>
              </w:rPr>
            </w:pPr>
          </w:p>
        </w:tc>
      </w:tr>
      <w:tr>
        <w:trPr>
          <w:trHeight w:val="203"/>
        </w:trPr>
        <w:tc>
          <w:tcPr>
            <w:tcW w:w="8240" w:type="dxa"/>
            <w:vAlign w:val="bottom"/>
          </w:tcPr>
          <w:p>
            <w:pPr>
              <w:ind w:left="460"/>
              <w:spacing w:after="0" w:line="202" w:lineRule="exact"/>
              <w:rPr>
                <w:sz w:val="20"/>
                <w:szCs w:val="20"/>
                <w:color w:val="auto"/>
              </w:rPr>
            </w:pPr>
            <w:r>
              <w:rPr>
                <w:rFonts w:ascii="Arial" w:cs="Arial" w:eastAsia="Arial" w:hAnsi="Arial"/>
                <w:sz w:val="18"/>
                <w:szCs w:val="18"/>
                <w:color w:val="auto"/>
              </w:rPr>
              <w:t>Unrealized gain on available-for-sale securities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right"/>
              <w:ind w:right="111"/>
              <w:spacing w:after="0" w:line="202" w:lineRule="exact"/>
              <w:rPr>
                <w:sz w:val="20"/>
                <w:szCs w:val="20"/>
                <w:color w:val="auto"/>
              </w:rPr>
            </w:pPr>
            <w:r>
              <w:rPr>
                <w:rFonts w:ascii="Arial" w:cs="Arial" w:eastAsia="Arial" w:hAnsi="Arial"/>
                <w:sz w:val="18"/>
                <w:szCs w:val="18"/>
                <w:b w:val="1"/>
                <w:bCs w:val="1"/>
                <w:color w:val="auto"/>
              </w:rPr>
              <w:t>158,323</w:t>
            </w:r>
          </w:p>
        </w:tc>
        <w:tc>
          <w:tcPr>
            <w:tcW w:w="3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110,553</w:t>
            </w:r>
          </w:p>
        </w:tc>
        <w:tc>
          <w:tcPr>
            <w:tcW w:w="0" w:type="dxa"/>
            <w:vAlign w:val="bottom"/>
          </w:tcPr>
          <w:p>
            <w:pPr>
              <w:spacing w:after="0"/>
              <w:rPr>
                <w:sz w:val="1"/>
                <w:szCs w:val="1"/>
                <w:color w:val="auto"/>
              </w:rPr>
            </w:pPr>
          </w:p>
        </w:tc>
      </w:tr>
      <w:tr>
        <w:trPr>
          <w:trHeight w:val="203"/>
        </w:trPr>
        <w:tc>
          <w:tcPr>
            <w:tcW w:w="8240" w:type="dxa"/>
            <w:vAlign w:val="bottom"/>
          </w:tcPr>
          <w:p>
            <w:pPr>
              <w:ind w:left="460"/>
              <w:spacing w:after="0" w:line="202" w:lineRule="exact"/>
              <w:rPr>
                <w:sz w:val="20"/>
                <w:szCs w:val="20"/>
                <w:color w:val="auto"/>
              </w:rPr>
            </w:pPr>
            <w:r>
              <w:rPr>
                <w:rFonts w:ascii="Arial" w:cs="Arial" w:eastAsia="Arial" w:hAnsi="Arial"/>
                <w:sz w:val="18"/>
                <w:szCs w:val="18"/>
                <w:color w:val="auto"/>
              </w:rPr>
              <w:t>Unrealized gain on pensions and other postretirement plans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right"/>
              <w:ind w:right="111"/>
              <w:spacing w:after="0" w:line="202" w:lineRule="exact"/>
              <w:rPr>
                <w:sz w:val="20"/>
                <w:szCs w:val="20"/>
                <w:color w:val="auto"/>
              </w:rPr>
            </w:pPr>
            <w:r>
              <w:rPr>
                <w:rFonts w:ascii="Arial" w:cs="Arial" w:eastAsia="Arial" w:hAnsi="Arial"/>
                <w:sz w:val="18"/>
                <w:szCs w:val="18"/>
                <w:b w:val="1"/>
                <w:bCs w:val="1"/>
                <w:color w:val="auto"/>
              </w:rPr>
              <w:t>117,186</w:t>
            </w:r>
          </w:p>
        </w:tc>
        <w:tc>
          <w:tcPr>
            <w:tcW w:w="3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117,169</w:t>
            </w:r>
          </w:p>
        </w:tc>
        <w:tc>
          <w:tcPr>
            <w:tcW w:w="0" w:type="dxa"/>
            <w:vAlign w:val="bottom"/>
          </w:tcPr>
          <w:p>
            <w:pPr>
              <w:spacing w:after="0"/>
              <w:rPr>
                <w:sz w:val="1"/>
                <w:szCs w:val="1"/>
                <w:color w:val="auto"/>
              </w:rPr>
            </w:pPr>
          </w:p>
        </w:tc>
      </w:tr>
      <w:tr>
        <w:trPr>
          <w:trHeight w:val="203"/>
        </w:trPr>
        <w:tc>
          <w:tcPr>
            <w:tcW w:w="8240" w:type="dxa"/>
            <w:vAlign w:val="bottom"/>
          </w:tcPr>
          <w:p>
            <w:pPr>
              <w:ind w:left="460"/>
              <w:spacing w:after="0" w:line="202" w:lineRule="exact"/>
              <w:rPr>
                <w:sz w:val="20"/>
                <w:szCs w:val="20"/>
                <w:color w:val="auto"/>
              </w:rPr>
            </w:pPr>
            <w:r>
              <w:rPr>
                <w:rFonts w:ascii="Arial" w:cs="Arial" w:eastAsia="Arial" w:hAnsi="Arial"/>
                <w:sz w:val="18"/>
                <w:szCs w:val="18"/>
                <w:color w:val="auto"/>
              </w:rPr>
              <w:t>Cash flow hedge</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right"/>
              <w:ind w:right="111"/>
              <w:spacing w:after="0" w:line="202" w:lineRule="exact"/>
              <w:rPr>
                <w:sz w:val="20"/>
                <w:szCs w:val="20"/>
                <w:color w:val="auto"/>
              </w:rPr>
            </w:pPr>
            <w:r>
              <w:rPr>
                <w:rFonts w:ascii="Arial" w:cs="Arial" w:eastAsia="Arial" w:hAnsi="Arial"/>
                <w:sz w:val="18"/>
                <w:szCs w:val="18"/>
                <w:b w:val="1"/>
                <w:bCs w:val="1"/>
                <w:color w:val="auto"/>
              </w:rPr>
              <w:t>(794)</w:t>
            </w:r>
          </w:p>
        </w:tc>
        <w:tc>
          <w:tcPr>
            <w:tcW w:w="3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(940)</w:t>
            </w:r>
          </w:p>
        </w:tc>
        <w:tc>
          <w:tcPr>
            <w:tcW w:w="0" w:type="dxa"/>
            <w:vAlign w:val="bottom"/>
          </w:tcPr>
          <w:p>
            <w:pPr>
              <w:spacing w:after="0"/>
              <w:rPr>
                <w:sz w:val="1"/>
                <w:szCs w:val="1"/>
                <w:color w:val="auto"/>
              </w:rPr>
            </w:pPr>
          </w:p>
        </w:tc>
      </w:tr>
      <w:tr>
        <w:trPr>
          <w:trHeight w:val="225"/>
        </w:trPr>
        <w:tc>
          <w:tcPr>
            <w:tcW w:w="8240" w:type="dxa"/>
            <w:vAlign w:val="bottom"/>
          </w:tcPr>
          <w:p>
            <w:pPr>
              <w:ind w:left="240"/>
              <w:spacing w:after="0"/>
              <w:rPr>
                <w:sz w:val="20"/>
                <w:szCs w:val="20"/>
                <w:color w:val="auto"/>
              </w:rPr>
            </w:pPr>
            <w:r>
              <w:rPr>
                <w:rFonts w:ascii="Arial" w:cs="Arial" w:eastAsia="Arial" w:hAnsi="Arial"/>
                <w:sz w:val="18"/>
                <w:szCs w:val="18"/>
                <w:color w:val="auto"/>
              </w:rPr>
              <w:t>Cost of Class B common stock held in treasury</w:t>
            </w: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b w:val="1"/>
                <w:bCs w:val="1"/>
                <w:color w:val="auto"/>
              </w:rPr>
              <w:t>(2,477,248)</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(2,474,347)</w:t>
            </w:r>
          </w:p>
        </w:tc>
        <w:tc>
          <w:tcPr>
            <w:tcW w:w="0" w:type="dxa"/>
            <w:vAlign w:val="bottom"/>
          </w:tcPr>
          <w:p>
            <w:pPr>
              <w:spacing w:after="0"/>
              <w:rPr>
                <w:sz w:val="1"/>
                <w:szCs w:val="1"/>
                <w:color w:val="auto"/>
              </w:rPr>
            </w:pPr>
          </w:p>
        </w:tc>
      </w:tr>
      <w:tr>
        <w:trPr>
          <w:trHeight w:val="196"/>
        </w:trPr>
        <w:tc>
          <w:tcPr>
            <w:tcW w:w="8240" w:type="dxa"/>
            <w:vAlign w:val="bottom"/>
          </w:tcPr>
          <w:p>
            <w:pPr>
              <w:ind w:left="460"/>
              <w:spacing w:after="0" w:line="196" w:lineRule="exact"/>
              <w:rPr>
                <w:sz w:val="20"/>
                <w:szCs w:val="20"/>
                <w:color w:val="auto"/>
              </w:rPr>
            </w:pPr>
            <w:r>
              <w:rPr>
                <w:rFonts w:ascii="Arial" w:cs="Arial" w:eastAsia="Arial" w:hAnsi="Arial"/>
                <w:sz w:val="18"/>
                <w:szCs w:val="18"/>
                <w:b w:val="1"/>
                <w:bCs w:val="1"/>
                <w:color w:val="auto"/>
              </w:rPr>
              <w:t>Total Common Stockholders’ Equity</w:t>
            </w:r>
          </w:p>
        </w:tc>
        <w:tc>
          <w:tcPr>
            <w:tcW w:w="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111"/>
              <w:spacing w:after="0" w:line="196" w:lineRule="exact"/>
              <w:rPr>
                <w:sz w:val="20"/>
                <w:szCs w:val="20"/>
                <w:color w:val="auto"/>
              </w:rPr>
            </w:pPr>
            <w:r>
              <w:rPr>
                <w:rFonts w:ascii="Arial" w:cs="Arial" w:eastAsia="Arial" w:hAnsi="Arial"/>
                <w:sz w:val="18"/>
                <w:szCs w:val="18"/>
                <w:b w:val="1"/>
                <w:bCs w:val="1"/>
                <w:color w:val="auto"/>
              </w:rPr>
              <w:t>2,684,773</w:t>
            </w: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2,586,028</w:t>
            </w:r>
          </w:p>
        </w:tc>
        <w:tc>
          <w:tcPr>
            <w:tcW w:w="0" w:type="dxa"/>
            <w:vAlign w:val="bottom"/>
          </w:tcPr>
          <w:p>
            <w:pPr>
              <w:spacing w:after="0"/>
              <w:rPr>
                <w:sz w:val="1"/>
                <w:szCs w:val="1"/>
                <w:color w:val="auto"/>
              </w:rPr>
            </w:pPr>
          </w:p>
        </w:tc>
      </w:tr>
      <w:tr>
        <w:trPr>
          <w:trHeight w:val="196"/>
        </w:trPr>
        <w:tc>
          <w:tcPr>
            <w:tcW w:w="8240" w:type="dxa"/>
            <w:vAlign w:val="bottom"/>
          </w:tcPr>
          <w:p>
            <w:pPr>
              <w:spacing w:after="0" w:line="196" w:lineRule="exact"/>
              <w:rPr>
                <w:sz w:val="20"/>
                <w:szCs w:val="20"/>
                <w:color w:val="auto"/>
              </w:rPr>
            </w:pPr>
            <w:r>
              <w:rPr>
                <w:rFonts w:ascii="Arial" w:cs="Arial" w:eastAsia="Arial" w:hAnsi="Arial"/>
                <w:sz w:val="18"/>
                <w:szCs w:val="18"/>
                <w:color w:val="auto"/>
              </w:rPr>
              <w:t>Noncontrolling Interests</w:t>
            </w:r>
          </w:p>
        </w:tc>
        <w:tc>
          <w:tcPr>
            <w:tcW w:w="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111"/>
              <w:spacing w:after="0" w:line="196" w:lineRule="exact"/>
              <w:rPr>
                <w:sz w:val="20"/>
                <w:szCs w:val="20"/>
                <w:color w:val="auto"/>
              </w:rPr>
            </w:pPr>
            <w:r>
              <w:rPr>
                <w:rFonts w:ascii="Arial" w:cs="Arial" w:eastAsia="Arial" w:hAnsi="Arial"/>
                <w:sz w:val="18"/>
                <w:szCs w:val="18"/>
                <w:b w:val="1"/>
                <w:bCs w:val="1"/>
                <w:color w:val="auto"/>
              </w:rPr>
              <w:t>338</w:t>
            </w: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196"/>
        </w:trPr>
        <w:tc>
          <w:tcPr>
            <w:tcW w:w="8240" w:type="dxa"/>
            <w:vAlign w:val="bottom"/>
          </w:tcPr>
          <w:p>
            <w:pPr>
              <w:ind w:left="460"/>
              <w:spacing w:after="0" w:line="196" w:lineRule="exact"/>
              <w:rPr>
                <w:sz w:val="20"/>
                <w:szCs w:val="20"/>
                <w:color w:val="auto"/>
              </w:rPr>
            </w:pPr>
            <w:r>
              <w:rPr>
                <w:rFonts w:ascii="Arial" w:cs="Arial" w:eastAsia="Arial" w:hAnsi="Arial"/>
                <w:sz w:val="18"/>
                <w:szCs w:val="18"/>
                <w:b w:val="1"/>
                <w:bCs w:val="1"/>
                <w:color w:val="auto"/>
              </w:rPr>
              <w:t>Total Equity</w:t>
            </w:r>
          </w:p>
        </w:tc>
        <w:tc>
          <w:tcPr>
            <w:tcW w:w="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111"/>
              <w:spacing w:after="0" w:line="196" w:lineRule="exact"/>
              <w:rPr>
                <w:sz w:val="20"/>
                <w:szCs w:val="20"/>
                <w:color w:val="auto"/>
              </w:rPr>
            </w:pPr>
            <w:r>
              <w:rPr>
                <w:rFonts w:ascii="Arial" w:cs="Arial" w:eastAsia="Arial" w:hAnsi="Arial"/>
                <w:sz w:val="18"/>
                <w:szCs w:val="18"/>
                <w:b w:val="1"/>
                <w:bCs w:val="1"/>
                <w:color w:val="auto"/>
              </w:rPr>
              <w:t>2,685,111</w:t>
            </w: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2,586,218</w:t>
            </w:r>
          </w:p>
        </w:tc>
        <w:tc>
          <w:tcPr>
            <w:tcW w:w="0" w:type="dxa"/>
            <w:vAlign w:val="bottom"/>
          </w:tcPr>
          <w:p>
            <w:pPr>
              <w:spacing w:after="0"/>
              <w:rPr>
                <w:sz w:val="1"/>
                <w:szCs w:val="1"/>
                <w:color w:val="auto"/>
              </w:rPr>
            </w:pPr>
          </w:p>
        </w:tc>
      </w:tr>
      <w:tr>
        <w:trPr>
          <w:trHeight w:val="196"/>
        </w:trPr>
        <w:tc>
          <w:tcPr>
            <w:tcW w:w="8240" w:type="dxa"/>
            <w:vAlign w:val="bottom"/>
          </w:tcPr>
          <w:p>
            <w:pPr>
              <w:ind w:left="700"/>
              <w:spacing w:after="0" w:line="196" w:lineRule="exact"/>
              <w:rPr>
                <w:sz w:val="20"/>
                <w:szCs w:val="20"/>
                <w:color w:val="auto"/>
              </w:rPr>
            </w:pPr>
            <w:r>
              <w:rPr>
                <w:rFonts w:ascii="Arial" w:cs="Arial" w:eastAsia="Arial" w:hAnsi="Arial"/>
                <w:sz w:val="18"/>
                <w:szCs w:val="18"/>
                <w:b w:val="1"/>
                <w:bCs w:val="1"/>
                <w:color w:val="auto"/>
              </w:rPr>
              <w:t>Total Liabilities and Equity</w:t>
            </w: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1400" w:type="dxa"/>
            <w:vAlign w:val="bottom"/>
            <w:tcBorders>
              <w:bottom w:val="single" w:sz="8" w:color="auto"/>
            </w:tcBorders>
          </w:tcPr>
          <w:p>
            <w:pPr>
              <w:jc w:val="right"/>
              <w:ind w:right="111"/>
              <w:spacing w:after="0" w:line="196" w:lineRule="exact"/>
              <w:rPr>
                <w:sz w:val="20"/>
                <w:szCs w:val="20"/>
                <w:color w:val="auto"/>
              </w:rPr>
            </w:pPr>
            <w:r>
              <w:rPr>
                <w:rFonts w:ascii="Arial" w:cs="Arial" w:eastAsia="Arial" w:hAnsi="Arial"/>
                <w:sz w:val="18"/>
                <w:szCs w:val="18"/>
                <w:b w:val="1"/>
                <w:bCs w:val="1"/>
                <w:color w:val="auto"/>
              </w:rPr>
              <w:t>4,924,020</w:t>
            </w:r>
          </w:p>
        </w:tc>
        <w:tc>
          <w:tcPr>
            <w:tcW w:w="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5,105,069</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846"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THE WASHINGTON POST COMPANY</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60" w:type="dxa"/>
            <w:vAlign w:val="bottom"/>
            <w:gridSpan w:val="3"/>
          </w:tcPr>
          <w:p>
            <w:pPr>
              <w:jc w:val="right"/>
              <w:ind w:right="63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0"/>
        </w:trPr>
        <w:tc>
          <w:tcPr>
            <w:tcW w:w="88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88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thousands)</w:t>
            </w:r>
          </w:p>
        </w:tc>
        <w:tc>
          <w:tcPr>
            <w:tcW w:w="3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732"/>
              <w:spacing w:after="0"/>
              <w:rPr>
                <w:sz w:val="20"/>
                <w:szCs w:val="20"/>
                <w:color w:val="auto"/>
              </w:rPr>
            </w:pPr>
            <w:r>
              <w:rPr>
                <w:rFonts w:ascii="Arial" w:cs="Arial" w:eastAsia="Arial" w:hAnsi="Arial"/>
                <w:sz w:val="14"/>
                <w:szCs w:val="14"/>
                <w:b w:val="1"/>
                <w:bCs w:val="1"/>
                <w:color w:val="auto"/>
              </w:rPr>
              <w:t>2013</w:t>
            </w: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173"/>
        </w:trPr>
        <w:tc>
          <w:tcPr>
            <w:tcW w:w="8820" w:type="dxa"/>
            <w:vAlign w:val="bottom"/>
          </w:tcPr>
          <w:p>
            <w:pPr>
              <w:spacing w:after="0" w:line="173" w:lineRule="exact"/>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882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272"/>
              <w:spacing w:after="0"/>
              <w:rPr>
                <w:sz w:val="20"/>
                <w:szCs w:val="20"/>
                <w:color w:val="auto"/>
              </w:rPr>
            </w:pPr>
            <w:r>
              <w:rPr>
                <w:rFonts w:ascii="Arial" w:cs="Arial" w:eastAsia="Arial" w:hAnsi="Arial"/>
                <w:sz w:val="18"/>
                <w:szCs w:val="18"/>
                <w:b w:val="1"/>
                <w:bCs w:val="1"/>
                <w:color w:val="auto"/>
              </w:rPr>
              <w:t>50,393</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83,615</w:t>
            </w:r>
          </w:p>
        </w:tc>
        <w:tc>
          <w:tcPr>
            <w:tcW w:w="0" w:type="dxa"/>
            <w:vAlign w:val="bottom"/>
          </w:tcPr>
          <w:p>
            <w:pPr>
              <w:spacing w:after="0"/>
              <w:rPr>
                <w:sz w:val="1"/>
                <w:szCs w:val="1"/>
                <w:color w:val="auto"/>
              </w:rPr>
            </w:pPr>
          </w:p>
        </w:tc>
      </w:tr>
      <w:tr>
        <w:trPr>
          <w:trHeight w:val="203"/>
        </w:trPr>
        <w:tc>
          <w:tcPr>
            <w:tcW w:w="8820" w:type="dxa"/>
            <w:vAlign w:val="bottom"/>
          </w:tcPr>
          <w:p>
            <w:pPr>
              <w:spacing w:after="0" w:line="202" w:lineRule="exact"/>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tcPr>
          <w:p>
            <w:pPr>
              <w:spacing w:after="0"/>
              <w:rPr>
                <w:sz w:val="17"/>
                <w:szCs w:val="17"/>
                <w:color w:val="auto"/>
              </w:rPr>
            </w:pPr>
          </w:p>
        </w:tc>
        <w:tc>
          <w:tcPr>
            <w:tcW w:w="1240" w:type="dxa"/>
            <w:vAlign w:val="bottom"/>
            <w:vMerge w:val="restart"/>
          </w:tcPr>
          <w:p>
            <w:pPr>
              <w:jc w:val="right"/>
              <w:ind w:right="272"/>
              <w:spacing w:after="0"/>
              <w:rPr>
                <w:sz w:val="20"/>
                <w:szCs w:val="20"/>
                <w:color w:val="auto"/>
              </w:rPr>
            </w:pPr>
            <w:r>
              <w:rPr>
                <w:rFonts w:ascii="Arial" w:cs="Arial" w:eastAsia="Arial" w:hAnsi="Arial"/>
                <w:sz w:val="18"/>
                <w:szCs w:val="18"/>
                <w:b w:val="1"/>
                <w:bCs w:val="1"/>
                <w:color w:val="auto"/>
              </w:rPr>
              <w:t>129,848</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8820" w:type="dxa"/>
            <w:vAlign w:val="bottom"/>
          </w:tcPr>
          <w:p>
            <w:pPr>
              <w:ind w:left="240"/>
              <w:spacing w:after="0" w:line="181" w:lineRule="exact"/>
              <w:rPr>
                <w:sz w:val="20"/>
                <w:szCs w:val="20"/>
                <w:color w:val="auto"/>
              </w:rPr>
            </w:pPr>
            <w:r>
              <w:rPr>
                <w:rFonts w:ascii="Arial" w:cs="Arial" w:eastAsia="Arial" w:hAnsi="Arial"/>
                <w:sz w:val="18"/>
                <w:szCs w:val="18"/>
                <w:color w:val="auto"/>
              </w:rPr>
              <w:t>Depreciation of property, plant and equipment</w:t>
            </w:r>
          </w:p>
        </w:tc>
        <w:tc>
          <w:tcPr>
            <w:tcW w:w="34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spacing w:after="0" w:line="181" w:lineRule="exact"/>
              <w:rPr>
                <w:sz w:val="20"/>
                <w:szCs w:val="20"/>
                <w:color w:val="auto"/>
              </w:rPr>
            </w:pPr>
            <w:r>
              <w:rPr>
                <w:rFonts w:ascii="Arial" w:cs="Arial" w:eastAsia="Arial" w:hAnsi="Arial"/>
                <w:sz w:val="18"/>
                <w:szCs w:val="18"/>
                <w:color w:val="auto"/>
              </w:rPr>
              <w:t>126,276</w:t>
            </w:r>
          </w:p>
        </w:tc>
        <w:tc>
          <w:tcPr>
            <w:tcW w:w="0" w:type="dxa"/>
            <w:vAlign w:val="bottom"/>
          </w:tcPr>
          <w:p>
            <w:pPr>
              <w:spacing w:after="0"/>
              <w:rPr>
                <w:sz w:val="1"/>
                <w:szCs w:val="1"/>
                <w:color w:val="auto"/>
              </w:rPr>
            </w:pPr>
          </w:p>
        </w:tc>
      </w:tr>
      <w:tr>
        <w:trPr>
          <w:trHeight w:val="203"/>
        </w:trPr>
        <w:tc>
          <w:tcPr>
            <w:tcW w:w="8820" w:type="dxa"/>
            <w:vAlign w:val="bottom"/>
          </w:tcPr>
          <w:p>
            <w:pPr>
              <w:ind w:left="240"/>
              <w:spacing w:after="0" w:line="202" w:lineRule="exact"/>
              <w:rPr>
                <w:sz w:val="20"/>
                <w:szCs w:val="20"/>
                <w:color w:val="auto"/>
              </w:rPr>
            </w:pPr>
            <w:r>
              <w:rPr>
                <w:rFonts w:ascii="Arial" w:cs="Arial" w:eastAsia="Arial" w:hAnsi="Arial"/>
                <w:sz w:val="18"/>
                <w:szCs w:val="18"/>
                <w:color w:val="auto"/>
              </w:rPr>
              <w:t>Amortization of intangible assets</w:t>
            </w:r>
          </w:p>
        </w:tc>
        <w:tc>
          <w:tcPr>
            <w:tcW w:w="340" w:type="dxa"/>
            <w:vAlign w:val="bottom"/>
          </w:tcPr>
          <w:p>
            <w:pPr>
              <w:spacing w:after="0"/>
              <w:rPr>
                <w:sz w:val="17"/>
                <w:szCs w:val="17"/>
                <w:color w:val="auto"/>
              </w:rPr>
            </w:pPr>
          </w:p>
        </w:tc>
        <w:tc>
          <w:tcPr>
            <w:tcW w:w="1240" w:type="dxa"/>
            <w:vAlign w:val="bottom"/>
          </w:tcPr>
          <w:p>
            <w:pPr>
              <w:jc w:val="right"/>
              <w:ind w:right="272"/>
              <w:spacing w:after="0" w:line="202" w:lineRule="exact"/>
              <w:rPr>
                <w:sz w:val="20"/>
                <w:szCs w:val="20"/>
                <w:color w:val="auto"/>
              </w:rPr>
            </w:pPr>
            <w:r>
              <w:rPr>
                <w:rFonts w:ascii="Arial" w:cs="Arial" w:eastAsia="Arial" w:hAnsi="Arial"/>
                <w:sz w:val="18"/>
                <w:szCs w:val="18"/>
                <w:b w:val="1"/>
                <w:bCs w:val="1"/>
                <w:color w:val="auto"/>
              </w:rPr>
              <w:t>7,030</w:t>
            </w:r>
          </w:p>
        </w:tc>
        <w:tc>
          <w:tcPr>
            <w:tcW w:w="1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8,738</w:t>
            </w:r>
          </w:p>
        </w:tc>
        <w:tc>
          <w:tcPr>
            <w:tcW w:w="0" w:type="dxa"/>
            <w:vAlign w:val="bottom"/>
          </w:tcPr>
          <w:p>
            <w:pPr>
              <w:spacing w:after="0"/>
              <w:rPr>
                <w:sz w:val="1"/>
                <w:szCs w:val="1"/>
                <w:color w:val="auto"/>
              </w:rPr>
            </w:pPr>
          </w:p>
        </w:tc>
      </w:tr>
      <w:tr>
        <w:trPr>
          <w:trHeight w:val="203"/>
        </w:trPr>
        <w:tc>
          <w:tcPr>
            <w:tcW w:w="8820" w:type="dxa"/>
            <w:vAlign w:val="bottom"/>
          </w:tcPr>
          <w:p>
            <w:pPr>
              <w:ind w:left="240"/>
              <w:spacing w:after="0" w:line="202" w:lineRule="exact"/>
              <w:rPr>
                <w:sz w:val="20"/>
                <w:szCs w:val="20"/>
                <w:color w:val="auto"/>
              </w:rPr>
            </w:pPr>
            <w:r>
              <w:rPr>
                <w:rFonts w:ascii="Arial" w:cs="Arial" w:eastAsia="Arial" w:hAnsi="Arial"/>
                <w:sz w:val="18"/>
                <w:szCs w:val="18"/>
                <w:color w:val="auto"/>
              </w:rPr>
              <w:t>Net pension expense</w:t>
            </w:r>
          </w:p>
        </w:tc>
        <w:tc>
          <w:tcPr>
            <w:tcW w:w="340" w:type="dxa"/>
            <w:vAlign w:val="bottom"/>
          </w:tcPr>
          <w:p>
            <w:pPr>
              <w:spacing w:after="0"/>
              <w:rPr>
                <w:sz w:val="17"/>
                <w:szCs w:val="17"/>
                <w:color w:val="auto"/>
              </w:rPr>
            </w:pPr>
          </w:p>
        </w:tc>
        <w:tc>
          <w:tcPr>
            <w:tcW w:w="1240" w:type="dxa"/>
            <w:vAlign w:val="bottom"/>
          </w:tcPr>
          <w:p>
            <w:pPr>
              <w:jc w:val="right"/>
              <w:ind w:right="272"/>
              <w:spacing w:after="0" w:line="202" w:lineRule="exact"/>
              <w:rPr>
                <w:sz w:val="20"/>
                <w:szCs w:val="20"/>
                <w:color w:val="auto"/>
              </w:rPr>
            </w:pPr>
            <w:r>
              <w:rPr>
                <w:rFonts w:ascii="Arial" w:cs="Arial" w:eastAsia="Arial" w:hAnsi="Arial"/>
                <w:sz w:val="18"/>
                <w:szCs w:val="18"/>
                <w:b w:val="1"/>
                <w:bCs w:val="1"/>
                <w:color w:val="auto"/>
              </w:rPr>
              <w:t>8,582</w:t>
            </w:r>
          </w:p>
        </w:tc>
        <w:tc>
          <w:tcPr>
            <w:tcW w:w="1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4,634</w:t>
            </w:r>
          </w:p>
        </w:tc>
        <w:tc>
          <w:tcPr>
            <w:tcW w:w="0" w:type="dxa"/>
            <w:vAlign w:val="bottom"/>
          </w:tcPr>
          <w:p>
            <w:pPr>
              <w:spacing w:after="0"/>
              <w:rPr>
                <w:sz w:val="1"/>
                <w:szCs w:val="1"/>
                <w:color w:val="auto"/>
              </w:rPr>
            </w:pPr>
          </w:p>
        </w:tc>
      </w:tr>
      <w:tr>
        <w:trPr>
          <w:trHeight w:val="203"/>
        </w:trPr>
        <w:tc>
          <w:tcPr>
            <w:tcW w:w="8820" w:type="dxa"/>
            <w:vAlign w:val="bottom"/>
          </w:tcPr>
          <w:p>
            <w:pPr>
              <w:ind w:left="240"/>
              <w:spacing w:after="0" w:line="202" w:lineRule="exact"/>
              <w:rPr>
                <w:sz w:val="20"/>
                <w:szCs w:val="20"/>
                <w:color w:val="auto"/>
              </w:rPr>
            </w:pPr>
            <w:r>
              <w:rPr>
                <w:rFonts w:ascii="Arial" w:cs="Arial" w:eastAsia="Arial" w:hAnsi="Arial"/>
                <w:sz w:val="18"/>
                <w:szCs w:val="18"/>
                <w:color w:val="auto"/>
              </w:rPr>
              <w:t>Early retirement program expense</w:t>
            </w:r>
          </w:p>
        </w:tc>
        <w:tc>
          <w:tcPr>
            <w:tcW w:w="340" w:type="dxa"/>
            <w:vAlign w:val="bottom"/>
          </w:tcPr>
          <w:p>
            <w:pPr>
              <w:spacing w:after="0"/>
              <w:rPr>
                <w:sz w:val="17"/>
                <w:szCs w:val="17"/>
                <w:color w:val="auto"/>
              </w:rPr>
            </w:pPr>
          </w:p>
        </w:tc>
        <w:tc>
          <w:tcPr>
            <w:tcW w:w="1240" w:type="dxa"/>
            <w:vAlign w:val="bottom"/>
          </w:tcPr>
          <w:p>
            <w:pPr>
              <w:jc w:val="right"/>
              <w:ind w:right="272"/>
              <w:spacing w:after="0" w:line="202" w:lineRule="exact"/>
              <w:rPr>
                <w:sz w:val="20"/>
                <w:szCs w:val="20"/>
                <w:color w:val="auto"/>
              </w:rPr>
            </w:pPr>
            <w:r>
              <w:rPr>
                <w:rFonts w:ascii="Arial" w:cs="Arial" w:eastAsia="Arial" w:hAnsi="Arial"/>
                <w:sz w:val="18"/>
                <w:szCs w:val="18"/>
                <w:b w:val="1"/>
                <w:bCs w:val="1"/>
                <w:color w:val="auto"/>
              </w:rPr>
              <w:t>22,700</w:t>
            </w:r>
          </w:p>
        </w:tc>
        <w:tc>
          <w:tcPr>
            <w:tcW w:w="1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r>
        <w:trPr>
          <w:trHeight w:val="203"/>
        </w:trPr>
        <w:tc>
          <w:tcPr>
            <w:tcW w:w="8820" w:type="dxa"/>
            <w:vAlign w:val="bottom"/>
          </w:tcPr>
          <w:p>
            <w:pPr>
              <w:ind w:left="240"/>
              <w:spacing w:after="0" w:line="202" w:lineRule="exact"/>
              <w:rPr>
                <w:sz w:val="20"/>
                <w:szCs w:val="20"/>
                <w:color w:val="auto"/>
              </w:rPr>
            </w:pPr>
            <w:r>
              <w:rPr>
                <w:rFonts w:ascii="Arial" w:cs="Arial" w:eastAsia="Arial" w:hAnsi="Arial"/>
                <w:sz w:val="18"/>
                <w:szCs w:val="18"/>
                <w:color w:val="auto"/>
              </w:rPr>
              <w:t>Foreign exchange loss (gain)</w:t>
            </w:r>
          </w:p>
        </w:tc>
        <w:tc>
          <w:tcPr>
            <w:tcW w:w="340" w:type="dxa"/>
            <w:vAlign w:val="bottom"/>
          </w:tcPr>
          <w:p>
            <w:pPr>
              <w:spacing w:after="0"/>
              <w:rPr>
                <w:sz w:val="17"/>
                <w:szCs w:val="17"/>
                <w:color w:val="auto"/>
              </w:rPr>
            </w:pPr>
          </w:p>
        </w:tc>
        <w:tc>
          <w:tcPr>
            <w:tcW w:w="1240" w:type="dxa"/>
            <w:vAlign w:val="bottom"/>
          </w:tcPr>
          <w:p>
            <w:pPr>
              <w:jc w:val="right"/>
              <w:ind w:right="272"/>
              <w:spacing w:after="0" w:line="202" w:lineRule="exact"/>
              <w:rPr>
                <w:sz w:val="20"/>
                <w:szCs w:val="20"/>
                <w:color w:val="auto"/>
              </w:rPr>
            </w:pPr>
            <w:r>
              <w:rPr>
                <w:rFonts w:ascii="Arial" w:cs="Arial" w:eastAsia="Arial" w:hAnsi="Arial"/>
                <w:sz w:val="18"/>
                <w:szCs w:val="18"/>
                <w:b w:val="1"/>
                <w:bCs w:val="1"/>
                <w:color w:val="auto"/>
              </w:rPr>
              <w:t>17,236</w:t>
            </w:r>
          </w:p>
        </w:tc>
        <w:tc>
          <w:tcPr>
            <w:tcW w:w="1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3"/>
        </w:trPr>
        <w:tc>
          <w:tcPr>
            <w:tcW w:w="8820" w:type="dxa"/>
            <w:vAlign w:val="bottom"/>
          </w:tcPr>
          <w:p>
            <w:pPr>
              <w:ind w:left="240"/>
              <w:spacing w:after="0" w:line="202" w:lineRule="exact"/>
              <w:rPr>
                <w:sz w:val="20"/>
                <w:szCs w:val="20"/>
                <w:color w:val="auto"/>
              </w:rPr>
            </w:pPr>
            <w:r>
              <w:rPr>
                <w:rFonts w:ascii="Arial" w:cs="Arial" w:eastAsia="Arial" w:hAnsi="Arial"/>
                <w:sz w:val="18"/>
                <w:szCs w:val="18"/>
                <w:color w:val="auto"/>
              </w:rPr>
              <w:t>Net loss (gain) on sales of businesses</w:t>
            </w:r>
          </w:p>
        </w:tc>
        <w:tc>
          <w:tcPr>
            <w:tcW w:w="340" w:type="dxa"/>
            <w:vAlign w:val="bottom"/>
          </w:tcPr>
          <w:p>
            <w:pPr>
              <w:spacing w:after="0"/>
              <w:rPr>
                <w:sz w:val="17"/>
                <w:szCs w:val="17"/>
                <w:color w:val="auto"/>
              </w:rPr>
            </w:pPr>
          </w:p>
        </w:tc>
        <w:tc>
          <w:tcPr>
            <w:tcW w:w="1240" w:type="dxa"/>
            <w:vAlign w:val="bottom"/>
          </w:tcPr>
          <w:p>
            <w:pPr>
              <w:jc w:val="right"/>
              <w:ind w:right="272"/>
              <w:spacing w:after="0" w:line="202" w:lineRule="exact"/>
              <w:rPr>
                <w:sz w:val="20"/>
                <w:szCs w:val="20"/>
                <w:color w:val="auto"/>
              </w:rPr>
            </w:pPr>
            <w:r>
              <w:rPr>
                <w:rFonts w:ascii="Arial" w:cs="Arial" w:eastAsia="Arial" w:hAnsi="Arial"/>
                <w:sz w:val="18"/>
                <w:szCs w:val="18"/>
                <w:b w:val="1"/>
                <w:bCs w:val="1"/>
                <w:color w:val="auto"/>
              </w:rPr>
              <w:t>70</w:t>
            </w:r>
          </w:p>
        </w:tc>
        <w:tc>
          <w:tcPr>
            <w:tcW w:w="1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(26,459)</w:t>
            </w:r>
          </w:p>
        </w:tc>
        <w:tc>
          <w:tcPr>
            <w:tcW w:w="0" w:type="dxa"/>
            <w:vAlign w:val="bottom"/>
          </w:tcPr>
          <w:p>
            <w:pPr>
              <w:spacing w:after="0"/>
              <w:rPr>
                <w:sz w:val="1"/>
                <w:szCs w:val="1"/>
                <w:color w:val="auto"/>
              </w:rPr>
            </w:pPr>
          </w:p>
        </w:tc>
      </w:tr>
      <w:tr>
        <w:trPr>
          <w:trHeight w:val="203"/>
        </w:trPr>
        <w:tc>
          <w:tcPr>
            <w:tcW w:w="8820" w:type="dxa"/>
            <w:vAlign w:val="bottom"/>
          </w:tcPr>
          <w:p>
            <w:pPr>
              <w:ind w:left="240"/>
              <w:spacing w:after="0" w:line="202" w:lineRule="exact"/>
              <w:rPr>
                <w:sz w:val="20"/>
                <w:szCs w:val="20"/>
                <w:color w:val="auto"/>
              </w:rPr>
            </w:pPr>
            <w:r>
              <w:rPr>
                <w:rFonts w:ascii="Arial" w:cs="Arial" w:eastAsia="Arial" w:hAnsi="Arial"/>
                <w:sz w:val="18"/>
                <w:szCs w:val="18"/>
                <w:color w:val="auto"/>
              </w:rPr>
              <w:t>Net gain on sales or write-downs of marketable equity securities and cost method investments</w:t>
            </w:r>
          </w:p>
        </w:tc>
        <w:tc>
          <w:tcPr>
            <w:tcW w:w="340" w:type="dxa"/>
            <w:vAlign w:val="bottom"/>
          </w:tcPr>
          <w:p>
            <w:pPr>
              <w:spacing w:after="0"/>
              <w:rPr>
                <w:sz w:val="17"/>
                <w:szCs w:val="17"/>
                <w:color w:val="auto"/>
              </w:rPr>
            </w:pPr>
          </w:p>
        </w:tc>
        <w:tc>
          <w:tcPr>
            <w:tcW w:w="1240" w:type="dxa"/>
            <w:vAlign w:val="bottom"/>
          </w:tcPr>
          <w:p>
            <w:pPr>
              <w:jc w:val="right"/>
              <w:ind w:right="272"/>
              <w:spacing w:after="0" w:line="202" w:lineRule="exact"/>
              <w:rPr>
                <w:sz w:val="20"/>
                <w:szCs w:val="20"/>
                <w:color w:val="auto"/>
              </w:rPr>
            </w:pPr>
            <w:r>
              <w:rPr>
                <w:rFonts w:ascii="Arial" w:cs="Arial" w:eastAsia="Arial" w:hAnsi="Arial"/>
                <w:sz w:val="18"/>
                <w:szCs w:val="18"/>
                <w:b w:val="1"/>
                <w:bCs w:val="1"/>
                <w:color w:val="auto"/>
              </w:rPr>
              <w:t>(696)</w:t>
            </w:r>
          </w:p>
        </w:tc>
        <w:tc>
          <w:tcPr>
            <w:tcW w:w="1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(7,375)</w:t>
            </w:r>
          </w:p>
        </w:tc>
        <w:tc>
          <w:tcPr>
            <w:tcW w:w="0" w:type="dxa"/>
            <w:vAlign w:val="bottom"/>
          </w:tcPr>
          <w:p>
            <w:pPr>
              <w:spacing w:after="0"/>
              <w:rPr>
                <w:sz w:val="1"/>
                <w:szCs w:val="1"/>
                <w:color w:val="auto"/>
              </w:rPr>
            </w:pPr>
          </w:p>
        </w:tc>
      </w:tr>
      <w:tr>
        <w:trPr>
          <w:trHeight w:val="203"/>
        </w:trPr>
        <w:tc>
          <w:tcPr>
            <w:tcW w:w="8820" w:type="dxa"/>
            <w:vAlign w:val="bottom"/>
          </w:tcPr>
          <w:p>
            <w:pPr>
              <w:ind w:left="240"/>
              <w:spacing w:after="0" w:line="202" w:lineRule="exact"/>
              <w:rPr>
                <w:sz w:val="20"/>
                <w:szCs w:val="20"/>
                <w:color w:val="auto"/>
              </w:rPr>
            </w:pPr>
            <w:r>
              <w:rPr>
                <w:rFonts w:ascii="Arial" w:cs="Arial" w:eastAsia="Arial" w:hAnsi="Arial"/>
                <w:sz w:val="18"/>
                <w:szCs w:val="18"/>
                <w:color w:val="auto"/>
              </w:rPr>
              <w:t>Equity in earnings of affiliates, net of distributions</w:t>
            </w:r>
          </w:p>
        </w:tc>
        <w:tc>
          <w:tcPr>
            <w:tcW w:w="340" w:type="dxa"/>
            <w:vAlign w:val="bottom"/>
          </w:tcPr>
          <w:p>
            <w:pPr>
              <w:spacing w:after="0"/>
              <w:rPr>
                <w:sz w:val="17"/>
                <w:szCs w:val="17"/>
                <w:color w:val="auto"/>
              </w:rPr>
            </w:pPr>
          </w:p>
        </w:tc>
        <w:tc>
          <w:tcPr>
            <w:tcW w:w="1240" w:type="dxa"/>
            <w:vAlign w:val="bottom"/>
          </w:tcPr>
          <w:p>
            <w:pPr>
              <w:jc w:val="right"/>
              <w:ind w:right="272"/>
              <w:spacing w:after="0" w:line="202" w:lineRule="exact"/>
              <w:rPr>
                <w:sz w:val="20"/>
                <w:szCs w:val="20"/>
                <w:color w:val="auto"/>
              </w:rPr>
            </w:pPr>
            <w:r>
              <w:rPr>
                <w:rFonts w:ascii="Arial" w:cs="Arial" w:eastAsia="Arial" w:hAnsi="Arial"/>
                <w:sz w:val="18"/>
                <w:szCs w:val="18"/>
                <w:b w:val="1"/>
                <w:bCs w:val="1"/>
                <w:color w:val="auto"/>
              </w:rPr>
              <w:t>(7,277)</w:t>
            </w:r>
          </w:p>
        </w:tc>
        <w:tc>
          <w:tcPr>
            <w:tcW w:w="1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(7,202)</w:t>
            </w:r>
          </w:p>
        </w:tc>
        <w:tc>
          <w:tcPr>
            <w:tcW w:w="0" w:type="dxa"/>
            <w:vAlign w:val="bottom"/>
          </w:tcPr>
          <w:p>
            <w:pPr>
              <w:spacing w:after="0"/>
              <w:rPr>
                <w:sz w:val="1"/>
                <w:szCs w:val="1"/>
                <w:color w:val="auto"/>
              </w:rPr>
            </w:pPr>
          </w:p>
        </w:tc>
      </w:tr>
      <w:tr>
        <w:trPr>
          <w:trHeight w:val="203"/>
        </w:trPr>
        <w:tc>
          <w:tcPr>
            <w:tcW w:w="8820" w:type="dxa"/>
            <w:vAlign w:val="bottom"/>
          </w:tcPr>
          <w:p>
            <w:pPr>
              <w:ind w:left="240"/>
              <w:spacing w:after="0" w:line="202" w:lineRule="exact"/>
              <w:rPr>
                <w:sz w:val="20"/>
                <w:szCs w:val="20"/>
                <w:color w:val="auto"/>
              </w:rPr>
            </w:pPr>
            <w:r>
              <w:rPr>
                <w:rFonts w:ascii="Arial" w:cs="Arial" w:eastAsia="Arial" w:hAnsi="Arial"/>
                <w:sz w:val="18"/>
                <w:szCs w:val="18"/>
                <w:color w:val="auto"/>
              </w:rPr>
              <w:t>Provision (benefit) for deferred income taxes</w:t>
            </w:r>
          </w:p>
        </w:tc>
        <w:tc>
          <w:tcPr>
            <w:tcW w:w="340" w:type="dxa"/>
            <w:vAlign w:val="bottom"/>
          </w:tcPr>
          <w:p>
            <w:pPr>
              <w:spacing w:after="0"/>
              <w:rPr>
                <w:sz w:val="17"/>
                <w:szCs w:val="17"/>
                <w:color w:val="auto"/>
              </w:rPr>
            </w:pPr>
          </w:p>
        </w:tc>
        <w:tc>
          <w:tcPr>
            <w:tcW w:w="1240" w:type="dxa"/>
            <w:vAlign w:val="bottom"/>
          </w:tcPr>
          <w:p>
            <w:pPr>
              <w:jc w:val="right"/>
              <w:ind w:right="272"/>
              <w:spacing w:after="0" w:line="202" w:lineRule="exact"/>
              <w:rPr>
                <w:sz w:val="20"/>
                <w:szCs w:val="20"/>
                <w:color w:val="auto"/>
              </w:rPr>
            </w:pPr>
            <w:r>
              <w:rPr>
                <w:rFonts w:ascii="Arial" w:cs="Arial" w:eastAsia="Arial" w:hAnsi="Arial"/>
                <w:sz w:val="18"/>
                <w:szCs w:val="18"/>
                <w:b w:val="1"/>
                <w:bCs w:val="1"/>
                <w:color w:val="auto"/>
              </w:rPr>
              <w:t>263</w:t>
            </w:r>
          </w:p>
        </w:tc>
        <w:tc>
          <w:tcPr>
            <w:tcW w:w="1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(11,698)</w:t>
            </w:r>
          </w:p>
        </w:tc>
        <w:tc>
          <w:tcPr>
            <w:tcW w:w="0" w:type="dxa"/>
            <w:vAlign w:val="bottom"/>
          </w:tcPr>
          <w:p>
            <w:pPr>
              <w:spacing w:after="0"/>
              <w:rPr>
                <w:sz w:val="1"/>
                <w:szCs w:val="1"/>
                <w:color w:val="auto"/>
              </w:rPr>
            </w:pPr>
          </w:p>
        </w:tc>
      </w:tr>
      <w:tr>
        <w:trPr>
          <w:trHeight w:val="225"/>
        </w:trPr>
        <w:tc>
          <w:tcPr>
            <w:tcW w:w="8820" w:type="dxa"/>
            <w:vAlign w:val="bottom"/>
          </w:tcPr>
          <w:p>
            <w:pPr>
              <w:ind w:left="240"/>
              <w:spacing w:after="0"/>
              <w:rPr>
                <w:sz w:val="20"/>
                <w:szCs w:val="20"/>
                <w:color w:val="auto"/>
              </w:rPr>
            </w:pPr>
            <w:r>
              <w:rPr>
                <w:rFonts w:ascii="Arial" w:cs="Arial" w:eastAsia="Arial" w:hAnsi="Arial"/>
                <w:sz w:val="18"/>
                <w:szCs w:val="18"/>
                <w:color w:val="auto"/>
              </w:rPr>
              <w:t>Net loss (gain) on sale of property, plant and equipment</w:t>
            </w:r>
          </w:p>
        </w:tc>
        <w:tc>
          <w:tcPr>
            <w:tcW w:w="340" w:type="dxa"/>
            <w:vAlign w:val="bottom"/>
          </w:tcPr>
          <w:p>
            <w:pPr>
              <w:spacing w:after="0"/>
              <w:rPr>
                <w:sz w:val="19"/>
                <w:szCs w:val="19"/>
                <w:color w:val="auto"/>
              </w:rPr>
            </w:pPr>
          </w:p>
        </w:tc>
        <w:tc>
          <w:tcPr>
            <w:tcW w:w="1240" w:type="dxa"/>
            <w:vAlign w:val="bottom"/>
          </w:tcPr>
          <w:p>
            <w:pPr>
              <w:jc w:val="right"/>
              <w:ind w:right="272"/>
              <w:spacing w:after="0"/>
              <w:rPr>
                <w:sz w:val="20"/>
                <w:szCs w:val="20"/>
                <w:color w:val="auto"/>
              </w:rPr>
            </w:pPr>
            <w:r>
              <w:rPr>
                <w:rFonts w:ascii="Arial" w:cs="Arial" w:eastAsia="Arial" w:hAnsi="Arial"/>
                <w:sz w:val="18"/>
                <w:szCs w:val="18"/>
                <w:b w:val="1"/>
                <w:bCs w:val="1"/>
                <w:color w:val="auto"/>
              </w:rPr>
              <w:t>377</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(1,528)</w:t>
            </w:r>
          </w:p>
        </w:tc>
        <w:tc>
          <w:tcPr>
            <w:tcW w:w="0" w:type="dxa"/>
            <w:vAlign w:val="bottom"/>
          </w:tcPr>
          <w:p>
            <w:pPr>
              <w:spacing w:after="0"/>
              <w:rPr>
                <w:sz w:val="1"/>
                <w:szCs w:val="1"/>
                <w:color w:val="auto"/>
              </w:rPr>
            </w:pPr>
          </w:p>
        </w:tc>
      </w:tr>
      <w:tr>
        <w:trPr>
          <w:trHeight w:val="203"/>
        </w:trPr>
        <w:tc>
          <w:tcPr>
            <w:tcW w:w="8820" w:type="dxa"/>
            <w:vAlign w:val="bottom"/>
          </w:tcPr>
          <w:p>
            <w:pPr>
              <w:ind w:left="240"/>
              <w:spacing w:after="0" w:line="202" w:lineRule="exact"/>
              <w:rPr>
                <w:sz w:val="20"/>
                <w:szCs w:val="20"/>
                <w:color w:val="auto"/>
              </w:rPr>
            </w:pPr>
            <w:r>
              <w:rPr>
                <w:rFonts w:ascii="Arial" w:cs="Arial" w:eastAsia="Arial" w:hAnsi="Arial"/>
                <w:sz w:val="18"/>
                <w:szCs w:val="18"/>
                <w:color w:val="auto"/>
              </w:rPr>
              <w:t>Change in assets and liabilities:</w:t>
            </w:r>
          </w:p>
        </w:tc>
        <w:tc>
          <w:tcPr>
            <w:tcW w:w="340" w:type="dxa"/>
            <w:vAlign w:val="bottom"/>
          </w:tcPr>
          <w:p>
            <w:pPr>
              <w:spacing w:after="0"/>
              <w:rPr>
                <w:sz w:val="17"/>
                <w:szCs w:val="17"/>
                <w:color w:val="auto"/>
              </w:rPr>
            </w:pPr>
          </w:p>
        </w:tc>
        <w:tc>
          <w:tcPr>
            <w:tcW w:w="1240" w:type="dxa"/>
            <w:vAlign w:val="bottom"/>
            <w:vMerge w:val="restart"/>
          </w:tcPr>
          <w:p>
            <w:pPr>
              <w:jc w:val="right"/>
              <w:ind w:right="272"/>
              <w:spacing w:after="0"/>
              <w:rPr>
                <w:sz w:val="20"/>
                <w:szCs w:val="20"/>
                <w:color w:val="auto"/>
              </w:rPr>
            </w:pPr>
            <w:r>
              <w:rPr>
                <w:rFonts w:ascii="Arial" w:cs="Arial" w:eastAsia="Arial" w:hAnsi="Arial"/>
                <w:sz w:val="18"/>
                <w:szCs w:val="18"/>
                <w:b w:val="1"/>
                <w:bCs w:val="1"/>
                <w:color w:val="auto"/>
              </w:rPr>
              <w:t>29,608</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8820" w:type="dxa"/>
            <w:vAlign w:val="bottom"/>
          </w:tcPr>
          <w:p>
            <w:pPr>
              <w:ind w:left="460"/>
              <w:spacing w:after="0" w:line="181" w:lineRule="exact"/>
              <w:rPr>
                <w:sz w:val="20"/>
                <w:szCs w:val="20"/>
                <w:color w:val="auto"/>
              </w:rPr>
            </w:pPr>
            <w:r>
              <w:rPr>
                <w:rFonts w:ascii="Arial" w:cs="Arial" w:eastAsia="Arial" w:hAnsi="Arial"/>
                <w:sz w:val="18"/>
                <w:szCs w:val="18"/>
                <w:color w:val="auto"/>
              </w:rPr>
              <w:t>Decrease in accounts receivable, net</w:t>
            </w:r>
          </w:p>
        </w:tc>
        <w:tc>
          <w:tcPr>
            <w:tcW w:w="34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spacing w:after="0" w:line="181" w:lineRule="exact"/>
              <w:rPr>
                <w:sz w:val="20"/>
                <w:szCs w:val="20"/>
                <w:color w:val="auto"/>
              </w:rPr>
            </w:pPr>
            <w:r>
              <w:rPr>
                <w:rFonts w:ascii="Arial" w:cs="Arial" w:eastAsia="Arial" w:hAnsi="Arial"/>
                <w:sz w:val="18"/>
                <w:szCs w:val="18"/>
                <w:color w:val="auto"/>
              </w:rPr>
              <w:t>32,736</w:t>
            </w:r>
          </w:p>
        </w:tc>
        <w:tc>
          <w:tcPr>
            <w:tcW w:w="0" w:type="dxa"/>
            <w:vAlign w:val="bottom"/>
          </w:tcPr>
          <w:p>
            <w:pPr>
              <w:spacing w:after="0"/>
              <w:rPr>
                <w:sz w:val="1"/>
                <w:szCs w:val="1"/>
                <w:color w:val="auto"/>
              </w:rPr>
            </w:pPr>
          </w:p>
        </w:tc>
      </w:tr>
      <w:tr>
        <w:trPr>
          <w:trHeight w:val="203"/>
        </w:trPr>
        <w:tc>
          <w:tcPr>
            <w:tcW w:w="8820" w:type="dxa"/>
            <w:vAlign w:val="bottom"/>
          </w:tcPr>
          <w:p>
            <w:pPr>
              <w:ind w:left="460"/>
              <w:spacing w:after="0" w:line="202" w:lineRule="exact"/>
              <w:rPr>
                <w:sz w:val="20"/>
                <w:szCs w:val="20"/>
                <w:color w:val="auto"/>
              </w:rPr>
            </w:pPr>
            <w:r>
              <w:rPr>
                <w:rFonts w:ascii="Arial" w:cs="Arial" w:eastAsia="Arial" w:hAnsi="Arial"/>
                <w:sz w:val="18"/>
                <w:szCs w:val="18"/>
                <w:color w:val="auto"/>
              </w:rPr>
              <w:t>Decrease (increase) in inventories</w:t>
            </w:r>
          </w:p>
        </w:tc>
        <w:tc>
          <w:tcPr>
            <w:tcW w:w="340" w:type="dxa"/>
            <w:vAlign w:val="bottom"/>
          </w:tcPr>
          <w:p>
            <w:pPr>
              <w:spacing w:after="0"/>
              <w:rPr>
                <w:sz w:val="17"/>
                <w:szCs w:val="17"/>
                <w:color w:val="auto"/>
              </w:rPr>
            </w:pPr>
          </w:p>
        </w:tc>
        <w:tc>
          <w:tcPr>
            <w:tcW w:w="1240" w:type="dxa"/>
            <w:vAlign w:val="bottom"/>
          </w:tcPr>
          <w:p>
            <w:pPr>
              <w:jc w:val="right"/>
              <w:ind w:right="272"/>
              <w:spacing w:after="0" w:line="202" w:lineRule="exact"/>
              <w:rPr>
                <w:sz w:val="20"/>
                <w:szCs w:val="20"/>
                <w:color w:val="auto"/>
              </w:rPr>
            </w:pPr>
            <w:r>
              <w:rPr>
                <w:rFonts w:ascii="Arial" w:cs="Arial" w:eastAsia="Arial" w:hAnsi="Arial"/>
                <w:sz w:val="18"/>
                <w:szCs w:val="18"/>
                <w:b w:val="1"/>
                <w:bCs w:val="1"/>
                <w:color w:val="auto"/>
              </w:rPr>
              <w:t>3,046</w:t>
            </w:r>
          </w:p>
        </w:tc>
        <w:tc>
          <w:tcPr>
            <w:tcW w:w="1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3"/>
        </w:trPr>
        <w:tc>
          <w:tcPr>
            <w:tcW w:w="8820" w:type="dxa"/>
            <w:vAlign w:val="bottom"/>
          </w:tcPr>
          <w:p>
            <w:pPr>
              <w:ind w:left="460"/>
              <w:spacing w:after="0" w:line="202" w:lineRule="exact"/>
              <w:rPr>
                <w:sz w:val="20"/>
                <w:szCs w:val="20"/>
                <w:color w:val="auto"/>
              </w:rPr>
            </w:pPr>
            <w:r>
              <w:rPr>
                <w:rFonts w:ascii="Arial" w:cs="Arial" w:eastAsia="Arial" w:hAnsi="Arial"/>
                <w:sz w:val="18"/>
                <w:szCs w:val="18"/>
                <w:color w:val="auto"/>
              </w:rPr>
              <w:t>Decrease in accounts payable and accrued liabilities</w:t>
            </w:r>
          </w:p>
        </w:tc>
        <w:tc>
          <w:tcPr>
            <w:tcW w:w="340" w:type="dxa"/>
            <w:vAlign w:val="bottom"/>
          </w:tcPr>
          <w:p>
            <w:pPr>
              <w:spacing w:after="0"/>
              <w:rPr>
                <w:sz w:val="17"/>
                <w:szCs w:val="17"/>
                <w:color w:val="auto"/>
              </w:rPr>
            </w:pPr>
          </w:p>
        </w:tc>
        <w:tc>
          <w:tcPr>
            <w:tcW w:w="1240" w:type="dxa"/>
            <w:vAlign w:val="bottom"/>
          </w:tcPr>
          <w:p>
            <w:pPr>
              <w:jc w:val="right"/>
              <w:ind w:right="272"/>
              <w:spacing w:after="0" w:line="202" w:lineRule="exact"/>
              <w:rPr>
                <w:sz w:val="20"/>
                <w:szCs w:val="20"/>
                <w:color w:val="auto"/>
              </w:rPr>
            </w:pPr>
            <w:r>
              <w:rPr>
                <w:rFonts w:ascii="Arial" w:cs="Arial" w:eastAsia="Arial" w:hAnsi="Arial"/>
                <w:sz w:val="18"/>
                <w:szCs w:val="18"/>
                <w:b w:val="1"/>
                <w:bCs w:val="1"/>
                <w:color w:val="auto"/>
              </w:rPr>
              <w:t>(58,715)</w:t>
            </w:r>
          </w:p>
        </w:tc>
        <w:tc>
          <w:tcPr>
            <w:tcW w:w="1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(24,145)</w:t>
            </w:r>
          </w:p>
        </w:tc>
        <w:tc>
          <w:tcPr>
            <w:tcW w:w="0" w:type="dxa"/>
            <w:vAlign w:val="bottom"/>
          </w:tcPr>
          <w:p>
            <w:pPr>
              <w:spacing w:after="0"/>
              <w:rPr>
                <w:sz w:val="1"/>
                <w:szCs w:val="1"/>
                <w:color w:val="auto"/>
              </w:rPr>
            </w:pPr>
          </w:p>
        </w:tc>
      </w:tr>
      <w:tr>
        <w:trPr>
          <w:trHeight w:val="203"/>
        </w:trPr>
        <w:tc>
          <w:tcPr>
            <w:tcW w:w="8820" w:type="dxa"/>
            <w:vAlign w:val="bottom"/>
          </w:tcPr>
          <w:p>
            <w:pPr>
              <w:ind w:left="460"/>
              <w:spacing w:after="0" w:line="202" w:lineRule="exact"/>
              <w:rPr>
                <w:sz w:val="20"/>
                <w:szCs w:val="20"/>
                <w:color w:val="auto"/>
              </w:rPr>
            </w:pPr>
            <w:r>
              <w:rPr>
                <w:rFonts w:ascii="Arial" w:cs="Arial" w:eastAsia="Arial" w:hAnsi="Arial"/>
                <w:sz w:val="18"/>
                <w:szCs w:val="18"/>
                <w:color w:val="auto"/>
              </w:rPr>
              <w:t>Decrease in deferred revenue</w:t>
            </w:r>
          </w:p>
        </w:tc>
        <w:tc>
          <w:tcPr>
            <w:tcW w:w="340" w:type="dxa"/>
            <w:vAlign w:val="bottom"/>
          </w:tcPr>
          <w:p>
            <w:pPr>
              <w:spacing w:after="0"/>
              <w:rPr>
                <w:sz w:val="17"/>
                <w:szCs w:val="17"/>
                <w:color w:val="auto"/>
              </w:rPr>
            </w:pPr>
          </w:p>
        </w:tc>
        <w:tc>
          <w:tcPr>
            <w:tcW w:w="1240" w:type="dxa"/>
            <w:vAlign w:val="bottom"/>
          </w:tcPr>
          <w:p>
            <w:pPr>
              <w:jc w:val="right"/>
              <w:ind w:right="272"/>
              <w:spacing w:after="0" w:line="202" w:lineRule="exact"/>
              <w:rPr>
                <w:sz w:val="20"/>
                <w:szCs w:val="20"/>
                <w:color w:val="auto"/>
              </w:rPr>
            </w:pPr>
            <w:r>
              <w:rPr>
                <w:rFonts w:ascii="Arial" w:cs="Arial" w:eastAsia="Arial" w:hAnsi="Arial"/>
                <w:sz w:val="18"/>
                <w:szCs w:val="18"/>
                <w:b w:val="1"/>
                <w:bCs w:val="1"/>
                <w:color w:val="auto"/>
              </w:rPr>
              <w:t>(13,980)</w:t>
            </w:r>
          </w:p>
        </w:tc>
        <w:tc>
          <w:tcPr>
            <w:tcW w:w="1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(15,702)</w:t>
            </w:r>
          </w:p>
        </w:tc>
        <w:tc>
          <w:tcPr>
            <w:tcW w:w="0" w:type="dxa"/>
            <w:vAlign w:val="bottom"/>
          </w:tcPr>
          <w:p>
            <w:pPr>
              <w:spacing w:after="0"/>
              <w:rPr>
                <w:sz w:val="1"/>
                <w:szCs w:val="1"/>
                <w:color w:val="auto"/>
              </w:rPr>
            </w:pPr>
          </w:p>
        </w:tc>
      </w:tr>
      <w:tr>
        <w:trPr>
          <w:trHeight w:val="203"/>
        </w:trPr>
        <w:tc>
          <w:tcPr>
            <w:tcW w:w="8820" w:type="dxa"/>
            <w:vAlign w:val="bottom"/>
          </w:tcPr>
          <w:p>
            <w:pPr>
              <w:ind w:left="460"/>
              <w:spacing w:after="0" w:line="202" w:lineRule="exact"/>
              <w:rPr>
                <w:sz w:val="20"/>
                <w:szCs w:val="20"/>
                <w:color w:val="auto"/>
              </w:rPr>
            </w:pPr>
            <w:r>
              <w:rPr>
                <w:rFonts w:ascii="Arial" w:cs="Arial" w:eastAsia="Arial" w:hAnsi="Arial"/>
                <w:sz w:val="18"/>
                <w:szCs w:val="18"/>
                <w:color w:val="auto"/>
              </w:rPr>
              <w:t>Increase in income taxes payable</w:t>
            </w:r>
          </w:p>
        </w:tc>
        <w:tc>
          <w:tcPr>
            <w:tcW w:w="340" w:type="dxa"/>
            <w:vAlign w:val="bottom"/>
          </w:tcPr>
          <w:p>
            <w:pPr>
              <w:spacing w:after="0"/>
              <w:rPr>
                <w:sz w:val="17"/>
                <w:szCs w:val="17"/>
                <w:color w:val="auto"/>
              </w:rPr>
            </w:pPr>
          </w:p>
        </w:tc>
        <w:tc>
          <w:tcPr>
            <w:tcW w:w="1240" w:type="dxa"/>
            <w:vAlign w:val="bottom"/>
          </w:tcPr>
          <w:p>
            <w:pPr>
              <w:jc w:val="right"/>
              <w:ind w:right="272"/>
              <w:spacing w:after="0" w:line="202" w:lineRule="exact"/>
              <w:rPr>
                <w:sz w:val="20"/>
                <w:szCs w:val="20"/>
                <w:color w:val="auto"/>
              </w:rPr>
            </w:pPr>
            <w:r>
              <w:rPr>
                <w:rFonts w:ascii="Arial" w:cs="Arial" w:eastAsia="Arial" w:hAnsi="Arial"/>
                <w:sz w:val="18"/>
                <w:szCs w:val="18"/>
                <w:b w:val="1"/>
                <w:bCs w:val="1"/>
                <w:color w:val="auto"/>
              </w:rPr>
              <w:t>14,430</w:t>
            </w:r>
          </w:p>
        </w:tc>
        <w:tc>
          <w:tcPr>
            <w:tcW w:w="1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3,823</w:t>
            </w:r>
          </w:p>
        </w:tc>
        <w:tc>
          <w:tcPr>
            <w:tcW w:w="0" w:type="dxa"/>
            <w:vAlign w:val="bottom"/>
          </w:tcPr>
          <w:p>
            <w:pPr>
              <w:spacing w:after="0"/>
              <w:rPr>
                <w:sz w:val="1"/>
                <w:szCs w:val="1"/>
                <w:color w:val="auto"/>
              </w:rPr>
            </w:pPr>
          </w:p>
        </w:tc>
      </w:tr>
      <w:tr>
        <w:trPr>
          <w:trHeight w:val="203"/>
        </w:trPr>
        <w:tc>
          <w:tcPr>
            <w:tcW w:w="8820" w:type="dxa"/>
            <w:vAlign w:val="bottom"/>
          </w:tcPr>
          <w:p>
            <w:pPr>
              <w:ind w:left="460"/>
              <w:spacing w:after="0" w:line="202" w:lineRule="exact"/>
              <w:rPr>
                <w:sz w:val="20"/>
                <w:szCs w:val="20"/>
                <w:color w:val="auto"/>
              </w:rPr>
            </w:pPr>
            <w:r>
              <w:rPr>
                <w:rFonts w:ascii="Arial" w:cs="Arial" w:eastAsia="Arial" w:hAnsi="Arial"/>
                <w:sz w:val="18"/>
                <w:szCs w:val="18"/>
                <w:color w:val="auto"/>
              </w:rPr>
              <w:t>(Increase) decrease in other assets and other liabilities, net</w:t>
            </w:r>
          </w:p>
        </w:tc>
        <w:tc>
          <w:tcPr>
            <w:tcW w:w="340" w:type="dxa"/>
            <w:vAlign w:val="bottom"/>
          </w:tcPr>
          <w:p>
            <w:pPr>
              <w:spacing w:after="0"/>
              <w:rPr>
                <w:sz w:val="17"/>
                <w:szCs w:val="17"/>
                <w:color w:val="auto"/>
              </w:rPr>
            </w:pPr>
          </w:p>
        </w:tc>
        <w:tc>
          <w:tcPr>
            <w:tcW w:w="1240" w:type="dxa"/>
            <w:vAlign w:val="bottom"/>
          </w:tcPr>
          <w:p>
            <w:pPr>
              <w:jc w:val="right"/>
              <w:ind w:right="272"/>
              <w:spacing w:after="0" w:line="202" w:lineRule="exact"/>
              <w:rPr>
                <w:sz w:val="20"/>
                <w:szCs w:val="20"/>
                <w:color w:val="auto"/>
              </w:rPr>
            </w:pPr>
            <w:r>
              <w:rPr>
                <w:rFonts w:ascii="Arial" w:cs="Arial" w:eastAsia="Arial" w:hAnsi="Arial"/>
                <w:sz w:val="18"/>
                <w:szCs w:val="18"/>
                <w:b w:val="1"/>
                <w:bCs w:val="1"/>
                <w:color w:val="auto"/>
              </w:rPr>
              <w:t>(6,394)</w:t>
            </w:r>
          </w:p>
        </w:tc>
        <w:tc>
          <w:tcPr>
            <w:tcW w:w="1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2,292</w:t>
            </w:r>
          </w:p>
        </w:tc>
        <w:tc>
          <w:tcPr>
            <w:tcW w:w="0" w:type="dxa"/>
            <w:vAlign w:val="bottom"/>
          </w:tcPr>
          <w:p>
            <w:pPr>
              <w:spacing w:after="0"/>
              <w:rPr>
                <w:sz w:val="1"/>
                <w:szCs w:val="1"/>
                <w:color w:val="auto"/>
              </w:rPr>
            </w:pPr>
          </w:p>
        </w:tc>
      </w:tr>
      <w:tr>
        <w:trPr>
          <w:trHeight w:val="225"/>
        </w:trPr>
        <w:tc>
          <w:tcPr>
            <w:tcW w:w="8820" w:type="dxa"/>
            <w:vAlign w:val="bottom"/>
          </w:tcPr>
          <w:p>
            <w:pPr>
              <w:ind w:left="2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990</w:t>
            </w: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196"/>
        </w:trPr>
        <w:tc>
          <w:tcPr>
            <w:tcW w:w="8820" w:type="dxa"/>
            <w:vAlign w:val="bottom"/>
          </w:tcPr>
          <w:p>
            <w:pPr>
              <w:ind w:left="460"/>
              <w:spacing w:after="0" w:line="196" w:lineRule="exact"/>
              <w:rPr>
                <w:sz w:val="20"/>
                <w:szCs w:val="20"/>
                <w:color w:val="auto"/>
              </w:rPr>
            </w:pPr>
            <w:r>
              <w:rPr>
                <w:rFonts w:ascii="Arial" w:cs="Arial" w:eastAsia="Arial" w:hAnsi="Arial"/>
                <w:sz w:val="18"/>
                <w:szCs w:val="18"/>
                <w:b w:val="1"/>
                <w:bCs w:val="1"/>
                <w:color w:val="auto"/>
              </w:rPr>
              <w:t>Net Cash Provided by Operating Activities</w:t>
            </w:r>
          </w:p>
        </w:tc>
        <w:tc>
          <w:tcPr>
            <w:tcW w:w="3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72"/>
              <w:spacing w:after="0" w:line="196" w:lineRule="exact"/>
              <w:rPr>
                <w:sz w:val="20"/>
                <w:szCs w:val="20"/>
                <w:color w:val="auto"/>
              </w:rPr>
            </w:pPr>
            <w:r>
              <w:rPr>
                <w:rFonts w:ascii="Arial" w:cs="Arial" w:eastAsia="Arial" w:hAnsi="Arial"/>
                <w:sz w:val="18"/>
                <w:szCs w:val="18"/>
                <w:b w:val="1"/>
                <w:bCs w:val="1"/>
                <w:color w:val="auto"/>
              </w:rPr>
              <w:t>197,511</w:t>
            </w: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169,707</w:t>
            </w:r>
          </w:p>
        </w:tc>
        <w:tc>
          <w:tcPr>
            <w:tcW w:w="0" w:type="dxa"/>
            <w:vAlign w:val="bottom"/>
          </w:tcPr>
          <w:p>
            <w:pPr>
              <w:spacing w:after="0"/>
              <w:rPr>
                <w:sz w:val="1"/>
                <w:szCs w:val="1"/>
                <w:color w:val="auto"/>
              </w:rPr>
            </w:pPr>
          </w:p>
        </w:tc>
      </w:tr>
      <w:tr>
        <w:trPr>
          <w:trHeight w:val="398"/>
        </w:trPr>
        <w:tc>
          <w:tcPr>
            <w:tcW w:w="88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Pr>
          <w:p>
            <w:pPr>
              <w:spacing w:after="0"/>
              <w:rPr>
                <w:sz w:val="24"/>
                <w:szCs w:val="24"/>
                <w:color w:val="auto"/>
              </w:rPr>
            </w:pPr>
          </w:p>
        </w:tc>
        <w:tc>
          <w:tcPr>
            <w:tcW w:w="1240" w:type="dxa"/>
            <w:vAlign w:val="bottom"/>
            <w:vMerge w:val="restart"/>
          </w:tcPr>
          <w:p>
            <w:pPr>
              <w:jc w:val="right"/>
              <w:ind w:right="272"/>
              <w:spacing w:after="0"/>
              <w:rPr>
                <w:sz w:val="20"/>
                <w:szCs w:val="20"/>
                <w:color w:val="auto"/>
              </w:rPr>
            </w:pPr>
            <w:r>
              <w:rPr>
                <w:rFonts w:ascii="Arial" w:cs="Arial" w:eastAsia="Arial" w:hAnsi="Arial"/>
                <w:sz w:val="18"/>
                <w:szCs w:val="18"/>
                <w:b w:val="1"/>
                <w:bCs w:val="1"/>
                <w:color w:val="auto"/>
              </w:rPr>
              <w:t>(87,652)</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8820" w:type="dxa"/>
            <w:vAlign w:val="bottom"/>
          </w:tcPr>
          <w:p>
            <w:pPr>
              <w:ind w:left="240"/>
              <w:spacing w:after="0" w:line="181" w:lineRule="exact"/>
              <w:rPr>
                <w:sz w:val="20"/>
                <w:szCs w:val="20"/>
                <w:color w:val="auto"/>
              </w:rPr>
            </w:pPr>
            <w:r>
              <w:rPr>
                <w:rFonts w:ascii="Arial" w:cs="Arial" w:eastAsia="Arial" w:hAnsi="Arial"/>
                <w:sz w:val="18"/>
                <w:szCs w:val="18"/>
                <w:color w:val="auto"/>
              </w:rPr>
              <w:t>Purchases of property, plant and equipment</w:t>
            </w:r>
          </w:p>
        </w:tc>
        <w:tc>
          <w:tcPr>
            <w:tcW w:w="34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spacing w:after="0" w:line="181" w:lineRule="exact"/>
              <w:rPr>
                <w:sz w:val="20"/>
                <w:szCs w:val="20"/>
                <w:color w:val="auto"/>
              </w:rPr>
            </w:pPr>
            <w:r>
              <w:rPr>
                <w:rFonts w:ascii="Arial" w:cs="Arial" w:eastAsia="Arial" w:hAnsi="Arial"/>
                <w:sz w:val="18"/>
                <w:szCs w:val="18"/>
                <w:color w:val="auto"/>
              </w:rPr>
              <w:t>(97,830)</w:t>
            </w:r>
          </w:p>
        </w:tc>
        <w:tc>
          <w:tcPr>
            <w:tcW w:w="0" w:type="dxa"/>
            <w:vAlign w:val="bottom"/>
          </w:tcPr>
          <w:p>
            <w:pPr>
              <w:spacing w:after="0"/>
              <w:rPr>
                <w:sz w:val="1"/>
                <w:szCs w:val="1"/>
                <w:color w:val="auto"/>
              </w:rPr>
            </w:pPr>
          </w:p>
        </w:tc>
      </w:tr>
      <w:tr>
        <w:trPr>
          <w:trHeight w:val="203"/>
        </w:trPr>
        <w:tc>
          <w:tcPr>
            <w:tcW w:w="8820" w:type="dxa"/>
            <w:vAlign w:val="bottom"/>
          </w:tcPr>
          <w:p>
            <w:pPr>
              <w:ind w:left="240"/>
              <w:spacing w:after="0" w:line="202" w:lineRule="exact"/>
              <w:rPr>
                <w:sz w:val="20"/>
                <w:szCs w:val="20"/>
                <w:color w:val="auto"/>
              </w:rPr>
            </w:pPr>
            <w:r>
              <w:rPr>
                <w:rFonts w:ascii="Arial" w:cs="Arial" w:eastAsia="Arial" w:hAnsi="Arial"/>
                <w:sz w:val="18"/>
                <w:szCs w:val="18"/>
                <w:color w:val="auto"/>
              </w:rPr>
              <w:t>Purchases of marketable equity securities and other investments</w:t>
            </w:r>
          </w:p>
        </w:tc>
        <w:tc>
          <w:tcPr>
            <w:tcW w:w="340" w:type="dxa"/>
            <w:vAlign w:val="bottom"/>
          </w:tcPr>
          <w:p>
            <w:pPr>
              <w:spacing w:after="0"/>
              <w:rPr>
                <w:sz w:val="17"/>
                <w:szCs w:val="17"/>
                <w:color w:val="auto"/>
              </w:rPr>
            </w:pPr>
          </w:p>
        </w:tc>
        <w:tc>
          <w:tcPr>
            <w:tcW w:w="1240" w:type="dxa"/>
            <w:vAlign w:val="bottom"/>
          </w:tcPr>
          <w:p>
            <w:pPr>
              <w:jc w:val="right"/>
              <w:ind w:right="272"/>
              <w:spacing w:after="0" w:line="202" w:lineRule="exact"/>
              <w:rPr>
                <w:sz w:val="20"/>
                <w:szCs w:val="20"/>
                <w:color w:val="auto"/>
              </w:rPr>
            </w:pPr>
            <w:r>
              <w:rPr>
                <w:rFonts w:ascii="Arial" w:cs="Arial" w:eastAsia="Arial" w:hAnsi="Arial"/>
                <w:sz w:val="18"/>
                <w:szCs w:val="18"/>
                <w:b w:val="1"/>
                <w:bCs w:val="1"/>
                <w:color w:val="auto"/>
              </w:rPr>
              <w:t>(10,754)</w:t>
            </w:r>
          </w:p>
        </w:tc>
        <w:tc>
          <w:tcPr>
            <w:tcW w:w="1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(46,133)</w:t>
            </w:r>
          </w:p>
        </w:tc>
        <w:tc>
          <w:tcPr>
            <w:tcW w:w="0" w:type="dxa"/>
            <w:vAlign w:val="bottom"/>
          </w:tcPr>
          <w:p>
            <w:pPr>
              <w:spacing w:after="0"/>
              <w:rPr>
                <w:sz w:val="1"/>
                <w:szCs w:val="1"/>
                <w:color w:val="auto"/>
              </w:rPr>
            </w:pPr>
          </w:p>
        </w:tc>
      </w:tr>
      <w:tr>
        <w:trPr>
          <w:trHeight w:val="203"/>
        </w:trPr>
        <w:tc>
          <w:tcPr>
            <w:tcW w:w="8820" w:type="dxa"/>
            <w:vAlign w:val="bottom"/>
          </w:tcPr>
          <w:p>
            <w:pPr>
              <w:ind w:left="240"/>
              <w:spacing w:after="0" w:line="202" w:lineRule="exact"/>
              <w:rPr>
                <w:sz w:val="20"/>
                <w:szCs w:val="20"/>
                <w:color w:val="auto"/>
              </w:rPr>
            </w:pPr>
            <w:r>
              <w:rPr>
                <w:rFonts w:ascii="Arial" w:cs="Arial" w:eastAsia="Arial" w:hAnsi="Arial"/>
                <w:sz w:val="18"/>
                <w:szCs w:val="18"/>
                <w:color w:val="auto"/>
              </w:rPr>
              <w:t>Net proceeds from sales of businesses, property, plant and equipment and other assets</w:t>
            </w:r>
          </w:p>
        </w:tc>
        <w:tc>
          <w:tcPr>
            <w:tcW w:w="340" w:type="dxa"/>
            <w:vAlign w:val="bottom"/>
          </w:tcPr>
          <w:p>
            <w:pPr>
              <w:spacing w:after="0"/>
              <w:rPr>
                <w:sz w:val="17"/>
                <w:szCs w:val="17"/>
                <w:color w:val="auto"/>
              </w:rPr>
            </w:pPr>
          </w:p>
        </w:tc>
        <w:tc>
          <w:tcPr>
            <w:tcW w:w="1240" w:type="dxa"/>
            <w:vAlign w:val="bottom"/>
          </w:tcPr>
          <w:p>
            <w:pPr>
              <w:jc w:val="right"/>
              <w:ind w:right="272"/>
              <w:spacing w:after="0" w:line="202" w:lineRule="exact"/>
              <w:rPr>
                <w:sz w:val="20"/>
                <w:szCs w:val="20"/>
                <w:color w:val="auto"/>
              </w:rPr>
            </w:pPr>
            <w:r>
              <w:rPr>
                <w:rFonts w:ascii="Arial" w:cs="Arial" w:eastAsia="Arial" w:hAnsi="Arial"/>
                <w:sz w:val="18"/>
                <w:szCs w:val="18"/>
                <w:b w:val="1"/>
                <w:bCs w:val="1"/>
                <w:color w:val="auto"/>
              </w:rPr>
              <w:t>5,341</w:t>
            </w:r>
          </w:p>
        </w:tc>
        <w:tc>
          <w:tcPr>
            <w:tcW w:w="1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73,959</w:t>
            </w:r>
          </w:p>
        </w:tc>
        <w:tc>
          <w:tcPr>
            <w:tcW w:w="0" w:type="dxa"/>
            <w:vAlign w:val="bottom"/>
          </w:tcPr>
          <w:p>
            <w:pPr>
              <w:spacing w:after="0"/>
              <w:rPr>
                <w:sz w:val="1"/>
                <w:szCs w:val="1"/>
                <w:color w:val="auto"/>
              </w:rPr>
            </w:pPr>
          </w:p>
        </w:tc>
      </w:tr>
      <w:tr>
        <w:trPr>
          <w:trHeight w:val="203"/>
        </w:trPr>
        <w:tc>
          <w:tcPr>
            <w:tcW w:w="8820" w:type="dxa"/>
            <w:vAlign w:val="bottom"/>
          </w:tcPr>
          <w:p>
            <w:pPr>
              <w:ind w:left="240"/>
              <w:spacing w:after="0" w:line="202" w:lineRule="exact"/>
              <w:rPr>
                <w:sz w:val="20"/>
                <w:szCs w:val="20"/>
                <w:color w:val="auto"/>
              </w:rPr>
            </w:pPr>
            <w:r>
              <w:rPr>
                <w:rFonts w:ascii="Arial" w:cs="Arial" w:eastAsia="Arial" w:hAnsi="Arial"/>
                <w:sz w:val="18"/>
                <w:szCs w:val="18"/>
                <w:color w:val="auto"/>
              </w:rPr>
              <w:t>Investments in certain businesses, net of cash acquired</w:t>
            </w:r>
          </w:p>
        </w:tc>
        <w:tc>
          <w:tcPr>
            <w:tcW w:w="340" w:type="dxa"/>
            <w:vAlign w:val="bottom"/>
          </w:tcPr>
          <w:p>
            <w:pPr>
              <w:spacing w:after="0"/>
              <w:rPr>
                <w:sz w:val="17"/>
                <w:szCs w:val="17"/>
                <w:color w:val="auto"/>
              </w:rPr>
            </w:pPr>
          </w:p>
        </w:tc>
        <w:tc>
          <w:tcPr>
            <w:tcW w:w="1240" w:type="dxa"/>
            <w:vAlign w:val="bottom"/>
          </w:tcPr>
          <w:p>
            <w:pPr>
              <w:jc w:val="right"/>
              <w:ind w:right="272"/>
              <w:spacing w:after="0" w:line="202" w:lineRule="exact"/>
              <w:rPr>
                <w:sz w:val="20"/>
                <w:szCs w:val="20"/>
                <w:color w:val="auto"/>
              </w:rPr>
            </w:pPr>
            <w:r>
              <w:rPr>
                <w:rFonts w:ascii="Arial" w:cs="Arial" w:eastAsia="Arial" w:hAnsi="Arial"/>
                <w:sz w:val="18"/>
                <w:szCs w:val="18"/>
                <w:b w:val="1"/>
                <w:bCs w:val="1"/>
                <w:color w:val="auto"/>
              </w:rPr>
              <w:t>(1,200)</w:t>
            </w:r>
          </w:p>
        </w:tc>
        <w:tc>
          <w:tcPr>
            <w:tcW w:w="1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(8,971)</w:t>
            </w:r>
          </w:p>
        </w:tc>
        <w:tc>
          <w:tcPr>
            <w:tcW w:w="0" w:type="dxa"/>
            <w:vAlign w:val="bottom"/>
          </w:tcPr>
          <w:p>
            <w:pPr>
              <w:spacing w:after="0"/>
              <w:rPr>
                <w:sz w:val="1"/>
                <w:szCs w:val="1"/>
                <w:color w:val="auto"/>
              </w:rPr>
            </w:pPr>
          </w:p>
        </w:tc>
      </w:tr>
      <w:tr>
        <w:trPr>
          <w:trHeight w:val="225"/>
        </w:trPr>
        <w:tc>
          <w:tcPr>
            <w:tcW w:w="8820" w:type="dxa"/>
            <w:vAlign w:val="bottom"/>
          </w:tcPr>
          <w:p>
            <w:pPr>
              <w:ind w:left="2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11</w:t>
            </w: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1,623</w:t>
            </w:r>
          </w:p>
        </w:tc>
        <w:tc>
          <w:tcPr>
            <w:tcW w:w="0" w:type="dxa"/>
            <w:vAlign w:val="bottom"/>
          </w:tcPr>
          <w:p>
            <w:pPr>
              <w:spacing w:after="0"/>
              <w:rPr>
                <w:sz w:val="1"/>
                <w:szCs w:val="1"/>
                <w:color w:val="auto"/>
              </w:rPr>
            </w:pPr>
          </w:p>
        </w:tc>
      </w:tr>
      <w:tr>
        <w:trPr>
          <w:trHeight w:val="196"/>
        </w:trPr>
        <w:tc>
          <w:tcPr>
            <w:tcW w:w="8820" w:type="dxa"/>
            <w:vAlign w:val="bottom"/>
          </w:tcPr>
          <w:p>
            <w:pPr>
              <w:ind w:left="460"/>
              <w:spacing w:after="0" w:line="196" w:lineRule="exact"/>
              <w:rPr>
                <w:sz w:val="20"/>
                <w:szCs w:val="20"/>
                <w:color w:val="auto"/>
              </w:rPr>
            </w:pPr>
            <w:r>
              <w:rPr>
                <w:rFonts w:ascii="Arial" w:cs="Arial" w:eastAsia="Arial" w:hAnsi="Arial"/>
                <w:sz w:val="18"/>
                <w:szCs w:val="18"/>
                <w:b w:val="1"/>
                <w:bCs w:val="1"/>
                <w:color w:val="auto"/>
              </w:rPr>
              <w:t>Net Cash Used in Investing Activities</w:t>
            </w:r>
          </w:p>
        </w:tc>
        <w:tc>
          <w:tcPr>
            <w:tcW w:w="3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72"/>
              <w:spacing w:after="0" w:line="196" w:lineRule="exact"/>
              <w:rPr>
                <w:sz w:val="20"/>
                <w:szCs w:val="20"/>
                <w:color w:val="auto"/>
              </w:rPr>
            </w:pPr>
            <w:r>
              <w:rPr>
                <w:rFonts w:ascii="Arial" w:cs="Arial" w:eastAsia="Arial" w:hAnsi="Arial"/>
                <w:sz w:val="18"/>
                <w:szCs w:val="18"/>
                <w:b w:val="1"/>
                <w:bCs w:val="1"/>
                <w:color w:val="auto"/>
              </w:rPr>
              <w:t>(94,254)</w:t>
            </w: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(77,352)</w:t>
            </w:r>
          </w:p>
        </w:tc>
        <w:tc>
          <w:tcPr>
            <w:tcW w:w="0" w:type="dxa"/>
            <w:vAlign w:val="bottom"/>
          </w:tcPr>
          <w:p>
            <w:pPr>
              <w:spacing w:after="0"/>
              <w:rPr>
                <w:sz w:val="1"/>
                <w:szCs w:val="1"/>
                <w:color w:val="auto"/>
              </w:rPr>
            </w:pPr>
          </w:p>
        </w:tc>
      </w:tr>
      <w:tr>
        <w:trPr>
          <w:trHeight w:val="398"/>
        </w:trPr>
        <w:tc>
          <w:tcPr>
            <w:tcW w:w="88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Pr>
          <w:p>
            <w:pPr>
              <w:spacing w:after="0"/>
              <w:rPr>
                <w:sz w:val="24"/>
                <w:szCs w:val="24"/>
                <w:color w:val="auto"/>
              </w:rPr>
            </w:pPr>
          </w:p>
        </w:tc>
        <w:tc>
          <w:tcPr>
            <w:tcW w:w="1240" w:type="dxa"/>
            <w:vAlign w:val="bottom"/>
            <w:vMerge w:val="restart"/>
          </w:tcPr>
          <w:p>
            <w:pPr>
              <w:jc w:val="right"/>
              <w:ind w:right="272"/>
              <w:spacing w:after="0"/>
              <w:rPr>
                <w:sz w:val="20"/>
                <w:szCs w:val="20"/>
                <w:color w:val="auto"/>
              </w:rPr>
            </w:pPr>
            <w:r>
              <w:rPr>
                <w:rFonts w:ascii="Arial" w:cs="Arial" w:eastAsia="Arial" w:hAnsi="Arial"/>
                <w:sz w:val="18"/>
                <w:szCs w:val="18"/>
                <w:b w:val="1"/>
                <w:bCs w:val="1"/>
                <w:color w:val="auto"/>
              </w:rPr>
              <w:t>(240,121)</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8820" w:type="dxa"/>
            <w:vAlign w:val="bottom"/>
          </w:tcPr>
          <w:p>
            <w:pPr>
              <w:ind w:left="240"/>
              <w:spacing w:after="0" w:line="181" w:lineRule="exact"/>
              <w:rPr>
                <w:sz w:val="20"/>
                <w:szCs w:val="20"/>
                <w:color w:val="auto"/>
              </w:rPr>
            </w:pPr>
            <w:r>
              <w:rPr>
                <w:rFonts w:ascii="Arial" w:cs="Arial" w:eastAsia="Arial" w:hAnsi="Arial"/>
                <w:sz w:val="18"/>
                <w:szCs w:val="18"/>
                <w:color w:val="auto"/>
              </w:rPr>
              <w:t>Repayment of short-term borrowing</w:t>
            </w:r>
          </w:p>
        </w:tc>
        <w:tc>
          <w:tcPr>
            <w:tcW w:w="34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spacing w:after="0" w:line="181" w:lineRule="exact"/>
              <w:rPr>
                <w:sz w:val="20"/>
                <w:szCs w:val="20"/>
                <w:color w:val="auto"/>
              </w:rPr>
            </w:pPr>
            <w:r>
              <w:rPr>
                <w:rFonts w:ascii="Arial" w:cs="Arial" w:eastAsia="Arial" w:hAnsi="Arial"/>
                <w:sz w:val="18"/>
                <w:szCs w:val="18"/>
                <w:color w:val="auto"/>
              </w:rPr>
              <w:t>(109,671)</w:t>
            </w:r>
          </w:p>
        </w:tc>
        <w:tc>
          <w:tcPr>
            <w:tcW w:w="0" w:type="dxa"/>
            <w:vAlign w:val="bottom"/>
          </w:tcPr>
          <w:p>
            <w:pPr>
              <w:spacing w:after="0"/>
              <w:rPr>
                <w:sz w:val="1"/>
                <w:szCs w:val="1"/>
                <w:color w:val="auto"/>
              </w:rPr>
            </w:pPr>
          </w:p>
        </w:tc>
      </w:tr>
      <w:tr>
        <w:trPr>
          <w:trHeight w:val="203"/>
        </w:trPr>
        <w:tc>
          <w:tcPr>
            <w:tcW w:w="8820" w:type="dxa"/>
            <w:vAlign w:val="bottom"/>
          </w:tcPr>
          <w:p>
            <w:pPr>
              <w:ind w:left="240"/>
              <w:spacing w:after="0" w:line="202" w:lineRule="exact"/>
              <w:rPr>
                <w:sz w:val="20"/>
                <w:szCs w:val="20"/>
                <w:color w:val="auto"/>
              </w:rPr>
            </w:pPr>
            <w:r>
              <w:rPr>
                <w:rFonts w:ascii="Arial" w:cs="Arial" w:eastAsia="Arial" w:hAnsi="Arial"/>
                <w:sz w:val="18"/>
                <w:szCs w:val="18"/>
                <w:color w:val="auto"/>
              </w:rPr>
              <w:t>Common shares repurchased</w:t>
            </w:r>
          </w:p>
        </w:tc>
        <w:tc>
          <w:tcPr>
            <w:tcW w:w="340" w:type="dxa"/>
            <w:vAlign w:val="bottom"/>
          </w:tcPr>
          <w:p>
            <w:pPr>
              <w:spacing w:after="0"/>
              <w:rPr>
                <w:sz w:val="17"/>
                <w:szCs w:val="17"/>
                <w:color w:val="auto"/>
              </w:rPr>
            </w:pPr>
          </w:p>
        </w:tc>
        <w:tc>
          <w:tcPr>
            <w:tcW w:w="1240" w:type="dxa"/>
            <w:vAlign w:val="bottom"/>
          </w:tcPr>
          <w:p>
            <w:pPr>
              <w:jc w:val="right"/>
              <w:ind w:right="272"/>
              <w:spacing w:after="0" w:line="202" w:lineRule="exact"/>
              <w:rPr>
                <w:sz w:val="20"/>
                <w:szCs w:val="20"/>
                <w:color w:val="auto"/>
              </w:rPr>
            </w:pPr>
            <w:r>
              <w:rPr>
                <w:rFonts w:ascii="Arial" w:cs="Arial" w:eastAsia="Arial" w:hAnsi="Arial"/>
                <w:sz w:val="18"/>
                <w:szCs w:val="18"/>
                <w:b w:val="1"/>
                <w:bCs w:val="1"/>
                <w:color w:val="auto"/>
              </w:rPr>
              <w:t>(4,196)</w:t>
            </w:r>
          </w:p>
        </w:tc>
        <w:tc>
          <w:tcPr>
            <w:tcW w:w="1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(74,472)</w:t>
            </w:r>
          </w:p>
        </w:tc>
        <w:tc>
          <w:tcPr>
            <w:tcW w:w="0" w:type="dxa"/>
            <w:vAlign w:val="bottom"/>
          </w:tcPr>
          <w:p>
            <w:pPr>
              <w:spacing w:after="0"/>
              <w:rPr>
                <w:sz w:val="1"/>
                <w:szCs w:val="1"/>
                <w:color w:val="auto"/>
              </w:rPr>
            </w:pPr>
          </w:p>
        </w:tc>
      </w:tr>
      <w:tr>
        <w:trPr>
          <w:trHeight w:val="203"/>
        </w:trPr>
        <w:tc>
          <w:tcPr>
            <w:tcW w:w="8820" w:type="dxa"/>
            <w:vAlign w:val="bottom"/>
          </w:tcPr>
          <w:p>
            <w:pPr>
              <w:ind w:left="240"/>
              <w:spacing w:after="0" w:line="202" w:lineRule="exact"/>
              <w:rPr>
                <w:sz w:val="20"/>
                <w:szCs w:val="20"/>
                <w:color w:val="auto"/>
              </w:rPr>
            </w:pPr>
            <w:r>
              <w:rPr>
                <w:rFonts w:ascii="Arial" w:cs="Arial" w:eastAsia="Arial" w:hAnsi="Arial"/>
                <w:sz w:val="18"/>
                <w:szCs w:val="18"/>
                <w:color w:val="auto"/>
              </w:rPr>
              <w:t>Purchase of shares from a noncontrolling interest</w:t>
            </w:r>
          </w:p>
        </w:tc>
        <w:tc>
          <w:tcPr>
            <w:tcW w:w="340" w:type="dxa"/>
            <w:vAlign w:val="bottom"/>
          </w:tcPr>
          <w:p>
            <w:pPr>
              <w:spacing w:after="0"/>
              <w:rPr>
                <w:sz w:val="17"/>
                <w:szCs w:val="17"/>
                <w:color w:val="auto"/>
              </w:rPr>
            </w:pPr>
          </w:p>
        </w:tc>
        <w:tc>
          <w:tcPr>
            <w:tcW w:w="1240" w:type="dxa"/>
            <w:vAlign w:val="bottom"/>
          </w:tcPr>
          <w:p>
            <w:pPr>
              <w:jc w:val="right"/>
              <w:ind w:right="272"/>
              <w:spacing w:after="0" w:line="202" w:lineRule="exact"/>
              <w:rPr>
                <w:sz w:val="20"/>
                <w:szCs w:val="20"/>
                <w:color w:val="auto"/>
              </w:rPr>
            </w:pPr>
            <w:r>
              <w:rPr>
                <w:rFonts w:ascii="Arial" w:cs="Arial" w:eastAsia="Arial" w:hAnsi="Arial"/>
                <w:sz w:val="18"/>
                <w:szCs w:val="18"/>
                <w:b w:val="1"/>
                <w:bCs w:val="1"/>
                <w:color w:val="auto"/>
              </w:rPr>
              <w:t>(3,115)</w:t>
            </w:r>
          </w:p>
        </w:tc>
        <w:tc>
          <w:tcPr>
            <w:tcW w:w="1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820" w:type="dxa"/>
            <w:vAlign w:val="bottom"/>
          </w:tcPr>
          <w:p>
            <w:pPr>
              <w:ind w:left="240"/>
              <w:spacing w:after="0" w:line="202" w:lineRule="exact"/>
              <w:rPr>
                <w:sz w:val="20"/>
                <w:szCs w:val="20"/>
                <w:color w:val="auto"/>
              </w:rPr>
            </w:pPr>
            <w:r>
              <w:rPr>
                <w:rFonts w:ascii="Arial" w:cs="Arial" w:eastAsia="Arial" w:hAnsi="Arial"/>
                <w:sz w:val="18"/>
                <w:szCs w:val="18"/>
                <w:color w:val="auto"/>
              </w:rPr>
              <w:t>Dividends paid</w:t>
            </w:r>
          </w:p>
        </w:tc>
        <w:tc>
          <w:tcPr>
            <w:tcW w:w="340" w:type="dxa"/>
            <w:vAlign w:val="bottom"/>
          </w:tcPr>
          <w:p>
            <w:pPr>
              <w:spacing w:after="0"/>
              <w:rPr>
                <w:sz w:val="17"/>
                <w:szCs w:val="17"/>
                <w:color w:val="auto"/>
              </w:rPr>
            </w:pPr>
          </w:p>
        </w:tc>
        <w:tc>
          <w:tcPr>
            <w:tcW w:w="1240" w:type="dxa"/>
            <w:vAlign w:val="bottom"/>
          </w:tcPr>
          <w:p>
            <w:pPr>
              <w:jc w:val="right"/>
              <w:ind w:right="272"/>
              <w:spacing w:after="0" w:line="202" w:lineRule="exact"/>
              <w:rPr>
                <w:sz w:val="20"/>
                <w:szCs w:val="20"/>
                <w:color w:val="auto"/>
              </w:rPr>
            </w:pPr>
            <w:r>
              <w:rPr>
                <w:rFonts w:ascii="Arial" w:cs="Arial" w:eastAsia="Arial" w:hAnsi="Arial"/>
                <w:sz w:val="18"/>
                <w:szCs w:val="18"/>
                <w:b w:val="1"/>
                <w:bCs w:val="1"/>
                <w:color w:val="auto"/>
              </w:rPr>
              <w:t>(437)</w:t>
            </w:r>
          </w:p>
        </w:tc>
        <w:tc>
          <w:tcPr>
            <w:tcW w:w="1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(37,775)</w:t>
            </w:r>
          </w:p>
        </w:tc>
        <w:tc>
          <w:tcPr>
            <w:tcW w:w="0" w:type="dxa"/>
            <w:vAlign w:val="bottom"/>
          </w:tcPr>
          <w:p>
            <w:pPr>
              <w:spacing w:after="0"/>
              <w:rPr>
                <w:sz w:val="1"/>
                <w:szCs w:val="1"/>
                <w:color w:val="auto"/>
              </w:rPr>
            </w:pPr>
          </w:p>
        </w:tc>
      </w:tr>
      <w:tr>
        <w:trPr>
          <w:trHeight w:val="225"/>
        </w:trPr>
        <w:tc>
          <w:tcPr>
            <w:tcW w:w="8820" w:type="dxa"/>
            <w:vAlign w:val="bottom"/>
          </w:tcPr>
          <w:p>
            <w:pPr>
              <w:ind w:left="2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23,216</w:t>
            </w: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11,438</w:t>
            </w:r>
          </w:p>
        </w:tc>
        <w:tc>
          <w:tcPr>
            <w:tcW w:w="0" w:type="dxa"/>
            <w:vAlign w:val="bottom"/>
          </w:tcPr>
          <w:p>
            <w:pPr>
              <w:spacing w:after="0"/>
              <w:rPr>
                <w:sz w:val="1"/>
                <w:szCs w:val="1"/>
                <w:color w:val="auto"/>
              </w:rPr>
            </w:pPr>
          </w:p>
        </w:tc>
      </w:tr>
      <w:tr>
        <w:trPr>
          <w:trHeight w:val="196"/>
        </w:trPr>
        <w:tc>
          <w:tcPr>
            <w:tcW w:w="8820" w:type="dxa"/>
            <w:vAlign w:val="bottom"/>
          </w:tcPr>
          <w:p>
            <w:pPr>
              <w:ind w:left="460"/>
              <w:spacing w:after="0" w:line="196" w:lineRule="exact"/>
              <w:rPr>
                <w:sz w:val="20"/>
                <w:szCs w:val="20"/>
                <w:color w:val="auto"/>
              </w:rPr>
            </w:pPr>
            <w:r>
              <w:rPr>
                <w:rFonts w:ascii="Arial" w:cs="Arial" w:eastAsia="Arial" w:hAnsi="Arial"/>
                <w:sz w:val="18"/>
                <w:szCs w:val="18"/>
                <w:b w:val="1"/>
                <w:bCs w:val="1"/>
                <w:color w:val="auto"/>
              </w:rPr>
              <w:t>Net Cash Used in Financing Activities</w:t>
            </w:r>
          </w:p>
        </w:tc>
        <w:tc>
          <w:tcPr>
            <w:tcW w:w="3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72"/>
              <w:spacing w:after="0" w:line="196" w:lineRule="exact"/>
              <w:rPr>
                <w:sz w:val="20"/>
                <w:szCs w:val="20"/>
                <w:color w:val="auto"/>
              </w:rPr>
            </w:pPr>
            <w:r>
              <w:rPr>
                <w:rFonts w:ascii="Arial" w:cs="Arial" w:eastAsia="Arial" w:hAnsi="Arial"/>
                <w:sz w:val="18"/>
                <w:szCs w:val="18"/>
                <w:b w:val="1"/>
                <w:bCs w:val="1"/>
                <w:color w:val="auto"/>
              </w:rPr>
              <w:t>(224,653)</w:t>
            </w: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(210,480)</w:t>
            </w:r>
          </w:p>
        </w:tc>
        <w:tc>
          <w:tcPr>
            <w:tcW w:w="0" w:type="dxa"/>
            <w:vAlign w:val="bottom"/>
          </w:tcPr>
          <w:p>
            <w:pPr>
              <w:spacing w:after="0"/>
              <w:rPr>
                <w:sz w:val="1"/>
                <w:szCs w:val="1"/>
                <w:color w:val="auto"/>
              </w:rPr>
            </w:pPr>
          </w:p>
        </w:tc>
      </w:tr>
      <w:tr>
        <w:trPr>
          <w:trHeight w:val="196"/>
        </w:trPr>
        <w:tc>
          <w:tcPr>
            <w:tcW w:w="8820" w:type="dxa"/>
            <w:vAlign w:val="bottom"/>
          </w:tcPr>
          <w:p>
            <w:pPr>
              <w:spacing w:after="0" w:line="196" w:lineRule="exact"/>
              <w:rPr>
                <w:sz w:val="20"/>
                <w:szCs w:val="20"/>
                <w:color w:val="auto"/>
              </w:rPr>
            </w:pPr>
            <w:r>
              <w:rPr>
                <w:rFonts w:ascii="Arial" w:cs="Arial" w:eastAsia="Arial" w:hAnsi="Arial"/>
                <w:sz w:val="18"/>
                <w:szCs w:val="18"/>
                <w:b w:val="1"/>
                <w:bCs w:val="1"/>
                <w:color w:val="auto"/>
              </w:rPr>
              <w:t>Effect of Currency Exchange Rate Change</w:t>
            </w:r>
          </w:p>
        </w:tc>
        <w:tc>
          <w:tcPr>
            <w:tcW w:w="3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72"/>
              <w:spacing w:after="0" w:line="196" w:lineRule="exact"/>
              <w:rPr>
                <w:sz w:val="20"/>
                <w:szCs w:val="20"/>
                <w:color w:val="auto"/>
              </w:rPr>
            </w:pPr>
            <w:r>
              <w:rPr>
                <w:rFonts w:ascii="Arial" w:cs="Arial" w:eastAsia="Arial" w:hAnsi="Arial"/>
                <w:sz w:val="18"/>
                <w:szCs w:val="18"/>
                <w:b w:val="1"/>
                <w:bCs w:val="1"/>
                <w:color w:val="auto"/>
              </w:rPr>
              <w:t>(4,468)</w:t>
            </w: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1,145</w:t>
            </w:r>
          </w:p>
        </w:tc>
        <w:tc>
          <w:tcPr>
            <w:tcW w:w="0" w:type="dxa"/>
            <w:vAlign w:val="bottom"/>
          </w:tcPr>
          <w:p>
            <w:pPr>
              <w:spacing w:after="0"/>
              <w:rPr>
                <w:sz w:val="1"/>
                <w:szCs w:val="1"/>
                <w:color w:val="auto"/>
              </w:rPr>
            </w:pPr>
          </w:p>
        </w:tc>
      </w:tr>
      <w:tr>
        <w:trPr>
          <w:trHeight w:val="173"/>
        </w:trPr>
        <w:tc>
          <w:tcPr>
            <w:tcW w:w="8820" w:type="dxa"/>
            <w:vAlign w:val="bottom"/>
          </w:tcPr>
          <w:p>
            <w:pPr>
              <w:spacing w:after="0" w:line="173" w:lineRule="exact"/>
              <w:rPr>
                <w:sz w:val="20"/>
                <w:szCs w:val="20"/>
                <w:color w:val="auto"/>
              </w:rPr>
            </w:pPr>
            <w:r>
              <w:rPr>
                <w:rFonts w:ascii="Arial" w:cs="Arial" w:eastAsia="Arial" w:hAnsi="Arial"/>
                <w:sz w:val="18"/>
                <w:szCs w:val="18"/>
                <w:b w:val="1"/>
                <w:bCs w:val="1"/>
                <w:color w:val="auto"/>
              </w:rPr>
              <w:t>Net Decrease in Cash and Cash Equivalents</w:t>
            </w:r>
          </w:p>
        </w:tc>
        <w:tc>
          <w:tcPr>
            <w:tcW w:w="340" w:type="dxa"/>
            <w:vAlign w:val="bottom"/>
          </w:tcPr>
          <w:p>
            <w:pPr>
              <w:spacing w:after="0"/>
              <w:rPr>
                <w:sz w:val="15"/>
                <w:szCs w:val="15"/>
                <w:color w:val="auto"/>
              </w:rPr>
            </w:pPr>
          </w:p>
        </w:tc>
        <w:tc>
          <w:tcPr>
            <w:tcW w:w="1240" w:type="dxa"/>
            <w:vAlign w:val="bottom"/>
          </w:tcPr>
          <w:p>
            <w:pPr>
              <w:jc w:val="right"/>
              <w:ind w:right="272"/>
              <w:spacing w:after="0" w:line="173" w:lineRule="exact"/>
              <w:rPr>
                <w:sz w:val="20"/>
                <w:szCs w:val="20"/>
                <w:color w:val="auto"/>
              </w:rPr>
            </w:pPr>
            <w:r>
              <w:rPr>
                <w:rFonts w:ascii="Arial" w:cs="Arial" w:eastAsia="Arial" w:hAnsi="Arial"/>
                <w:sz w:val="18"/>
                <w:szCs w:val="18"/>
                <w:b w:val="1"/>
                <w:bCs w:val="1"/>
                <w:color w:val="auto"/>
              </w:rPr>
              <w:t>(125,864)</w:t>
            </w:r>
          </w:p>
        </w:tc>
        <w:tc>
          <w:tcPr>
            <w:tcW w:w="160" w:type="dxa"/>
            <w:vAlign w:val="bottom"/>
          </w:tcPr>
          <w:p>
            <w:pPr>
              <w:spacing w:after="0"/>
              <w:rPr>
                <w:sz w:val="15"/>
                <w:szCs w:val="15"/>
                <w:color w:val="auto"/>
              </w:rPr>
            </w:pPr>
          </w:p>
        </w:tc>
        <w:tc>
          <w:tcPr>
            <w:tcW w:w="860" w:type="dxa"/>
            <w:vAlign w:val="bottom"/>
          </w:tcPr>
          <w:p>
            <w:pPr>
              <w:jc w:val="right"/>
              <w:spacing w:after="0" w:line="173" w:lineRule="exact"/>
              <w:rPr>
                <w:sz w:val="20"/>
                <w:szCs w:val="20"/>
                <w:color w:val="auto"/>
              </w:rPr>
            </w:pPr>
            <w:r>
              <w:rPr>
                <w:rFonts w:ascii="Arial" w:cs="Arial" w:eastAsia="Arial" w:hAnsi="Arial"/>
                <w:sz w:val="18"/>
                <w:szCs w:val="18"/>
                <w:color w:val="auto"/>
              </w:rPr>
              <w:t>(116,980)</w:t>
            </w:r>
          </w:p>
        </w:tc>
        <w:tc>
          <w:tcPr>
            <w:tcW w:w="0" w:type="dxa"/>
            <w:vAlign w:val="bottom"/>
          </w:tcPr>
          <w:p>
            <w:pPr>
              <w:spacing w:after="0"/>
              <w:rPr>
                <w:sz w:val="1"/>
                <w:szCs w:val="1"/>
                <w:color w:val="auto"/>
              </w:rPr>
            </w:pPr>
          </w:p>
        </w:tc>
      </w:tr>
      <w:tr>
        <w:trPr>
          <w:trHeight w:val="225"/>
        </w:trPr>
        <w:tc>
          <w:tcPr>
            <w:tcW w:w="8820" w:type="dxa"/>
            <w:vAlign w:val="bottom"/>
          </w:tcPr>
          <w:p>
            <w:pPr>
              <w:spacing w:after="0"/>
              <w:rPr>
                <w:sz w:val="20"/>
                <w:szCs w:val="20"/>
                <w:color w:val="auto"/>
              </w:rPr>
            </w:pPr>
            <w:r>
              <w:rPr>
                <w:rFonts w:ascii="Arial" w:cs="Arial" w:eastAsia="Arial" w:hAnsi="Arial"/>
                <w:sz w:val="18"/>
                <w:szCs w:val="18"/>
                <w:b w:val="1"/>
                <w:bCs w:val="1"/>
                <w:color w:val="auto"/>
              </w:rPr>
              <w:t>Beginning Cash and Cash Equivalents</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512,431</w:t>
            </w: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381,099</w:t>
            </w:r>
          </w:p>
        </w:tc>
        <w:tc>
          <w:tcPr>
            <w:tcW w:w="0" w:type="dxa"/>
            <w:vAlign w:val="bottom"/>
          </w:tcPr>
          <w:p>
            <w:pPr>
              <w:spacing w:after="0"/>
              <w:rPr>
                <w:sz w:val="1"/>
                <w:szCs w:val="1"/>
                <w:color w:val="auto"/>
              </w:rPr>
            </w:pPr>
          </w:p>
        </w:tc>
      </w:tr>
      <w:tr>
        <w:trPr>
          <w:trHeight w:val="196"/>
        </w:trPr>
        <w:tc>
          <w:tcPr>
            <w:tcW w:w="8820" w:type="dxa"/>
            <w:vAlign w:val="bottom"/>
          </w:tcPr>
          <w:p>
            <w:pPr>
              <w:spacing w:after="0" w:line="196" w:lineRule="exact"/>
              <w:rPr>
                <w:sz w:val="20"/>
                <w:szCs w:val="20"/>
                <w:color w:val="auto"/>
              </w:rPr>
            </w:pPr>
            <w:r>
              <w:rPr>
                <w:rFonts w:ascii="Arial" w:cs="Arial" w:eastAsia="Arial" w:hAnsi="Arial"/>
                <w:sz w:val="18"/>
                <w:szCs w:val="18"/>
                <w:b w:val="1"/>
                <w:bCs w:val="1"/>
                <w:color w:val="auto"/>
              </w:rPr>
              <w:t>Ending Cash and Cash Equivalents</w:t>
            </w:r>
          </w:p>
        </w:tc>
        <w:tc>
          <w:tcPr>
            <w:tcW w:w="3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tcPr>
          <w:p>
            <w:pPr>
              <w:jc w:val="right"/>
              <w:ind w:right="272"/>
              <w:spacing w:after="0" w:line="196" w:lineRule="exact"/>
              <w:rPr>
                <w:sz w:val="20"/>
                <w:szCs w:val="20"/>
                <w:color w:val="auto"/>
              </w:rPr>
            </w:pPr>
            <w:r>
              <w:rPr>
                <w:rFonts w:ascii="Arial" w:cs="Arial" w:eastAsia="Arial" w:hAnsi="Arial"/>
                <w:sz w:val="18"/>
                <w:szCs w:val="18"/>
                <w:b w:val="1"/>
                <w:bCs w:val="1"/>
                <w:color w:val="auto"/>
              </w:rPr>
              <w:t>386,567</w:t>
            </w: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264,119</w:t>
            </w:r>
          </w:p>
        </w:tc>
        <w:tc>
          <w:tcPr>
            <w:tcW w:w="0" w:type="dxa"/>
            <w:vAlign w:val="bottom"/>
          </w:tcPr>
          <w:p>
            <w:pPr>
              <w:spacing w:after="0"/>
              <w:rPr>
                <w:sz w:val="1"/>
                <w:szCs w:val="1"/>
                <w:color w:val="auto"/>
              </w:rPr>
            </w:pPr>
          </w:p>
        </w:tc>
      </w:tr>
      <w:tr>
        <w:trPr>
          <w:trHeight w:val="20"/>
        </w:trPr>
        <w:tc>
          <w:tcPr>
            <w:tcW w:w="88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846" w:right="239" w:bottom="1440" w:gutter="0" w:footer="0" w:header="0"/>
        </w:sectPr>
      </w:pPr>
    </w:p>
    <w:bookmarkStart w:id="6" w:name="page7"/>
    <w:bookmarkEnd w:id="6"/>
    <w:p>
      <w:pPr>
        <w:jc w:val="center"/>
        <w:ind w:left="260" w:right="2760"/>
        <w:spacing w:after="0" w:line="257" w:lineRule="auto"/>
        <w:rPr>
          <w:sz w:val="20"/>
          <w:szCs w:val="20"/>
          <w:color w:val="auto"/>
        </w:rPr>
      </w:pPr>
      <w:r>
        <w:rPr>
          <w:rFonts w:ascii="Arial" w:cs="Arial" w:eastAsia="Arial" w:hAnsi="Arial"/>
          <w:sz w:val="18"/>
          <w:szCs w:val="18"/>
          <w:b w:val="1"/>
          <w:bCs w:val="1"/>
          <w:color w:val="auto"/>
        </w:rPr>
        <w:t>THE WASHINGTON POST COMPANY NOTES TO CONDENSED CONSOLIDATED FINANCIAL STATEMENTS (UNAUDITED)</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BASIS OF PRESENTATION AND RECENT ACCOUNTING PRONOUNCEMENTS</w:t>
      </w:r>
    </w:p>
    <w:p>
      <w:pPr>
        <w:spacing w:after="0" w:line="9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Washington Post Company, Inc. (the Company) is a diversified education and media company. The Company’s Kaplan subsidiary provides a wide variety of educational services, both domestically and outside the United States. The Company’s media operations consist of the ownership and operation of cable television systems, newspaper publishing (principally The Washington Post), and television broadcasting (through the ownership and operation of six television broadcast stations).</w:t>
      </w:r>
    </w:p>
    <w:p>
      <w:pPr>
        <w:spacing w:after="0" w:line="126" w:lineRule="exact"/>
        <w:rPr>
          <w:sz w:val="20"/>
          <w:szCs w:val="20"/>
          <w:color w:val="auto"/>
        </w:rPr>
      </w:pPr>
    </w:p>
    <w:p>
      <w:pPr>
        <w:ind w:right="620"/>
        <w:spacing w:after="0" w:line="271" w:lineRule="auto"/>
        <w:rPr>
          <w:sz w:val="20"/>
          <w:szCs w:val="20"/>
          <w:color w:val="auto"/>
        </w:rPr>
      </w:pPr>
      <w:r>
        <w:rPr>
          <w:rFonts w:ascii="Arial" w:cs="Arial" w:eastAsia="Arial" w:hAnsi="Arial"/>
          <w:sz w:val="18"/>
          <w:szCs w:val="18"/>
          <w:b w:val="1"/>
          <w:bCs w:val="1"/>
          <w:color w:val="auto"/>
        </w:rPr>
        <w:t xml:space="preserve">Financial Periods </w:t>
      </w:r>
      <w:r>
        <w:rPr>
          <w:rFonts w:ascii="Arial" w:cs="Arial" w:eastAsia="Arial" w:hAnsi="Arial"/>
          <w:sz w:val="18"/>
          <w:szCs w:val="18"/>
          <w:color w:val="auto"/>
        </w:rPr>
        <w:t>– The Company and its subsidiaries report on a calendar-quarter basis, with the exception of most of the newspaper</w:t>
      </w:r>
      <w:r>
        <w:rPr>
          <w:rFonts w:ascii="Arial" w:cs="Arial" w:eastAsia="Arial" w:hAnsi="Arial"/>
          <w:sz w:val="18"/>
          <w:szCs w:val="18"/>
          <w:b w:val="1"/>
          <w:bCs w:val="1"/>
          <w:color w:val="auto"/>
        </w:rPr>
        <w:t xml:space="preserve"> </w:t>
      </w:r>
      <w:r>
        <w:rPr>
          <w:rFonts w:ascii="Arial" w:cs="Arial" w:eastAsia="Arial" w:hAnsi="Arial"/>
          <w:sz w:val="18"/>
          <w:szCs w:val="18"/>
          <w:color w:val="auto"/>
        </w:rPr>
        <w:t>publishing operations, which report on a thirteen week quarter ending on the Sunday nearest the calendar quarter-end.</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 The accompanying condensed consolidated financial statements have been prepared in accordance with:</w:t>
      </w:r>
    </w:p>
    <w:p>
      <w:pPr>
        <w:spacing w:after="0" w:line="13"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generally accepted accounting principles in the United States of America (GAAP) for interim financial information; (ii) the instructions to Form</w:t>
      </w:r>
    </w:p>
    <w:p>
      <w:pPr>
        <w:ind w:right="140"/>
        <w:spacing w:after="0" w:line="236" w:lineRule="auto"/>
        <w:rPr>
          <w:rFonts w:ascii="Arial" w:cs="Arial" w:eastAsia="Arial" w:hAnsi="Arial"/>
          <w:sz w:val="18"/>
          <w:szCs w:val="18"/>
          <w:color w:val="auto"/>
        </w:rPr>
      </w:pPr>
      <w:r>
        <w:rPr>
          <w:rFonts w:ascii="Arial" w:cs="Arial" w:eastAsia="Arial" w:hAnsi="Arial"/>
          <w:sz w:val="18"/>
          <w:szCs w:val="18"/>
          <w:color w:val="auto"/>
        </w:rPr>
        <w:t>10-Q; and (iii) the guidance of Rule 10-01 of Regulation S-X under the Securities and Exchange Act of 1934, as amended, for financial statements required to be filed with the Securities and Exchange Commission (SEC). They include the assets, liabilities, results of operations and cash flows of the Company, including its domestic and foreign subsidiaries that are more than 50% owned or otherwise controlled by the Company. As permitted under such rules, certain notes and other financial information normally required by GAAP have been condensed or omitted. Management believes the accompanying condensed consolidated financial statements reflect all normal and recurring adjustments necessary for a fair presentation of the Company’s financial position, results of operations, and cash flows as of and for the periods presented herein. The Company’s results of operations for the three and six months ended June 30, 2013 and 2012 may not be indicative of the Company’s future results. These condensed consolidated financial statements are unaudited and should be read in conjunction with the Company’s audited consolidated financial statements and the notes thereto included in the Company’s Annual Report on Form 10-K for the fiscal year ended December 31, 2012.</w:t>
      </w:r>
    </w:p>
    <w:p>
      <w:pPr>
        <w:spacing w:after="0" w:line="153"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The year-end condensed consolidated balance sheet data was derived from audited financial statements, but does not include all disclosures required by GAAP.</w:t>
      </w:r>
    </w:p>
    <w:p>
      <w:pPr>
        <w:spacing w:after="0" w:line="143"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Certain amounts in previously issued financial statements have been reclassified to conform to the current year presentation, which includes the reclassification of the results of operations of certain businesses as discontinued operations for all periods presented.</w:t>
      </w:r>
    </w:p>
    <w:p>
      <w:pPr>
        <w:spacing w:after="0" w:line="121"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b w:val="1"/>
          <w:bCs w:val="1"/>
          <w:color w:val="auto"/>
        </w:rPr>
        <w:t xml:space="preserve">Use of Estimates in the Preparation of the Condensed Consolidated Financial Statements </w:t>
      </w:r>
      <w:r>
        <w:rPr>
          <w:rFonts w:ascii="Arial" w:cs="Arial" w:eastAsia="Arial" w:hAnsi="Arial"/>
          <w:sz w:val="18"/>
          <w:szCs w:val="18"/>
          <w:color w:val="auto"/>
        </w:rPr>
        <w:t>– The preparation of the condensed</w:t>
      </w:r>
      <w:r>
        <w:rPr>
          <w:rFonts w:ascii="Arial" w:cs="Arial" w:eastAsia="Arial" w:hAnsi="Arial"/>
          <w:sz w:val="18"/>
          <w:szCs w:val="18"/>
          <w:b w:val="1"/>
          <w:bCs w:val="1"/>
          <w:color w:val="auto"/>
        </w:rPr>
        <w:t xml:space="preserve"> </w:t>
      </w:r>
      <w:r>
        <w:rPr>
          <w:rFonts w:ascii="Arial" w:cs="Arial" w:eastAsia="Arial" w:hAnsi="Arial"/>
          <w:sz w:val="18"/>
          <w:szCs w:val="18"/>
          <w:color w:val="auto"/>
        </w:rPr>
        <w:t>consolidated financial statements in conformity with GAAP requires management to make estimates and judgments that affect the amounts reported herein. Management bases its estimates and assumptions on historical experience and on various other factors that are believed to be reasonable under the circumstances. Due to the inherent uncertainty involved in making estimates, actual results reported in future periods may be affected by changes in those estimates.</w:t>
      </w:r>
    </w:p>
    <w:p>
      <w:pPr>
        <w:spacing w:after="0" w:line="123"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b w:val="1"/>
          <w:bCs w:val="1"/>
          <w:color w:val="auto"/>
        </w:rPr>
        <w:t xml:space="preserve">Recently Adopted and Issued Accounting Pronouncements </w:t>
      </w:r>
      <w:r>
        <w:rPr>
          <w:rFonts w:ascii="Arial" w:cs="Arial" w:eastAsia="Arial" w:hAnsi="Arial"/>
          <w:sz w:val="18"/>
          <w:szCs w:val="18"/>
          <w:color w:val="auto"/>
        </w:rPr>
        <w:t>– In February 2013, the Financial Accounting Standards Board (FASB) issued</w:t>
      </w:r>
      <w:r>
        <w:rPr>
          <w:rFonts w:ascii="Arial" w:cs="Arial" w:eastAsia="Arial" w:hAnsi="Arial"/>
          <w:sz w:val="18"/>
          <w:szCs w:val="18"/>
          <w:b w:val="1"/>
          <w:bCs w:val="1"/>
          <w:color w:val="auto"/>
        </w:rPr>
        <w:t xml:space="preserve"> </w:t>
      </w:r>
      <w:r>
        <w:rPr>
          <w:rFonts w:ascii="Arial" w:cs="Arial" w:eastAsia="Arial" w:hAnsi="Arial"/>
          <w:sz w:val="18"/>
          <w:szCs w:val="18"/>
          <w:color w:val="auto"/>
        </w:rPr>
        <w:t>final guidance on the presentation of reclassifications out of other comprehensive income to net income. The amendment requires an entity to provide information about the amounts reclassified out of other comprehensive income by component. In addition, an entity is required to present, either on the face of the income statement or in a footnote, significant amounts reclassified out of accumulated other comprehensive income by the respective line items of net income, only if the amount reclassified is required by GAAP to be reclassified to net income in its entirety in the same reporting period. For other amounts that are not required under GAAP to be reclassified in their entirety to net income, an entity is required to cross-reference to other disclosures required under GAAP that provide detail about those amounts. This amendment is effective for interim and fiscal years beginning after December 15, 2012. The adoption of the amendment in the first quarter of 2013 is reflected in the Company's Notes to Condensed Consolidated Financial Statements.</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846"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2. DISCONTINUED OPERATIONS</w:t>
      </w:r>
    </w:p>
    <w:p>
      <w:pPr>
        <w:spacing w:after="0" w:line="220"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In March 2013, the Company completed the sale of The Herald, a daily and Sunday newspaper headquartered in Everett, WA. Under the terms of the agreement, the purchaser received most of the assets and liabilities; however, certain land and buildings and other assets and liabilities were retained by the Company. The results of operations of The Herald for the three and six months ended June 30, 2013 and 2012, are included in the Company’s Condensed Consolidated Statements of Operations as Income (Loss) from Discontinued Operations, Net of Tax. All corresponding prior period operating results presented in the Company’s Condensed Consolidated Financial Statements and the accompanying notes have been reclassified to reflect the discontinued operations presented. The Company did not reclassify its Condensed Consolidated Balance Sheets or Statements of Cash Flows to reflect the discontinued operations.</w:t>
      </w:r>
    </w:p>
    <w:p>
      <w:pPr>
        <w:spacing w:after="0" w:line="190"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 August 2012, the Company completed the sale of Kidum and recorded a pre-tax gain of $3.6 million and an after-tax gain of $10.2 million related to this sale in the third quarter of 2012. On July 31, 2012, the Company disposed of its interest in Avenue100 Media Solutions, Inc. and recorded a pre-tax loss of $5.7 million related to the disposition. An income tax benefit of $44.5 million was also recorded in the third quarter of 2012 as the Company determined that Avenue100 had no value. The income tax benefit was due to the Company’s tax basis in the stock of Avenue100 exceeding its net book value, as a result of goodwill and other intangible asset impairment charges recorded in 2008, 2010 and 2011 for which no tax benefit was previously recorded. In April 2012, the Company completed the sale of Kaplan EduNeering. Under the terms of the agreement, the purchaser acquired the stock of EduNeering and received substantially all the assets and liabilities. In the second quarter of 2012, the Company recorded an after-tax gain of $18.5 million related to this sale. In February 2012, Kaplan completed the stock sale of Kaplan Learning Technologies (KLT) and recorded an after-tax loss on the sale of $1.9 million. The Company recorded $23.2 million of income tax benefits in the first quarter of 2012 in connection with the sale of its stock in EduNeering and KLT related to the excess of the outside stock tax basis over the net book value of the net assets disposed. The results of operations of Kidum, Avenue100, EduNeering, and KLT, for the three and six months ended June 30, 2012 are included in the Company’s Condensed Consolidated Statement of Operations as Income (Loss) from Discontinued Operations, Net of Tax.</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The summarized income (loss) from discontinued operations, net of tax, is presented below: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20" w:type="dxa"/>
            <w:vAlign w:val="bottom"/>
            <w:gridSpan w:val="3"/>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204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5"/>
        </w:trPr>
        <w:tc>
          <w:tcPr>
            <w:tcW w:w="630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3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ind w:left="720"/>
              <w:spacing w:after="0"/>
              <w:rPr>
                <w:sz w:val="20"/>
                <w:szCs w:val="20"/>
                <w:color w:val="auto"/>
              </w:rPr>
            </w:pPr>
            <w:r>
              <w:rPr>
                <w:rFonts w:ascii="Arial" w:cs="Arial" w:eastAsia="Arial" w:hAnsi="Arial"/>
                <w:sz w:val="14"/>
                <w:szCs w:val="14"/>
                <w:b w:val="1"/>
                <w:bCs w:val="1"/>
                <w:color w:val="auto"/>
              </w:rPr>
              <w:t>June 30,</w:t>
            </w:r>
          </w:p>
        </w:tc>
        <w:tc>
          <w:tcPr>
            <w:tcW w:w="10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00" w:type="dxa"/>
            <w:vAlign w:val="bottom"/>
            <w:tcBorders>
              <w:bottom w:val="single" w:sz="8" w:color="auto"/>
            </w:tcBorders>
            <w:vMerge w:val="continue"/>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2013</w:t>
            </w:r>
          </w:p>
        </w:tc>
        <w:tc>
          <w:tcPr>
            <w:tcW w:w="3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20"/>
              <w:spacing w:after="0" w:line="142" w:lineRule="exact"/>
              <w:rPr>
                <w:sz w:val="20"/>
                <w:szCs w:val="20"/>
                <w:color w:val="auto"/>
              </w:rPr>
            </w:pPr>
            <w:r>
              <w:rPr>
                <w:rFonts w:ascii="Arial" w:cs="Arial" w:eastAsia="Arial" w:hAnsi="Arial"/>
                <w:sz w:val="14"/>
                <w:szCs w:val="14"/>
                <w:color w:val="auto"/>
              </w:rPr>
              <w:t>2012</w:t>
            </w:r>
          </w:p>
        </w:tc>
        <w:tc>
          <w:tcPr>
            <w:tcW w:w="3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43"/>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40"/>
              <w:spacing w:after="0" w:line="142" w:lineRule="exact"/>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164"/>
        </w:trPr>
        <w:tc>
          <w:tcPr>
            <w:tcW w:w="6300" w:type="dxa"/>
            <w:vAlign w:val="bottom"/>
          </w:tcPr>
          <w:p>
            <w:pPr>
              <w:spacing w:after="0" w:line="165" w:lineRule="exact"/>
              <w:rPr>
                <w:sz w:val="20"/>
                <w:szCs w:val="20"/>
                <w:color w:val="auto"/>
              </w:rPr>
            </w:pPr>
            <w:r>
              <w:rPr>
                <w:rFonts w:ascii="Arial" w:cs="Arial" w:eastAsia="Arial" w:hAnsi="Arial"/>
                <w:sz w:val="16"/>
                <w:szCs w:val="16"/>
                <w:color w:val="auto"/>
              </w:rPr>
              <w:t>Operating revenues</w:t>
            </w:r>
          </w:p>
        </w:tc>
        <w:tc>
          <w:tcPr>
            <w:tcW w:w="340" w:type="dxa"/>
            <w:vAlign w:val="bottom"/>
          </w:tcPr>
          <w:p>
            <w:pPr>
              <w:jc w:val="right"/>
              <w:ind w:right="19"/>
              <w:spacing w:after="0" w:line="165" w:lineRule="exact"/>
              <w:rPr>
                <w:sz w:val="20"/>
                <w:szCs w:val="20"/>
                <w:color w:val="auto"/>
              </w:rPr>
            </w:pPr>
            <w:r>
              <w:rPr>
                <w:rFonts w:ascii="Arial" w:cs="Arial" w:eastAsia="Arial" w:hAnsi="Arial"/>
                <w:sz w:val="16"/>
                <w:szCs w:val="16"/>
                <w:b w:val="1"/>
                <w:bCs w:val="1"/>
                <w:color w:val="auto"/>
              </w:rPr>
              <w:t>$</w:t>
            </w:r>
          </w:p>
        </w:tc>
        <w:tc>
          <w:tcPr>
            <w:tcW w:w="1040" w:type="dxa"/>
            <w:vAlign w:val="bottom"/>
          </w:tcPr>
          <w:p>
            <w:pPr>
              <w:ind w:left="720"/>
              <w:spacing w:after="0" w:line="165" w:lineRule="exact"/>
              <w:rPr>
                <w:sz w:val="20"/>
                <w:szCs w:val="20"/>
                <w:color w:val="auto"/>
              </w:rPr>
            </w:pPr>
            <w:r>
              <w:rPr>
                <w:rFonts w:ascii="Arial" w:cs="Arial" w:eastAsia="Arial" w:hAnsi="Arial"/>
                <w:sz w:val="16"/>
                <w:szCs w:val="16"/>
                <w:b w:val="1"/>
                <w:bCs w:val="1"/>
                <w:color w:val="auto"/>
              </w:rPr>
              <w:t>―</w:t>
            </w:r>
          </w:p>
        </w:tc>
        <w:tc>
          <w:tcPr>
            <w:tcW w:w="360" w:type="dxa"/>
            <w:vAlign w:val="bottom"/>
          </w:tcPr>
          <w:p>
            <w:pPr>
              <w:jc w:val="right"/>
              <w:ind w:right="39"/>
              <w:spacing w:after="0" w:line="165" w:lineRule="exact"/>
              <w:rPr>
                <w:sz w:val="20"/>
                <w:szCs w:val="20"/>
                <w:color w:val="auto"/>
              </w:rPr>
            </w:pPr>
            <w:r>
              <w:rPr>
                <w:rFonts w:ascii="Arial" w:cs="Arial" w:eastAsia="Arial" w:hAnsi="Arial"/>
                <w:sz w:val="16"/>
                <w:szCs w:val="16"/>
                <w:color w:val="auto"/>
              </w:rPr>
              <w:t>$</w:t>
            </w:r>
          </w:p>
        </w:tc>
        <w:tc>
          <w:tcPr>
            <w:tcW w:w="1020" w:type="dxa"/>
            <w:vAlign w:val="bottom"/>
          </w:tcPr>
          <w:p>
            <w:pPr>
              <w:jc w:val="right"/>
              <w:ind w:right="60"/>
              <w:spacing w:after="0" w:line="165" w:lineRule="exact"/>
              <w:rPr>
                <w:sz w:val="20"/>
                <w:szCs w:val="20"/>
                <w:color w:val="auto"/>
              </w:rPr>
            </w:pPr>
            <w:r>
              <w:rPr>
                <w:rFonts w:ascii="Arial" w:cs="Arial" w:eastAsia="Arial" w:hAnsi="Arial"/>
                <w:sz w:val="16"/>
                <w:szCs w:val="16"/>
                <w:color w:val="auto"/>
              </w:rPr>
              <w:t>17,908</w:t>
            </w:r>
          </w:p>
        </w:tc>
        <w:tc>
          <w:tcPr>
            <w:tcW w:w="320" w:type="dxa"/>
            <w:vAlign w:val="bottom"/>
          </w:tcPr>
          <w:p>
            <w:pPr>
              <w:jc w:val="right"/>
              <w:ind w:right="19"/>
              <w:spacing w:after="0" w:line="165" w:lineRule="exact"/>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63"/>
              <w:spacing w:after="0" w:line="165" w:lineRule="exact"/>
              <w:rPr>
                <w:sz w:val="20"/>
                <w:szCs w:val="20"/>
                <w:color w:val="auto"/>
              </w:rPr>
            </w:pPr>
            <w:r>
              <w:rPr>
                <w:rFonts w:ascii="Arial" w:cs="Arial" w:eastAsia="Arial" w:hAnsi="Arial"/>
                <w:sz w:val="16"/>
                <w:szCs w:val="16"/>
                <w:b w:val="1"/>
                <w:bCs w:val="1"/>
                <w:color w:val="auto"/>
              </w:rPr>
              <w:t>3,461</w:t>
            </w:r>
          </w:p>
        </w:tc>
        <w:tc>
          <w:tcPr>
            <w:tcW w:w="320" w:type="dxa"/>
            <w:vAlign w:val="bottom"/>
          </w:tcPr>
          <w:p>
            <w:pPr>
              <w:jc w:val="right"/>
              <w:spacing w:after="0" w:line="165" w:lineRule="exact"/>
              <w:rPr>
                <w:sz w:val="20"/>
                <w:szCs w:val="20"/>
                <w:color w:val="auto"/>
              </w:rPr>
            </w:pPr>
            <w:r>
              <w:rPr>
                <w:rFonts w:ascii="Arial" w:cs="Arial" w:eastAsia="Arial" w:hAnsi="Arial"/>
                <w:sz w:val="16"/>
                <w:szCs w:val="16"/>
                <w:color w:val="auto"/>
              </w:rPr>
              <w:t>$</w:t>
            </w:r>
          </w:p>
        </w:tc>
        <w:tc>
          <w:tcPr>
            <w:tcW w:w="820" w:type="dxa"/>
            <w:vAlign w:val="bottom"/>
          </w:tcPr>
          <w:p>
            <w:pPr>
              <w:jc w:val="right"/>
              <w:spacing w:after="0" w:line="165" w:lineRule="exact"/>
              <w:rPr>
                <w:sz w:val="20"/>
                <w:szCs w:val="20"/>
                <w:color w:val="auto"/>
              </w:rPr>
            </w:pPr>
            <w:r>
              <w:rPr>
                <w:rFonts w:ascii="Arial" w:cs="Arial" w:eastAsia="Arial" w:hAnsi="Arial"/>
                <w:sz w:val="16"/>
                <w:szCs w:val="16"/>
                <w:color w:val="auto"/>
              </w:rPr>
              <w:t>41,079</w:t>
            </w:r>
          </w:p>
        </w:tc>
        <w:tc>
          <w:tcPr>
            <w:tcW w:w="0" w:type="dxa"/>
            <w:vAlign w:val="bottom"/>
          </w:tcPr>
          <w:p>
            <w:pPr>
              <w:spacing w:after="0"/>
              <w:rPr>
                <w:sz w:val="1"/>
                <w:szCs w:val="1"/>
                <w:color w:val="auto"/>
              </w:rPr>
            </w:pPr>
          </w:p>
        </w:tc>
      </w:tr>
      <w:tr>
        <w:trPr>
          <w:trHeight w:val="207"/>
        </w:trPr>
        <w:tc>
          <w:tcPr>
            <w:tcW w:w="6300" w:type="dxa"/>
            <w:vAlign w:val="bottom"/>
          </w:tcPr>
          <w:p>
            <w:pPr>
              <w:spacing w:after="0"/>
              <w:rPr>
                <w:sz w:val="20"/>
                <w:szCs w:val="20"/>
                <w:color w:val="auto"/>
              </w:rPr>
            </w:pPr>
            <w:r>
              <w:rPr>
                <w:rFonts w:ascii="Arial" w:cs="Arial" w:eastAsia="Arial" w:hAnsi="Arial"/>
                <w:sz w:val="16"/>
                <w:szCs w:val="16"/>
                <w:color w:val="auto"/>
              </w:rPr>
              <w:t>Operating costs and expenses</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720"/>
              <w:spacing w:after="0"/>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(22,068)</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b w:val="1"/>
                <w:bCs w:val="1"/>
                <w:color w:val="auto"/>
              </w:rPr>
              <w:t>(5,477)</w:t>
            </w: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(49,412)</w:t>
            </w:r>
          </w:p>
        </w:tc>
        <w:tc>
          <w:tcPr>
            <w:tcW w:w="0" w:type="dxa"/>
            <w:vAlign w:val="bottom"/>
          </w:tcPr>
          <w:p>
            <w:pPr>
              <w:spacing w:after="0"/>
              <w:rPr>
                <w:sz w:val="1"/>
                <w:szCs w:val="1"/>
                <w:color w:val="auto"/>
              </w:rPr>
            </w:pPr>
          </w:p>
        </w:tc>
      </w:tr>
      <w:tr>
        <w:trPr>
          <w:trHeight w:val="164"/>
        </w:trPr>
        <w:tc>
          <w:tcPr>
            <w:tcW w:w="6300" w:type="dxa"/>
            <w:vAlign w:val="bottom"/>
          </w:tcPr>
          <w:p>
            <w:pPr>
              <w:spacing w:after="0" w:line="165" w:lineRule="exact"/>
              <w:rPr>
                <w:sz w:val="20"/>
                <w:szCs w:val="20"/>
                <w:color w:val="auto"/>
              </w:rPr>
            </w:pPr>
            <w:r>
              <w:rPr>
                <w:rFonts w:ascii="Arial" w:cs="Arial" w:eastAsia="Arial" w:hAnsi="Arial"/>
                <w:sz w:val="16"/>
                <w:szCs w:val="16"/>
                <w:color w:val="auto"/>
              </w:rPr>
              <w:t>Loss from discontinued operations</w:t>
            </w:r>
          </w:p>
        </w:tc>
        <w:tc>
          <w:tcPr>
            <w:tcW w:w="340" w:type="dxa"/>
            <w:vAlign w:val="bottom"/>
          </w:tcPr>
          <w:p>
            <w:pPr>
              <w:spacing w:after="0"/>
              <w:rPr>
                <w:sz w:val="14"/>
                <w:szCs w:val="14"/>
                <w:color w:val="auto"/>
              </w:rPr>
            </w:pPr>
          </w:p>
        </w:tc>
        <w:tc>
          <w:tcPr>
            <w:tcW w:w="1040" w:type="dxa"/>
            <w:vAlign w:val="bottom"/>
          </w:tcPr>
          <w:p>
            <w:pPr>
              <w:ind w:left="720"/>
              <w:spacing w:after="0" w:line="165" w:lineRule="exact"/>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14"/>
                <w:szCs w:val="14"/>
                <w:color w:val="auto"/>
              </w:rPr>
            </w:pPr>
          </w:p>
        </w:tc>
        <w:tc>
          <w:tcPr>
            <w:tcW w:w="1020" w:type="dxa"/>
            <w:vAlign w:val="bottom"/>
          </w:tcPr>
          <w:p>
            <w:pPr>
              <w:jc w:val="right"/>
              <w:ind w:right="60"/>
              <w:spacing w:after="0" w:line="165" w:lineRule="exact"/>
              <w:rPr>
                <w:sz w:val="20"/>
                <w:szCs w:val="20"/>
                <w:color w:val="auto"/>
              </w:rPr>
            </w:pPr>
            <w:r>
              <w:rPr>
                <w:rFonts w:ascii="Arial" w:cs="Arial" w:eastAsia="Arial" w:hAnsi="Arial"/>
                <w:sz w:val="16"/>
                <w:szCs w:val="16"/>
                <w:color w:val="auto"/>
              </w:rPr>
              <w:t>(4,160)</w:t>
            </w:r>
          </w:p>
        </w:tc>
        <w:tc>
          <w:tcPr>
            <w:tcW w:w="320" w:type="dxa"/>
            <w:vAlign w:val="bottom"/>
          </w:tcPr>
          <w:p>
            <w:pPr>
              <w:spacing w:after="0"/>
              <w:rPr>
                <w:sz w:val="14"/>
                <w:szCs w:val="14"/>
                <w:color w:val="auto"/>
              </w:rPr>
            </w:pPr>
          </w:p>
        </w:tc>
        <w:tc>
          <w:tcPr>
            <w:tcW w:w="900" w:type="dxa"/>
            <w:vAlign w:val="bottom"/>
          </w:tcPr>
          <w:p>
            <w:pPr>
              <w:jc w:val="right"/>
              <w:ind w:right="63"/>
              <w:spacing w:after="0" w:line="165" w:lineRule="exact"/>
              <w:rPr>
                <w:sz w:val="20"/>
                <w:szCs w:val="20"/>
                <w:color w:val="auto"/>
              </w:rPr>
            </w:pPr>
            <w:r>
              <w:rPr>
                <w:rFonts w:ascii="Arial" w:cs="Arial" w:eastAsia="Arial" w:hAnsi="Arial"/>
                <w:sz w:val="16"/>
                <w:szCs w:val="16"/>
                <w:b w:val="1"/>
                <w:bCs w:val="1"/>
                <w:color w:val="auto"/>
              </w:rPr>
              <w:t>(2,016)</w:t>
            </w:r>
          </w:p>
        </w:tc>
        <w:tc>
          <w:tcPr>
            <w:tcW w:w="320" w:type="dxa"/>
            <w:vAlign w:val="bottom"/>
          </w:tcPr>
          <w:p>
            <w:pPr>
              <w:spacing w:after="0"/>
              <w:rPr>
                <w:sz w:val="14"/>
                <w:szCs w:val="14"/>
                <w:color w:val="auto"/>
              </w:rPr>
            </w:pPr>
          </w:p>
        </w:tc>
        <w:tc>
          <w:tcPr>
            <w:tcW w:w="820" w:type="dxa"/>
            <w:vAlign w:val="bottom"/>
          </w:tcPr>
          <w:p>
            <w:pPr>
              <w:jc w:val="right"/>
              <w:spacing w:after="0" w:line="165" w:lineRule="exact"/>
              <w:rPr>
                <w:sz w:val="20"/>
                <w:szCs w:val="20"/>
                <w:color w:val="auto"/>
              </w:rPr>
            </w:pPr>
            <w:r>
              <w:rPr>
                <w:rFonts w:ascii="Arial" w:cs="Arial" w:eastAsia="Arial" w:hAnsi="Arial"/>
                <w:sz w:val="16"/>
                <w:szCs w:val="16"/>
                <w:color w:val="auto"/>
              </w:rPr>
              <w:t>(8,333)</w:t>
            </w:r>
          </w:p>
        </w:tc>
        <w:tc>
          <w:tcPr>
            <w:tcW w:w="0" w:type="dxa"/>
            <w:vAlign w:val="bottom"/>
          </w:tcPr>
          <w:p>
            <w:pPr>
              <w:spacing w:after="0"/>
              <w:rPr>
                <w:sz w:val="1"/>
                <w:szCs w:val="1"/>
                <w:color w:val="auto"/>
              </w:rPr>
            </w:pPr>
          </w:p>
        </w:tc>
      </w:tr>
      <w:tr>
        <w:trPr>
          <w:trHeight w:val="207"/>
        </w:trPr>
        <w:tc>
          <w:tcPr>
            <w:tcW w:w="6300" w:type="dxa"/>
            <w:vAlign w:val="bottom"/>
          </w:tcPr>
          <w:p>
            <w:pPr>
              <w:spacing w:after="0"/>
              <w:rPr>
                <w:sz w:val="20"/>
                <w:szCs w:val="20"/>
                <w:color w:val="auto"/>
              </w:rPr>
            </w:pPr>
            <w:r>
              <w:rPr>
                <w:rFonts w:ascii="Arial" w:cs="Arial" w:eastAsia="Arial" w:hAnsi="Arial"/>
                <w:sz w:val="16"/>
                <w:szCs w:val="16"/>
                <w:color w:val="auto"/>
              </w:rPr>
              <w:t>Benefit from income taxes</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720"/>
              <w:spacing w:after="0"/>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(1,370)</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b w:val="1"/>
                <w:bCs w:val="1"/>
                <w:color w:val="auto"/>
              </w:rPr>
              <w:t>(676)</w:t>
            </w: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(2,759)</w:t>
            </w:r>
          </w:p>
        </w:tc>
        <w:tc>
          <w:tcPr>
            <w:tcW w:w="0" w:type="dxa"/>
            <w:vAlign w:val="bottom"/>
          </w:tcPr>
          <w:p>
            <w:pPr>
              <w:spacing w:after="0"/>
              <w:rPr>
                <w:sz w:val="1"/>
                <w:szCs w:val="1"/>
                <w:color w:val="auto"/>
              </w:rPr>
            </w:pPr>
          </w:p>
        </w:tc>
      </w:tr>
      <w:tr>
        <w:trPr>
          <w:trHeight w:val="164"/>
        </w:trPr>
        <w:tc>
          <w:tcPr>
            <w:tcW w:w="6300" w:type="dxa"/>
            <w:vAlign w:val="bottom"/>
          </w:tcPr>
          <w:p>
            <w:pPr>
              <w:spacing w:after="0" w:line="165" w:lineRule="exact"/>
              <w:rPr>
                <w:sz w:val="20"/>
                <w:szCs w:val="20"/>
                <w:color w:val="auto"/>
              </w:rPr>
            </w:pPr>
            <w:r>
              <w:rPr>
                <w:rFonts w:ascii="Arial" w:cs="Arial" w:eastAsia="Arial" w:hAnsi="Arial"/>
                <w:sz w:val="16"/>
                <w:szCs w:val="16"/>
                <w:b w:val="1"/>
                <w:bCs w:val="1"/>
                <w:color w:val="auto"/>
              </w:rPr>
              <w:t>Net Loss from Discontinued Operations</w:t>
            </w:r>
          </w:p>
        </w:tc>
        <w:tc>
          <w:tcPr>
            <w:tcW w:w="340" w:type="dxa"/>
            <w:vAlign w:val="bottom"/>
          </w:tcPr>
          <w:p>
            <w:pPr>
              <w:spacing w:after="0"/>
              <w:rPr>
                <w:sz w:val="14"/>
                <w:szCs w:val="14"/>
                <w:color w:val="auto"/>
              </w:rPr>
            </w:pPr>
          </w:p>
        </w:tc>
        <w:tc>
          <w:tcPr>
            <w:tcW w:w="1040" w:type="dxa"/>
            <w:vAlign w:val="bottom"/>
          </w:tcPr>
          <w:p>
            <w:pPr>
              <w:ind w:left="720"/>
              <w:spacing w:after="0" w:line="165" w:lineRule="exact"/>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14"/>
                <w:szCs w:val="14"/>
                <w:color w:val="auto"/>
              </w:rPr>
            </w:pPr>
          </w:p>
        </w:tc>
        <w:tc>
          <w:tcPr>
            <w:tcW w:w="1020" w:type="dxa"/>
            <w:vAlign w:val="bottom"/>
          </w:tcPr>
          <w:p>
            <w:pPr>
              <w:jc w:val="right"/>
              <w:ind w:right="60"/>
              <w:spacing w:after="0" w:line="165" w:lineRule="exact"/>
              <w:rPr>
                <w:sz w:val="20"/>
                <w:szCs w:val="20"/>
                <w:color w:val="auto"/>
              </w:rPr>
            </w:pPr>
            <w:r>
              <w:rPr>
                <w:rFonts w:ascii="Arial" w:cs="Arial" w:eastAsia="Arial" w:hAnsi="Arial"/>
                <w:sz w:val="16"/>
                <w:szCs w:val="16"/>
                <w:color w:val="auto"/>
              </w:rPr>
              <w:t>(2,790)</w:t>
            </w:r>
          </w:p>
        </w:tc>
        <w:tc>
          <w:tcPr>
            <w:tcW w:w="320" w:type="dxa"/>
            <w:vAlign w:val="bottom"/>
          </w:tcPr>
          <w:p>
            <w:pPr>
              <w:spacing w:after="0"/>
              <w:rPr>
                <w:sz w:val="14"/>
                <w:szCs w:val="14"/>
                <w:color w:val="auto"/>
              </w:rPr>
            </w:pPr>
          </w:p>
        </w:tc>
        <w:tc>
          <w:tcPr>
            <w:tcW w:w="900" w:type="dxa"/>
            <w:vAlign w:val="bottom"/>
          </w:tcPr>
          <w:p>
            <w:pPr>
              <w:jc w:val="right"/>
              <w:ind w:right="63"/>
              <w:spacing w:after="0" w:line="165" w:lineRule="exact"/>
              <w:rPr>
                <w:sz w:val="20"/>
                <w:szCs w:val="20"/>
                <w:color w:val="auto"/>
              </w:rPr>
            </w:pPr>
            <w:r>
              <w:rPr>
                <w:rFonts w:ascii="Arial" w:cs="Arial" w:eastAsia="Arial" w:hAnsi="Arial"/>
                <w:sz w:val="16"/>
                <w:szCs w:val="16"/>
                <w:b w:val="1"/>
                <w:bCs w:val="1"/>
                <w:color w:val="auto"/>
              </w:rPr>
              <w:t>(1,340)</w:t>
            </w:r>
          </w:p>
        </w:tc>
        <w:tc>
          <w:tcPr>
            <w:tcW w:w="320" w:type="dxa"/>
            <w:vAlign w:val="bottom"/>
          </w:tcPr>
          <w:p>
            <w:pPr>
              <w:spacing w:after="0"/>
              <w:rPr>
                <w:sz w:val="14"/>
                <w:szCs w:val="14"/>
                <w:color w:val="auto"/>
              </w:rPr>
            </w:pPr>
          </w:p>
        </w:tc>
        <w:tc>
          <w:tcPr>
            <w:tcW w:w="820" w:type="dxa"/>
            <w:vAlign w:val="bottom"/>
          </w:tcPr>
          <w:p>
            <w:pPr>
              <w:jc w:val="right"/>
              <w:spacing w:after="0" w:line="165" w:lineRule="exact"/>
              <w:rPr>
                <w:sz w:val="20"/>
                <w:szCs w:val="20"/>
                <w:color w:val="auto"/>
              </w:rPr>
            </w:pPr>
            <w:r>
              <w:rPr>
                <w:rFonts w:ascii="Arial" w:cs="Arial" w:eastAsia="Arial" w:hAnsi="Arial"/>
                <w:sz w:val="16"/>
                <w:szCs w:val="16"/>
                <w:color w:val="auto"/>
              </w:rPr>
              <w:t>(5,574)</w:t>
            </w:r>
          </w:p>
        </w:tc>
        <w:tc>
          <w:tcPr>
            <w:tcW w:w="0" w:type="dxa"/>
            <w:vAlign w:val="bottom"/>
          </w:tcPr>
          <w:p>
            <w:pPr>
              <w:spacing w:after="0"/>
              <w:rPr>
                <w:sz w:val="1"/>
                <w:szCs w:val="1"/>
                <w:color w:val="auto"/>
              </w:rPr>
            </w:pPr>
          </w:p>
        </w:tc>
      </w:tr>
      <w:tr>
        <w:trPr>
          <w:trHeight w:val="189"/>
        </w:trPr>
        <w:tc>
          <w:tcPr>
            <w:tcW w:w="6300" w:type="dxa"/>
            <w:vAlign w:val="bottom"/>
          </w:tcPr>
          <w:p>
            <w:pPr>
              <w:spacing w:after="0"/>
              <w:rPr>
                <w:sz w:val="20"/>
                <w:szCs w:val="20"/>
                <w:color w:val="auto"/>
              </w:rPr>
            </w:pPr>
            <w:r>
              <w:rPr>
                <w:rFonts w:ascii="Arial" w:cs="Arial" w:eastAsia="Arial" w:hAnsi="Arial"/>
                <w:sz w:val="16"/>
                <w:szCs w:val="16"/>
                <w:color w:val="auto"/>
              </w:rPr>
              <w:t>Gain (loss) on sales of discontinued operations</w:t>
            </w:r>
          </w:p>
        </w:tc>
        <w:tc>
          <w:tcPr>
            <w:tcW w:w="340" w:type="dxa"/>
            <w:vAlign w:val="bottom"/>
          </w:tcPr>
          <w:p>
            <w:pPr>
              <w:spacing w:after="0"/>
              <w:rPr>
                <w:sz w:val="16"/>
                <w:szCs w:val="16"/>
                <w:color w:val="auto"/>
              </w:rPr>
            </w:pPr>
          </w:p>
        </w:tc>
        <w:tc>
          <w:tcPr>
            <w:tcW w:w="1040" w:type="dxa"/>
            <w:vAlign w:val="bottom"/>
          </w:tcPr>
          <w:p>
            <w:pPr>
              <w:ind w:left="72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16"/>
                <w:szCs w:val="16"/>
                <w:color w:val="auto"/>
              </w:rPr>
            </w:pP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29,541</w:t>
            </w:r>
          </w:p>
        </w:tc>
        <w:tc>
          <w:tcPr>
            <w:tcW w:w="320" w:type="dxa"/>
            <w:vAlign w:val="bottom"/>
          </w:tcPr>
          <w:p>
            <w:pPr>
              <w:spacing w:after="0"/>
              <w:rPr>
                <w:sz w:val="16"/>
                <w:szCs w:val="16"/>
                <w:color w:val="auto"/>
              </w:rPr>
            </w:pPr>
          </w:p>
        </w:tc>
        <w:tc>
          <w:tcPr>
            <w:tcW w:w="900" w:type="dxa"/>
            <w:vAlign w:val="bottom"/>
          </w:tcPr>
          <w:p>
            <w:pPr>
              <w:jc w:val="right"/>
              <w:ind w:right="63"/>
              <w:spacing w:after="0"/>
              <w:rPr>
                <w:sz w:val="20"/>
                <w:szCs w:val="20"/>
                <w:color w:val="auto"/>
              </w:rPr>
            </w:pPr>
            <w:r>
              <w:rPr>
                <w:rFonts w:ascii="Arial" w:cs="Arial" w:eastAsia="Arial" w:hAnsi="Arial"/>
                <w:sz w:val="16"/>
                <w:szCs w:val="16"/>
                <w:b w:val="1"/>
                <w:bCs w:val="1"/>
                <w:color w:val="auto"/>
              </w:rPr>
              <w:t>(70)</w:t>
            </w:r>
          </w:p>
        </w:tc>
        <w:tc>
          <w:tcPr>
            <w:tcW w:w="3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26,459</w:t>
            </w:r>
          </w:p>
        </w:tc>
        <w:tc>
          <w:tcPr>
            <w:tcW w:w="0" w:type="dxa"/>
            <w:vAlign w:val="bottom"/>
          </w:tcPr>
          <w:p>
            <w:pPr>
              <w:spacing w:after="0"/>
              <w:rPr>
                <w:sz w:val="1"/>
                <w:szCs w:val="1"/>
                <w:color w:val="auto"/>
              </w:rPr>
            </w:pPr>
          </w:p>
        </w:tc>
      </w:tr>
      <w:tr>
        <w:trPr>
          <w:trHeight w:val="207"/>
        </w:trPr>
        <w:tc>
          <w:tcPr>
            <w:tcW w:w="6300" w:type="dxa"/>
            <w:vAlign w:val="bottom"/>
          </w:tcPr>
          <w:p>
            <w:pPr>
              <w:spacing w:after="0"/>
              <w:rPr>
                <w:sz w:val="20"/>
                <w:szCs w:val="20"/>
                <w:color w:val="auto"/>
              </w:rPr>
            </w:pPr>
            <w:r>
              <w:rPr>
                <w:rFonts w:ascii="Arial" w:cs="Arial" w:eastAsia="Arial" w:hAnsi="Arial"/>
                <w:sz w:val="16"/>
                <w:szCs w:val="16"/>
                <w:color w:val="auto"/>
              </w:rPr>
              <w:t>Provision (benefit) for income taxes on sales of discontinued operations</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720"/>
              <w:spacing w:after="0"/>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11,000</w:t>
            </w: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b w:val="1"/>
                <w:bCs w:val="1"/>
                <w:color w:val="auto"/>
              </w:rPr>
              <w:t>(24)</w:t>
            </w: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(12,454)</w:t>
            </w:r>
          </w:p>
        </w:tc>
        <w:tc>
          <w:tcPr>
            <w:tcW w:w="0" w:type="dxa"/>
            <w:vAlign w:val="bottom"/>
          </w:tcPr>
          <w:p>
            <w:pPr>
              <w:spacing w:after="0"/>
              <w:rPr>
                <w:sz w:val="1"/>
                <w:szCs w:val="1"/>
                <w:color w:val="auto"/>
              </w:rPr>
            </w:pPr>
          </w:p>
        </w:tc>
      </w:tr>
      <w:tr>
        <w:trPr>
          <w:trHeight w:val="183"/>
        </w:trPr>
        <w:tc>
          <w:tcPr>
            <w:tcW w:w="6300" w:type="dxa"/>
            <w:vAlign w:val="bottom"/>
          </w:tcPr>
          <w:p>
            <w:pPr>
              <w:spacing w:after="0" w:line="183" w:lineRule="exact"/>
              <w:rPr>
                <w:sz w:val="20"/>
                <w:szCs w:val="20"/>
                <w:color w:val="auto"/>
              </w:rPr>
            </w:pPr>
            <w:r>
              <w:rPr>
                <w:rFonts w:ascii="Arial" w:cs="Arial" w:eastAsia="Arial" w:hAnsi="Arial"/>
                <w:sz w:val="16"/>
                <w:szCs w:val="16"/>
                <w:b w:val="1"/>
                <w:bCs w:val="1"/>
                <w:color w:val="auto"/>
              </w:rPr>
              <w:t>Income (Loss) from Discontinued Operations, Net of Tax</w:t>
            </w:r>
          </w:p>
        </w:tc>
        <w:tc>
          <w:tcPr>
            <w:tcW w:w="34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ind w:left="720"/>
              <w:spacing w:after="0" w:line="183" w:lineRule="exact"/>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60"/>
              <w:spacing w:after="0" w:line="183" w:lineRule="exact"/>
              <w:rPr>
                <w:sz w:val="20"/>
                <w:szCs w:val="20"/>
                <w:color w:val="auto"/>
              </w:rPr>
            </w:pPr>
            <w:r>
              <w:rPr>
                <w:rFonts w:ascii="Arial" w:cs="Arial" w:eastAsia="Arial" w:hAnsi="Arial"/>
                <w:sz w:val="16"/>
                <w:szCs w:val="16"/>
                <w:color w:val="auto"/>
              </w:rPr>
              <w:t>15,751</w:t>
            </w:r>
          </w:p>
        </w:tc>
        <w:tc>
          <w:tcPr>
            <w:tcW w:w="32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63"/>
              <w:spacing w:after="0" w:line="183" w:lineRule="exact"/>
              <w:rPr>
                <w:sz w:val="20"/>
                <w:szCs w:val="20"/>
                <w:color w:val="auto"/>
              </w:rPr>
            </w:pPr>
            <w:r>
              <w:rPr>
                <w:rFonts w:ascii="Arial" w:cs="Arial" w:eastAsia="Arial" w:hAnsi="Arial"/>
                <w:sz w:val="16"/>
                <w:szCs w:val="16"/>
                <w:b w:val="1"/>
                <w:bCs w:val="1"/>
                <w:color w:val="auto"/>
              </w:rPr>
              <w:t>(1,386)</w:t>
            </w:r>
          </w:p>
        </w:tc>
        <w:tc>
          <w:tcPr>
            <w:tcW w:w="3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33,339</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Investments in marketable equity securities comprised the following:</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4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As of</w:t>
            </w: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r>
      <w:tr>
        <w:trPr>
          <w:trHeight w:val="125"/>
        </w:trPr>
        <w:tc>
          <w:tcPr>
            <w:tcW w:w="8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80" w:type="dxa"/>
            <w:vAlign w:val="bottom"/>
          </w:tcPr>
          <w:p>
            <w:pPr>
              <w:jc w:val="right"/>
              <w:ind w:right="666"/>
              <w:spacing w:after="0" w:line="125" w:lineRule="exact"/>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0"/>
                <w:szCs w:val="10"/>
                <w:color w:val="auto"/>
              </w:rPr>
            </w:pPr>
          </w:p>
        </w:tc>
        <w:tc>
          <w:tcPr>
            <w:tcW w:w="1120" w:type="dxa"/>
            <w:vAlign w:val="bottom"/>
          </w:tcPr>
          <w:p>
            <w:pPr>
              <w:jc w:val="right"/>
              <w:ind w:right="184"/>
              <w:spacing w:after="0" w:line="125" w:lineRule="exact"/>
              <w:rPr>
                <w:sz w:val="20"/>
                <w:szCs w:val="20"/>
                <w:color w:val="auto"/>
              </w:rPr>
            </w:pPr>
            <w:r>
              <w:rPr>
                <w:rFonts w:ascii="Arial" w:cs="Arial" w:eastAsia="Arial" w:hAnsi="Arial"/>
                <w:sz w:val="14"/>
                <w:szCs w:val="14"/>
                <w:color w:val="auto"/>
                <w:w w:val="95"/>
              </w:rPr>
              <w:t>December 31,</w:t>
            </w:r>
          </w:p>
        </w:tc>
      </w:tr>
      <w:tr>
        <w:trPr>
          <w:trHeight w:val="165"/>
        </w:trPr>
        <w:tc>
          <w:tcPr>
            <w:tcW w:w="84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thousands)</w:t>
            </w:r>
          </w:p>
        </w:tc>
        <w:tc>
          <w:tcPr>
            <w:tcW w:w="3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806"/>
              <w:spacing w:after="0"/>
              <w:rPr>
                <w:sz w:val="20"/>
                <w:szCs w:val="20"/>
                <w:color w:val="auto"/>
              </w:rPr>
            </w:pPr>
            <w:r>
              <w:rPr>
                <w:rFonts w:ascii="Arial" w:cs="Arial" w:eastAsia="Arial" w:hAnsi="Arial"/>
                <w:sz w:val="14"/>
                <w:szCs w:val="14"/>
                <w:b w:val="1"/>
                <w:bCs w:val="1"/>
                <w:color w:val="auto"/>
              </w:rPr>
              <w:t>2013</w:t>
            </w: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64"/>
              <w:spacing w:after="0"/>
              <w:rPr>
                <w:sz w:val="20"/>
                <w:szCs w:val="20"/>
                <w:color w:val="auto"/>
              </w:rPr>
            </w:pPr>
            <w:r>
              <w:rPr>
                <w:rFonts w:ascii="Arial" w:cs="Arial" w:eastAsia="Arial" w:hAnsi="Arial"/>
                <w:sz w:val="14"/>
                <w:szCs w:val="14"/>
                <w:color w:val="auto"/>
              </w:rPr>
              <w:t>2012</w:t>
            </w:r>
          </w:p>
        </w:tc>
      </w:tr>
      <w:tr>
        <w:trPr>
          <w:trHeight w:val="164"/>
        </w:trPr>
        <w:tc>
          <w:tcPr>
            <w:tcW w:w="8460" w:type="dxa"/>
            <w:vAlign w:val="bottom"/>
          </w:tcPr>
          <w:p>
            <w:pPr>
              <w:spacing w:after="0" w:line="165" w:lineRule="exact"/>
              <w:rPr>
                <w:sz w:val="20"/>
                <w:szCs w:val="20"/>
                <w:color w:val="auto"/>
              </w:rPr>
            </w:pPr>
            <w:r>
              <w:rPr>
                <w:rFonts w:ascii="Arial" w:cs="Arial" w:eastAsia="Arial" w:hAnsi="Arial"/>
                <w:sz w:val="16"/>
                <w:szCs w:val="16"/>
                <w:color w:val="auto"/>
              </w:rPr>
              <w:t>Total cost</w:t>
            </w:r>
          </w:p>
        </w:tc>
        <w:tc>
          <w:tcPr>
            <w:tcW w:w="320" w:type="dxa"/>
            <w:vAlign w:val="bottom"/>
          </w:tcPr>
          <w:p>
            <w:pPr>
              <w:jc w:val="right"/>
              <w:spacing w:after="0" w:line="165" w:lineRule="exact"/>
              <w:rPr>
                <w:sz w:val="20"/>
                <w:szCs w:val="20"/>
                <w:color w:val="auto"/>
              </w:rPr>
            </w:pPr>
            <w:r>
              <w:rPr>
                <w:rFonts w:ascii="Arial" w:cs="Arial" w:eastAsia="Arial" w:hAnsi="Arial"/>
                <w:sz w:val="16"/>
                <w:szCs w:val="16"/>
                <w:b w:val="1"/>
                <w:bCs w:val="1"/>
                <w:color w:val="auto"/>
              </w:rPr>
              <w:t>$</w:t>
            </w:r>
          </w:p>
        </w:tc>
        <w:tc>
          <w:tcPr>
            <w:tcW w:w="1380" w:type="dxa"/>
            <w:vAlign w:val="bottom"/>
          </w:tcPr>
          <w:p>
            <w:pPr>
              <w:jc w:val="right"/>
              <w:ind w:right="286"/>
              <w:spacing w:after="0" w:line="165" w:lineRule="exact"/>
              <w:rPr>
                <w:sz w:val="20"/>
                <w:szCs w:val="20"/>
                <w:color w:val="auto"/>
              </w:rPr>
            </w:pPr>
            <w:r>
              <w:rPr>
                <w:rFonts w:ascii="Arial" w:cs="Arial" w:eastAsia="Arial" w:hAnsi="Arial"/>
                <w:sz w:val="16"/>
                <w:szCs w:val="16"/>
                <w:b w:val="1"/>
                <w:bCs w:val="1"/>
                <w:color w:val="auto"/>
              </w:rPr>
              <w:t>193,159</w:t>
            </w:r>
          </w:p>
        </w:tc>
        <w:tc>
          <w:tcPr>
            <w:tcW w:w="140" w:type="dxa"/>
            <w:vAlign w:val="bottom"/>
          </w:tcPr>
          <w:p>
            <w:pPr>
              <w:jc w:val="right"/>
              <w:spacing w:after="0" w:line="165" w:lineRule="exact"/>
              <w:rPr>
                <w:sz w:val="20"/>
                <w:szCs w:val="20"/>
                <w:color w:val="auto"/>
              </w:rPr>
            </w:pPr>
            <w:r>
              <w:rPr>
                <w:rFonts w:ascii="Arial" w:cs="Arial" w:eastAsia="Arial" w:hAnsi="Arial"/>
                <w:sz w:val="16"/>
                <w:szCs w:val="16"/>
                <w:color w:val="auto"/>
              </w:rPr>
              <w:t>$</w:t>
            </w:r>
          </w:p>
        </w:tc>
        <w:tc>
          <w:tcPr>
            <w:tcW w:w="1120" w:type="dxa"/>
            <w:vAlign w:val="bottom"/>
          </w:tcPr>
          <w:p>
            <w:pPr>
              <w:jc w:val="right"/>
              <w:spacing w:after="0" w:line="165" w:lineRule="exact"/>
              <w:rPr>
                <w:sz w:val="20"/>
                <w:szCs w:val="20"/>
                <w:color w:val="auto"/>
              </w:rPr>
            </w:pPr>
            <w:r>
              <w:rPr>
                <w:rFonts w:ascii="Arial" w:cs="Arial" w:eastAsia="Arial" w:hAnsi="Arial"/>
                <w:sz w:val="16"/>
                <w:szCs w:val="16"/>
                <w:color w:val="auto"/>
              </w:rPr>
              <w:t>195,832</w:t>
            </w:r>
          </w:p>
        </w:tc>
      </w:tr>
      <w:tr>
        <w:trPr>
          <w:trHeight w:val="207"/>
        </w:trPr>
        <w:tc>
          <w:tcPr>
            <w:tcW w:w="8460" w:type="dxa"/>
            <w:vAlign w:val="bottom"/>
          </w:tcPr>
          <w:p>
            <w:pPr>
              <w:spacing w:after="0"/>
              <w:rPr>
                <w:sz w:val="20"/>
                <w:szCs w:val="20"/>
                <w:color w:val="auto"/>
              </w:rPr>
            </w:pPr>
            <w:r>
              <w:rPr>
                <w:rFonts w:ascii="Arial" w:cs="Arial" w:eastAsia="Arial" w:hAnsi="Arial"/>
                <w:sz w:val="16"/>
                <w:szCs w:val="16"/>
                <w:color w:val="auto"/>
              </w:rPr>
              <w:t>Net unrealized gains</w:t>
            </w:r>
          </w:p>
        </w:tc>
        <w:tc>
          <w:tcPr>
            <w:tcW w:w="3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286"/>
              <w:spacing w:after="0"/>
              <w:rPr>
                <w:sz w:val="20"/>
                <w:szCs w:val="20"/>
                <w:color w:val="auto"/>
              </w:rPr>
            </w:pPr>
            <w:r>
              <w:rPr>
                <w:rFonts w:ascii="Arial" w:cs="Arial" w:eastAsia="Arial" w:hAnsi="Arial"/>
                <w:sz w:val="16"/>
                <w:szCs w:val="16"/>
                <w:b w:val="1"/>
                <w:bCs w:val="1"/>
                <w:color w:val="auto"/>
              </w:rPr>
              <w:t>263,872</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184,255</w:t>
            </w:r>
          </w:p>
        </w:tc>
      </w:tr>
      <w:tr>
        <w:trPr>
          <w:trHeight w:val="183"/>
        </w:trPr>
        <w:tc>
          <w:tcPr>
            <w:tcW w:w="8460" w:type="dxa"/>
            <w:vAlign w:val="bottom"/>
          </w:tcPr>
          <w:p>
            <w:pPr>
              <w:spacing w:after="0" w:line="183" w:lineRule="exact"/>
              <w:rPr>
                <w:sz w:val="20"/>
                <w:szCs w:val="20"/>
                <w:color w:val="auto"/>
              </w:rPr>
            </w:pPr>
            <w:r>
              <w:rPr>
                <w:rFonts w:ascii="Arial" w:cs="Arial" w:eastAsia="Arial" w:hAnsi="Arial"/>
                <w:sz w:val="16"/>
                <w:szCs w:val="16"/>
                <w:b w:val="1"/>
                <w:bCs w:val="1"/>
                <w:color w:val="auto"/>
              </w:rPr>
              <w:t>Total Fair Value</w:t>
            </w:r>
          </w:p>
        </w:tc>
        <w:tc>
          <w:tcPr>
            <w:tcW w:w="3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auto"/>
            </w:tcBorders>
          </w:tcPr>
          <w:p>
            <w:pPr>
              <w:jc w:val="right"/>
              <w:ind w:right="286"/>
              <w:spacing w:after="0" w:line="183" w:lineRule="exact"/>
              <w:rPr>
                <w:sz w:val="20"/>
                <w:szCs w:val="20"/>
                <w:color w:val="auto"/>
              </w:rPr>
            </w:pPr>
            <w:r>
              <w:rPr>
                <w:rFonts w:ascii="Arial" w:cs="Arial" w:eastAsia="Arial" w:hAnsi="Arial"/>
                <w:sz w:val="16"/>
                <w:szCs w:val="16"/>
                <w:b w:val="1"/>
                <w:bCs w:val="1"/>
                <w:color w:val="auto"/>
              </w:rPr>
              <w:t>457,031</w:t>
            </w:r>
          </w:p>
        </w:tc>
        <w:tc>
          <w:tcPr>
            <w:tcW w:w="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380,087</w:t>
            </w:r>
          </w:p>
        </w:tc>
      </w:tr>
      <w:tr>
        <w:trPr>
          <w:trHeight w:val="20"/>
        </w:trPr>
        <w:tc>
          <w:tcPr>
            <w:tcW w:w="8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There were no new investments in marketable equity securities during the first six months of 2013. The Company invested $45.0 million in marketable equity securities during the first six months of 2012. During the first six months of 2013 and 2012, the proceeds from sales of marketable equity securities were $3.6 million and $2.0 million, respectively, and net realized gains on such sales were $0.9 million and $0.5 million, respectively.</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846" w:right="239" w:bottom="1440" w:gutter="0" w:footer="0" w:header="0"/>
        </w:sectPr>
      </w:pPr>
    </w:p>
    <w:bookmarkStart w:id="8" w:name="page9"/>
    <w:bookmarkEnd w:id="8"/>
    <w:p>
      <w:pPr>
        <w:ind w:right="20"/>
        <w:spacing w:after="0" w:line="237" w:lineRule="auto"/>
        <w:rPr>
          <w:sz w:val="20"/>
          <w:szCs w:val="20"/>
          <w:color w:val="auto"/>
        </w:rPr>
      </w:pPr>
      <w:r>
        <w:rPr>
          <w:rFonts w:ascii="Arial" w:cs="Arial" w:eastAsia="Arial" w:hAnsi="Arial"/>
          <w:sz w:val="18"/>
          <w:szCs w:val="18"/>
          <w:color w:val="auto"/>
        </w:rPr>
        <w:t>As of June 30, 2013, the Company has a $ 3.5 million unrealized loss on its investment in Strayer Education, Inc., a publicly traded company. At June 30, 2013, the investment has been in an unrealized loss position for under three months. The Company evaluated this investment for other-than-temporary impairment based on various factors, including the duration and severity of the unrealized loss, the reason for the decline in value and the potential recovery period, and the ability and intent to hold the investment and concluded that the unrealized loss is not other-than-temporary as of June 30, 2013. If any impairment is considered other-than-temporary, the investment will be written down to its fair market value with a corresponding charge to the Consolidated Statement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 AND DISPOSITIONS</w:t>
      </w:r>
    </w:p>
    <w:p>
      <w:pPr>
        <w:spacing w:after="0" w:line="220"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In the first six months of 2013, the Company acquired two small businesses included in other businesses; the purchase price allocation mostly comprised goodwill and other intangible assets on a preliminary basis. In the first six months of 2012, the Company acquired four small businesses included in its education division and in other businesses; the purchase price allocation mostly comprised goodwill and other intangible assets. The assets and liabilities of the companies acquired have been recorded at their estimated fair values at the date of acquisition.</w:t>
      </w:r>
    </w:p>
    <w:p>
      <w:pPr>
        <w:spacing w:after="0" w:line="189" w:lineRule="exact"/>
        <w:rPr>
          <w:sz w:val="20"/>
          <w:szCs w:val="20"/>
          <w:color w:val="auto"/>
        </w:rPr>
      </w:pPr>
    </w:p>
    <w:p>
      <w:pPr>
        <w:ind w:right="620"/>
        <w:spacing w:after="0" w:line="246" w:lineRule="auto"/>
        <w:rPr>
          <w:sz w:val="20"/>
          <w:szCs w:val="20"/>
          <w:color w:val="auto"/>
        </w:rPr>
      </w:pPr>
      <w:r>
        <w:rPr>
          <w:rFonts w:ascii="Arial" w:cs="Arial" w:eastAsia="Arial" w:hAnsi="Arial"/>
          <w:sz w:val="18"/>
          <w:szCs w:val="18"/>
          <w:color w:val="auto"/>
        </w:rPr>
        <w:t>In the second quarter of 2013, Kaplan purchased the remaining 15% noncontrolling interest in Kaplan China; this additional interest was accounted for as an equity transaction.</w:t>
      </w:r>
    </w:p>
    <w:p>
      <w:pPr>
        <w:spacing w:after="0" w:line="183"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On August 1, 2013, the Company completed its acquisition of Forney Corporation, a global supplier of products and systems that control and monitor combustion processes in electric utility and industrial applications. The operating results of Forney will be included in other businesses.</w:t>
      </w:r>
    </w:p>
    <w:p>
      <w:pPr>
        <w:spacing w:after="0" w:line="183" w:lineRule="exact"/>
        <w:rPr>
          <w:sz w:val="20"/>
          <w:szCs w:val="20"/>
          <w:color w:val="auto"/>
        </w:rPr>
      </w:pPr>
    </w:p>
    <w:p>
      <w:pPr>
        <w:ind w:right="60"/>
        <w:spacing w:after="0"/>
        <w:rPr>
          <w:sz w:val="20"/>
          <w:szCs w:val="20"/>
          <w:color w:val="auto"/>
        </w:rPr>
      </w:pPr>
      <w:r>
        <w:rPr>
          <w:rFonts w:ascii="Arial" w:cs="Arial" w:eastAsia="Arial" w:hAnsi="Arial"/>
          <w:sz w:val="18"/>
          <w:szCs w:val="18"/>
          <w:color w:val="auto"/>
        </w:rPr>
        <w:t>In March 2013, the Company completed the sale of The Herald, a daily and Sunday newspaper headquartered in Everett, WA. The Herald was previously reported in the newspaper publishing division. Kaplan completed the sales of EduNeering in April 2012 and Kaplan Learning Technologies in February 2012, which were part of the Kaplan Ventures division.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OTHER INTANGIBLE ASSETS</w:t>
      </w:r>
    </w:p>
    <w:p>
      <w:pPr>
        <w:spacing w:after="0" w:line="220"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Amortization of intangible assets for the three months ended June 30, 2013 and 2012 was $3.3 million and $4.4 million, respectively. Amortization of intangible assets for the six months ended June 30, 2013 and 2012 was $ 7.0 million and $8.3 million, respectively. Amortization of intangible assets is estimated to be approximately $6 million for the remainder of 2013, $9 million in 2014, $7 million in 2015, $6 million in 2016, $4 million in 2017, $4 million in 2018 and $3 million thereafter.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segment, were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242"/>
              <w:spacing w:after="0"/>
              <w:rPr>
                <w:sz w:val="20"/>
                <w:szCs w:val="20"/>
                <w:color w:val="auto"/>
              </w:rPr>
            </w:pPr>
            <w:r>
              <w:rPr>
                <w:rFonts w:ascii="Arial" w:cs="Arial" w:eastAsia="Arial" w:hAnsi="Arial"/>
                <w:sz w:val="14"/>
                <w:szCs w:val="14"/>
                <w:b w:val="1"/>
                <w:bCs w:val="1"/>
                <w:color w:val="auto"/>
              </w:rPr>
              <w:t>Cable</w:t>
            </w:r>
          </w:p>
        </w:tc>
        <w:tc>
          <w:tcPr>
            <w:tcW w:w="220" w:type="dxa"/>
            <w:vAlign w:val="bottom"/>
          </w:tcPr>
          <w:p>
            <w:pPr>
              <w:spacing w:after="0"/>
              <w:rPr>
                <w:sz w:val="14"/>
                <w:szCs w:val="14"/>
                <w:color w:val="auto"/>
              </w:rPr>
            </w:pPr>
          </w:p>
        </w:tc>
        <w:tc>
          <w:tcPr>
            <w:tcW w:w="920" w:type="dxa"/>
            <w:vAlign w:val="bottom"/>
          </w:tcPr>
          <w:p>
            <w:pPr>
              <w:jc w:val="right"/>
              <w:ind w:right="102"/>
              <w:spacing w:after="0"/>
              <w:rPr>
                <w:sz w:val="20"/>
                <w:szCs w:val="20"/>
                <w:color w:val="auto"/>
              </w:rPr>
            </w:pPr>
            <w:r>
              <w:rPr>
                <w:rFonts w:ascii="Arial" w:cs="Arial" w:eastAsia="Arial" w:hAnsi="Arial"/>
                <w:sz w:val="14"/>
                <w:szCs w:val="14"/>
                <w:b w:val="1"/>
                <w:bCs w:val="1"/>
                <w:color w:val="auto"/>
                <w:w w:val="96"/>
              </w:rPr>
              <w:t>Newspaper</w:t>
            </w:r>
          </w:p>
        </w:tc>
        <w:tc>
          <w:tcPr>
            <w:tcW w:w="220" w:type="dxa"/>
            <w:vAlign w:val="bottom"/>
          </w:tcPr>
          <w:p>
            <w:pPr>
              <w:spacing w:after="0"/>
              <w:rPr>
                <w:sz w:val="14"/>
                <w:szCs w:val="14"/>
                <w:color w:val="auto"/>
              </w:rPr>
            </w:pPr>
          </w:p>
        </w:tc>
        <w:tc>
          <w:tcPr>
            <w:tcW w:w="900" w:type="dxa"/>
            <w:vAlign w:val="bottom"/>
          </w:tcPr>
          <w:p>
            <w:pPr>
              <w:jc w:val="right"/>
              <w:ind w:right="140"/>
              <w:spacing w:after="0"/>
              <w:rPr>
                <w:sz w:val="20"/>
                <w:szCs w:val="20"/>
                <w:color w:val="auto"/>
              </w:rPr>
            </w:pPr>
            <w:r>
              <w:rPr>
                <w:rFonts w:ascii="Arial" w:cs="Arial" w:eastAsia="Arial" w:hAnsi="Arial"/>
                <w:sz w:val="14"/>
                <w:szCs w:val="14"/>
                <w:b w:val="1"/>
                <w:bCs w:val="1"/>
                <w:color w:val="auto"/>
                <w:w w:val="96"/>
              </w:rPr>
              <w:t>Television</w:t>
            </w:r>
          </w:p>
        </w:tc>
        <w:tc>
          <w:tcPr>
            <w:tcW w:w="200" w:type="dxa"/>
            <w:vAlign w:val="bottom"/>
          </w:tcPr>
          <w:p>
            <w:pPr>
              <w:spacing w:after="0"/>
              <w:rPr>
                <w:sz w:val="14"/>
                <w:szCs w:val="14"/>
                <w:color w:val="auto"/>
              </w:rPr>
            </w:pPr>
          </w:p>
        </w:tc>
        <w:tc>
          <w:tcPr>
            <w:tcW w:w="920" w:type="dxa"/>
            <w:vAlign w:val="bottom"/>
          </w:tcPr>
          <w:p>
            <w:pPr>
              <w:jc w:val="right"/>
              <w:ind w:right="282"/>
              <w:spacing w:after="0"/>
              <w:rPr>
                <w:sz w:val="20"/>
                <w:szCs w:val="20"/>
                <w:color w:val="auto"/>
              </w:rPr>
            </w:pPr>
            <w:r>
              <w:rPr>
                <w:rFonts w:ascii="Arial" w:cs="Arial" w:eastAsia="Arial" w:hAnsi="Arial"/>
                <w:sz w:val="14"/>
                <w:szCs w:val="14"/>
                <w:b w:val="1"/>
                <w:bCs w:val="1"/>
                <w:color w:val="auto"/>
              </w:rPr>
              <w:t>Other</w:t>
            </w: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5"/>
        </w:trPr>
        <w:tc>
          <w:tcPr>
            <w:tcW w:w="44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Education</w:t>
            </w: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w w:val="93"/>
              </w:rPr>
              <w:t>Television</w:t>
            </w: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w w:val="97"/>
              </w:rPr>
              <w:t>Publishing</w:t>
            </w:r>
          </w:p>
        </w:tc>
        <w:tc>
          <w:tcPr>
            <w:tcW w:w="1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Broadcasting</w:t>
            </w: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w w:val="95"/>
              </w:rPr>
              <w:t>Businesses</w:t>
            </w:r>
          </w:p>
        </w:tc>
        <w:tc>
          <w:tcPr>
            <w:tcW w:w="4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Total</w:t>
            </w:r>
          </w:p>
        </w:tc>
      </w:tr>
      <w:tr>
        <w:trPr>
          <w:trHeight w:val="184"/>
        </w:trPr>
        <w:tc>
          <w:tcPr>
            <w:tcW w:w="4460" w:type="dxa"/>
            <w:vAlign w:val="bottom"/>
          </w:tcPr>
          <w:p>
            <w:pPr>
              <w:spacing w:after="0"/>
              <w:rPr>
                <w:sz w:val="20"/>
                <w:szCs w:val="20"/>
                <w:color w:val="auto"/>
              </w:rPr>
            </w:pPr>
            <w:r>
              <w:rPr>
                <w:rFonts w:ascii="Arial" w:cs="Arial" w:eastAsia="Arial" w:hAnsi="Arial"/>
                <w:sz w:val="16"/>
                <w:szCs w:val="16"/>
                <w:color w:val="auto"/>
              </w:rPr>
              <w:t>Balance as of December 31, 2012</w:t>
            </w: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9"/>
        </w:trPr>
        <w:tc>
          <w:tcPr>
            <w:tcW w:w="4460" w:type="dxa"/>
            <w:vAlign w:val="bottom"/>
          </w:tcPr>
          <w:p>
            <w:pPr>
              <w:ind w:left="240"/>
              <w:spacing w:after="0"/>
              <w:rPr>
                <w:sz w:val="20"/>
                <w:szCs w:val="20"/>
                <w:color w:val="auto"/>
              </w:rPr>
            </w:pPr>
            <w:r>
              <w:rPr>
                <w:rFonts w:ascii="Arial" w:cs="Arial" w:eastAsia="Arial" w:hAnsi="Arial"/>
                <w:sz w:val="16"/>
                <w:szCs w:val="16"/>
                <w:color w:val="auto"/>
              </w:rPr>
              <w:t>Goodwill</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1,097,058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85,488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81,183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203,165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19,052</w:t>
            </w:r>
          </w:p>
        </w:tc>
        <w:tc>
          <w:tcPr>
            <w:tcW w:w="4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1,485,946</w:t>
            </w:r>
          </w:p>
        </w:tc>
      </w:tr>
      <w:tr>
        <w:trPr>
          <w:trHeight w:val="187"/>
        </w:trPr>
        <w:tc>
          <w:tcPr>
            <w:tcW w:w="4460" w:type="dxa"/>
            <w:vAlign w:val="bottom"/>
          </w:tcPr>
          <w:p>
            <w:pPr>
              <w:ind w:left="240"/>
              <w:spacing w:after="0"/>
              <w:rPr>
                <w:sz w:val="20"/>
                <w:szCs w:val="20"/>
                <w:color w:val="auto"/>
              </w:rPr>
            </w:pPr>
            <w:r>
              <w:rPr>
                <w:rFonts w:ascii="Arial" w:cs="Arial" w:eastAsia="Arial" w:hAnsi="Arial"/>
                <w:sz w:val="16"/>
                <w:szCs w:val="16"/>
                <w:color w:val="auto"/>
              </w:rPr>
              <w:t>Accumulated impairment losses</w:t>
            </w: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(102,259)</w:t>
            </w: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(65,772)</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(168,031)</w:t>
            </w:r>
          </w:p>
        </w:tc>
      </w:tr>
      <w:tr>
        <w:trPr>
          <w:trHeight w:val="164"/>
        </w:trPr>
        <w:tc>
          <w:tcPr>
            <w:tcW w:w="4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spacing w:after="0" w:line="165" w:lineRule="exact"/>
              <w:rPr>
                <w:sz w:val="20"/>
                <w:szCs w:val="20"/>
                <w:color w:val="auto"/>
              </w:rPr>
            </w:pPr>
            <w:r>
              <w:rPr>
                <w:rFonts w:ascii="Arial" w:cs="Arial" w:eastAsia="Arial" w:hAnsi="Arial"/>
                <w:sz w:val="16"/>
                <w:szCs w:val="16"/>
                <w:color w:val="auto"/>
              </w:rPr>
              <w:t>994,799</w:t>
            </w:r>
          </w:p>
        </w:tc>
        <w:tc>
          <w:tcPr>
            <w:tcW w:w="220" w:type="dxa"/>
            <w:vAlign w:val="bottom"/>
          </w:tcPr>
          <w:p>
            <w:pPr>
              <w:spacing w:after="0"/>
              <w:rPr>
                <w:sz w:val="14"/>
                <w:szCs w:val="14"/>
                <w:color w:val="auto"/>
              </w:rPr>
            </w:pPr>
          </w:p>
        </w:tc>
        <w:tc>
          <w:tcPr>
            <w:tcW w:w="840" w:type="dxa"/>
            <w:vAlign w:val="bottom"/>
          </w:tcPr>
          <w:p>
            <w:pPr>
              <w:jc w:val="right"/>
              <w:ind w:right="2"/>
              <w:spacing w:after="0" w:line="165" w:lineRule="exact"/>
              <w:rPr>
                <w:sz w:val="20"/>
                <w:szCs w:val="20"/>
                <w:color w:val="auto"/>
              </w:rPr>
            </w:pPr>
            <w:r>
              <w:rPr>
                <w:rFonts w:ascii="Arial" w:cs="Arial" w:eastAsia="Arial" w:hAnsi="Arial"/>
                <w:sz w:val="16"/>
                <w:szCs w:val="16"/>
                <w:color w:val="auto"/>
              </w:rPr>
              <w:t>85,488</w:t>
            </w:r>
          </w:p>
        </w:tc>
        <w:tc>
          <w:tcPr>
            <w:tcW w:w="220" w:type="dxa"/>
            <w:vAlign w:val="bottom"/>
          </w:tcPr>
          <w:p>
            <w:pPr>
              <w:spacing w:after="0"/>
              <w:rPr>
                <w:sz w:val="14"/>
                <w:szCs w:val="14"/>
                <w:color w:val="auto"/>
              </w:rPr>
            </w:pPr>
          </w:p>
        </w:tc>
        <w:tc>
          <w:tcPr>
            <w:tcW w:w="920" w:type="dxa"/>
            <w:vAlign w:val="bottom"/>
          </w:tcPr>
          <w:p>
            <w:pPr>
              <w:jc w:val="right"/>
              <w:ind w:right="2"/>
              <w:spacing w:after="0" w:line="165" w:lineRule="exact"/>
              <w:rPr>
                <w:sz w:val="20"/>
                <w:szCs w:val="20"/>
                <w:color w:val="auto"/>
              </w:rPr>
            </w:pPr>
            <w:r>
              <w:rPr>
                <w:rFonts w:ascii="Arial" w:cs="Arial" w:eastAsia="Arial" w:hAnsi="Arial"/>
                <w:sz w:val="16"/>
                <w:szCs w:val="16"/>
                <w:color w:val="auto"/>
              </w:rPr>
              <w:t>15,411</w:t>
            </w:r>
          </w:p>
        </w:tc>
        <w:tc>
          <w:tcPr>
            <w:tcW w:w="220" w:type="dxa"/>
            <w:vAlign w:val="bottom"/>
          </w:tcPr>
          <w:p>
            <w:pPr>
              <w:spacing w:after="0"/>
              <w:rPr>
                <w:sz w:val="14"/>
                <w:szCs w:val="14"/>
                <w:color w:val="auto"/>
              </w:rPr>
            </w:pPr>
          </w:p>
        </w:tc>
        <w:tc>
          <w:tcPr>
            <w:tcW w:w="900" w:type="dxa"/>
            <w:vAlign w:val="bottom"/>
          </w:tcPr>
          <w:p>
            <w:pPr>
              <w:jc w:val="right"/>
              <w:spacing w:after="0" w:line="165" w:lineRule="exact"/>
              <w:rPr>
                <w:sz w:val="20"/>
                <w:szCs w:val="20"/>
                <w:color w:val="auto"/>
              </w:rPr>
            </w:pPr>
            <w:r>
              <w:rPr>
                <w:rFonts w:ascii="Arial" w:cs="Arial" w:eastAsia="Arial" w:hAnsi="Arial"/>
                <w:sz w:val="16"/>
                <w:szCs w:val="16"/>
                <w:color w:val="auto"/>
              </w:rPr>
              <w:t>203,165</w:t>
            </w:r>
          </w:p>
        </w:tc>
        <w:tc>
          <w:tcPr>
            <w:tcW w:w="200" w:type="dxa"/>
            <w:vAlign w:val="bottom"/>
          </w:tcPr>
          <w:p>
            <w:pPr>
              <w:spacing w:after="0"/>
              <w:rPr>
                <w:sz w:val="14"/>
                <w:szCs w:val="14"/>
                <w:color w:val="auto"/>
              </w:rPr>
            </w:pPr>
          </w:p>
        </w:tc>
        <w:tc>
          <w:tcPr>
            <w:tcW w:w="920" w:type="dxa"/>
            <w:vAlign w:val="bottom"/>
          </w:tcPr>
          <w:p>
            <w:pPr>
              <w:jc w:val="right"/>
              <w:ind w:right="2"/>
              <w:spacing w:after="0" w:line="165" w:lineRule="exact"/>
              <w:rPr>
                <w:sz w:val="20"/>
                <w:szCs w:val="20"/>
                <w:color w:val="auto"/>
              </w:rPr>
            </w:pPr>
            <w:r>
              <w:rPr>
                <w:rFonts w:ascii="Arial" w:cs="Arial" w:eastAsia="Arial" w:hAnsi="Arial"/>
                <w:sz w:val="16"/>
                <w:szCs w:val="16"/>
                <w:color w:val="auto"/>
              </w:rPr>
              <w:t>19,052</w:t>
            </w:r>
          </w:p>
        </w:tc>
        <w:tc>
          <w:tcPr>
            <w:tcW w:w="420" w:type="dxa"/>
            <w:vAlign w:val="bottom"/>
          </w:tcPr>
          <w:p>
            <w:pPr>
              <w:spacing w:after="0"/>
              <w:rPr>
                <w:sz w:val="14"/>
                <w:szCs w:val="14"/>
                <w:color w:val="auto"/>
              </w:rPr>
            </w:pPr>
          </w:p>
        </w:tc>
        <w:tc>
          <w:tcPr>
            <w:tcW w:w="900" w:type="dxa"/>
            <w:vAlign w:val="bottom"/>
          </w:tcPr>
          <w:p>
            <w:pPr>
              <w:jc w:val="right"/>
              <w:spacing w:after="0" w:line="165" w:lineRule="exact"/>
              <w:rPr>
                <w:sz w:val="20"/>
                <w:szCs w:val="20"/>
                <w:color w:val="auto"/>
              </w:rPr>
            </w:pPr>
            <w:r>
              <w:rPr>
                <w:rFonts w:ascii="Arial" w:cs="Arial" w:eastAsia="Arial" w:hAnsi="Arial"/>
                <w:sz w:val="16"/>
                <w:szCs w:val="16"/>
                <w:color w:val="auto"/>
              </w:rPr>
              <w:t>1,317,915</w:t>
            </w:r>
          </w:p>
        </w:tc>
      </w:tr>
      <w:tr>
        <w:trPr>
          <w:trHeight w:val="189"/>
        </w:trPr>
        <w:tc>
          <w:tcPr>
            <w:tcW w:w="4460" w:type="dxa"/>
            <w:vAlign w:val="bottom"/>
          </w:tcPr>
          <w:p>
            <w:pPr>
              <w:spacing w:after="0"/>
              <w:rPr>
                <w:sz w:val="20"/>
                <w:szCs w:val="20"/>
                <w:color w:val="auto"/>
              </w:rPr>
            </w:pPr>
            <w:r>
              <w:rPr>
                <w:rFonts w:ascii="Arial" w:cs="Arial" w:eastAsia="Arial" w:hAnsi="Arial"/>
                <w:sz w:val="16"/>
                <w:szCs w:val="16"/>
                <w:b w:val="1"/>
                <w:bCs w:val="1"/>
                <w:color w:val="auto"/>
              </w:rPr>
              <w:t>Acquisitions</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6"/>
                <w:szCs w:val="16"/>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6"/>
                <w:szCs w:val="16"/>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6"/>
                <w:szCs w:val="16"/>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b w:val="1"/>
                <w:bCs w:val="1"/>
                <w:color w:val="auto"/>
              </w:rPr>
              <w:t>2,521</w:t>
            </w:r>
          </w:p>
        </w:tc>
        <w:tc>
          <w:tcPr>
            <w:tcW w:w="4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2,521</w:t>
            </w:r>
          </w:p>
        </w:tc>
      </w:tr>
      <w:tr>
        <w:trPr>
          <w:trHeight w:val="207"/>
        </w:trPr>
        <w:tc>
          <w:tcPr>
            <w:tcW w:w="4460" w:type="dxa"/>
            <w:vAlign w:val="bottom"/>
          </w:tcPr>
          <w:p>
            <w:pPr>
              <w:spacing w:after="0"/>
              <w:rPr>
                <w:sz w:val="20"/>
                <w:szCs w:val="20"/>
                <w:color w:val="auto"/>
              </w:rPr>
            </w:pPr>
            <w:r>
              <w:rPr>
                <w:rFonts w:ascii="Arial" w:cs="Arial" w:eastAsia="Arial" w:hAnsi="Arial"/>
                <w:sz w:val="16"/>
                <w:szCs w:val="16"/>
                <w:b w:val="1"/>
                <w:bCs w:val="1"/>
                <w:color w:val="auto"/>
              </w:rPr>
              <w:t>Foreign currency exchange rate changes</w:t>
            </w: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(32,017)</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w:t>
            </w: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(32,017)</w:t>
            </w:r>
          </w:p>
        </w:tc>
      </w:tr>
      <w:tr>
        <w:trPr>
          <w:trHeight w:val="164"/>
        </w:trPr>
        <w:tc>
          <w:tcPr>
            <w:tcW w:w="4460" w:type="dxa"/>
            <w:vAlign w:val="bottom"/>
          </w:tcPr>
          <w:p>
            <w:pPr>
              <w:spacing w:after="0" w:line="165" w:lineRule="exact"/>
              <w:rPr>
                <w:sz w:val="20"/>
                <w:szCs w:val="20"/>
                <w:color w:val="auto"/>
              </w:rPr>
            </w:pPr>
            <w:r>
              <w:rPr>
                <w:rFonts w:ascii="Arial" w:cs="Arial" w:eastAsia="Arial" w:hAnsi="Arial"/>
                <w:sz w:val="16"/>
                <w:szCs w:val="16"/>
                <w:b w:val="1"/>
                <w:bCs w:val="1"/>
                <w:color w:val="auto"/>
              </w:rPr>
              <w:t>Balance as of June 30, 2013</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89"/>
        </w:trPr>
        <w:tc>
          <w:tcPr>
            <w:tcW w:w="4460" w:type="dxa"/>
            <w:vAlign w:val="bottom"/>
          </w:tcPr>
          <w:p>
            <w:pPr>
              <w:ind w:left="240"/>
              <w:spacing w:after="0"/>
              <w:rPr>
                <w:sz w:val="20"/>
                <w:szCs w:val="20"/>
                <w:color w:val="auto"/>
              </w:rPr>
            </w:pPr>
            <w:r>
              <w:rPr>
                <w:rFonts w:ascii="Arial" w:cs="Arial" w:eastAsia="Arial" w:hAnsi="Arial"/>
                <w:sz w:val="16"/>
                <w:szCs w:val="16"/>
                <w:b w:val="1"/>
                <w:bCs w:val="1"/>
                <w:color w:val="auto"/>
              </w:rPr>
              <w:t>Goodwill</w:t>
            </w: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1,065,041</w:t>
            </w:r>
          </w:p>
        </w:tc>
        <w:tc>
          <w:tcPr>
            <w:tcW w:w="220" w:type="dxa"/>
            <w:vAlign w:val="bottom"/>
          </w:tcPr>
          <w:p>
            <w:pPr>
              <w:spacing w:after="0"/>
              <w:rPr>
                <w:sz w:val="16"/>
                <w:szCs w:val="16"/>
                <w:color w:val="auto"/>
              </w:rPr>
            </w:pPr>
          </w:p>
        </w:tc>
        <w:tc>
          <w:tcPr>
            <w:tcW w:w="840" w:type="dxa"/>
            <w:vAlign w:val="bottom"/>
          </w:tcPr>
          <w:p>
            <w:pPr>
              <w:jc w:val="right"/>
              <w:ind w:right="2"/>
              <w:spacing w:after="0"/>
              <w:rPr>
                <w:sz w:val="20"/>
                <w:szCs w:val="20"/>
                <w:color w:val="auto"/>
              </w:rPr>
            </w:pPr>
            <w:r>
              <w:rPr>
                <w:rFonts w:ascii="Arial" w:cs="Arial" w:eastAsia="Arial" w:hAnsi="Arial"/>
                <w:sz w:val="16"/>
                <w:szCs w:val="16"/>
                <w:b w:val="1"/>
                <w:bCs w:val="1"/>
                <w:color w:val="auto"/>
              </w:rPr>
              <w:t>85,488</w:t>
            </w:r>
          </w:p>
        </w:tc>
        <w:tc>
          <w:tcPr>
            <w:tcW w:w="220" w:type="dxa"/>
            <w:vAlign w:val="bottom"/>
          </w:tcPr>
          <w:p>
            <w:pPr>
              <w:spacing w:after="0"/>
              <w:rPr>
                <w:sz w:val="16"/>
                <w:szCs w:val="16"/>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b w:val="1"/>
                <w:bCs w:val="1"/>
                <w:color w:val="auto"/>
              </w:rPr>
              <w:t>71,448</w:t>
            </w: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203,165</w:t>
            </w:r>
          </w:p>
        </w:tc>
        <w:tc>
          <w:tcPr>
            <w:tcW w:w="200" w:type="dxa"/>
            <w:vAlign w:val="bottom"/>
          </w:tcPr>
          <w:p>
            <w:pPr>
              <w:spacing w:after="0"/>
              <w:rPr>
                <w:sz w:val="16"/>
                <w:szCs w:val="16"/>
                <w:color w:val="auto"/>
              </w:rPr>
            </w:pPr>
          </w:p>
        </w:tc>
        <w:tc>
          <w:tcPr>
            <w:tcW w:w="920" w:type="dxa"/>
            <w:vAlign w:val="bottom"/>
          </w:tcPr>
          <w:p>
            <w:pPr>
              <w:jc w:val="right"/>
              <w:ind w:right="2"/>
              <w:spacing w:after="0"/>
              <w:rPr>
                <w:sz w:val="20"/>
                <w:szCs w:val="20"/>
                <w:color w:val="auto"/>
              </w:rPr>
            </w:pPr>
            <w:r>
              <w:rPr>
                <w:rFonts w:ascii="Arial" w:cs="Arial" w:eastAsia="Arial" w:hAnsi="Arial"/>
                <w:sz w:val="16"/>
                <w:szCs w:val="16"/>
                <w:b w:val="1"/>
                <w:bCs w:val="1"/>
                <w:color w:val="auto"/>
              </w:rPr>
              <w:t>21,573</w:t>
            </w:r>
          </w:p>
        </w:tc>
        <w:tc>
          <w:tcPr>
            <w:tcW w:w="4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1,446,715</w:t>
            </w:r>
          </w:p>
        </w:tc>
      </w:tr>
      <w:tr>
        <w:trPr>
          <w:trHeight w:val="207"/>
        </w:trPr>
        <w:tc>
          <w:tcPr>
            <w:tcW w:w="4460" w:type="dxa"/>
            <w:vAlign w:val="bottom"/>
          </w:tcPr>
          <w:p>
            <w:pPr>
              <w:ind w:left="240"/>
              <w:spacing w:after="0"/>
              <w:rPr>
                <w:sz w:val="20"/>
                <w:szCs w:val="20"/>
                <w:color w:val="auto"/>
              </w:rPr>
            </w:pPr>
            <w:r>
              <w:rPr>
                <w:rFonts w:ascii="Arial" w:cs="Arial" w:eastAsia="Arial" w:hAnsi="Arial"/>
                <w:sz w:val="16"/>
                <w:szCs w:val="16"/>
                <w:b w:val="1"/>
                <w:bCs w:val="1"/>
                <w:color w:val="auto"/>
              </w:rPr>
              <w:t>Accumulated impairment losses</w:t>
            </w: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(102,259)</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(56,037)</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w:t>
            </w: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(158,296)</w:t>
            </w:r>
          </w:p>
        </w:tc>
      </w:tr>
      <w:tr>
        <w:trPr>
          <w:trHeight w:val="183"/>
        </w:trPr>
        <w:tc>
          <w:tcPr>
            <w:tcW w:w="4460" w:type="dxa"/>
            <w:vAlign w:val="bottom"/>
          </w:tcPr>
          <w:p>
            <w:pPr>
              <w:spacing w:after="0"/>
              <w:rPr>
                <w:sz w:val="15"/>
                <w:szCs w:val="15"/>
                <w:color w:val="auto"/>
              </w:rPr>
            </w:pPr>
          </w:p>
        </w:tc>
        <w:tc>
          <w:tcPr>
            <w:tcW w:w="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962,782</w:t>
            </w:r>
          </w:p>
        </w:tc>
        <w:tc>
          <w:tcPr>
            <w:tcW w:w="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2"/>
              <w:spacing w:after="0" w:line="183" w:lineRule="exact"/>
              <w:rPr>
                <w:sz w:val="20"/>
                <w:szCs w:val="20"/>
                <w:color w:val="auto"/>
              </w:rPr>
            </w:pPr>
            <w:r>
              <w:rPr>
                <w:rFonts w:ascii="Arial" w:cs="Arial" w:eastAsia="Arial" w:hAnsi="Arial"/>
                <w:sz w:val="16"/>
                <w:szCs w:val="16"/>
                <w:b w:val="1"/>
                <w:bCs w:val="1"/>
                <w:color w:val="auto"/>
              </w:rPr>
              <w:t>85,488</w:t>
            </w:r>
          </w:p>
        </w:tc>
        <w:tc>
          <w:tcPr>
            <w:tcW w:w="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2"/>
              <w:spacing w:after="0" w:line="183" w:lineRule="exact"/>
              <w:rPr>
                <w:sz w:val="20"/>
                <w:szCs w:val="20"/>
                <w:color w:val="auto"/>
              </w:rPr>
            </w:pPr>
            <w:r>
              <w:rPr>
                <w:rFonts w:ascii="Arial" w:cs="Arial" w:eastAsia="Arial" w:hAnsi="Arial"/>
                <w:sz w:val="16"/>
                <w:szCs w:val="16"/>
                <w:b w:val="1"/>
                <w:bCs w:val="1"/>
                <w:color w:val="auto"/>
              </w:rPr>
              <w:t>15,411</w:t>
            </w:r>
          </w:p>
        </w:tc>
        <w:tc>
          <w:tcPr>
            <w:tcW w:w="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203,165</w:t>
            </w:r>
          </w:p>
        </w:tc>
        <w:tc>
          <w:tcPr>
            <w:tcW w:w="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2"/>
              <w:spacing w:after="0" w:line="183" w:lineRule="exact"/>
              <w:rPr>
                <w:sz w:val="20"/>
                <w:szCs w:val="20"/>
                <w:color w:val="auto"/>
              </w:rPr>
            </w:pPr>
            <w:r>
              <w:rPr>
                <w:rFonts w:ascii="Arial" w:cs="Arial" w:eastAsia="Arial" w:hAnsi="Arial"/>
                <w:sz w:val="16"/>
                <w:szCs w:val="16"/>
                <w:b w:val="1"/>
                <w:bCs w:val="1"/>
                <w:color w:val="auto"/>
              </w:rPr>
              <w:t>21,573</w:t>
            </w:r>
          </w:p>
        </w:tc>
        <w:tc>
          <w:tcPr>
            <w:tcW w:w="420" w:type="dxa"/>
            <w:vAlign w:val="bottom"/>
            <w:tcBorders>
              <w:bottom w:val="single" w:sz="8" w:color="auto"/>
            </w:tcBorders>
          </w:tcPr>
          <w:p>
            <w:pPr>
              <w:jc w:val="right"/>
              <w:ind w:right="179"/>
              <w:spacing w:after="0" w:line="183" w:lineRule="exact"/>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1,288,419</w:t>
            </w:r>
          </w:p>
        </w:tc>
      </w:tr>
      <w:tr>
        <w:trPr>
          <w:trHeight w:val="20"/>
        </w:trPr>
        <w:tc>
          <w:tcPr>
            <w:tcW w:w="4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carrying amount of goodwill at the Company’s education division were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tcPr>
          <w:p>
            <w:pPr>
              <w:jc w:val="right"/>
              <w:ind w:right="622"/>
              <w:spacing w:after="0"/>
              <w:rPr>
                <w:sz w:val="20"/>
                <w:szCs w:val="20"/>
                <w:color w:val="auto"/>
              </w:rPr>
            </w:pPr>
            <w:r>
              <w:rPr>
                <w:rFonts w:ascii="Arial" w:cs="Arial" w:eastAsia="Arial" w:hAnsi="Arial"/>
                <w:sz w:val="14"/>
                <w:szCs w:val="14"/>
                <w:b w:val="1"/>
                <w:bCs w:val="1"/>
                <w:color w:val="auto"/>
              </w:rPr>
              <w:t>Higher</w:t>
            </w:r>
          </w:p>
        </w:tc>
        <w:tc>
          <w:tcPr>
            <w:tcW w:w="340" w:type="dxa"/>
            <w:vAlign w:val="bottom"/>
          </w:tcPr>
          <w:p>
            <w:pPr>
              <w:spacing w:after="0"/>
              <w:rPr>
                <w:sz w:val="14"/>
                <w:szCs w:val="14"/>
                <w:color w:val="auto"/>
              </w:rPr>
            </w:pPr>
          </w:p>
        </w:tc>
        <w:tc>
          <w:tcPr>
            <w:tcW w:w="1380" w:type="dxa"/>
            <w:vAlign w:val="bottom"/>
          </w:tcPr>
          <w:p>
            <w:pPr>
              <w:jc w:val="right"/>
              <w:ind w:right="682"/>
              <w:spacing w:after="0"/>
              <w:rPr>
                <w:sz w:val="20"/>
                <w:szCs w:val="20"/>
                <w:color w:val="auto"/>
              </w:rPr>
            </w:pPr>
            <w:r>
              <w:rPr>
                <w:rFonts w:ascii="Arial" w:cs="Arial" w:eastAsia="Arial" w:hAnsi="Arial"/>
                <w:sz w:val="14"/>
                <w:szCs w:val="14"/>
                <w:b w:val="1"/>
                <w:bCs w:val="1"/>
                <w:color w:val="auto"/>
              </w:rPr>
              <w:t>Test</w:t>
            </w:r>
          </w:p>
        </w:tc>
        <w:tc>
          <w:tcPr>
            <w:tcW w:w="320" w:type="dxa"/>
            <w:vAlign w:val="bottom"/>
          </w:tcPr>
          <w:p>
            <w:pPr>
              <w:spacing w:after="0"/>
              <w:rPr>
                <w:sz w:val="14"/>
                <w:szCs w:val="14"/>
                <w:color w:val="auto"/>
              </w:rPr>
            </w:pPr>
          </w:p>
        </w:tc>
        <w:tc>
          <w:tcPr>
            <w:tcW w:w="1380" w:type="dxa"/>
            <w:vAlign w:val="bottom"/>
          </w:tcPr>
          <w:p>
            <w:pPr>
              <w:jc w:val="right"/>
              <w:ind w:right="582"/>
              <w:spacing w:after="0"/>
              <w:rPr>
                <w:sz w:val="20"/>
                <w:szCs w:val="20"/>
                <w:color w:val="auto"/>
              </w:rPr>
            </w:pPr>
            <w:r>
              <w:rPr>
                <w:rFonts w:ascii="Arial" w:cs="Arial" w:eastAsia="Arial" w:hAnsi="Arial"/>
                <w:sz w:val="14"/>
                <w:szCs w:val="14"/>
                <w:b w:val="1"/>
                <w:bCs w:val="1"/>
                <w:color w:val="auto"/>
              </w:rPr>
              <w:t>Kaplan</w:t>
            </w:r>
          </w:p>
        </w:tc>
        <w:tc>
          <w:tcPr>
            <w:tcW w:w="4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5"/>
        </w:trPr>
        <w:tc>
          <w:tcPr>
            <w:tcW w:w="45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Education</w:t>
            </w:r>
          </w:p>
        </w:tc>
        <w:tc>
          <w:tcPr>
            <w:tcW w:w="3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Preparation</w:t>
            </w:r>
          </w:p>
        </w:tc>
        <w:tc>
          <w:tcPr>
            <w:tcW w:w="3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International</w:t>
            </w:r>
          </w:p>
        </w:tc>
        <w:tc>
          <w:tcPr>
            <w:tcW w:w="4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Total</w:t>
            </w:r>
          </w:p>
        </w:tc>
      </w:tr>
      <w:tr>
        <w:trPr>
          <w:trHeight w:val="184"/>
        </w:trPr>
        <w:tc>
          <w:tcPr>
            <w:tcW w:w="4580" w:type="dxa"/>
            <w:vAlign w:val="bottom"/>
          </w:tcPr>
          <w:p>
            <w:pPr>
              <w:spacing w:after="0"/>
              <w:rPr>
                <w:sz w:val="20"/>
                <w:szCs w:val="20"/>
                <w:color w:val="auto"/>
              </w:rPr>
            </w:pPr>
            <w:r>
              <w:rPr>
                <w:rFonts w:ascii="Arial" w:cs="Arial" w:eastAsia="Arial" w:hAnsi="Arial"/>
                <w:sz w:val="16"/>
                <w:szCs w:val="16"/>
                <w:color w:val="auto"/>
              </w:rPr>
              <w:t>Balance as of December 31, 2012</w:t>
            </w:r>
          </w:p>
        </w:tc>
        <w:tc>
          <w:tcPr>
            <w:tcW w:w="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9"/>
        </w:trPr>
        <w:tc>
          <w:tcPr>
            <w:tcW w:w="4580" w:type="dxa"/>
            <w:vAlign w:val="bottom"/>
          </w:tcPr>
          <w:p>
            <w:pPr>
              <w:ind w:left="240"/>
              <w:spacing w:after="0"/>
              <w:rPr>
                <w:sz w:val="20"/>
                <w:szCs w:val="20"/>
                <w:color w:val="auto"/>
              </w:rPr>
            </w:pPr>
            <w:r>
              <w:rPr>
                <w:rFonts w:ascii="Arial" w:cs="Arial" w:eastAsia="Arial" w:hAnsi="Arial"/>
                <w:sz w:val="16"/>
                <w:szCs w:val="16"/>
                <w:color w:val="auto"/>
              </w:rPr>
              <w:t>Goodwill</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82"/>
              <w:spacing w:after="0"/>
              <w:rPr>
                <w:sz w:val="20"/>
                <w:szCs w:val="20"/>
                <w:color w:val="auto"/>
              </w:rPr>
            </w:pPr>
            <w:r>
              <w:rPr>
                <w:rFonts w:ascii="Arial" w:cs="Arial" w:eastAsia="Arial" w:hAnsi="Arial"/>
                <w:sz w:val="16"/>
                <w:szCs w:val="16"/>
                <w:color w:val="auto"/>
              </w:rPr>
              <w:t>409,184</w:t>
            </w:r>
          </w:p>
        </w:tc>
        <w:tc>
          <w:tcPr>
            <w:tcW w:w="3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62"/>
              <w:spacing w:after="0"/>
              <w:rPr>
                <w:sz w:val="20"/>
                <w:szCs w:val="20"/>
                <w:color w:val="auto"/>
              </w:rPr>
            </w:pPr>
            <w:r>
              <w:rPr>
                <w:rFonts w:ascii="Arial" w:cs="Arial" w:eastAsia="Arial" w:hAnsi="Arial"/>
                <w:sz w:val="16"/>
                <w:szCs w:val="16"/>
                <w:color w:val="auto"/>
              </w:rPr>
              <w:t>152,187</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62"/>
              <w:spacing w:after="0"/>
              <w:rPr>
                <w:sz w:val="20"/>
                <w:szCs w:val="20"/>
                <w:color w:val="auto"/>
              </w:rPr>
            </w:pPr>
            <w:r>
              <w:rPr>
                <w:rFonts w:ascii="Arial" w:cs="Arial" w:eastAsia="Arial" w:hAnsi="Arial"/>
                <w:sz w:val="16"/>
                <w:szCs w:val="16"/>
                <w:color w:val="auto"/>
              </w:rPr>
              <w:t>535,687</w:t>
            </w:r>
          </w:p>
        </w:tc>
        <w:tc>
          <w:tcPr>
            <w:tcW w:w="4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1,097,058</w:t>
            </w:r>
          </w:p>
        </w:tc>
      </w:tr>
      <w:tr>
        <w:trPr>
          <w:trHeight w:val="187"/>
        </w:trPr>
        <w:tc>
          <w:tcPr>
            <w:tcW w:w="4580" w:type="dxa"/>
            <w:vAlign w:val="bottom"/>
          </w:tcPr>
          <w:p>
            <w:pPr>
              <w:ind w:left="240"/>
              <w:spacing w:after="0"/>
              <w:rPr>
                <w:sz w:val="20"/>
                <w:szCs w:val="20"/>
                <w:color w:val="auto"/>
              </w:rPr>
            </w:pPr>
            <w:r>
              <w:rPr>
                <w:rFonts w:ascii="Arial" w:cs="Arial" w:eastAsia="Arial" w:hAnsi="Arial"/>
                <w:sz w:val="16"/>
                <w:szCs w:val="16"/>
                <w:color w:val="auto"/>
              </w:rPr>
              <w:t>Accumulated impairment losses</w:t>
            </w: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(102,259)</w:t>
            </w: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(102,259)</w:t>
            </w:r>
          </w:p>
        </w:tc>
      </w:tr>
      <w:tr>
        <w:trPr>
          <w:trHeight w:val="164"/>
        </w:trPr>
        <w:tc>
          <w:tcPr>
            <w:tcW w:w="4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tcPr>
          <w:p>
            <w:pPr>
              <w:jc w:val="right"/>
              <w:ind w:right="82"/>
              <w:spacing w:after="0" w:line="165" w:lineRule="exact"/>
              <w:rPr>
                <w:sz w:val="20"/>
                <w:szCs w:val="20"/>
                <w:color w:val="auto"/>
              </w:rPr>
            </w:pPr>
            <w:r>
              <w:rPr>
                <w:rFonts w:ascii="Arial" w:cs="Arial" w:eastAsia="Arial" w:hAnsi="Arial"/>
                <w:sz w:val="16"/>
                <w:szCs w:val="16"/>
                <w:color w:val="auto"/>
              </w:rPr>
              <w:t>409,184</w:t>
            </w:r>
          </w:p>
        </w:tc>
        <w:tc>
          <w:tcPr>
            <w:tcW w:w="340" w:type="dxa"/>
            <w:vAlign w:val="bottom"/>
          </w:tcPr>
          <w:p>
            <w:pPr>
              <w:spacing w:after="0"/>
              <w:rPr>
                <w:sz w:val="14"/>
                <w:szCs w:val="14"/>
                <w:color w:val="auto"/>
              </w:rPr>
            </w:pPr>
          </w:p>
        </w:tc>
        <w:tc>
          <w:tcPr>
            <w:tcW w:w="1380" w:type="dxa"/>
            <w:vAlign w:val="bottom"/>
          </w:tcPr>
          <w:p>
            <w:pPr>
              <w:jc w:val="right"/>
              <w:ind w:right="62"/>
              <w:spacing w:after="0" w:line="165" w:lineRule="exact"/>
              <w:rPr>
                <w:sz w:val="20"/>
                <w:szCs w:val="20"/>
                <w:color w:val="auto"/>
              </w:rPr>
            </w:pPr>
            <w:r>
              <w:rPr>
                <w:rFonts w:ascii="Arial" w:cs="Arial" w:eastAsia="Arial" w:hAnsi="Arial"/>
                <w:sz w:val="16"/>
                <w:szCs w:val="16"/>
                <w:color w:val="auto"/>
              </w:rPr>
              <w:t>49,928</w:t>
            </w:r>
          </w:p>
        </w:tc>
        <w:tc>
          <w:tcPr>
            <w:tcW w:w="320" w:type="dxa"/>
            <w:vAlign w:val="bottom"/>
          </w:tcPr>
          <w:p>
            <w:pPr>
              <w:spacing w:after="0"/>
              <w:rPr>
                <w:sz w:val="14"/>
                <w:szCs w:val="14"/>
                <w:color w:val="auto"/>
              </w:rPr>
            </w:pPr>
          </w:p>
        </w:tc>
        <w:tc>
          <w:tcPr>
            <w:tcW w:w="1380" w:type="dxa"/>
            <w:vAlign w:val="bottom"/>
          </w:tcPr>
          <w:p>
            <w:pPr>
              <w:jc w:val="right"/>
              <w:ind w:right="62"/>
              <w:spacing w:after="0" w:line="165" w:lineRule="exact"/>
              <w:rPr>
                <w:sz w:val="20"/>
                <w:szCs w:val="20"/>
                <w:color w:val="auto"/>
              </w:rPr>
            </w:pPr>
            <w:r>
              <w:rPr>
                <w:rFonts w:ascii="Arial" w:cs="Arial" w:eastAsia="Arial" w:hAnsi="Arial"/>
                <w:sz w:val="16"/>
                <w:szCs w:val="16"/>
                <w:color w:val="auto"/>
              </w:rPr>
              <w:t>535,687</w:t>
            </w:r>
          </w:p>
        </w:tc>
        <w:tc>
          <w:tcPr>
            <w:tcW w:w="440" w:type="dxa"/>
            <w:vAlign w:val="bottom"/>
          </w:tcPr>
          <w:p>
            <w:pPr>
              <w:spacing w:after="0"/>
              <w:rPr>
                <w:sz w:val="14"/>
                <w:szCs w:val="14"/>
                <w:color w:val="auto"/>
              </w:rPr>
            </w:pPr>
          </w:p>
        </w:tc>
        <w:tc>
          <w:tcPr>
            <w:tcW w:w="1160" w:type="dxa"/>
            <w:vAlign w:val="bottom"/>
          </w:tcPr>
          <w:p>
            <w:pPr>
              <w:jc w:val="right"/>
              <w:spacing w:after="0" w:line="165" w:lineRule="exact"/>
              <w:rPr>
                <w:sz w:val="20"/>
                <w:szCs w:val="20"/>
                <w:color w:val="auto"/>
              </w:rPr>
            </w:pPr>
            <w:r>
              <w:rPr>
                <w:rFonts w:ascii="Arial" w:cs="Arial" w:eastAsia="Arial" w:hAnsi="Arial"/>
                <w:sz w:val="16"/>
                <w:szCs w:val="16"/>
                <w:color w:val="auto"/>
              </w:rPr>
              <w:t>994,799</w:t>
            </w:r>
          </w:p>
        </w:tc>
      </w:tr>
      <w:tr>
        <w:trPr>
          <w:trHeight w:val="207"/>
        </w:trPr>
        <w:tc>
          <w:tcPr>
            <w:tcW w:w="4580" w:type="dxa"/>
            <w:vAlign w:val="bottom"/>
          </w:tcPr>
          <w:p>
            <w:pPr>
              <w:spacing w:after="0"/>
              <w:rPr>
                <w:sz w:val="20"/>
                <w:szCs w:val="20"/>
                <w:color w:val="auto"/>
              </w:rPr>
            </w:pPr>
            <w:r>
              <w:rPr>
                <w:rFonts w:ascii="Arial" w:cs="Arial" w:eastAsia="Arial" w:hAnsi="Arial"/>
                <w:sz w:val="16"/>
                <w:szCs w:val="16"/>
                <w:b w:val="1"/>
                <w:bCs w:val="1"/>
                <w:color w:val="auto"/>
              </w:rPr>
              <w:t>Foreign currency exchange rate changes</w:t>
            </w: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(129)</w:t>
            </w:r>
          </w:p>
        </w:tc>
        <w:tc>
          <w:tcPr>
            <w:tcW w:w="3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(31,888)</w:t>
            </w:r>
          </w:p>
        </w:tc>
        <w:tc>
          <w:tcPr>
            <w:tcW w:w="4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(32,017)</w:t>
            </w:r>
          </w:p>
        </w:tc>
      </w:tr>
      <w:tr>
        <w:trPr>
          <w:trHeight w:val="164"/>
        </w:trPr>
        <w:tc>
          <w:tcPr>
            <w:tcW w:w="4580" w:type="dxa"/>
            <w:vAlign w:val="bottom"/>
          </w:tcPr>
          <w:p>
            <w:pPr>
              <w:spacing w:after="0" w:line="165" w:lineRule="exact"/>
              <w:rPr>
                <w:sz w:val="20"/>
                <w:szCs w:val="20"/>
                <w:color w:val="auto"/>
              </w:rPr>
            </w:pPr>
            <w:r>
              <w:rPr>
                <w:rFonts w:ascii="Arial" w:cs="Arial" w:eastAsia="Arial" w:hAnsi="Arial"/>
                <w:sz w:val="16"/>
                <w:szCs w:val="16"/>
                <w:b w:val="1"/>
                <w:bCs w:val="1"/>
                <w:color w:val="auto"/>
              </w:rPr>
              <w:t>Balance as of June 30, 2013</w:t>
            </w:r>
          </w:p>
        </w:tc>
        <w:tc>
          <w:tcPr>
            <w:tcW w:w="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89"/>
        </w:trPr>
        <w:tc>
          <w:tcPr>
            <w:tcW w:w="4580" w:type="dxa"/>
            <w:vAlign w:val="bottom"/>
          </w:tcPr>
          <w:p>
            <w:pPr>
              <w:ind w:left="240"/>
              <w:spacing w:after="0"/>
              <w:rPr>
                <w:sz w:val="20"/>
                <w:szCs w:val="20"/>
                <w:color w:val="auto"/>
              </w:rPr>
            </w:pPr>
            <w:r>
              <w:rPr>
                <w:rFonts w:ascii="Arial" w:cs="Arial" w:eastAsia="Arial" w:hAnsi="Arial"/>
                <w:sz w:val="16"/>
                <w:szCs w:val="16"/>
                <w:b w:val="1"/>
                <w:bCs w:val="1"/>
                <w:color w:val="auto"/>
              </w:rPr>
              <w:t>Goodwill</w:t>
            </w:r>
          </w:p>
        </w:tc>
        <w:tc>
          <w:tcPr>
            <w:tcW w:w="280" w:type="dxa"/>
            <w:vAlign w:val="bottom"/>
          </w:tcPr>
          <w:p>
            <w:pPr>
              <w:spacing w:after="0"/>
              <w:rPr>
                <w:sz w:val="16"/>
                <w:szCs w:val="16"/>
                <w:color w:val="auto"/>
              </w:rPr>
            </w:pPr>
          </w:p>
        </w:tc>
        <w:tc>
          <w:tcPr>
            <w:tcW w:w="1440" w:type="dxa"/>
            <w:vAlign w:val="bottom"/>
          </w:tcPr>
          <w:p>
            <w:pPr>
              <w:jc w:val="right"/>
              <w:ind w:right="82"/>
              <w:spacing w:after="0"/>
              <w:rPr>
                <w:sz w:val="20"/>
                <w:szCs w:val="20"/>
                <w:color w:val="auto"/>
              </w:rPr>
            </w:pPr>
            <w:r>
              <w:rPr>
                <w:rFonts w:ascii="Arial" w:cs="Arial" w:eastAsia="Arial" w:hAnsi="Arial"/>
                <w:sz w:val="16"/>
                <w:szCs w:val="16"/>
                <w:b w:val="1"/>
                <w:bCs w:val="1"/>
                <w:color w:val="auto"/>
              </w:rPr>
              <w:t>409,055</w:t>
            </w:r>
          </w:p>
        </w:tc>
        <w:tc>
          <w:tcPr>
            <w:tcW w:w="340" w:type="dxa"/>
            <w:vAlign w:val="bottom"/>
          </w:tcPr>
          <w:p>
            <w:pPr>
              <w:spacing w:after="0"/>
              <w:rPr>
                <w:sz w:val="16"/>
                <w:szCs w:val="16"/>
                <w:color w:val="auto"/>
              </w:rPr>
            </w:pPr>
          </w:p>
        </w:tc>
        <w:tc>
          <w:tcPr>
            <w:tcW w:w="1380" w:type="dxa"/>
            <w:vAlign w:val="bottom"/>
          </w:tcPr>
          <w:p>
            <w:pPr>
              <w:jc w:val="right"/>
              <w:ind w:right="62"/>
              <w:spacing w:after="0"/>
              <w:rPr>
                <w:sz w:val="20"/>
                <w:szCs w:val="20"/>
                <w:color w:val="auto"/>
              </w:rPr>
            </w:pPr>
            <w:r>
              <w:rPr>
                <w:rFonts w:ascii="Arial" w:cs="Arial" w:eastAsia="Arial" w:hAnsi="Arial"/>
                <w:sz w:val="16"/>
                <w:szCs w:val="16"/>
                <w:b w:val="1"/>
                <w:bCs w:val="1"/>
                <w:color w:val="auto"/>
              </w:rPr>
              <w:t>152,187</w:t>
            </w:r>
          </w:p>
        </w:tc>
        <w:tc>
          <w:tcPr>
            <w:tcW w:w="320" w:type="dxa"/>
            <w:vAlign w:val="bottom"/>
          </w:tcPr>
          <w:p>
            <w:pPr>
              <w:spacing w:after="0"/>
              <w:rPr>
                <w:sz w:val="16"/>
                <w:szCs w:val="16"/>
                <w:color w:val="auto"/>
              </w:rPr>
            </w:pPr>
          </w:p>
        </w:tc>
        <w:tc>
          <w:tcPr>
            <w:tcW w:w="1380" w:type="dxa"/>
            <w:vAlign w:val="bottom"/>
          </w:tcPr>
          <w:p>
            <w:pPr>
              <w:jc w:val="right"/>
              <w:ind w:right="62"/>
              <w:spacing w:after="0"/>
              <w:rPr>
                <w:sz w:val="20"/>
                <w:szCs w:val="20"/>
                <w:color w:val="auto"/>
              </w:rPr>
            </w:pPr>
            <w:r>
              <w:rPr>
                <w:rFonts w:ascii="Arial" w:cs="Arial" w:eastAsia="Arial" w:hAnsi="Arial"/>
                <w:sz w:val="16"/>
                <w:szCs w:val="16"/>
                <w:b w:val="1"/>
                <w:bCs w:val="1"/>
                <w:color w:val="auto"/>
              </w:rPr>
              <w:t>503,799</w:t>
            </w:r>
          </w:p>
        </w:tc>
        <w:tc>
          <w:tcPr>
            <w:tcW w:w="4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1,065,041</w:t>
            </w:r>
          </w:p>
        </w:tc>
      </w:tr>
      <w:tr>
        <w:trPr>
          <w:trHeight w:val="207"/>
        </w:trPr>
        <w:tc>
          <w:tcPr>
            <w:tcW w:w="4580" w:type="dxa"/>
            <w:vAlign w:val="bottom"/>
          </w:tcPr>
          <w:p>
            <w:pPr>
              <w:ind w:left="240"/>
              <w:spacing w:after="0"/>
              <w:rPr>
                <w:sz w:val="20"/>
                <w:szCs w:val="20"/>
                <w:color w:val="auto"/>
              </w:rPr>
            </w:pPr>
            <w:r>
              <w:rPr>
                <w:rFonts w:ascii="Arial" w:cs="Arial" w:eastAsia="Arial" w:hAnsi="Arial"/>
                <w:sz w:val="16"/>
                <w:szCs w:val="16"/>
                <w:b w:val="1"/>
                <w:bCs w:val="1"/>
                <w:color w:val="auto"/>
              </w:rPr>
              <w:t>Accumulated impairment losses</w:t>
            </w: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(102,259)</w:t>
            </w:r>
          </w:p>
        </w:tc>
        <w:tc>
          <w:tcPr>
            <w:tcW w:w="3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w:t>
            </w:r>
          </w:p>
        </w:tc>
        <w:tc>
          <w:tcPr>
            <w:tcW w:w="4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(102,259)</w:t>
            </w:r>
          </w:p>
        </w:tc>
      </w:tr>
      <w:tr>
        <w:trPr>
          <w:trHeight w:val="183"/>
        </w:trPr>
        <w:tc>
          <w:tcPr>
            <w:tcW w:w="4580" w:type="dxa"/>
            <w:vAlign w:val="bottom"/>
          </w:tcPr>
          <w:p>
            <w:pPr>
              <w:spacing w:after="0"/>
              <w:rPr>
                <w:sz w:val="15"/>
                <w:szCs w:val="15"/>
                <w:color w:val="auto"/>
              </w:rPr>
            </w:pPr>
          </w:p>
        </w:tc>
        <w:tc>
          <w:tcPr>
            <w:tcW w:w="28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b w:val="1"/>
                <w:bCs w:val="1"/>
                <w:color w:val="auto"/>
                <w:w w:val="89"/>
              </w:rPr>
              <w:t>$</w:t>
            </w:r>
          </w:p>
        </w:tc>
        <w:tc>
          <w:tcPr>
            <w:tcW w:w="1440" w:type="dxa"/>
            <w:vAlign w:val="bottom"/>
            <w:tcBorders>
              <w:bottom w:val="single" w:sz="8" w:color="auto"/>
            </w:tcBorders>
          </w:tcPr>
          <w:p>
            <w:pPr>
              <w:jc w:val="right"/>
              <w:ind w:right="82"/>
              <w:spacing w:after="0" w:line="183" w:lineRule="exact"/>
              <w:rPr>
                <w:sz w:val="20"/>
                <w:szCs w:val="20"/>
                <w:color w:val="auto"/>
              </w:rPr>
            </w:pPr>
            <w:r>
              <w:rPr>
                <w:rFonts w:ascii="Arial" w:cs="Arial" w:eastAsia="Arial" w:hAnsi="Arial"/>
                <w:sz w:val="16"/>
                <w:szCs w:val="16"/>
                <w:b w:val="1"/>
                <w:bCs w:val="1"/>
                <w:color w:val="auto"/>
              </w:rPr>
              <w:t>409,055</w:t>
            </w:r>
          </w:p>
        </w:tc>
        <w:tc>
          <w:tcPr>
            <w:tcW w:w="34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auto"/>
            </w:tcBorders>
          </w:tcPr>
          <w:p>
            <w:pPr>
              <w:jc w:val="right"/>
              <w:ind w:right="62"/>
              <w:spacing w:after="0" w:line="183" w:lineRule="exact"/>
              <w:rPr>
                <w:sz w:val="20"/>
                <w:szCs w:val="20"/>
                <w:color w:val="auto"/>
              </w:rPr>
            </w:pPr>
            <w:r>
              <w:rPr>
                <w:rFonts w:ascii="Arial" w:cs="Arial" w:eastAsia="Arial" w:hAnsi="Arial"/>
                <w:sz w:val="16"/>
                <w:szCs w:val="16"/>
                <w:b w:val="1"/>
                <w:bCs w:val="1"/>
                <w:color w:val="auto"/>
              </w:rPr>
              <w:t>49,928</w:t>
            </w:r>
          </w:p>
        </w:tc>
        <w:tc>
          <w:tcPr>
            <w:tcW w:w="3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auto"/>
            </w:tcBorders>
          </w:tcPr>
          <w:p>
            <w:pPr>
              <w:jc w:val="right"/>
              <w:ind w:right="62"/>
              <w:spacing w:after="0" w:line="183" w:lineRule="exact"/>
              <w:rPr>
                <w:sz w:val="20"/>
                <w:szCs w:val="20"/>
                <w:color w:val="auto"/>
              </w:rPr>
            </w:pPr>
            <w:r>
              <w:rPr>
                <w:rFonts w:ascii="Arial" w:cs="Arial" w:eastAsia="Arial" w:hAnsi="Arial"/>
                <w:sz w:val="16"/>
                <w:szCs w:val="16"/>
                <w:b w:val="1"/>
                <w:bCs w:val="1"/>
                <w:color w:val="auto"/>
              </w:rPr>
              <w:t>503,799</w:t>
            </w:r>
          </w:p>
        </w:tc>
        <w:tc>
          <w:tcPr>
            <w:tcW w:w="440" w:type="dxa"/>
            <w:vAlign w:val="bottom"/>
            <w:tcBorders>
              <w:bottom w:val="single" w:sz="8" w:color="auto"/>
            </w:tcBorders>
          </w:tcPr>
          <w:p>
            <w:pPr>
              <w:jc w:val="right"/>
              <w:ind w:right="139"/>
              <w:spacing w:after="0" w:line="183" w:lineRule="exact"/>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962,782</w:t>
            </w:r>
          </w:p>
        </w:tc>
      </w:tr>
      <w:tr>
        <w:trPr>
          <w:trHeight w:val="20"/>
        </w:trPr>
        <w:tc>
          <w:tcPr>
            <w:tcW w:w="4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Other intangible assets consist of the following:</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0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As of June 30, 2013</w:t>
            </w: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4"/>
                <w:szCs w:val="14"/>
                <w:color w:val="auto"/>
              </w:rPr>
              <w:t>As of December 31, 2012</w:t>
            </w: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30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jc w:val="center"/>
              <w:ind w:right="122"/>
              <w:spacing w:after="0" w:line="125" w:lineRule="exact"/>
              <w:rPr>
                <w:sz w:val="20"/>
                <w:szCs w:val="20"/>
                <w:color w:val="auto"/>
              </w:rPr>
            </w:pPr>
            <w:r>
              <w:rPr>
                <w:rFonts w:ascii="Arial" w:cs="Arial" w:eastAsia="Arial" w:hAnsi="Arial"/>
                <w:sz w:val="14"/>
                <w:szCs w:val="14"/>
                <w:b w:val="1"/>
                <w:bCs w:val="1"/>
                <w:color w:val="auto"/>
                <w:w w:val="98"/>
              </w:rPr>
              <w:t>Gross</w:t>
            </w:r>
          </w:p>
        </w:tc>
        <w:tc>
          <w:tcPr>
            <w:tcW w:w="2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Pr>
          <w:p>
            <w:pPr>
              <w:jc w:val="center"/>
              <w:ind w:right="203"/>
              <w:spacing w:after="0" w:line="125" w:lineRule="exact"/>
              <w:rPr>
                <w:sz w:val="20"/>
                <w:szCs w:val="20"/>
                <w:color w:val="auto"/>
              </w:rPr>
            </w:pPr>
            <w:r>
              <w:rPr>
                <w:rFonts w:ascii="Arial" w:cs="Arial" w:eastAsia="Arial" w:hAnsi="Arial"/>
                <w:sz w:val="14"/>
                <w:szCs w:val="14"/>
                <w:b w:val="1"/>
                <w:bCs w:val="1"/>
                <w:color w:val="auto"/>
                <w:w w:val="97"/>
              </w:rPr>
              <w:t>Net</w:t>
            </w:r>
          </w:p>
        </w:tc>
        <w:tc>
          <w:tcPr>
            <w:tcW w:w="200" w:type="dxa"/>
            <w:vAlign w:val="bottom"/>
          </w:tcPr>
          <w:p>
            <w:pPr>
              <w:spacing w:after="0"/>
              <w:rPr>
                <w:sz w:val="10"/>
                <w:szCs w:val="10"/>
                <w:color w:val="auto"/>
              </w:rPr>
            </w:pPr>
          </w:p>
        </w:tc>
        <w:tc>
          <w:tcPr>
            <w:tcW w:w="940" w:type="dxa"/>
            <w:vAlign w:val="bottom"/>
          </w:tcPr>
          <w:p>
            <w:pPr>
              <w:jc w:val="center"/>
              <w:ind w:right="143"/>
              <w:spacing w:after="0" w:line="125" w:lineRule="exact"/>
              <w:rPr>
                <w:sz w:val="20"/>
                <w:szCs w:val="20"/>
                <w:color w:val="auto"/>
              </w:rPr>
            </w:pPr>
            <w:r>
              <w:rPr>
                <w:rFonts w:ascii="Arial" w:cs="Arial" w:eastAsia="Arial" w:hAnsi="Arial"/>
                <w:sz w:val="14"/>
                <w:szCs w:val="14"/>
                <w:color w:val="auto"/>
                <w:w w:val="96"/>
              </w:rPr>
              <w:t>Gross</w:t>
            </w:r>
          </w:p>
        </w:tc>
        <w:tc>
          <w:tcPr>
            <w:tcW w:w="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jc w:val="center"/>
              <w:ind w:right="103"/>
              <w:spacing w:after="0" w:line="125" w:lineRule="exact"/>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49"/>
        </w:trPr>
        <w:tc>
          <w:tcPr>
            <w:tcW w:w="3020" w:type="dxa"/>
            <w:vAlign w:val="bottom"/>
          </w:tcPr>
          <w:p>
            <w:pPr>
              <w:spacing w:after="0"/>
              <w:rPr>
                <w:sz w:val="12"/>
                <w:szCs w:val="12"/>
                <w:color w:val="auto"/>
              </w:rPr>
            </w:pPr>
          </w:p>
        </w:tc>
        <w:tc>
          <w:tcPr>
            <w:tcW w:w="1420" w:type="dxa"/>
            <w:vAlign w:val="bottom"/>
            <w:gridSpan w:val="2"/>
          </w:tcPr>
          <w:p>
            <w:pPr>
              <w:jc w:val="center"/>
              <w:ind w:right="39"/>
              <w:spacing w:after="0" w:line="149" w:lineRule="exact"/>
              <w:rPr>
                <w:sz w:val="20"/>
                <w:szCs w:val="20"/>
                <w:color w:val="auto"/>
              </w:rPr>
            </w:pPr>
            <w:r>
              <w:rPr>
                <w:rFonts w:ascii="Arial" w:cs="Arial" w:eastAsia="Arial" w:hAnsi="Arial"/>
                <w:sz w:val="14"/>
                <w:szCs w:val="14"/>
                <w:b w:val="1"/>
                <w:bCs w:val="1"/>
                <w:color w:val="auto"/>
                <w:w w:val="97"/>
              </w:rPr>
              <w:t>Useful Life</w:t>
            </w:r>
          </w:p>
        </w:tc>
        <w:tc>
          <w:tcPr>
            <w:tcW w:w="960" w:type="dxa"/>
            <w:vAlign w:val="bottom"/>
          </w:tcPr>
          <w:p>
            <w:pPr>
              <w:jc w:val="center"/>
              <w:ind w:right="122"/>
              <w:spacing w:after="0" w:line="149" w:lineRule="exact"/>
              <w:rPr>
                <w:sz w:val="20"/>
                <w:szCs w:val="20"/>
                <w:color w:val="auto"/>
              </w:rPr>
            </w:pPr>
            <w:r>
              <w:rPr>
                <w:rFonts w:ascii="Arial" w:cs="Arial" w:eastAsia="Arial" w:hAnsi="Arial"/>
                <w:sz w:val="14"/>
                <w:szCs w:val="14"/>
                <w:b w:val="1"/>
                <w:bCs w:val="1"/>
                <w:color w:val="auto"/>
                <w:w w:val="97"/>
              </w:rPr>
              <w:t>Carrying</w:t>
            </w:r>
          </w:p>
        </w:tc>
        <w:tc>
          <w:tcPr>
            <w:tcW w:w="240" w:type="dxa"/>
            <w:vAlign w:val="bottom"/>
          </w:tcPr>
          <w:p>
            <w:pPr>
              <w:spacing w:after="0"/>
              <w:rPr>
                <w:sz w:val="12"/>
                <w:szCs w:val="12"/>
                <w:color w:val="auto"/>
              </w:rPr>
            </w:pPr>
          </w:p>
        </w:tc>
        <w:tc>
          <w:tcPr>
            <w:tcW w:w="1080" w:type="dxa"/>
            <w:vAlign w:val="bottom"/>
          </w:tcPr>
          <w:p>
            <w:pPr>
              <w:jc w:val="right"/>
              <w:ind w:right="122"/>
              <w:spacing w:after="0" w:line="149" w:lineRule="exact"/>
              <w:rPr>
                <w:sz w:val="20"/>
                <w:szCs w:val="20"/>
                <w:color w:val="auto"/>
              </w:rPr>
            </w:pPr>
            <w:r>
              <w:rPr>
                <w:rFonts w:ascii="Arial" w:cs="Arial" w:eastAsia="Arial" w:hAnsi="Arial"/>
                <w:sz w:val="14"/>
                <w:szCs w:val="14"/>
                <w:b w:val="1"/>
                <w:bCs w:val="1"/>
                <w:color w:val="auto"/>
                <w:w w:val="97"/>
              </w:rPr>
              <w:t>Accumulated</w:t>
            </w:r>
          </w:p>
        </w:tc>
        <w:tc>
          <w:tcPr>
            <w:tcW w:w="240" w:type="dxa"/>
            <w:vAlign w:val="bottom"/>
          </w:tcPr>
          <w:p>
            <w:pPr>
              <w:spacing w:after="0"/>
              <w:rPr>
                <w:sz w:val="12"/>
                <w:szCs w:val="12"/>
                <w:color w:val="auto"/>
              </w:rPr>
            </w:pPr>
          </w:p>
        </w:tc>
        <w:tc>
          <w:tcPr>
            <w:tcW w:w="980" w:type="dxa"/>
            <w:vAlign w:val="bottom"/>
          </w:tcPr>
          <w:p>
            <w:pPr>
              <w:jc w:val="center"/>
              <w:ind w:right="203"/>
              <w:spacing w:after="0" w:line="149" w:lineRule="exact"/>
              <w:rPr>
                <w:sz w:val="20"/>
                <w:szCs w:val="20"/>
                <w:color w:val="auto"/>
              </w:rPr>
            </w:pPr>
            <w:r>
              <w:rPr>
                <w:rFonts w:ascii="Arial" w:cs="Arial" w:eastAsia="Arial" w:hAnsi="Arial"/>
                <w:sz w:val="14"/>
                <w:szCs w:val="14"/>
                <w:b w:val="1"/>
                <w:bCs w:val="1"/>
                <w:color w:val="auto"/>
                <w:w w:val="93"/>
              </w:rPr>
              <w:t>Carrying</w:t>
            </w:r>
          </w:p>
        </w:tc>
        <w:tc>
          <w:tcPr>
            <w:tcW w:w="200" w:type="dxa"/>
            <w:vAlign w:val="bottom"/>
          </w:tcPr>
          <w:p>
            <w:pPr>
              <w:spacing w:after="0"/>
              <w:rPr>
                <w:sz w:val="12"/>
                <w:szCs w:val="12"/>
                <w:color w:val="auto"/>
              </w:rPr>
            </w:pPr>
          </w:p>
        </w:tc>
        <w:tc>
          <w:tcPr>
            <w:tcW w:w="940" w:type="dxa"/>
            <w:vAlign w:val="bottom"/>
          </w:tcPr>
          <w:p>
            <w:pPr>
              <w:jc w:val="center"/>
              <w:ind w:right="123"/>
              <w:spacing w:after="0" w:line="149" w:lineRule="exact"/>
              <w:rPr>
                <w:sz w:val="20"/>
                <w:szCs w:val="20"/>
                <w:color w:val="auto"/>
              </w:rPr>
            </w:pPr>
            <w:r>
              <w:rPr>
                <w:rFonts w:ascii="Arial" w:cs="Arial" w:eastAsia="Arial" w:hAnsi="Arial"/>
                <w:sz w:val="14"/>
                <w:szCs w:val="14"/>
                <w:color w:val="auto"/>
                <w:w w:val="94"/>
              </w:rPr>
              <w:t>Carrying</w:t>
            </w:r>
          </w:p>
        </w:tc>
        <w:tc>
          <w:tcPr>
            <w:tcW w:w="220" w:type="dxa"/>
            <w:vAlign w:val="bottom"/>
          </w:tcPr>
          <w:p>
            <w:pPr>
              <w:spacing w:after="0"/>
              <w:rPr>
                <w:sz w:val="12"/>
                <w:szCs w:val="12"/>
                <w:color w:val="auto"/>
              </w:rPr>
            </w:pPr>
          </w:p>
        </w:tc>
        <w:tc>
          <w:tcPr>
            <w:tcW w:w="1040" w:type="dxa"/>
            <w:vAlign w:val="bottom"/>
          </w:tcPr>
          <w:p>
            <w:pPr>
              <w:jc w:val="right"/>
              <w:ind w:right="142"/>
              <w:spacing w:after="0" w:line="149" w:lineRule="exact"/>
              <w:rPr>
                <w:sz w:val="20"/>
                <w:szCs w:val="20"/>
                <w:color w:val="auto"/>
              </w:rPr>
            </w:pPr>
            <w:r>
              <w:rPr>
                <w:rFonts w:ascii="Arial" w:cs="Arial" w:eastAsia="Arial" w:hAnsi="Arial"/>
                <w:sz w:val="14"/>
                <w:szCs w:val="14"/>
                <w:color w:val="auto"/>
                <w:w w:val="98"/>
              </w:rPr>
              <w:t>Accumulated</w:t>
            </w:r>
          </w:p>
        </w:tc>
        <w:tc>
          <w:tcPr>
            <w:tcW w:w="240" w:type="dxa"/>
            <w:vAlign w:val="bottom"/>
          </w:tcPr>
          <w:p>
            <w:pPr>
              <w:spacing w:after="0"/>
              <w:rPr>
                <w:sz w:val="12"/>
                <w:szCs w:val="12"/>
                <w:color w:val="auto"/>
              </w:rPr>
            </w:pPr>
          </w:p>
        </w:tc>
        <w:tc>
          <w:tcPr>
            <w:tcW w:w="840" w:type="dxa"/>
            <w:vAlign w:val="bottom"/>
          </w:tcPr>
          <w:p>
            <w:pPr>
              <w:jc w:val="center"/>
              <w:ind w:right="103"/>
              <w:spacing w:after="0" w:line="149" w:lineRule="exact"/>
              <w:rPr>
                <w:sz w:val="20"/>
                <w:szCs w:val="20"/>
                <w:color w:val="auto"/>
              </w:rPr>
            </w:pPr>
            <w:r>
              <w:rPr>
                <w:rFonts w:ascii="Arial" w:cs="Arial" w:eastAsia="Arial" w:hAnsi="Arial"/>
                <w:sz w:val="14"/>
                <w:szCs w:val="14"/>
                <w:color w:val="auto"/>
                <w:w w:val="94"/>
              </w:rPr>
              <w:t>Carrying</w:t>
            </w:r>
          </w:p>
        </w:tc>
        <w:tc>
          <w:tcPr>
            <w:tcW w:w="0" w:type="dxa"/>
            <w:vAlign w:val="bottom"/>
          </w:tcPr>
          <w:p>
            <w:pPr>
              <w:spacing w:after="0"/>
              <w:rPr>
                <w:sz w:val="1"/>
                <w:szCs w:val="1"/>
                <w:color w:val="auto"/>
              </w:rPr>
            </w:pPr>
          </w:p>
        </w:tc>
      </w:tr>
      <w:tr>
        <w:trPr>
          <w:trHeight w:val="165"/>
        </w:trPr>
        <w:tc>
          <w:tcPr>
            <w:tcW w:w="30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thousands)</w:t>
            </w:r>
          </w:p>
        </w:tc>
        <w:tc>
          <w:tcPr>
            <w:tcW w:w="1420" w:type="dxa"/>
            <w:vAlign w:val="bottom"/>
            <w:tcBorders>
              <w:bottom w:val="single" w:sz="8" w:color="auto"/>
            </w:tcBorders>
            <w:gridSpan w:val="2"/>
          </w:tcPr>
          <w:p>
            <w:pPr>
              <w:jc w:val="center"/>
              <w:ind w:right="39"/>
              <w:spacing w:after="0"/>
              <w:rPr>
                <w:sz w:val="20"/>
                <w:szCs w:val="20"/>
                <w:color w:val="auto"/>
              </w:rPr>
            </w:pPr>
            <w:r>
              <w:rPr>
                <w:rFonts w:ascii="Arial" w:cs="Arial" w:eastAsia="Arial" w:hAnsi="Arial"/>
                <w:sz w:val="14"/>
                <w:szCs w:val="14"/>
                <w:b w:val="1"/>
                <w:bCs w:val="1"/>
                <w:color w:val="auto"/>
                <w:w w:val="98"/>
              </w:rPr>
              <w:t>Range</w:t>
            </w:r>
          </w:p>
        </w:tc>
        <w:tc>
          <w:tcPr>
            <w:tcW w:w="96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98"/>
              </w:rPr>
              <w:t>Amount</w:t>
            </w: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w w:val="98"/>
              </w:rPr>
              <w:t>Amortization</w:t>
            </w: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203"/>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color w:val="auto"/>
                <w:w w:val="95"/>
              </w:rPr>
              <w:t>Amount</w:t>
            </w: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color w:val="auto"/>
              </w:rPr>
              <w:t>Amortization</w:t>
            </w: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color w:val="auto"/>
                <w:w w:val="95"/>
              </w:rPr>
              <w:t>Amount</w:t>
            </w:r>
          </w:p>
        </w:tc>
        <w:tc>
          <w:tcPr>
            <w:tcW w:w="0" w:type="dxa"/>
            <w:vAlign w:val="bottom"/>
          </w:tcPr>
          <w:p>
            <w:pPr>
              <w:spacing w:after="0"/>
              <w:rPr>
                <w:sz w:val="1"/>
                <w:szCs w:val="1"/>
                <w:color w:val="auto"/>
              </w:rPr>
            </w:pPr>
          </w:p>
        </w:tc>
      </w:tr>
      <w:tr>
        <w:trPr>
          <w:trHeight w:val="184"/>
        </w:trPr>
        <w:tc>
          <w:tcPr>
            <w:tcW w:w="3020" w:type="dxa"/>
            <w:vAlign w:val="bottom"/>
          </w:tcPr>
          <w:p>
            <w:pPr>
              <w:spacing w:after="0"/>
              <w:rPr>
                <w:sz w:val="20"/>
                <w:szCs w:val="20"/>
                <w:color w:val="auto"/>
              </w:rPr>
            </w:pPr>
            <w:r>
              <w:rPr>
                <w:rFonts w:ascii="Arial" w:cs="Arial" w:eastAsia="Arial" w:hAnsi="Arial"/>
                <w:sz w:val="16"/>
                <w:szCs w:val="16"/>
                <w:b w:val="1"/>
                <w:bCs w:val="1"/>
                <w:color w:val="auto"/>
              </w:rPr>
              <w:t>Amortized Intangible Assets</w:t>
            </w:r>
          </w:p>
        </w:tc>
        <w:tc>
          <w:tcPr>
            <w:tcW w:w="1420" w:type="dxa"/>
            <w:vAlign w:val="bottom"/>
            <w:gridSpan w:val="2"/>
            <w:vMerge w:val="restart"/>
          </w:tcPr>
          <w:p>
            <w:pPr>
              <w:jc w:val="right"/>
              <w:ind w:right="19"/>
              <w:spacing w:after="0"/>
              <w:rPr>
                <w:sz w:val="20"/>
                <w:szCs w:val="20"/>
                <w:color w:val="auto"/>
              </w:rPr>
            </w:pPr>
            <w:r>
              <w:rPr>
                <w:rFonts w:ascii="Arial" w:cs="Arial" w:eastAsia="Arial" w:hAnsi="Arial"/>
                <w:sz w:val="16"/>
                <w:szCs w:val="16"/>
                <w:b w:val="1"/>
                <w:bCs w:val="1"/>
                <w:color w:val="auto"/>
              </w:rPr>
              <w:t>2-5 years   $</w:t>
            </w:r>
          </w:p>
        </w:tc>
        <w:tc>
          <w:tcPr>
            <w:tcW w:w="9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13,850</w:t>
            </w:r>
          </w:p>
        </w:tc>
        <w:tc>
          <w:tcPr>
            <w:tcW w:w="2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vMerge w:val="restart"/>
          </w:tcPr>
          <w:p>
            <w:pPr>
              <w:jc w:val="right"/>
              <w:ind w:right="22"/>
              <w:spacing w:after="0"/>
              <w:rPr>
                <w:sz w:val="20"/>
                <w:szCs w:val="20"/>
                <w:color w:val="auto"/>
              </w:rPr>
            </w:pPr>
            <w:r>
              <w:rPr>
                <w:rFonts w:ascii="Arial" w:cs="Arial" w:eastAsia="Arial" w:hAnsi="Arial"/>
                <w:sz w:val="16"/>
                <w:szCs w:val="16"/>
                <w:b w:val="1"/>
                <w:bCs w:val="1"/>
                <w:color w:val="auto"/>
              </w:rPr>
              <w:t>12,790</w:t>
            </w:r>
          </w:p>
        </w:tc>
        <w:tc>
          <w:tcPr>
            <w:tcW w:w="2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vMerge w:val="restart"/>
          </w:tcPr>
          <w:p>
            <w:pPr>
              <w:jc w:val="right"/>
              <w:ind w:right="83"/>
              <w:spacing w:after="0"/>
              <w:rPr>
                <w:sz w:val="20"/>
                <w:szCs w:val="20"/>
                <w:color w:val="auto"/>
              </w:rPr>
            </w:pPr>
            <w:r>
              <w:rPr>
                <w:rFonts w:ascii="Arial" w:cs="Arial" w:eastAsia="Arial" w:hAnsi="Arial"/>
                <w:sz w:val="16"/>
                <w:szCs w:val="16"/>
                <w:b w:val="1"/>
                <w:bCs w:val="1"/>
                <w:color w:val="auto"/>
              </w:rPr>
              <w:t>1,060</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020" w:type="dxa"/>
            <w:vAlign w:val="bottom"/>
          </w:tcPr>
          <w:p>
            <w:pPr>
              <w:ind w:left="240"/>
              <w:spacing w:after="0" w:line="169" w:lineRule="exact"/>
              <w:rPr>
                <w:sz w:val="20"/>
                <w:szCs w:val="20"/>
                <w:color w:val="auto"/>
              </w:rPr>
            </w:pPr>
            <w:r>
              <w:rPr>
                <w:rFonts w:ascii="Arial" w:cs="Arial" w:eastAsia="Arial" w:hAnsi="Arial"/>
                <w:sz w:val="16"/>
                <w:szCs w:val="16"/>
                <w:color w:val="auto"/>
              </w:rPr>
              <w:t>Non-compete agreements</w:t>
            </w:r>
          </w:p>
        </w:tc>
        <w:tc>
          <w:tcPr>
            <w:tcW w:w="142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200" w:type="dxa"/>
            <w:vAlign w:val="bottom"/>
          </w:tcPr>
          <w:p>
            <w:pPr>
              <w:jc w:val="right"/>
              <w:ind w:right="19"/>
              <w:spacing w:after="0" w:line="169" w:lineRule="exact"/>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line="169" w:lineRule="exact"/>
              <w:rPr>
                <w:sz w:val="20"/>
                <w:szCs w:val="20"/>
                <w:color w:val="auto"/>
              </w:rPr>
            </w:pPr>
            <w:r>
              <w:rPr>
                <w:rFonts w:ascii="Arial" w:cs="Arial" w:eastAsia="Arial" w:hAnsi="Arial"/>
                <w:sz w:val="16"/>
                <w:szCs w:val="16"/>
                <w:color w:val="auto"/>
              </w:rPr>
              <w:t>14,008</w:t>
            </w:r>
          </w:p>
        </w:tc>
        <w:tc>
          <w:tcPr>
            <w:tcW w:w="220" w:type="dxa"/>
            <w:vAlign w:val="bottom"/>
          </w:tcPr>
          <w:p>
            <w:pPr>
              <w:jc w:val="right"/>
              <w:spacing w:after="0" w:line="169" w:lineRule="exact"/>
              <w:rPr>
                <w:sz w:val="20"/>
                <w:szCs w:val="20"/>
                <w:color w:val="auto"/>
              </w:rPr>
            </w:pPr>
            <w:r>
              <w:rPr>
                <w:rFonts w:ascii="Arial" w:cs="Arial" w:eastAsia="Arial" w:hAnsi="Arial"/>
                <w:sz w:val="16"/>
                <w:szCs w:val="16"/>
                <w:color w:val="auto"/>
              </w:rPr>
              <w:t>$</w:t>
            </w:r>
          </w:p>
        </w:tc>
        <w:tc>
          <w:tcPr>
            <w:tcW w:w="1040" w:type="dxa"/>
            <w:vAlign w:val="bottom"/>
          </w:tcPr>
          <w:p>
            <w:pPr>
              <w:jc w:val="right"/>
              <w:ind w:right="2"/>
              <w:spacing w:after="0" w:line="169" w:lineRule="exact"/>
              <w:rPr>
                <w:sz w:val="20"/>
                <w:szCs w:val="20"/>
                <w:color w:val="auto"/>
              </w:rPr>
            </w:pPr>
            <w:r>
              <w:rPr>
                <w:rFonts w:ascii="Arial" w:cs="Arial" w:eastAsia="Arial" w:hAnsi="Arial"/>
                <w:sz w:val="16"/>
                <w:szCs w:val="16"/>
                <w:color w:val="auto"/>
              </w:rPr>
              <w:t>12,546</w:t>
            </w:r>
          </w:p>
        </w:tc>
        <w:tc>
          <w:tcPr>
            <w:tcW w:w="240" w:type="dxa"/>
            <w:vAlign w:val="bottom"/>
          </w:tcPr>
          <w:p>
            <w:pPr>
              <w:jc w:val="right"/>
              <w:spacing w:after="0" w:line="169" w:lineRule="exact"/>
              <w:rPr>
                <w:sz w:val="20"/>
                <w:szCs w:val="20"/>
                <w:color w:val="auto"/>
              </w:rPr>
            </w:pPr>
            <w:r>
              <w:rPr>
                <w:rFonts w:ascii="Arial" w:cs="Arial" w:eastAsia="Arial" w:hAnsi="Arial"/>
                <w:sz w:val="16"/>
                <w:szCs w:val="16"/>
                <w:color w:val="auto"/>
              </w:rPr>
              <w:t>$</w:t>
            </w:r>
          </w:p>
        </w:tc>
        <w:tc>
          <w:tcPr>
            <w:tcW w:w="840" w:type="dxa"/>
            <w:vAlign w:val="bottom"/>
          </w:tcPr>
          <w:p>
            <w:pPr>
              <w:jc w:val="right"/>
              <w:spacing w:after="0" w:line="169" w:lineRule="exact"/>
              <w:rPr>
                <w:sz w:val="20"/>
                <w:szCs w:val="20"/>
                <w:color w:val="auto"/>
              </w:rPr>
            </w:pPr>
            <w:r>
              <w:rPr>
                <w:rFonts w:ascii="Arial" w:cs="Arial" w:eastAsia="Arial" w:hAnsi="Arial"/>
                <w:sz w:val="16"/>
                <w:szCs w:val="16"/>
                <w:color w:val="auto"/>
              </w:rPr>
              <w:t>1,462</w:t>
            </w:r>
          </w:p>
        </w:tc>
        <w:tc>
          <w:tcPr>
            <w:tcW w:w="0" w:type="dxa"/>
            <w:vAlign w:val="bottom"/>
          </w:tcPr>
          <w:p>
            <w:pPr>
              <w:spacing w:after="0"/>
              <w:rPr>
                <w:sz w:val="1"/>
                <w:szCs w:val="1"/>
                <w:color w:val="auto"/>
              </w:rPr>
            </w:pPr>
          </w:p>
        </w:tc>
      </w:tr>
      <w:tr>
        <w:trPr>
          <w:trHeight w:val="189"/>
        </w:trPr>
        <w:tc>
          <w:tcPr>
            <w:tcW w:w="3020" w:type="dxa"/>
            <w:vAlign w:val="bottom"/>
          </w:tcPr>
          <w:p>
            <w:pPr>
              <w:ind w:left="240"/>
              <w:spacing w:after="0"/>
              <w:rPr>
                <w:sz w:val="20"/>
                <w:szCs w:val="20"/>
                <w:color w:val="auto"/>
              </w:rPr>
            </w:pPr>
            <w:r>
              <w:rPr>
                <w:rFonts w:ascii="Arial" w:cs="Arial" w:eastAsia="Arial" w:hAnsi="Arial"/>
                <w:sz w:val="16"/>
                <w:szCs w:val="16"/>
                <w:color w:val="auto"/>
              </w:rPr>
              <w:t>Student and customer relationships</w:t>
            </w:r>
          </w:p>
        </w:tc>
        <w:tc>
          <w:tcPr>
            <w:tcW w:w="1420" w:type="dxa"/>
            <w:vAlign w:val="bottom"/>
            <w:gridSpan w:val="2"/>
          </w:tcPr>
          <w:p>
            <w:pPr>
              <w:jc w:val="center"/>
              <w:ind w:right="39"/>
              <w:spacing w:after="0"/>
              <w:rPr>
                <w:sz w:val="20"/>
                <w:szCs w:val="20"/>
                <w:color w:val="auto"/>
              </w:rPr>
            </w:pPr>
            <w:r>
              <w:rPr>
                <w:rFonts w:ascii="Arial" w:cs="Arial" w:eastAsia="Arial" w:hAnsi="Arial"/>
                <w:sz w:val="16"/>
                <w:szCs w:val="16"/>
                <w:b w:val="1"/>
                <w:bCs w:val="1"/>
                <w:color w:val="auto"/>
                <w:w w:val="99"/>
              </w:rPr>
              <w:t>2-10 years</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71,946</w:t>
            </w:r>
          </w:p>
        </w:tc>
        <w:tc>
          <w:tcPr>
            <w:tcW w:w="240" w:type="dxa"/>
            <w:vAlign w:val="bottom"/>
          </w:tcPr>
          <w:p>
            <w:pPr>
              <w:spacing w:after="0"/>
              <w:rPr>
                <w:sz w:val="16"/>
                <w:szCs w:val="16"/>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b w:val="1"/>
                <w:bCs w:val="1"/>
                <w:color w:val="auto"/>
              </w:rPr>
              <w:t>43,314</w:t>
            </w:r>
          </w:p>
        </w:tc>
        <w:tc>
          <w:tcPr>
            <w:tcW w:w="240" w:type="dxa"/>
            <w:vAlign w:val="bottom"/>
          </w:tcPr>
          <w:p>
            <w:pPr>
              <w:spacing w:after="0"/>
              <w:rPr>
                <w:sz w:val="16"/>
                <w:szCs w:val="16"/>
                <w:color w:val="auto"/>
              </w:rPr>
            </w:pPr>
          </w:p>
        </w:tc>
        <w:tc>
          <w:tcPr>
            <w:tcW w:w="980" w:type="dxa"/>
            <w:vAlign w:val="bottom"/>
          </w:tcPr>
          <w:p>
            <w:pPr>
              <w:jc w:val="right"/>
              <w:ind w:right="83"/>
              <w:spacing w:after="0"/>
              <w:rPr>
                <w:sz w:val="20"/>
                <w:szCs w:val="20"/>
                <w:color w:val="auto"/>
              </w:rPr>
            </w:pPr>
            <w:r>
              <w:rPr>
                <w:rFonts w:ascii="Arial" w:cs="Arial" w:eastAsia="Arial" w:hAnsi="Arial"/>
                <w:sz w:val="16"/>
                <w:szCs w:val="16"/>
                <w:b w:val="1"/>
                <w:bCs w:val="1"/>
                <w:color w:val="auto"/>
              </w:rPr>
              <w:t>28,632</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73,693</w:t>
            </w:r>
          </w:p>
        </w:tc>
        <w:tc>
          <w:tcPr>
            <w:tcW w:w="220" w:type="dxa"/>
            <w:vAlign w:val="bottom"/>
          </w:tcPr>
          <w:p>
            <w:pPr>
              <w:spacing w:after="0"/>
              <w:rPr>
                <w:sz w:val="16"/>
                <w:szCs w:val="16"/>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40,787</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32,906</w:t>
            </w:r>
          </w:p>
        </w:tc>
        <w:tc>
          <w:tcPr>
            <w:tcW w:w="0" w:type="dxa"/>
            <w:vAlign w:val="bottom"/>
          </w:tcPr>
          <w:p>
            <w:pPr>
              <w:spacing w:after="0"/>
              <w:rPr>
                <w:sz w:val="1"/>
                <w:szCs w:val="1"/>
                <w:color w:val="auto"/>
              </w:rPr>
            </w:pPr>
          </w:p>
        </w:tc>
      </w:tr>
      <w:tr>
        <w:trPr>
          <w:trHeight w:val="189"/>
        </w:trPr>
        <w:tc>
          <w:tcPr>
            <w:tcW w:w="3020" w:type="dxa"/>
            <w:vAlign w:val="bottom"/>
          </w:tcPr>
          <w:p>
            <w:pPr>
              <w:ind w:left="240"/>
              <w:spacing w:after="0"/>
              <w:rPr>
                <w:sz w:val="20"/>
                <w:szCs w:val="20"/>
                <w:color w:val="auto"/>
              </w:rPr>
            </w:pPr>
            <w:r>
              <w:rPr>
                <w:rFonts w:ascii="Arial" w:cs="Arial" w:eastAsia="Arial" w:hAnsi="Arial"/>
                <w:sz w:val="16"/>
                <w:szCs w:val="16"/>
                <w:color w:val="auto"/>
              </w:rPr>
              <w:t>Databases and technology</w:t>
            </w:r>
          </w:p>
        </w:tc>
        <w:tc>
          <w:tcPr>
            <w:tcW w:w="1420" w:type="dxa"/>
            <w:vAlign w:val="bottom"/>
            <w:gridSpan w:val="2"/>
          </w:tcPr>
          <w:p>
            <w:pPr>
              <w:jc w:val="center"/>
              <w:ind w:right="39"/>
              <w:spacing w:after="0"/>
              <w:rPr>
                <w:sz w:val="20"/>
                <w:szCs w:val="20"/>
                <w:color w:val="auto"/>
              </w:rPr>
            </w:pPr>
            <w:r>
              <w:rPr>
                <w:rFonts w:ascii="Arial" w:cs="Arial" w:eastAsia="Arial" w:hAnsi="Arial"/>
                <w:sz w:val="16"/>
                <w:szCs w:val="16"/>
                <w:b w:val="1"/>
                <w:bCs w:val="1"/>
                <w:color w:val="auto"/>
              </w:rPr>
              <w:t>3-5 years</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6,457</w:t>
            </w:r>
          </w:p>
        </w:tc>
        <w:tc>
          <w:tcPr>
            <w:tcW w:w="240" w:type="dxa"/>
            <w:vAlign w:val="bottom"/>
          </w:tcPr>
          <w:p>
            <w:pPr>
              <w:spacing w:after="0"/>
              <w:rPr>
                <w:sz w:val="16"/>
                <w:szCs w:val="16"/>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b w:val="1"/>
                <w:bCs w:val="1"/>
                <w:color w:val="auto"/>
              </w:rPr>
              <w:t>6,457</w:t>
            </w:r>
          </w:p>
        </w:tc>
        <w:tc>
          <w:tcPr>
            <w:tcW w:w="240" w:type="dxa"/>
            <w:vAlign w:val="bottom"/>
          </w:tcPr>
          <w:p>
            <w:pPr>
              <w:spacing w:after="0"/>
              <w:rPr>
                <w:sz w:val="16"/>
                <w:szCs w:val="16"/>
                <w:color w:val="auto"/>
              </w:rPr>
            </w:pPr>
          </w:p>
        </w:tc>
        <w:tc>
          <w:tcPr>
            <w:tcW w:w="980" w:type="dxa"/>
            <w:vAlign w:val="bottom"/>
          </w:tcPr>
          <w:p>
            <w:pPr>
              <w:jc w:val="right"/>
              <w:ind w:right="83"/>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6,457</w:t>
            </w:r>
          </w:p>
        </w:tc>
        <w:tc>
          <w:tcPr>
            <w:tcW w:w="220" w:type="dxa"/>
            <w:vAlign w:val="bottom"/>
          </w:tcPr>
          <w:p>
            <w:pPr>
              <w:spacing w:after="0"/>
              <w:rPr>
                <w:sz w:val="16"/>
                <w:szCs w:val="16"/>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5,707</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750</w:t>
            </w:r>
          </w:p>
        </w:tc>
        <w:tc>
          <w:tcPr>
            <w:tcW w:w="0" w:type="dxa"/>
            <w:vAlign w:val="bottom"/>
          </w:tcPr>
          <w:p>
            <w:pPr>
              <w:spacing w:after="0"/>
              <w:rPr>
                <w:sz w:val="1"/>
                <w:szCs w:val="1"/>
                <w:color w:val="auto"/>
              </w:rPr>
            </w:pPr>
          </w:p>
        </w:tc>
      </w:tr>
      <w:tr>
        <w:trPr>
          <w:trHeight w:val="189"/>
        </w:trPr>
        <w:tc>
          <w:tcPr>
            <w:tcW w:w="3020" w:type="dxa"/>
            <w:vAlign w:val="bottom"/>
          </w:tcPr>
          <w:p>
            <w:pPr>
              <w:ind w:left="240"/>
              <w:spacing w:after="0"/>
              <w:rPr>
                <w:sz w:val="20"/>
                <w:szCs w:val="20"/>
                <w:color w:val="auto"/>
              </w:rPr>
            </w:pPr>
            <w:r>
              <w:rPr>
                <w:rFonts w:ascii="Arial" w:cs="Arial" w:eastAsia="Arial" w:hAnsi="Arial"/>
                <w:sz w:val="16"/>
                <w:szCs w:val="16"/>
                <w:color w:val="auto"/>
              </w:rPr>
              <w:t>Trade names and trademarks</w:t>
            </w:r>
          </w:p>
        </w:tc>
        <w:tc>
          <w:tcPr>
            <w:tcW w:w="1420" w:type="dxa"/>
            <w:vAlign w:val="bottom"/>
            <w:gridSpan w:val="2"/>
          </w:tcPr>
          <w:p>
            <w:pPr>
              <w:jc w:val="center"/>
              <w:ind w:right="39"/>
              <w:spacing w:after="0"/>
              <w:rPr>
                <w:sz w:val="20"/>
                <w:szCs w:val="20"/>
                <w:color w:val="auto"/>
              </w:rPr>
            </w:pPr>
            <w:r>
              <w:rPr>
                <w:rFonts w:ascii="Arial" w:cs="Arial" w:eastAsia="Arial" w:hAnsi="Arial"/>
                <w:sz w:val="16"/>
                <w:szCs w:val="16"/>
                <w:b w:val="1"/>
                <w:bCs w:val="1"/>
                <w:color w:val="auto"/>
                <w:w w:val="99"/>
              </w:rPr>
              <w:t>2-10 years</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25,945</w:t>
            </w:r>
          </w:p>
        </w:tc>
        <w:tc>
          <w:tcPr>
            <w:tcW w:w="240" w:type="dxa"/>
            <w:vAlign w:val="bottom"/>
          </w:tcPr>
          <w:p>
            <w:pPr>
              <w:spacing w:after="0"/>
              <w:rPr>
                <w:sz w:val="16"/>
                <w:szCs w:val="16"/>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b w:val="1"/>
                <w:bCs w:val="1"/>
                <w:color w:val="auto"/>
              </w:rPr>
              <w:t>18,433</w:t>
            </w:r>
          </w:p>
        </w:tc>
        <w:tc>
          <w:tcPr>
            <w:tcW w:w="240" w:type="dxa"/>
            <w:vAlign w:val="bottom"/>
          </w:tcPr>
          <w:p>
            <w:pPr>
              <w:spacing w:after="0"/>
              <w:rPr>
                <w:sz w:val="16"/>
                <w:szCs w:val="16"/>
                <w:color w:val="auto"/>
              </w:rPr>
            </w:pPr>
          </w:p>
        </w:tc>
        <w:tc>
          <w:tcPr>
            <w:tcW w:w="980" w:type="dxa"/>
            <w:vAlign w:val="bottom"/>
          </w:tcPr>
          <w:p>
            <w:pPr>
              <w:jc w:val="right"/>
              <w:ind w:right="83"/>
              <w:spacing w:after="0"/>
              <w:rPr>
                <w:sz w:val="20"/>
                <w:szCs w:val="20"/>
                <w:color w:val="auto"/>
              </w:rPr>
            </w:pPr>
            <w:r>
              <w:rPr>
                <w:rFonts w:ascii="Arial" w:cs="Arial" w:eastAsia="Arial" w:hAnsi="Arial"/>
                <w:sz w:val="16"/>
                <w:szCs w:val="16"/>
                <w:b w:val="1"/>
                <w:bCs w:val="1"/>
                <w:color w:val="auto"/>
              </w:rPr>
              <w:t>7,512</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26,634</w:t>
            </w:r>
          </w:p>
        </w:tc>
        <w:tc>
          <w:tcPr>
            <w:tcW w:w="220" w:type="dxa"/>
            <w:vAlign w:val="bottom"/>
          </w:tcPr>
          <w:p>
            <w:pPr>
              <w:spacing w:after="0"/>
              <w:rPr>
                <w:sz w:val="16"/>
                <w:szCs w:val="16"/>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18,185</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8,449</w:t>
            </w:r>
          </w:p>
        </w:tc>
        <w:tc>
          <w:tcPr>
            <w:tcW w:w="0" w:type="dxa"/>
            <w:vAlign w:val="bottom"/>
          </w:tcPr>
          <w:p>
            <w:pPr>
              <w:spacing w:after="0"/>
              <w:rPr>
                <w:sz w:val="1"/>
                <w:szCs w:val="1"/>
                <w:color w:val="auto"/>
              </w:rPr>
            </w:pPr>
          </w:p>
        </w:tc>
      </w:tr>
      <w:tr>
        <w:trPr>
          <w:trHeight w:val="207"/>
        </w:trPr>
        <w:tc>
          <w:tcPr>
            <w:tcW w:w="3020" w:type="dxa"/>
            <w:vAlign w:val="bottom"/>
          </w:tcPr>
          <w:p>
            <w:pPr>
              <w:ind w:left="240"/>
              <w:spacing w:after="0"/>
              <w:rPr>
                <w:sz w:val="20"/>
                <w:szCs w:val="20"/>
                <w:color w:val="auto"/>
              </w:rPr>
            </w:pPr>
            <w:r>
              <w:rPr>
                <w:rFonts w:ascii="Arial" w:cs="Arial" w:eastAsia="Arial" w:hAnsi="Arial"/>
                <w:sz w:val="16"/>
                <w:szCs w:val="16"/>
                <w:color w:val="auto"/>
              </w:rPr>
              <w:t>Other</w:t>
            </w:r>
          </w:p>
        </w:tc>
        <w:tc>
          <w:tcPr>
            <w:tcW w:w="1420" w:type="dxa"/>
            <w:vAlign w:val="bottom"/>
            <w:gridSpan w:val="2"/>
          </w:tcPr>
          <w:p>
            <w:pPr>
              <w:jc w:val="center"/>
              <w:ind w:right="39"/>
              <w:spacing w:after="0"/>
              <w:rPr>
                <w:sz w:val="20"/>
                <w:szCs w:val="20"/>
                <w:color w:val="auto"/>
              </w:rPr>
            </w:pPr>
            <w:r>
              <w:rPr>
                <w:rFonts w:ascii="Arial" w:cs="Arial" w:eastAsia="Arial" w:hAnsi="Arial"/>
                <w:sz w:val="16"/>
                <w:szCs w:val="16"/>
                <w:b w:val="1"/>
                <w:bCs w:val="1"/>
                <w:color w:val="auto"/>
                <w:w w:val="99"/>
              </w:rPr>
              <w:t>1-25 years</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8,733</w:t>
            </w:r>
          </w:p>
        </w:tc>
        <w:tc>
          <w:tcPr>
            <w:tcW w:w="240" w:type="dxa"/>
            <w:vAlign w:val="bottom"/>
          </w:tcPr>
          <w:p>
            <w:pPr>
              <w:spacing w:after="0"/>
              <w:rPr>
                <w:sz w:val="18"/>
                <w:szCs w:val="18"/>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b w:val="1"/>
                <w:bCs w:val="1"/>
                <w:color w:val="auto"/>
              </w:rPr>
              <w:t>7,402</w:t>
            </w:r>
          </w:p>
        </w:tc>
        <w:tc>
          <w:tcPr>
            <w:tcW w:w="240" w:type="dxa"/>
            <w:vAlign w:val="bottom"/>
          </w:tcPr>
          <w:p>
            <w:pPr>
              <w:spacing w:after="0"/>
              <w:rPr>
                <w:sz w:val="18"/>
                <w:szCs w:val="18"/>
                <w:color w:val="auto"/>
              </w:rPr>
            </w:pPr>
          </w:p>
        </w:tc>
        <w:tc>
          <w:tcPr>
            <w:tcW w:w="980" w:type="dxa"/>
            <w:vAlign w:val="bottom"/>
          </w:tcPr>
          <w:p>
            <w:pPr>
              <w:jc w:val="right"/>
              <w:ind w:right="83"/>
              <w:spacing w:after="0"/>
              <w:rPr>
                <w:sz w:val="20"/>
                <w:szCs w:val="20"/>
                <w:color w:val="auto"/>
              </w:rPr>
            </w:pPr>
            <w:r>
              <w:rPr>
                <w:rFonts w:ascii="Arial" w:cs="Arial" w:eastAsia="Arial" w:hAnsi="Arial"/>
                <w:sz w:val="16"/>
                <w:szCs w:val="16"/>
                <w:b w:val="1"/>
                <w:bCs w:val="1"/>
                <w:color w:val="auto"/>
              </w:rPr>
              <w:t>1,331</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8,849</w:t>
            </w:r>
          </w:p>
        </w:tc>
        <w:tc>
          <w:tcPr>
            <w:tcW w:w="220" w:type="dxa"/>
            <w:vAlign w:val="bottom"/>
          </w:tcPr>
          <w:p>
            <w:pPr>
              <w:spacing w:after="0"/>
              <w:rPr>
                <w:sz w:val="18"/>
                <w:szCs w:val="18"/>
                <w:color w:val="auto"/>
              </w:rPr>
            </w:pPr>
          </w:p>
        </w:tc>
        <w:tc>
          <w:tcPr>
            <w:tcW w:w="1040" w:type="dxa"/>
            <w:vAlign w:val="bottom"/>
          </w:tcPr>
          <w:p>
            <w:pPr>
              <w:jc w:val="right"/>
              <w:ind w:right="2"/>
              <w:spacing w:after="0"/>
              <w:rPr>
                <w:sz w:val="20"/>
                <w:szCs w:val="20"/>
                <w:color w:val="auto"/>
              </w:rPr>
            </w:pPr>
            <w:r>
              <w:rPr>
                <w:rFonts w:ascii="Arial" w:cs="Arial" w:eastAsia="Arial" w:hAnsi="Arial"/>
                <w:sz w:val="16"/>
                <w:szCs w:val="16"/>
                <w:color w:val="auto"/>
              </w:rPr>
              <w:t>6,839</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2,010</w:t>
            </w:r>
          </w:p>
        </w:tc>
        <w:tc>
          <w:tcPr>
            <w:tcW w:w="0" w:type="dxa"/>
            <w:vAlign w:val="bottom"/>
          </w:tcPr>
          <w:p>
            <w:pPr>
              <w:spacing w:after="0"/>
              <w:rPr>
                <w:sz w:val="1"/>
                <w:szCs w:val="1"/>
                <w:color w:val="auto"/>
              </w:rPr>
            </w:pPr>
          </w:p>
        </w:tc>
      </w:tr>
      <w:tr>
        <w:trPr>
          <w:trHeight w:val="183"/>
        </w:trPr>
        <w:tc>
          <w:tcPr>
            <w:tcW w:w="30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19"/>
              <w:spacing w:after="0" w:line="183" w:lineRule="exact"/>
              <w:rPr>
                <w:sz w:val="20"/>
                <w:szCs w:val="20"/>
                <w:color w:val="auto"/>
              </w:rPr>
            </w:pPr>
            <w:r>
              <w:rPr>
                <w:rFonts w:ascii="Arial" w:cs="Arial" w:eastAsia="Arial" w:hAnsi="Arial"/>
                <w:sz w:val="16"/>
                <w:szCs w:val="16"/>
                <w:b w:val="1"/>
                <w:bCs w:val="1"/>
                <w:color w:val="auto"/>
                <w:w w:val="89"/>
              </w:rPr>
              <w:t>$</w:t>
            </w:r>
          </w:p>
        </w:tc>
        <w:tc>
          <w:tcPr>
            <w:tcW w:w="9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126,931</w:t>
            </w:r>
          </w:p>
        </w:tc>
        <w:tc>
          <w:tcPr>
            <w:tcW w:w="2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1080" w:type="dxa"/>
            <w:vAlign w:val="bottom"/>
            <w:tcBorders>
              <w:top w:val="single" w:sz="8" w:color="auto"/>
              <w:bottom w:val="single" w:sz="8" w:color="auto"/>
            </w:tcBorders>
          </w:tcPr>
          <w:p>
            <w:pPr>
              <w:jc w:val="right"/>
              <w:ind w:right="22"/>
              <w:spacing w:after="0" w:line="183" w:lineRule="exact"/>
              <w:rPr>
                <w:sz w:val="20"/>
                <w:szCs w:val="20"/>
                <w:color w:val="auto"/>
              </w:rPr>
            </w:pPr>
            <w:r>
              <w:rPr>
                <w:rFonts w:ascii="Arial" w:cs="Arial" w:eastAsia="Arial" w:hAnsi="Arial"/>
                <w:sz w:val="16"/>
                <w:szCs w:val="16"/>
                <w:b w:val="1"/>
                <w:bCs w:val="1"/>
                <w:color w:val="auto"/>
              </w:rPr>
              <w:t>88,396</w:t>
            </w:r>
          </w:p>
        </w:tc>
        <w:tc>
          <w:tcPr>
            <w:tcW w:w="2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980" w:type="dxa"/>
            <w:vAlign w:val="bottom"/>
            <w:tcBorders>
              <w:top w:val="single" w:sz="8" w:color="auto"/>
              <w:bottom w:val="single" w:sz="8" w:color="auto"/>
            </w:tcBorders>
          </w:tcPr>
          <w:p>
            <w:pPr>
              <w:jc w:val="right"/>
              <w:ind w:right="83"/>
              <w:spacing w:after="0" w:line="183" w:lineRule="exact"/>
              <w:rPr>
                <w:sz w:val="20"/>
                <w:szCs w:val="20"/>
                <w:color w:val="auto"/>
              </w:rPr>
            </w:pPr>
            <w:r>
              <w:rPr>
                <w:rFonts w:ascii="Arial" w:cs="Arial" w:eastAsia="Arial" w:hAnsi="Arial"/>
                <w:sz w:val="16"/>
                <w:szCs w:val="16"/>
                <w:b w:val="1"/>
                <w:bCs w:val="1"/>
                <w:color w:val="auto"/>
              </w:rPr>
              <w:t>38,535</w:t>
            </w:r>
          </w:p>
        </w:tc>
        <w:tc>
          <w:tcPr>
            <w:tcW w:w="200" w:type="dxa"/>
            <w:vAlign w:val="bottom"/>
            <w:tcBorders>
              <w:top w:val="single" w:sz="8" w:color="auto"/>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129,641</w:t>
            </w:r>
          </w:p>
        </w:tc>
        <w:tc>
          <w:tcPr>
            <w:tcW w:w="2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2"/>
              <w:spacing w:after="0" w:line="183" w:lineRule="exact"/>
              <w:rPr>
                <w:sz w:val="20"/>
                <w:szCs w:val="20"/>
                <w:color w:val="auto"/>
              </w:rPr>
            </w:pPr>
            <w:r>
              <w:rPr>
                <w:rFonts w:ascii="Arial" w:cs="Arial" w:eastAsia="Arial" w:hAnsi="Arial"/>
                <w:sz w:val="16"/>
                <w:szCs w:val="16"/>
                <w:color w:val="auto"/>
              </w:rPr>
              <w:t>84,064</w:t>
            </w:r>
          </w:p>
        </w:tc>
        <w:tc>
          <w:tcPr>
            <w:tcW w:w="2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45,577</w:t>
            </w:r>
          </w:p>
        </w:tc>
        <w:tc>
          <w:tcPr>
            <w:tcW w:w="0" w:type="dxa"/>
            <w:vAlign w:val="bottom"/>
          </w:tcPr>
          <w:p>
            <w:pPr>
              <w:spacing w:after="0"/>
              <w:rPr>
                <w:sz w:val="1"/>
                <w:szCs w:val="1"/>
                <w:color w:val="auto"/>
              </w:rPr>
            </w:pPr>
          </w:p>
        </w:tc>
      </w:tr>
      <w:tr>
        <w:trPr>
          <w:trHeight w:val="20"/>
        </w:trPr>
        <w:tc>
          <w:tcPr>
            <w:tcW w:w="3020" w:type="dxa"/>
            <w:vAlign w:val="bottom"/>
            <w:vMerge w:val="restart"/>
          </w:tcPr>
          <w:p>
            <w:pPr>
              <w:spacing w:after="0"/>
              <w:rPr>
                <w:sz w:val="20"/>
                <w:szCs w:val="20"/>
                <w:color w:val="auto"/>
              </w:rPr>
            </w:pPr>
            <w:r>
              <w:rPr>
                <w:rFonts w:ascii="Arial" w:cs="Arial" w:eastAsia="Arial" w:hAnsi="Arial"/>
                <w:sz w:val="16"/>
                <w:szCs w:val="16"/>
                <w:b w:val="1"/>
                <w:bCs w:val="1"/>
                <w:color w:val="auto"/>
              </w:rPr>
              <w:t>Indefinite-Lived Intangible Assets</w:t>
            </w:r>
          </w:p>
        </w:tc>
        <w:tc>
          <w:tcPr>
            <w:tcW w:w="1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3020" w:type="dxa"/>
            <w:vAlign w:val="bottom"/>
            <w:vMerge w:val="continue"/>
          </w:tcPr>
          <w:p>
            <w:pPr>
              <w:spacing w:after="0"/>
              <w:rPr>
                <w:sz w:val="14"/>
                <w:szCs w:val="14"/>
                <w:color w:val="auto"/>
              </w:rPr>
            </w:pPr>
          </w:p>
        </w:tc>
        <w:tc>
          <w:tcPr>
            <w:tcW w:w="1420" w:type="dxa"/>
            <w:vAlign w:val="bottom"/>
            <w:gridSpan w:val="2"/>
            <w:vMerge w:val="restart"/>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496,321</w:t>
            </w: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020" w:type="dxa"/>
            <w:vAlign w:val="bottom"/>
          </w:tcPr>
          <w:p>
            <w:pPr>
              <w:ind w:left="240"/>
              <w:spacing w:after="0" w:line="169" w:lineRule="exact"/>
              <w:rPr>
                <w:sz w:val="20"/>
                <w:szCs w:val="20"/>
                <w:color w:val="auto"/>
              </w:rPr>
            </w:pPr>
            <w:r>
              <w:rPr>
                <w:rFonts w:ascii="Arial" w:cs="Arial" w:eastAsia="Arial" w:hAnsi="Arial"/>
                <w:sz w:val="16"/>
                <w:szCs w:val="16"/>
                <w:color w:val="auto"/>
              </w:rPr>
              <w:t>Franchise agreements</w:t>
            </w:r>
          </w:p>
        </w:tc>
        <w:tc>
          <w:tcPr>
            <w:tcW w:w="142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jc w:val="right"/>
              <w:ind w:right="19"/>
              <w:spacing w:after="0" w:line="169" w:lineRule="exact"/>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line="169" w:lineRule="exact"/>
              <w:rPr>
                <w:sz w:val="20"/>
                <w:szCs w:val="20"/>
                <w:color w:val="auto"/>
              </w:rPr>
            </w:pPr>
            <w:r>
              <w:rPr>
                <w:rFonts w:ascii="Arial" w:cs="Arial" w:eastAsia="Arial" w:hAnsi="Arial"/>
                <w:sz w:val="16"/>
                <w:szCs w:val="16"/>
                <w:color w:val="auto"/>
              </w:rPr>
              <w:t>496,321</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020" w:type="dxa"/>
            <w:vAlign w:val="bottom"/>
          </w:tcPr>
          <w:p>
            <w:pPr>
              <w:ind w:left="240"/>
              <w:spacing w:after="0"/>
              <w:rPr>
                <w:sz w:val="20"/>
                <w:szCs w:val="20"/>
                <w:color w:val="auto"/>
              </w:rPr>
            </w:pPr>
            <w:r>
              <w:rPr>
                <w:rFonts w:ascii="Arial" w:cs="Arial" w:eastAsia="Arial" w:hAnsi="Arial"/>
                <w:sz w:val="16"/>
                <w:szCs w:val="16"/>
                <w:color w:val="auto"/>
              </w:rPr>
              <w:t>Wireless licenses</w:t>
            </w: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22,150</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22,150</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20" w:type="dxa"/>
            <w:vAlign w:val="bottom"/>
          </w:tcPr>
          <w:p>
            <w:pPr>
              <w:ind w:left="240"/>
              <w:spacing w:after="0"/>
              <w:rPr>
                <w:sz w:val="20"/>
                <w:szCs w:val="20"/>
                <w:color w:val="auto"/>
              </w:rPr>
            </w:pPr>
            <w:r>
              <w:rPr>
                <w:rFonts w:ascii="Arial" w:cs="Arial" w:eastAsia="Arial" w:hAnsi="Arial"/>
                <w:sz w:val="16"/>
                <w:szCs w:val="16"/>
                <w:color w:val="auto"/>
              </w:rPr>
              <w:t>Licensure and accreditation</w:t>
            </w: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7,371</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7,371</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020" w:type="dxa"/>
            <w:vAlign w:val="bottom"/>
          </w:tcPr>
          <w:p>
            <w:pPr>
              <w:ind w:left="240"/>
              <w:spacing w:after="0"/>
              <w:rPr>
                <w:sz w:val="20"/>
                <w:szCs w:val="20"/>
                <w:color w:val="auto"/>
              </w:rPr>
            </w:pPr>
            <w:r>
              <w:rPr>
                <w:rFonts w:ascii="Arial" w:cs="Arial" w:eastAsia="Arial" w:hAnsi="Arial"/>
                <w:sz w:val="16"/>
                <w:szCs w:val="16"/>
                <w:color w:val="auto"/>
              </w:rPr>
              <w:t>Other</w:t>
            </w:r>
          </w:p>
        </w:tc>
        <w:tc>
          <w:tcPr>
            <w:tcW w:w="1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13,886</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13,886</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30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539,728</w:t>
            </w: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539,728</w:t>
            </w: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Company’s borrowings consist of the following:</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As of</w:t>
            </w: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r>
      <w:tr>
        <w:trPr>
          <w:trHeight w:val="125"/>
        </w:trPr>
        <w:tc>
          <w:tcPr>
            <w:tcW w:w="8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60" w:type="dxa"/>
            <w:vAlign w:val="bottom"/>
          </w:tcPr>
          <w:p>
            <w:pPr>
              <w:jc w:val="right"/>
              <w:ind w:right="723"/>
              <w:spacing w:after="0" w:line="125" w:lineRule="exact"/>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0"/>
                <w:szCs w:val="10"/>
                <w:color w:val="auto"/>
              </w:rPr>
            </w:pPr>
          </w:p>
        </w:tc>
        <w:tc>
          <w:tcPr>
            <w:tcW w:w="1200" w:type="dxa"/>
            <w:vAlign w:val="bottom"/>
          </w:tcPr>
          <w:p>
            <w:pPr>
              <w:jc w:val="right"/>
              <w:ind w:right="242"/>
              <w:spacing w:after="0" w:line="125" w:lineRule="exact"/>
              <w:rPr>
                <w:sz w:val="20"/>
                <w:szCs w:val="20"/>
                <w:color w:val="auto"/>
              </w:rPr>
            </w:pPr>
            <w:r>
              <w:rPr>
                <w:rFonts w:ascii="Arial" w:cs="Arial" w:eastAsia="Arial" w:hAnsi="Arial"/>
                <w:sz w:val="14"/>
                <w:szCs w:val="14"/>
                <w:color w:val="auto"/>
                <w:w w:val="97"/>
              </w:rPr>
              <w:t>December 31,</w:t>
            </w:r>
          </w:p>
        </w:tc>
      </w:tr>
      <w:tr>
        <w:trPr>
          <w:trHeight w:val="165"/>
        </w:trPr>
        <w:tc>
          <w:tcPr>
            <w:tcW w:w="82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thousands)</w:t>
            </w:r>
          </w:p>
        </w:tc>
        <w:tc>
          <w:tcPr>
            <w:tcW w:w="3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863"/>
              <w:spacing w:after="0"/>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color w:val="auto"/>
              </w:rPr>
              <w:t>2012</w:t>
            </w:r>
          </w:p>
        </w:tc>
      </w:tr>
      <w:tr>
        <w:trPr>
          <w:trHeight w:val="164"/>
        </w:trPr>
        <w:tc>
          <w:tcPr>
            <w:tcW w:w="8240" w:type="dxa"/>
            <w:vAlign w:val="bottom"/>
          </w:tcPr>
          <w:p>
            <w:pPr>
              <w:spacing w:after="0" w:line="165" w:lineRule="exact"/>
              <w:rPr>
                <w:sz w:val="20"/>
                <w:szCs w:val="20"/>
                <w:color w:val="auto"/>
              </w:rPr>
            </w:pPr>
            <w:r>
              <w:rPr>
                <w:rFonts w:ascii="Arial" w:cs="Arial" w:eastAsia="Arial" w:hAnsi="Arial"/>
                <w:sz w:val="16"/>
                <w:szCs w:val="16"/>
                <w:color w:val="auto"/>
              </w:rPr>
              <w:t>7.25% unsecured notes due February 1, 2019</w:t>
            </w:r>
          </w:p>
        </w:tc>
        <w:tc>
          <w:tcPr>
            <w:tcW w:w="340" w:type="dxa"/>
            <w:vAlign w:val="bottom"/>
          </w:tcPr>
          <w:p>
            <w:pPr>
              <w:jc w:val="right"/>
              <w:ind w:right="39"/>
              <w:spacing w:after="0" w:line="165" w:lineRule="exact"/>
              <w:rPr>
                <w:sz w:val="20"/>
                <w:szCs w:val="20"/>
                <w:color w:val="auto"/>
              </w:rPr>
            </w:pPr>
            <w:r>
              <w:rPr>
                <w:rFonts w:ascii="Arial" w:cs="Arial" w:eastAsia="Arial" w:hAnsi="Arial"/>
                <w:sz w:val="16"/>
                <w:szCs w:val="16"/>
                <w:b w:val="1"/>
                <w:bCs w:val="1"/>
                <w:color w:val="auto"/>
              </w:rPr>
              <w:t>$</w:t>
            </w:r>
          </w:p>
        </w:tc>
        <w:tc>
          <w:tcPr>
            <w:tcW w:w="1460" w:type="dxa"/>
            <w:vAlign w:val="bottom"/>
          </w:tcPr>
          <w:p>
            <w:pPr>
              <w:jc w:val="right"/>
              <w:ind w:right="283"/>
              <w:spacing w:after="0" w:line="165" w:lineRule="exact"/>
              <w:rPr>
                <w:sz w:val="20"/>
                <w:szCs w:val="20"/>
                <w:color w:val="auto"/>
              </w:rPr>
            </w:pPr>
            <w:r>
              <w:rPr>
                <w:rFonts w:ascii="Arial" w:cs="Arial" w:eastAsia="Arial" w:hAnsi="Arial"/>
                <w:sz w:val="16"/>
                <w:szCs w:val="16"/>
                <w:b w:val="1"/>
                <w:bCs w:val="1"/>
                <w:color w:val="auto"/>
              </w:rPr>
              <w:t>397,686</w:t>
            </w:r>
          </w:p>
        </w:tc>
        <w:tc>
          <w:tcPr>
            <w:tcW w:w="180" w:type="dxa"/>
            <w:vAlign w:val="bottom"/>
          </w:tcPr>
          <w:p>
            <w:pPr>
              <w:jc w:val="right"/>
              <w:spacing w:after="0" w:line="165" w:lineRule="exact"/>
              <w:rPr>
                <w:sz w:val="20"/>
                <w:szCs w:val="20"/>
                <w:color w:val="auto"/>
              </w:rPr>
            </w:pPr>
            <w:r>
              <w:rPr>
                <w:rFonts w:ascii="Arial" w:cs="Arial" w:eastAsia="Arial" w:hAnsi="Arial"/>
                <w:sz w:val="16"/>
                <w:szCs w:val="16"/>
                <w:color w:val="auto"/>
              </w:rPr>
              <w:t>$</w:t>
            </w:r>
          </w:p>
        </w:tc>
        <w:tc>
          <w:tcPr>
            <w:tcW w:w="1200" w:type="dxa"/>
            <w:vAlign w:val="bottom"/>
          </w:tcPr>
          <w:p>
            <w:pPr>
              <w:jc w:val="right"/>
              <w:spacing w:after="0" w:line="165" w:lineRule="exact"/>
              <w:rPr>
                <w:sz w:val="20"/>
                <w:szCs w:val="20"/>
                <w:color w:val="auto"/>
              </w:rPr>
            </w:pPr>
            <w:r>
              <w:rPr>
                <w:rFonts w:ascii="Arial" w:cs="Arial" w:eastAsia="Arial" w:hAnsi="Arial"/>
                <w:sz w:val="16"/>
                <w:szCs w:val="16"/>
                <w:color w:val="auto"/>
              </w:rPr>
              <w:t>397,479</w:t>
            </w:r>
          </w:p>
        </w:tc>
      </w:tr>
      <w:tr>
        <w:trPr>
          <w:trHeight w:val="189"/>
        </w:trPr>
        <w:tc>
          <w:tcPr>
            <w:tcW w:w="8240" w:type="dxa"/>
            <w:vAlign w:val="bottom"/>
          </w:tcPr>
          <w:p>
            <w:pPr>
              <w:spacing w:after="0"/>
              <w:rPr>
                <w:sz w:val="20"/>
                <w:szCs w:val="20"/>
                <w:color w:val="auto"/>
              </w:rPr>
            </w:pPr>
            <w:r>
              <w:rPr>
                <w:rFonts w:ascii="Arial" w:cs="Arial" w:eastAsia="Arial" w:hAnsi="Arial"/>
                <w:sz w:val="16"/>
                <w:szCs w:val="16"/>
                <w:color w:val="auto"/>
              </w:rPr>
              <w:t>USD Revolving credit borrowing</w:t>
            </w:r>
          </w:p>
        </w:tc>
        <w:tc>
          <w:tcPr>
            <w:tcW w:w="340" w:type="dxa"/>
            <w:vAlign w:val="bottom"/>
          </w:tcPr>
          <w:p>
            <w:pPr>
              <w:spacing w:after="0"/>
              <w:rPr>
                <w:sz w:val="16"/>
                <w:szCs w:val="16"/>
                <w:color w:val="auto"/>
              </w:rPr>
            </w:pPr>
          </w:p>
        </w:tc>
        <w:tc>
          <w:tcPr>
            <w:tcW w:w="1460" w:type="dxa"/>
            <w:vAlign w:val="bottom"/>
          </w:tcPr>
          <w:p>
            <w:pPr>
              <w:jc w:val="right"/>
              <w:ind w:right="283"/>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240,121</w:t>
            </w:r>
          </w:p>
        </w:tc>
      </w:tr>
      <w:tr>
        <w:trPr>
          <w:trHeight w:val="189"/>
        </w:trPr>
        <w:tc>
          <w:tcPr>
            <w:tcW w:w="8240" w:type="dxa"/>
            <w:vAlign w:val="bottom"/>
          </w:tcPr>
          <w:p>
            <w:pPr>
              <w:spacing w:after="0"/>
              <w:rPr>
                <w:sz w:val="20"/>
                <w:szCs w:val="20"/>
                <w:color w:val="auto"/>
              </w:rPr>
            </w:pPr>
            <w:r>
              <w:rPr>
                <w:rFonts w:ascii="Arial" w:cs="Arial" w:eastAsia="Arial" w:hAnsi="Arial"/>
                <w:sz w:val="16"/>
                <w:szCs w:val="16"/>
                <w:color w:val="auto"/>
              </w:rPr>
              <w:t>AUD Revolving credit borrowing</w:t>
            </w:r>
          </w:p>
        </w:tc>
        <w:tc>
          <w:tcPr>
            <w:tcW w:w="340" w:type="dxa"/>
            <w:vAlign w:val="bottom"/>
          </w:tcPr>
          <w:p>
            <w:pPr>
              <w:spacing w:after="0"/>
              <w:rPr>
                <w:sz w:val="16"/>
                <w:szCs w:val="16"/>
                <w:color w:val="auto"/>
              </w:rPr>
            </w:pPr>
          </w:p>
        </w:tc>
        <w:tc>
          <w:tcPr>
            <w:tcW w:w="1460" w:type="dxa"/>
            <w:vAlign w:val="bottom"/>
          </w:tcPr>
          <w:p>
            <w:pPr>
              <w:jc w:val="right"/>
              <w:ind w:right="283"/>
              <w:spacing w:after="0"/>
              <w:rPr>
                <w:sz w:val="20"/>
                <w:szCs w:val="20"/>
                <w:color w:val="auto"/>
              </w:rPr>
            </w:pPr>
            <w:r>
              <w:rPr>
                <w:rFonts w:ascii="Arial" w:cs="Arial" w:eastAsia="Arial" w:hAnsi="Arial"/>
                <w:sz w:val="16"/>
                <w:szCs w:val="16"/>
                <w:b w:val="1"/>
                <w:bCs w:val="1"/>
                <w:color w:val="auto"/>
              </w:rPr>
              <w:t>45,664</w:t>
            </w:r>
          </w:p>
        </w:tc>
        <w:tc>
          <w:tcPr>
            <w:tcW w:w="1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51,915</w:t>
            </w:r>
          </w:p>
        </w:tc>
      </w:tr>
      <w:tr>
        <w:trPr>
          <w:trHeight w:val="207"/>
        </w:trPr>
        <w:tc>
          <w:tcPr>
            <w:tcW w:w="8240" w:type="dxa"/>
            <w:vAlign w:val="bottom"/>
          </w:tcPr>
          <w:p>
            <w:pPr>
              <w:spacing w:after="0"/>
              <w:rPr>
                <w:sz w:val="20"/>
                <w:szCs w:val="20"/>
                <w:color w:val="auto"/>
              </w:rPr>
            </w:pPr>
            <w:r>
              <w:rPr>
                <w:rFonts w:ascii="Arial" w:cs="Arial" w:eastAsia="Arial" w:hAnsi="Arial"/>
                <w:sz w:val="16"/>
                <w:szCs w:val="16"/>
                <w:color w:val="auto"/>
              </w:rPr>
              <w:t>Other indebtedness</w:t>
            </w:r>
          </w:p>
        </w:tc>
        <w:tc>
          <w:tcPr>
            <w:tcW w:w="3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283"/>
              <w:spacing w:after="0"/>
              <w:rPr>
                <w:sz w:val="20"/>
                <w:szCs w:val="20"/>
                <w:color w:val="auto"/>
              </w:rPr>
            </w:pPr>
            <w:r>
              <w:rPr>
                <w:rFonts w:ascii="Arial" w:cs="Arial" w:eastAsia="Arial" w:hAnsi="Arial"/>
                <w:sz w:val="16"/>
                <w:szCs w:val="16"/>
                <w:b w:val="1"/>
                <w:bCs w:val="1"/>
                <w:color w:val="auto"/>
              </w:rPr>
              <w:t>6,683</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7,196</w:t>
            </w:r>
          </w:p>
        </w:tc>
      </w:tr>
      <w:tr>
        <w:trPr>
          <w:trHeight w:val="164"/>
        </w:trPr>
        <w:tc>
          <w:tcPr>
            <w:tcW w:w="8240" w:type="dxa"/>
            <w:vAlign w:val="bottom"/>
          </w:tcPr>
          <w:p>
            <w:pPr>
              <w:spacing w:after="0" w:line="165" w:lineRule="exact"/>
              <w:rPr>
                <w:sz w:val="20"/>
                <w:szCs w:val="20"/>
                <w:color w:val="auto"/>
              </w:rPr>
            </w:pPr>
            <w:r>
              <w:rPr>
                <w:rFonts w:ascii="Arial" w:cs="Arial" w:eastAsia="Arial" w:hAnsi="Arial"/>
                <w:sz w:val="16"/>
                <w:szCs w:val="16"/>
                <w:b w:val="1"/>
                <w:bCs w:val="1"/>
                <w:color w:val="auto"/>
              </w:rPr>
              <w:t>Total Debt</w:t>
            </w:r>
          </w:p>
        </w:tc>
        <w:tc>
          <w:tcPr>
            <w:tcW w:w="340" w:type="dxa"/>
            <w:vAlign w:val="bottom"/>
          </w:tcPr>
          <w:p>
            <w:pPr>
              <w:spacing w:after="0"/>
              <w:rPr>
                <w:sz w:val="14"/>
                <w:szCs w:val="14"/>
                <w:color w:val="auto"/>
              </w:rPr>
            </w:pPr>
          </w:p>
        </w:tc>
        <w:tc>
          <w:tcPr>
            <w:tcW w:w="1460" w:type="dxa"/>
            <w:vAlign w:val="bottom"/>
          </w:tcPr>
          <w:p>
            <w:pPr>
              <w:jc w:val="right"/>
              <w:ind w:right="283"/>
              <w:spacing w:after="0" w:line="165" w:lineRule="exact"/>
              <w:rPr>
                <w:sz w:val="20"/>
                <w:szCs w:val="20"/>
                <w:color w:val="auto"/>
              </w:rPr>
            </w:pPr>
            <w:r>
              <w:rPr>
                <w:rFonts w:ascii="Arial" w:cs="Arial" w:eastAsia="Arial" w:hAnsi="Arial"/>
                <w:sz w:val="16"/>
                <w:szCs w:val="16"/>
                <w:b w:val="1"/>
                <w:bCs w:val="1"/>
                <w:color w:val="auto"/>
              </w:rPr>
              <w:t>450,033</w:t>
            </w:r>
          </w:p>
        </w:tc>
        <w:tc>
          <w:tcPr>
            <w:tcW w:w="180" w:type="dxa"/>
            <w:vAlign w:val="bottom"/>
          </w:tcPr>
          <w:p>
            <w:pPr>
              <w:spacing w:after="0"/>
              <w:rPr>
                <w:sz w:val="14"/>
                <w:szCs w:val="14"/>
                <w:color w:val="auto"/>
              </w:rPr>
            </w:pPr>
          </w:p>
        </w:tc>
        <w:tc>
          <w:tcPr>
            <w:tcW w:w="1200" w:type="dxa"/>
            <w:vAlign w:val="bottom"/>
          </w:tcPr>
          <w:p>
            <w:pPr>
              <w:jc w:val="right"/>
              <w:spacing w:after="0" w:line="165" w:lineRule="exact"/>
              <w:rPr>
                <w:sz w:val="20"/>
                <w:szCs w:val="20"/>
                <w:color w:val="auto"/>
              </w:rPr>
            </w:pPr>
            <w:r>
              <w:rPr>
                <w:rFonts w:ascii="Arial" w:cs="Arial" w:eastAsia="Arial" w:hAnsi="Arial"/>
                <w:sz w:val="16"/>
                <w:szCs w:val="16"/>
                <w:color w:val="auto"/>
              </w:rPr>
              <w:t>696,711</w:t>
            </w:r>
          </w:p>
        </w:tc>
      </w:tr>
      <w:tr>
        <w:trPr>
          <w:trHeight w:val="207"/>
        </w:trPr>
        <w:tc>
          <w:tcPr>
            <w:tcW w:w="8240" w:type="dxa"/>
            <w:vAlign w:val="bottom"/>
          </w:tcPr>
          <w:p>
            <w:pPr>
              <w:spacing w:after="0"/>
              <w:rPr>
                <w:sz w:val="20"/>
                <w:szCs w:val="20"/>
                <w:color w:val="auto"/>
              </w:rPr>
            </w:pPr>
            <w:r>
              <w:rPr>
                <w:rFonts w:ascii="Arial" w:cs="Arial" w:eastAsia="Arial" w:hAnsi="Arial"/>
                <w:sz w:val="16"/>
                <w:szCs w:val="16"/>
                <w:color w:val="auto"/>
              </w:rPr>
              <w:t>Less: current portion</w:t>
            </w:r>
          </w:p>
        </w:tc>
        <w:tc>
          <w:tcPr>
            <w:tcW w:w="3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283"/>
              <w:spacing w:after="0"/>
              <w:rPr>
                <w:sz w:val="20"/>
                <w:szCs w:val="20"/>
                <w:color w:val="auto"/>
              </w:rPr>
            </w:pPr>
            <w:r>
              <w:rPr>
                <w:rFonts w:ascii="Arial" w:cs="Arial" w:eastAsia="Arial" w:hAnsi="Arial"/>
                <w:sz w:val="16"/>
                <w:szCs w:val="16"/>
                <w:b w:val="1"/>
                <w:bCs w:val="1"/>
                <w:color w:val="auto"/>
              </w:rPr>
              <w:t>(3,129)</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(243,327)</w:t>
            </w:r>
          </w:p>
        </w:tc>
      </w:tr>
      <w:tr>
        <w:trPr>
          <w:trHeight w:val="183"/>
        </w:trPr>
        <w:tc>
          <w:tcPr>
            <w:tcW w:w="8240" w:type="dxa"/>
            <w:vAlign w:val="bottom"/>
          </w:tcPr>
          <w:p>
            <w:pPr>
              <w:spacing w:after="0" w:line="183" w:lineRule="exact"/>
              <w:rPr>
                <w:sz w:val="20"/>
                <w:szCs w:val="20"/>
                <w:color w:val="auto"/>
              </w:rPr>
            </w:pPr>
            <w:r>
              <w:rPr>
                <w:rFonts w:ascii="Arial" w:cs="Arial" w:eastAsia="Arial" w:hAnsi="Arial"/>
                <w:sz w:val="16"/>
                <w:szCs w:val="16"/>
                <w:b w:val="1"/>
                <w:bCs w:val="1"/>
                <w:color w:val="auto"/>
              </w:rPr>
              <w:t>Total Long-Term Debt</w:t>
            </w:r>
          </w:p>
        </w:tc>
        <w:tc>
          <w:tcPr>
            <w:tcW w:w="34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b w:val="1"/>
                <w:bCs w:val="1"/>
                <w:color w:val="auto"/>
              </w:rPr>
              <w:t>$</w:t>
            </w:r>
          </w:p>
        </w:tc>
        <w:tc>
          <w:tcPr>
            <w:tcW w:w="1460" w:type="dxa"/>
            <w:vAlign w:val="bottom"/>
            <w:tcBorders>
              <w:bottom w:val="single" w:sz="8" w:color="auto"/>
            </w:tcBorders>
          </w:tcPr>
          <w:p>
            <w:pPr>
              <w:jc w:val="right"/>
              <w:ind w:right="283"/>
              <w:spacing w:after="0" w:line="183" w:lineRule="exact"/>
              <w:rPr>
                <w:sz w:val="20"/>
                <w:szCs w:val="20"/>
                <w:color w:val="auto"/>
              </w:rPr>
            </w:pPr>
            <w:r>
              <w:rPr>
                <w:rFonts w:ascii="Arial" w:cs="Arial" w:eastAsia="Arial" w:hAnsi="Arial"/>
                <w:sz w:val="16"/>
                <w:szCs w:val="16"/>
                <w:b w:val="1"/>
                <w:bCs w:val="1"/>
                <w:color w:val="auto"/>
              </w:rPr>
              <w:t>446,904</w:t>
            </w:r>
          </w:p>
        </w:tc>
        <w:tc>
          <w:tcPr>
            <w:tcW w:w="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453,384</w:t>
            </w:r>
          </w:p>
        </w:tc>
      </w:tr>
      <w:tr>
        <w:trPr>
          <w:trHeight w:val="20"/>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80"/>
        <w:spacing w:after="0" w:line="246" w:lineRule="auto"/>
        <w:rPr>
          <w:sz w:val="20"/>
          <w:szCs w:val="20"/>
          <w:color w:val="auto"/>
        </w:rPr>
      </w:pPr>
      <w:r>
        <w:rPr>
          <w:rFonts w:ascii="Arial" w:cs="Arial" w:eastAsia="Arial" w:hAnsi="Arial"/>
          <w:sz w:val="18"/>
          <w:szCs w:val="18"/>
          <w:color w:val="auto"/>
        </w:rPr>
        <w:t>The Company’s other indebtedness at June 30, 2013 and December 31, 2012 is at interest rates from 0% to 6% and matures from 2013 to 2017.</w:t>
      </w:r>
    </w:p>
    <w:p>
      <w:pPr>
        <w:spacing w:after="0" w:line="183" w:lineRule="exact"/>
        <w:rPr>
          <w:sz w:val="20"/>
          <w:szCs w:val="20"/>
          <w:color w:val="auto"/>
        </w:rPr>
      </w:pPr>
    </w:p>
    <w:p>
      <w:pPr>
        <w:jc w:val="both"/>
        <w:ind w:right="280"/>
        <w:spacing w:after="0"/>
        <w:rPr>
          <w:sz w:val="20"/>
          <w:szCs w:val="20"/>
          <w:color w:val="auto"/>
        </w:rPr>
      </w:pPr>
      <w:r>
        <w:rPr>
          <w:rFonts w:ascii="Arial" w:cs="Arial" w:eastAsia="Arial" w:hAnsi="Arial"/>
          <w:sz w:val="18"/>
          <w:szCs w:val="18"/>
          <w:color w:val="auto"/>
        </w:rPr>
        <w:t>During the three months ended June 30, 2013 and 2012, the Company had average borrowings outstanding of approximately $454.1 million and $ 455.5 million, respectively, at average annual interest rates of approximately 7.0%. During the three months ended June 30, 2013 and 2012, the Company incurred net interest expense of $8.5 million and $8.2 million, respectively.</w:t>
      </w:r>
    </w:p>
    <w:p>
      <w:pPr>
        <w:spacing w:after="0" w:line="189" w:lineRule="exact"/>
        <w:rPr>
          <w:sz w:val="20"/>
          <w:szCs w:val="20"/>
          <w:color w:val="auto"/>
        </w:rPr>
      </w:pPr>
    </w:p>
    <w:p>
      <w:pPr>
        <w:jc w:val="both"/>
        <w:ind w:right="60"/>
        <w:spacing w:after="0"/>
        <w:rPr>
          <w:sz w:val="20"/>
          <w:szCs w:val="20"/>
          <w:color w:val="auto"/>
        </w:rPr>
      </w:pPr>
      <w:r>
        <w:rPr>
          <w:rFonts w:ascii="Arial" w:cs="Arial" w:eastAsia="Arial" w:hAnsi="Arial"/>
          <w:sz w:val="18"/>
          <w:szCs w:val="18"/>
          <w:color w:val="auto"/>
        </w:rPr>
        <w:t>During the six months ended June 30, 2013 and 2012, the Company had average borrowings outstanding of approximately $489.5 million and $472.0 million, respectively, at average annual interest rates of approximately 7.0%. During the six months ended June 30, 2013 and 2012, the Company incurred net interest expense of $17.0 million and $16.3 million, respectively.</w:t>
      </w:r>
    </w:p>
    <w:p>
      <w:pPr>
        <w:spacing w:after="0" w:line="189"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At June 30, 2013, the fair value of the Company’s 7.25% unsecured notes, based on quoted market prices, totaled $461.8 million, compared with the carrying amount of $397.7 million. At December 31, 2012, the fair value of the Company’s 7.25% unsecured notes, based on quoted market prices, totaled $481.4 million, compared with the carrying amount of $397.5 million. The carrying value of the Company’s other unsecured debt at June 30, 2013 approximates fair value.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7. FAIR VALUE MEASUREMENTS</w:t>
      </w:r>
    </w:p>
    <w:p>
      <w:pPr>
        <w:spacing w:after="0" w:line="220" w:lineRule="exact"/>
        <w:rPr>
          <w:sz w:val="20"/>
          <w:szCs w:val="20"/>
          <w:color w:val="auto"/>
        </w:rPr>
      </w:pPr>
    </w:p>
    <w:p>
      <w:pPr>
        <w:jc w:val="both"/>
        <w:ind w:right="40"/>
        <w:spacing w:after="0" w:line="234" w:lineRule="auto"/>
        <w:rPr>
          <w:sz w:val="20"/>
          <w:szCs w:val="20"/>
          <w:color w:val="auto"/>
        </w:rPr>
      </w:pPr>
      <w:r>
        <w:rPr>
          <w:rFonts w:ascii="Arial" w:cs="Arial" w:eastAsia="Arial" w:hAnsi="Arial"/>
          <w:sz w:val="18"/>
          <w:szCs w:val="18"/>
          <w:color w:val="auto"/>
        </w:rPr>
        <w:t>Fair value measurements are determined based on the assumptions that a market participant would use in pricing an asset or liability based on a three-tiered hierarchy that draws a distinction between market participant assumptions based on (i) observable inputs, such as quoted prices in active markets (Level 1); (ii) inputs other than quoted prices in active markets that are observable either directly or indirectly (Level 2); and</w:t>
      </w:r>
    </w:p>
    <w:p>
      <w:pPr>
        <w:spacing w:after="0" w:line="2" w:lineRule="exact"/>
        <w:rPr>
          <w:sz w:val="20"/>
          <w:szCs w:val="20"/>
          <w:color w:val="auto"/>
        </w:rPr>
      </w:pPr>
    </w:p>
    <w:p>
      <w:pPr>
        <w:ind w:right="100" w:firstLine="8"/>
        <w:spacing w:after="0" w:line="239" w:lineRule="auto"/>
        <w:tabs>
          <w:tab w:leader="none" w:pos="29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unobservable inputs that require the Company to use present value and other valuation techniques in the determination of fair value (Level 3). Financial assets and liabilities are classified in their entirety based on the lowest level of input that is significant to the fair value measure. The Company’s assessment of the significance of a particular input to the fair value measurements requires judgment and may affect the valuation of the assets and liabilities being measured and their placement within the fair value hierarchy.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financial assets and liabilities measured at fair value on a recurring basis were as follows:</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thousands)</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Level 1</w:t>
            </w: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Level 2</w:t>
            </w:r>
          </w:p>
        </w:tc>
        <w:tc>
          <w:tcPr>
            <w:tcW w:w="3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4"/>
        </w:trPr>
        <w:tc>
          <w:tcPr>
            <w:tcW w:w="7100" w:type="dxa"/>
            <w:vAlign w:val="bottom"/>
          </w:tcPr>
          <w:p>
            <w:pPr>
              <w:spacing w:after="0" w:line="165" w:lineRule="exact"/>
              <w:rPr>
                <w:sz w:val="20"/>
                <w:szCs w:val="20"/>
                <w:color w:val="auto"/>
              </w:rPr>
            </w:pPr>
            <w:r>
              <w:rPr>
                <w:rFonts w:ascii="Arial" w:cs="Arial" w:eastAsia="Arial" w:hAnsi="Arial"/>
                <w:sz w:val="16"/>
                <w:szCs w:val="16"/>
                <w:b w:val="1"/>
                <w:bCs w:val="1"/>
                <w:color w:val="auto"/>
              </w:rPr>
              <w:t>As of June 30, 2013</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10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34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w:t>
            </w:r>
          </w:p>
        </w:tc>
        <w:tc>
          <w:tcPr>
            <w:tcW w:w="1140" w:type="dxa"/>
            <w:vAlign w:val="bottom"/>
            <w:vMerge w:val="restart"/>
          </w:tcPr>
          <w:p>
            <w:pPr>
              <w:jc w:val="right"/>
              <w:ind w:right="60"/>
              <w:spacing w:after="0"/>
              <w:rPr>
                <w:sz w:val="20"/>
                <w:szCs w:val="20"/>
                <w:color w:val="auto"/>
              </w:rPr>
            </w:pPr>
            <w:r>
              <w:rPr>
                <w:rFonts w:ascii="Arial" w:cs="Arial" w:eastAsia="Arial" w:hAnsi="Arial"/>
                <w:sz w:val="16"/>
                <w:szCs w:val="16"/>
                <w:b w:val="1"/>
                <w:bCs w:val="1"/>
                <w:color w:val="auto"/>
              </w:rPr>
              <w:t>―</w:t>
            </w:r>
          </w:p>
        </w:tc>
        <w:tc>
          <w:tcPr>
            <w:tcW w:w="36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w:t>
            </w:r>
          </w:p>
        </w:tc>
        <w:tc>
          <w:tcPr>
            <w:tcW w:w="1120" w:type="dxa"/>
            <w:vAlign w:val="bottom"/>
            <w:vMerge w:val="restart"/>
          </w:tcPr>
          <w:p>
            <w:pPr>
              <w:jc w:val="right"/>
              <w:ind w:right="60"/>
              <w:spacing w:after="0"/>
              <w:rPr>
                <w:sz w:val="20"/>
                <w:szCs w:val="20"/>
                <w:color w:val="auto"/>
              </w:rPr>
            </w:pPr>
            <w:r>
              <w:rPr>
                <w:rFonts w:ascii="Arial" w:cs="Arial" w:eastAsia="Arial" w:hAnsi="Arial"/>
                <w:sz w:val="16"/>
                <w:szCs w:val="16"/>
                <w:b w:val="1"/>
                <w:bCs w:val="1"/>
                <w:color w:val="auto"/>
              </w:rPr>
              <w:t>290,500</w:t>
            </w:r>
          </w:p>
        </w:tc>
        <w:tc>
          <w:tcPr>
            <w:tcW w:w="38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290,500</w:t>
            </w:r>
          </w:p>
        </w:tc>
        <w:tc>
          <w:tcPr>
            <w:tcW w:w="0" w:type="dxa"/>
            <w:vAlign w:val="bottom"/>
          </w:tcPr>
          <w:p>
            <w:pPr>
              <w:spacing w:after="0"/>
              <w:rPr>
                <w:sz w:val="1"/>
                <w:szCs w:val="1"/>
                <w:color w:val="auto"/>
              </w:rPr>
            </w:pPr>
          </w:p>
        </w:tc>
      </w:tr>
      <w:tr>
        <w:trPr>
          <w:trHeight w:val="169"/>
        </w:trPr>
        <w:tc>
          <w:tcPr>
            <w:tcW w:w="7100" w:type="dxa"/>
            <w:vAlign w:val="bottom"/>
          </w:tcPr>
          <w:p>
            <w:pPr>
              <w:ind w:left="240"/>
              <w:spacing w:after="0" w:line="169" w:lineRule="exact"/>
              <w:rPr>
                <w:sz w:val="20"/>
                <w:szCs w:val="20"/>
                <w:color w:val="auto"/>
              </w:rPr>
            </w:pPr>
            <w:r>
              <w:rPr>
                <w:rFonts w:ascii="Arial" w:cs="Arial" w:eastAsia="Arial" w:hAnsi="Arial"/>
                <w:sz w:val="16"/>
                <w:szCs w:val="16"/>
                <w:color w:val="auto"/>
              </w:rPr>
              <w:t xml:space="preserve">Money market investments </w:t>
            </w:r>
            <w:r>
              <w:rPr>
                <w:rFonts w:ascii="Arial" w:cs="Arial" w:eastAsia="Arial" w:hAnsi="Arial"/>
                <w:sz w:val="12"/>
                <w:szCs w:val="12"/>
                <w:color w:val="auto"/>
              </w:rPr>
              <w:t>(1)</w:t>
            </w:r>
          </w:p>
        </w:tc>
        <w:tc>
          <w:tcPr>
            <w:tcW w:w="34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100" w:type="dxa"/>
            <w:vAlign w:val="bottom"/>
          </w:tcPr>
          <w:p>
            <w:pPr>
              <w:ind w:left="240"/>
              <w:spacing w:after="0"/>
              <w:rPr>
                <w:sz w:val="20"/>
                <w:szCs w:val="20"/>
                <w:color w:val="auto"/>
              </w:rPr>
            </w:pPr>
            <w:r>
              <w:rPr>
                <w:rFonts w:ascii="Arial" w:cs="Arial" w:eastAsia="Arial" w:hAnsi="Arial"/>
                <w:sz w:val="16"/>
                <w:szCs w:val="16"/>
                <w:color w:val="auto"/>
              </w:rPr>
              <w:t xml:space="preserve">Marketable equity securities </w:t>
            </w:r>
            <w:r>
              <w:rPr>
                <w:rFonts w:ascii="Arial" w:cs="Arial" w:eastAsia="Arial" w:hAnsi="Arial"/>
                <w:sz w:val="12"/>
                <w:szCs w:val="12"/>
                <w:color w:val="auto"/>
              </w:rPr>
              <w:t>(3)</w:t>
            </w:r>
          </w:p>
        </w:tc>
        <w:tc>
          <w:tcPr>
            <w:tcW w:w="340" w:type="dxa"/>
            <w:vAlign w:val="bottom"/>
          </w:tcPr>
          <w:p>
            <w:pPr>
              <w:spacing w:after="0"/>
              <w:rPr>
                <w:sz w:val="16"/>
                <w:szCs w:val="16"/>
                <w:color w:val="auto"/>
              </w:rPr>
            </w:pPr>
          </w:p>
        </w:tc>
        <w:tc>
          <w:tcPr>
            <w:tcW w:w="1140" w:type="dxa"/>
            <w:vAlign w:val="bottom"/>
          </w:tcPr>
          <w:p>
            <w:pPr>
              <w:jc w:val="right"/>
              <w:ind w:right="60"/>
              <w:spacing w:after="0"/>
              <w:rPr>
                <w:sz w:val="20"/>
                <w:szCs w:val="20"/>
                <w:color w:val="auto"/>
              </w:rPr>
            </w:pPr>
            <w:r>
              <w:rPr>
                <w:rFonts w:ascii="Arial" w:cs="Arial" w:eastAsia="Arial" w:hAnsi="Arial"/>
                <w:sz w:val="16"/>
                <w:szCs w:val="16"/>
                <w:b w:val="1"/>
                <w:bCs w:val="1"/>
                <w:color w:val="auto"/>
              </w:rPr>
              <w:t>457,031</w:t>
            </w:r>
          </w:p>
        </w:tc>
        <w:tc>
          <w:tcPr>
            <w:tcW w:w="360" w:type="dxa"/>
            <w:vAlign w:val="bottom"/>
          </w:tcPr>
          <w:p>
            <w:pPr>
              <w:spacing w:after="0"/>
              <w:rPr>
                <w:sz w:val="16"/>
                <w:szCs w:val="16"/>
                <w:color w:val="auto"/>
              </w:rPr>
            </w:pPr>
          </w:p>
        </w:tc>
        <w:tc>
          <w:tcPr>
            <w:tcW w:w="112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457,031</w:t>
            </w:r>
          </w:p>
        </w:tc>
        <w:tc>
          <w:tcPr>
            <w:tcW w:w="0" w:type="dxa"/>
            <w:vAlign w:val="bottom"/>
          </w:tcPr>
          <w:p>
            <w:pPr>
              <w:spacing w:after="0"/>
              <w:rPr>
                <w:sz w:val="1"/>
                <w:szCs w:val="1"/>
                <w:color w:val="auto"/>
              </w:rPr>
            </w:pPr>
          </w:p>
        </w:tc>
      </w:tr>
      <w:tr>
        <w:trPr>
          <w:trHeight w:val="207"/>
        </w:trPr>
        <w:tc>
          <w:tcPr>
            <w:tcW w:w="7100" w:type="dxa"/>
            <w:vAlign w:val="bottom"/>
          </w:tcPr>
          <w:p>
            <w:pPr>
              <w:ind w:left="240"/>
              <w:spacing w:after="0"/>
              <w:rPr>
                <w:sz w:val="20"/>
                <w:szCs w:val="20"/>
                <w:color w:val="auto"/>
              </w:rPr>
            </w:pPr>
            <w:r>
              <w:rPr>
                <w:rFonts w:ascii="Arial" w:cs="Arial" w:eastAsia="Arial" w:hAnsi="Arial"/>
                <w:sz w:val="16"/>
                <w:szCs w:val="16"/>
                <w:color w:val="auto"/>
              </w:rPr>
              <w:t xml:space="preserve">Other current investments </w:t>
            </w:r>
            <w:r>
              <w:rPr>
                <w:rFonts w:ascii="Arial" w:cs="Arial" w:eastAsia="Arial" w:hAnsi="Arial"/>
                <w:sz w:val="12"/>
                <w:szCs w:val="12"/>
                <w:color w:val="auto"/>
              </w:rPr>
              <w:t>(4)</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14,978</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23,210</w:t>
            </w: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38,188</w:t>
            </w:r>
          </w:p>
        </w:tc>
        <w:tc>
          <w:tcPr>
            <w:tcW w:w="0" w:type="dxa"/>
            <w:vAlign w:val="bottom"/>
          </w:tcPr>
          <w:p>
            <w:pPr>
              <w:spacing w:after="0"/>
              <w:rPr>
                <w:sz w:val="1"/>
                <w:szCs w:val="1"/>
                <w:color w:val="auto"/>
              </w:rPr>
            </w:pPr>
          </w:p>
        </w:tc>
      </w:tr>
      <w:tr>
        <w:trPr>
          <w:trHeight w:val="183"/>
        </w:trPr>
        <w:tc>
          <w:tcPr>
            <w:tcW w:w="7100" w:type="dxa"/>
            <w:vAlign w:val="bottom"/>
          </w:tcPr>
          <w:p>
            <w:pPr>
              <w:ind w:left="460"/>
              <w:spacing w:after="0" w:line="183" w:lineRule="exact"/>
              <w:rPr>
                <w:sz w:val="20"/>
                <w:szCs w:val="20"/>
                <w:color w:val="auto"/>
              </w:rPr>
            </w:pPr>
            <w:r>
              <w:rPr>
                <w:rFonts w:ascii="Arial" w:cs="Arial" w:eastAsia="Arial" w:hAnsi="Arial"/>
                <w:sz w:val="16"/>
                <w:szCs w:val="16"/>
                <w:b w:val="1"/>
                <w:bCs w:val="1"/>
                <w:color w:val="auto"/>
              </w:rPr>
              <w:t>Total Financial Assets</w:t>
            </w:r>
          </w:p>
        </w:tc>
        <w:tc>
          <w:tcPr>
            <w:tcW w:w="34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ind w:right="60"/>
              <w:spacing w:after="0" w:line="183" w:lineRule="exact"/>
              <w:rPr>
                <w:sz w:val="20"/>
                <w:szCs w:val="20"/>
                <w:color w:val="auto"/>
              </w:rPr>
            </w:pPr>
            <w:r>
              <w:rPr>
                <w:rFonts w:ascii="Arial" w:cs="Arial" w:eastAsia="Arial" w:hAnsi="Arial"/>
                <w:sz w:val="16"/>
                <w:szCs w:val="16"/>
                <w:b w:val="1"/>
                <w:bCs w:val="1"/>
                <w:color w:val="auto"/>
              </w:rPr>
              <w:t>472,009</w:t>
            </w:r>
          </w:p>
        </w:tc>
        <w:tc>
          <w:tcPr>
            <w:tcW w:w="36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ind w:right="60"/>
              <w:spacing w:after="0" w:line="183" w:lineRule="exact"/>
              <w:rPr>
                <w:sz w:val="20"/>
                <w:szCs w:val="20"/>
                <w:color w:val="auto"/>
              </w:rPr>
            </w:pPr>
            <w:r>
              <w:rPr>
                <w:rFonts w:ascii="Arial" w:cs="Arial" w:eastAsia="Arial" w:hAnsi="Arial"/>
                <w:sz w:val="16"/>
                <w:szCs w:val="16"/>
                <w:b w:val="1"/>
                <w:bCs w:val="1"/>
                <w:color w:val="auto"/>
              </w:rPr>
              <w:t>313,710</w:t>
            </w:r>
          </w:p>
        </w:tc>
        <w:tc>
          <w:tcPr>
            <w:tcW w:w="38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785,719</w:t>
            </w:r>
          </w:p>
        </w:tc>
        <w:tc>
          <w:tcPr>
            <w:tcW w:w="0" w:type="dxa"/>
            <w:vAlign w:val="bottom"/>
          </w:tcPr>
          <w:p>
            <w:pPr>
              <w:spacing w:after="0"/>
              <w:rPr>
                <w:sz w:val="1"/>
                <w:szCs w:val="1"/>
                <w:color w:val="auto"/>
              </w:rPr>
            </w:pPr>
          </w:p>
        </w:tc>
      </w:tr>
      <w:tr>
        <w:trPr>
          <w:trHeight w:val="20"/>
        </w:trPr>
        <w:tc>
          <w:tcPr>
            <w:tcW w:w="7100" w:type="dxa"/>
            <w:vAlign w:val="bottom"/>
            <w:vMerge w:val="restart"/>
          </w:tcPr>
          <w:p>
            <w:pPr>
              <w:spacing w:after="0"/>
              <w:rPr>
                <w:sz w:val="20"/>
                <w:szCs w:val="20"/>
                <w:color w:val="auto"/>
              </w:rPr>
            </w:pPr>
            <w:r>
              <w:rPr>
                <w:rFonts w:ascii="Arial" w:cs="Arial" w:eastAsia="Arial" w:hAnsi="Arial"/>
                <w:sz w:val="16"/>
                <w:szCs w:val="16"/>
                <w:b w:val="1"/>
                <w:bCs w:val="1"/>
                <w:color w:val="auto"/>
              </w:rPr>
              <w:t>Liabilities</w:t>
            </w: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7100" w:type="dxa"/>
            <w:vAlign w:val="bottom"/>
            <w:vMerge w:val="continue"/>
          </w:tcPr>
          <w:p>
            <w:pPr>
              <w:spacing w:after="0"/>
              <w:rPr>
                <w:sz w:val="24"/>
                <w:szCs w:val="24"/>
                <w:color w:val="auto"/>
              </w:rPr>
            </w:pPr>
          </w:p>
        </w:tc>
        <w:tc>
          <w:tcPr>
            <w:tcW w:w="34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w:t>
            </w:r>
          </w:p>
        </w:tc>
        <w:tc>
          <w:tcPr>
            <w:tcW w:w="1140" w:type="dxa"/>
            <w:vAlign w:val="bottom"/>
            <w:vMerge w:val="restart"/>
          </w:tcPr>
          <w:p>
            <w:pPr>
              <w:jc w:val="right"/>
              <w:ind w:right="60"/>
              <w:spacing w:after="0"/>
              <w:rPr>
                <w:sz w:val="20"/>
                <w:szCs w:val="20"/>
                <w:color w:val="auto"/>
              </w:rPr>
            </w:pPr>
            <w:r>
              <w:rPr>
                <w:rFonts w:ascii="Arial" w:cs="Arial" w:eastAsia="Arial" w:hAnsi="Arial"/>
                <w:sz w:val="16"/>
                <w:szCs w:val="16"/>
                <w:b w:val="1"/>
                <w:bCs w:val="1"/>
                <w:color w:val="auto"/>
              </w:rPr>
              <w:t>―</w:t>
            </w:r>
          </w:p>
        </w:tc>
        <w:tc>
          <w:tcPr>
            <w:tcW w:w="36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w:t>
            </w:r>
          </w:p>
        </w:tc>
        <w:tc>
          <w:tcPr>
            <w:tcW w:w="1120" w:type="dxa"/>
            <w:vAlign w:val="bottom"/>
            <w:vMerge w:val="restart"/>
          </w:tcPr>
          <w:p>
            <w:pPr>
              <w:jc w:val="right"/>
              <w:ind w:right="60"/>
              <w:spacing w:after="0"/>
              <w:rPr>
                <w:sz w:val="20"/>
                <w:szCs w:val="20"/>
                <w:color w:val="auto"/>
              </w:rPr>
            </w:pPr>
            <w:r>
              <w:rPr>
                <w:rFonts w:ascii="Arial" w:cs="Arial" w:eastAsia="Arial" w:hAnsi="Arial"/>
                <w:sz w:val="16"/>
                <w:szCs w:val="16"/>
                <w:b w:val="1"/>
                <w:bCs w:val="1"/>
                <w:color w:val="auto"/>
              </w:rPr>
              <w:t>62,358</w:t>
            </w:r>
          </w:p>
        </w:tc>
        <w:tc>
          <w:tcPr>
            <w:tcW w:w="38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62,358</w:t>
            </w:r>
          </w:p>
        </w:tc>
        <w:tc>
          <w:tcPr>
            <w:tcW w:w="0" w:type="dxa"/>
            <w:vAlign w:val="bottom"/>
          </w:tcPr>
          <w:p>
            <w:pPr>
              <w:spacing w:after="0"/>
              <w:rPr>
                <w:sz w:val="1"/>
                <w:szCs w:val="1"/>
                <w:color w:val="auto"/>
              </w:rPr>
            </w:pPr>
          </w:p>
        </w:tc>
      </w:tr>
      <w:tr>
        <w:trPr>
          <w:trHeight w:val="169"/>
        </w:trPr>
        <w:tc>
          <w:tcPr>
            <w:tcW w:w="7100" w:type="dxa"/>
            <w:vAlign w:val="bottom"/>
          </w:tcPr>
          <w:p>
            <w:pPr>
              <w:ind w:left="240"/>
              <w:spacing w:after="0" w:line="169" w:lineRule="exact"/>
              <w:rPr>
                <w:sz w:val="20"/>
                <w:szCs w:val="20"/>
                <w:color w:val="auto"/>
              </w:rPr>
            </w:pPr>
            <w:r>
              <w:rPr>
                <w:rFonts w:ascii="Arial" w:cs="Arial" w:eastAsia="Arial" w:hAnsi="Arial"/>
                <w:sz w:val="16"/>
                <w:szCs w:val="16"/>
                <w:color w:val="auto"/>
              </w:rPr>
              <w:t xml:space="preserve">Deferred compensation plan liabilities </w:t>
            </w:r>
            <w:r>
              <w:rPr>
                <w:rFonts w:ascii="Arial" w:cs="Arial" w:eastAsia="Arial" w:hAnsi="Arial"/>
                <w:sz w:val="12"/>
                <w:szCs w:val="12"/>
                <w:color w:val="auto"/>
              </w:rPr>
              <w:t>(5)</w:t>
            </w:r>
          </w:p>
        </w:tc>
        <w:tc>
          <w:tcPr>
            <w:tcW w:w="34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100" w:type="dxa"/>
            <w:vAlign w:val="bottom"/>
          </w:tcPr>
          <w:p>
            <w:pPr>
              <w:ind w:left="240"/>
              <w:spacing w:after="0"/>
              <w:rPr>
                <w:sz w:val="20"/>
                <w:szCs w:val="20"/>
                <w:color w:val="auto"/>
              </w:rPr>
            </w:pPr>
            <w:r>
              <w:rPr>
                <w:rFonts w:ascii="Arial" w:cs="Arial" w:eastAsia="Arial" w:hAnsi="Arial"/>
                <w:sz w:val="16"/>
                <w:szCs w:val="16"/>
                <w:color w:val="auto"/>
              </w:rPr>
              <w:t xml:space="preserve">7.25% unsecured notes </w:t>
            </w:r>
            <w:r>
              <w:rPr>
                <w:rFonts w:ascii="Arial" w:cs="Arial" w:eastAsia="Arial" w:hAnsi="Arial"/>
                <w:sz w:val="12"/>
                <w:szCs w:val="12"/>
                <w:color w:val="auto"/>
              </w:rPr>
              <w:t>(6)</w:t>
            </w:r>
          </w:p>
        </w:tc>
        <w:tc>
          <w:tcPr>
            <w:tcW w:w="340" w:type="dxa"/>
            <w:vAlign w:val="bottom"/>
          </w:tcPr>
          <w:p>
            <w:pPr>
              <w:spacing w:after="0"/>
              <w:rPr>
                <w:sz w:val="16"/>
                <w:szCs w:val="16"/>
                <w:color w:val="auto"/>
              </w:rPr>
            </w:pPr>
          </w:p>
        </w:tc>
        <w:tc>
          <w:tcPr>
            <w:tcW w:w="114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16"/>
                <w:szCs w:val="16"/>
                <w:color w:val="auto"/>
              </w:rPr>
            </w:pPr>
          </w:p>
        </w:tc>
        <w:tc>
          <w:tcPr>
            <w:tcW w:w="1120" w:type="dxa"/>
            <w:vAlign w:val="bottom"/>
          </w:tcPr>
          <w:p>
            <w:pPr>
              <w:jc w:val="right"/>
              <w:ind w:right="60"/>
              <w:spacing w:after="0"/>
              <w:rPr>
                <w:sz w:val="20"/>
                <w:szCs w:val="20"/>
                <w:color w:val="auto"/>
              </w:rPr>
            </w:pPr>
            <w:r>
              <w:rPr>
                <w:rFonts w:ascii="Arial" w:cs="Arial" w:eastAsia="Arial" w:hAnsi="Arial"/>
                <w:sz w:val="16"/>
                <w:szCs w:val="16"/>
                <w:b w:val="1"/>
                <w:bCs w:val="1"/>
                <w:color w:val="auto"/>
              </w:rPr>
              <w:t>461,812</w:t>
            </w: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461,812</w:t>
            </w:r>
          </w:p>
        </w:tc>
        <w:tc>
          <w:tcPr>
            <w:tcW w:w="0" w:type="dxa"/>
            <w:vAlign w:val="bottom"/>
          </w:tcPr>
          <w:p>
            <w:pPr>
              <w:spacing w:after="0"/>
              <w:rPr>
                <w:sz w:val="1"/>
                <w:szCs w:val="1"/>
                <w:color w:val="auto"/>
              </w:rPr>
            </w:pPr>
          </w:p>
        </w:tc>
      </w:tr>
      <w:tr>
        <w:trPr>
          <w:trHeight w:val="189"/>
        </w:trPr>
        <w:tc>
          <w:tcPr>
            <w:tcW w:w="7100" w:type="dxa"/>
            <w:vAlign w:val="bottom"/>
          </w:tcPr>
          <w:p>
            <w:pPr>
              <w:ind w:left="240"/>
              <w:spacing w:after="0"/>
              <w:rPr>
                <w:sz w:val="20"/>
                <w:szCs w:val="20"/>
                <w:color w:val="auto"/>
              </w:rPr>
            </w:pPr>
            <w:r>
              <w:rPr>
                <w:rFonts w:ascii="Arial" w:cs="Arial" w:eastAsia="Arial" w:hAnsi="Arial"/>
                <w:sz w:val="16"/>
                <w:szCs w:val="16"/>
                <w:color w:val="auto"/>
              </w:rPr>
              <w:t xml:space="preserve">AUD revolving credit borrowing </w:t>
            </w:r>
            <w:r>
              <w:rPr>
                <w:rFonts w:ascii="Arial" w:cs="Arial" w:eastAsia="Arial" w:hAnsi="Arial"/>
                <w:sz w:val="12"/>
                <w:szCs w:val="12"/>
                <w:color w:val="auto"/>
              </w:rPr>
              <w:t>(6)</w:t>
            </w:r>
          </w:p>
        </w:tc>
        <w:tc>
          <w:tcPr>
            <w:tcW w:w="340" w:type="dxa"/>
            <w:vAlign w:val="bottom"/>
          </w:tcPr>
          <w:p>
            <w:pPr>
              <w:spacing w:after="0"/>
              <w:rPr>
                <w:sz w:val="16"/>
                <w:szCs w:val="16"/>
                <w:color w:val="auto"/>
              </w:rPr>
            </w:pPr>
          </w:p>
        </w:tc>
        <w:tc>
          <w:tcPr>
            <w:tcW w:w="114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16"/>
                <w:szCs w:val="16"/>
                <w:color w:val="auto"/>
              </w:rPr>
            </w:pPr>
          </w:p>
        </w:tc>
        <w:tc>
          <w:tcPr>
            <w:tcW w:w="1120" w:type="dxa"/>
            <w:vAlign w:val="bottom"/>
          </w:tcPr>
          <w:p>
            <w:pPr>
              <w:jc w:val="right"/>
              <w:ind w:right="60"/>
              <w:spacing w:after="0"/>
              <w:rPr>
                <w:sz w:val="20"/>
                <w:szCs w:val="20"/>
                <w:color w:val="auto"/>
              </w:rPr>
            </w:pPr>
            <w:r>
              <w:rPr>
                <w:rFonts w:ascii="Arial" w:cs="Arial" w:eastAsia="Arial" w:hAnsi="Arial"/>
                <w:sz w:val="16"/>
                <w:szCs w:val="16"/>
                <w:b w:val="1"/>
                <w:bCs w:val="1"/>
                <w:color w:val="auto"/>
              </w:rPr>
              <w:t>45,664</w:t>
            </w: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45,664</w:t>
            </w:r>
          </w:p>
        </w:tc>
        <w:tc>
          <w:tcPr>
            <w:tcW w:w="0" w:type="dxa"/>
            <w:vAlign w:val="bottom"/>
          </w:tcPr>
          <w:p>
            <w:pPr>
              <w:spacing w:after="0"/>
              <w:rPr>
                <w:sz w:val="1"/>
                <w:szCs w:val="1"/>
                <w:color w:val="auto"/>
              </w:rPr>
            </w:pPr>
          </w:p>
        </w:tc>
      </w:tr>
      <w:tr>
        <w:trPr>
          <w:trHeight w:val="207"/>
        </w:trPr>
        <w:tc>
          <w:tcPr>
            <w:tcW w:w="7100" w:type="dxa"/>
            <w:vAlign w:val="bottom"/>
          </w:tcPr>
          <w:p>
            <w:pPr>
              <w:ind w:left="240"/>
              <w:spacing w:after="0"/>
              <w:rPr>
                <w:sz w:val="20"/>
                <w:szCs w:val="20"/>
                <w:color w:val="auto"/>
              </w:rPr>
            </w:pPr>
            <w:r>
              <w:rPr>
                <w:rFonts w:ascii="Arial" w:cs="Arial" w:eastAsia="Arial" w:hAnsi="Arial"/>
                <w:sz w:val="16"/>
                <w:szCs w:val="16"/>
                <w:color w:val="auto"/>
              </w:rPr>
              <w:t xml:space="preserve">Interest rate swap </w:t>
            </w:r>
            <w:r>
              <w:rPr>
                <w:rFonts w:ascii="Arial" w:cs="Arial" w:eastAsia="Arial" w:hAnsi="Arial"/>
                <w:sz w:val="12"/>
                <w:szCs w:val="12"/>
                <w:color w:val="auto"/>
              </w:rPr>
              <w:t>(7)</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1,323</w:t>
            </w: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1,323</w:t>
            </w:r>
          </w:p>
        </w:tc>
        <w:tc>
          <w:tcPr>
            <w:tcW w:w="0" w:type="dxa"/>
            <w:vAlign w:val="bottom"/>
          </w:tcPr>
          <w:p>
            <w:pPr>
              <w:spacing w:after="0"/>
              <w:rPr>
                <w:sz w:val="1"/>
                <w:szCs w:val="1"/>
                <w:color w:val="auto"/>
              </w:rPr>
            </w:pPr>
          </w:p>
        </w:tc>
      </w:tr>
      <w:tr>
        <w:trPr>
          <w:trHeight w:val="183"/>
        </w:trPr>
        <w:tc>
          <w:tcPr>
            <w:tcW w:w="7100" w:type="dxa"/>
            <w:vAlign w:val="bottom"/>
          </w:tcPr>
          <w:p>
            <w:pPr>
              <w:ind w:left="460"/>
              <w:spacing w:after="0" w:line="183" w:lineRule="exact"/>
              <w:rPr>
                <w:sz w:val="20"/>
                <w:szCs w:val="20"/>
                <w:color w:val="auto"/>
              </w:rPr>
            </w:pPr>
            <w:r>
              <w:rPr>
                <w:rFonts w:ascii="Arial" w:cs="Arial" w:eastAsia="Arial" w:hAnsi="Arial"/>
                <w:sz w:val="16"/>
                <w:szCs w:val="16"/>
                <w:b w:val="1"/>
                <w:bCs w:val="1"/>
                <w:color w:val="auto"/>
              </w:rPr>
              <w:t>Total Financial Liabilities</w:t>
            </w:r>
          </w:p>
        </w:tc>
        <w:tc>
          <w:tcPr>
            <w:tcW w:w="34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ind w:right="60"/>
              <w:spacing w:after="0" w:line="183" w:lineRule="exact"/>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ind w:right="60"/>
              <w:spacing w:after="0" w:line="183" w:lineRule="exact"/>
              <w:rPr>
                <w:sz w:val="20"/>
                <w:szCs w:val="20"/>
                <w:color w:val="auto"/>
              </w:rPr>
            </w:pPr>
            <w:r>
              <w:rPr>
                <w:rFonts w:ascii="Arial" w:cs="Arial" w:eastAsia="Arial" w:hAnsi="Arial"/>
                <w:sz w:val="16"/>
                <w:szCs w:val="16"/>
                <w:b w:val="1"/>
                <w:bCs w:val="1"/>
                <w:color w:val="auto"/>
              </w:rPr>
              <w:t>571,157</w:t>
            </w:r>
          </w:p>
        </w:tc>
        <w:tc>
          <w:tcPr>
            <w:tcW w:w="38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571,157</w:t>
            </w:r>
          </w:p>
        </w:tc>
        <w:tc>
          <w:tcPr>
            <w:tcW w:w="0" w:type="dxa"/>
            <w:vAlign w:val="bottom"/>
          </w:tcPr>
          <w:p>
            <w:pPr>
              <w:spacing w:after="0"/>
              <w:rPr>
                <w:sz w:val="1"/>
                <w:szCs w:val="1"/>
                <w:color w:val="auto"/>
              </w:rPr>
            </w:pPr>
          </w:p>
        </w:tc>
      </w:tr>
      <w:tr>
        <w:trPr>
          <w:trHeight w:val="20"/>
        </w:trPr>
        <w:tc>
          <w:tcPr>
            <w:tcW w:w="7100" w:type="dxa"/>
            <w:vAlign w:val="bottom"/>
            <w:vMerge w:val="restart"/>
          </w:tcPr>
          <w:p>
            <w:pPr>
              <w:spacing w:after="0"/>
              <w:rPr>
                <w:sz w:val="20"/>
                <w:szCs w:val="20"/>
                <w:color w:val="auto"/>
              </w:rPr>
            </w:pPr>
            <w:r>
              <w:rPr>
                <w:rFonts w:ascii="Arial" w:cs="Arial" w:eastAsia="Arial" w:hAnsi="Arial"/>
                <w:sz w:val="16"/>
                <w:szCs w:val="16"/>
                <w:b w:val="1"/>
                <w:bCs w:val="1"/>
                <w:color w:val="auto"/>
              </w:rPr>
              <w:t>As of December 31, 2012</w:t>
            </w: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5"/>
        </w:trPr>
        <w:tc>
          <w:tcPr>
            <w:tcW w:w="71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710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100" w:type="dxa"/>
            <w:vAlign w:val="bottom"/>
          </w:tcPr>
          <w:p>
            <w:pPr>
              <w:ind w:left="240"/>
              <w:spacing w:after="0"/>
              <w:rPr>
                <w:sz w:val="20"/>
                <w:szCs w:val="20"/>
                <w:color w:val="auto"/>
              </w:rPr>
            </w:pPr>
            <w:r>
              <w:rPr>
                <w:rFonts w:ascii="Arial" w:cs="Arial" w:eastAsia="Arial" w:hAnsi="Arial"/>
                <w:sz w:val="16"/>
                <w:szCs w:val="16"/>
                <w:color w:val="auto"/>
              </w:rPr>
              <w:t xml:space="preserve">Money market investments </w:t>
            </w:r>
            <w:r>
              <w:rPr>
                <w:rFonts w:ascii="Arial" w:cs="Arial" w:eastAsia="Arial" w:hAnsi="Arial"/>
                <w:sz w:val="12"/>
                <w:szCs w:val="12"/>
                <w:color w:val="auto"/>
              </w:rPr>
              <w:t>(2)</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60"/>
              <w:spacing w:after="0"/>
              <w:rPr>
                <w:sz w:val="20"/>
                <w:szCs w:val="20"/>
                <w:color w:val="auto"/>
              </w:rPr>
            </w:pPr>
            <w:r>
              <w:rPr>
                <w:rFonts w:ascii="Arial" w:cs="Arial" w:eastAsia="Arial" w:hAnsi="Arial"/>
                <w:sz w:val="16"/>
                <w:szCs w:val="16"/>
                <w:color w:val="auto"/>
              </w:rPr>
              <w:t>432,670</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432,670</w:t>
            </w:r>
          </w:p>
        </w:tc>
        <w:tc>
          <w:tcPr>
            <w:tcW w:w="0" w:type="dxa"/>
            <w:vAlign w:val="bottom"/>
          </w:tcPr>
          <w:p>
            <w:pPr>
              <w:spacing w:after="0"/>
              <w:rPr>
                <w:sz w:val="1"/>
                <w:szCs w:val="1"/>
                <w:color w:val="auto"/>
              </w:rPr>
            </w:pPr>
          </w:p>
        </w:tc>
      </w:tr>
      <w:tr>
        <w:trPr>
          <w:trHeight w:val="189"/>
        </w:trPr>
        <w:tc>
          <w:tcPr>
            <w:tcW w:w="7100" w:type="dxa"/>
            <w:vAlign w:val="bottom"/>
          </w:tcPr>
          <w:p>
            <w:pPr>
              <w:ind w:left="240"/>
              <w:spacing w:after="0"/>
              <w:rPr>
                <w:sz w:val="20"/>
                <w:szCs w:val="20"/>
                <w:color w:val="auto"/>
              </w:rPr>
            </w:pPr>
            <w:r>
              <w:rPr>
                <w:rFonts w:ascii="Arial" w:cs="Arial" w:eastAsia="Arial" w:hAnsi="Arial"/>
                <w:sz w:val="16"/>
                <w:szCs w:val="16"/>
                <w:color w:val="auto"/>
              </w:rPr>
              <w:t xml:space="preserve">Marketable equity securities </w:t>
            </w:r>
            <w:r>
              <w:rPr>
                <w:rFonts w:ascii="Arial" w:cs="Arial" w:eastAsia="Arial" w:hAnsi="Arial"/>
                <w:sz w:val="12"/>
                <w:szCs w:val="12"/>
                <w:color w:val="auto"/>
              </w:rPr>
              <w:t>(3)</w:t>
            </w:r>
          </w:p>
        </w:tc>
        <w:tc>
          <w:tcPr>
            <w:tcW w:w="340" w:type="dxa"/>
            <w:vAlign w:val="bottom"/>
          </w:tcPr>
          <w:p>
            <w:pPr>
              <w:spacing w:after="0"/>
              <w:rPr>
                <w:sz w:val="16"/>
                <w:szCs w:val="16"/>
                <w:color w:val="auto"/>
              </w:rPr>
            </w:pPr>
          </w:p>
        </w:tc>
        <w:tc>
          <w:tcPr>
            <w:tcW w:w="1140" w:type="dxa"/>
            <w:vAlign w:val="bottom"/>
          </w:tcPr>
          <w:p>
            <w:pPr>
              <w:jc w:val="right"/>
              <w:ind w:right="60"/>
              <w:spacing w:after="0"/>
              <w:rPr>
                <w:sz w:val="20"/>
                <w:szCs w:val="20"/>
                <w:color w:val="auto"/>
              </w:rPr>
            </w:pPr>
            <w:r>
              <w:rPr>
                <w:rFonts w:ascii="Arial" w:cs="Arial" w:eastAsia="Arial" w:hAnsi="Arial"/>
                <w:sz w:val="16"/>
                <w:szCs w:val="16"/>
                <w:color w:val="auto"/>
              </w:rPr>
              <w:t>380,087</w:t>
            </w:r>
          </w:p>
        </w:tc>
        <w:tc>
          <w:tcPr>
            <w:tcW w:w="360" w:type="dxa"/>
            <w:vAlign w:val="bottom"/>
          </w:tcPr>
          <w:p>
            <w:pPr>
              <w:spacing w:after="0"/>
              <w:rPr>
                <w:sz w:val="16"/>
                <w:szCs w:val="16"/>
                <w:color w:val="auto"/>
              </w:rPr>
            </w:pPr>
          </w:p>
        </w:tc>
        <w:tc>
          <w:tcPr>
            <w:tcW w:w="11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380,087</w:t>
            </w:r>
          </w:p>
        </w:tc>
        <w:tc>
          <w:tcPr>
            <w:tcW w:w="0" w:type="dxa"/>
            <w:vAlign w:val="bottom"/>
          </w:tcPr>
          <w:p>
            <w:pPr>
              <w:spacing w:after="0"/>
              <w:rPr>
                <w:sz w:val="1"/>
                <w:szCs w:val="1"/>
                <w:color w:val="auto"/>
              </w:rPr>
            </w:pPr>
          </w:p>
        </w:tc>
      </w:tr>
      <w:tr>
        <w:trPr>
          <w:trHeight w:val="187"/>
        </w:trPr>
        <w:tc>
          <w:tcPr>
            <w:tcW w:w="7100" w:type="dxa"/>
            <w:vAlign w:val="bottom"/>
          </w:tcPr>
          <w:p>
            <w:pPr>
              <w:ind w:left="240"/>
              <w:spacing w:after="0"/>
              <w:rPr>
                <w:sz w:val="20"/>
                <w:szCs w:val="20"/>
                <w:color w:val="auto"/>
              </w:rPr>
            </w:pPr>
            <w:r>
              <w:rPr>
                <w:rFonts w:ascii="Arial" w:cs="Arial" w:eastAsia="Arial" w:hAnsi="Arial"/>
                <w:sz w:val="16"/>
                <w:szCs w:val="16"/>
                <w:color w:val="auto"/>
              </w:rPr>
              <w:t xml:space="preserve">Other current investments </w:t>
            </w:r>
            <w:r>
              <w:rPr>
                <w:rFonts w:ascii="Arial" w:cs="Arial" w:eastAsia="Arial" w:hAnsi="Arial"/>
                <w:sz w:val="12"/>
                <w:szCs w:val="12"/>
                <w:color w:val="auto"/>
              </w:rPr>
              <w:t>(4)</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14,134</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24,717</w:t>
            </w: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38,851</w:t>
            </w:r>
          </w:p>
        </w:tc>
        <w:tc>
          <w:tcPr>
            <w:tcW w:w="0" w:type="dxa"/>
            <w:vAlign w:val="bottom"/>
          </w:tcPr>
          <w:p>
            <w:pPr>
              <w:spacing w:after="0"/>
              <w:rPr>
                <w:sz w:val="1"/>
                <w:szCs w:val="1"/>
                <w:color w:val="auto"/>
              </w:rPr>
            </w:pPr>
          </w:p>
        </w:tc>
      </w:tr>
      <w:tr>
        <w:trPr>
          <w:trHeight w:val="183"/>
        </w:trPr>
        <w:tc>
          <w:tcPr>
            <w:tcW w:w="7100" w:type="dxa"/>
            <w:vAlign w:val="bottom"/>
          </w:tcPr>
          <w:p>
            <w:pPr>
              <w:ind w:left="460"/>
              <w:spacing w:after="0" w:line="183" w:lineRule="exact"/>
              <w:rPr>
                <w:sz w:val="20"/>
                <w:szCs w:val="20"/>
                <w:color w:val="auto"/>
              </w:rPr>
            </w:pPr>
            <w:r>
              <w:rPr>
                <w:rFonts w:ascii="Arial" w:cs="Arial" w:eastAsia="Arial" w:hAnsi="Arial"/>
                <w:sz w:val="16"/>
                <w:szCs w:val="16"/>
                <w:b w:val="1"/>
                <w:bCs w:val="1"/>
                <w:color w:val="auto"/>
              </w:rPr>
              <w:t>Total Financial Assets</w:t>
            </w:r>
          </w:p>
        </w:tc>
        <w:tc>
          <w:tcPr>
            <w:tcW w:w="34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60"/>
              <w:spacing w:after="0" w:line="183" w:lineRule="exact"/>
              <w:rPr>
                <w:sz w:val="20"/>
                <w:szCs w:val="20"/>
                <w:color w:val="auto"/>
              </w:rPr>
            </w:pPr>
            <w:r>
              <w:rPr>
                <w:rFonts w:ascii="Arial" w:cs="Arial" w:eastAsia="Arial" w:hAnsi="Arial"/>
                <w:sz w:val="16"/>
                <w:szCs w:val="16"/>
                <w:color w:val="auto"/>
              </w:rPr>
              <w:t>394,221</w:t>
            </w:r>
          </w:p>
        </w:tc>
        <w:tc>
          <w:tcPr>
            <w:tcW w:w="36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60"/>
              <w:spacing w:after="0" w:line="183" w:lineRule="exact"/>
              <w:rPr>
                <w:sz w:val="20"/>
                <w:szCs w:val="20"/>
                <w:color w:val="auto"/>
              </w:rPr>
            </w:pPr>
            <w:r>
              <w:rPr>
                <w:rFonts w:ascii="Arial" w:cs="Arial" w:eastAsia="Arial" w:hAnsi="Arial"/>
                <w:sz w:val="16"/>
                <w:szCs w:val="16"/>
                <w:color w:val="auto"/>
              </w:rPr>
              <w:t>457,387</w:t>
            </w:r>
          </w:p>
        </w:tc>
        <w:tc>
          <w:tcPr>
            <w:tcW w:w="38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851,608</w:t>
            </w:r>
          </w:p>
        </w:tc>
        <w:tc>
          <w:tcPr>
            <w:tcW w:w="0" w:type="dxa"/>
            <w:vAlign w:val="bottom"/>
          </w:tcPr>
          <w:p>
            <w:pPr>
              <w:spacing w:after="0"/>
              <w:rPr>
                <w:sz w:val="1"/>
                <w:szCs w:val="1"/>
                <w:color w:val="auto"/>
              </w:rPr>
            </w:pPr>
          </w:p>
        </w:tc>
      </w:tr>
      <w:tr>
        <w:trPr>
          <w:trHeight w:val="20"/>
        </w:trPr>
        <w:tc>
          <w:tcPr>
            <w:tcW w:w="7100" w:type="dxa"/>
            <w:vAlign w:val="bottom"/>
            <w:vMerge w:val="restart"/>
          </w:tcPr>
          <w:p>
            <w:pPr>
              <w:spacing w:after="0"/>
              <w:rPr>
                <w:sz w:val="20"/>
                <w:szCs w:val="20"/>
                <w:color w:val="auto"/>
              </w:rPr>
            </w:pPr>
            <w:r>
              <w:rPr>
                <w:rFonts w:ascii="Arial" w:cs="Arial" w:eastAsia="Arial" w:hAnsi="Arial"/>
                <w:sz w:val="16"/>
                <w:szCs w:val="16"/>
                <w:b w:val="1"/>
                <w:bCs w:val="1"/>
                <w:color w:val="auto"/>
              </w:rPr>
              <w:t>Liabilities</w:t>
            </w: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71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7100" w:type="dxa"/>
            <w:vAlign w:val="bottom"/>
          </w:tcPr>
          <w:p>
            <w:pPr>
              <w:ind w:left="240"/>
              <w:spacing w:after="0"/>
              <w:rPr>
                <w:sz w:val="20"/>
                <w:szCs w:val="20"/>
                <w:color w:val="auto"/>
              </w:rPr>
            </w:pPr>
            <w:r>
              <w:rPr>
                <w:rFonts w:ascii="Arial" w:cs="Arial" w:eastAsia="Arial" w:hAnsi="Arial"/>
                <w:sz w:val="16"/>
                <w:szCs w:val="16"/>
                <w:color w:val="auto"/>
              </w:rPr>
              <w:t xml:space="preserve">Deferred compensation plan liabilities </w:t>
            </w:r>
            <w:r>
              <w:rPr>
                <w:rFonts w:ascii="Arial" w:cs="Arial" w:eastAsia="Arial" w:hAnsi="Arial"/>
                <w:sz w:val="12"/>
                <w:szCs w:val="12"/>
                <w:color w:val="auto"/>
              </w:rPr>
              <w:t>(5)</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60"/>
              <w:spacing w:after="0"/>
              <w:rPr>
                <w:sz w:val="20"/>
                <w:szCs w:val="20"/>
                <w:color w:val="auto"/>
              </w:rPr>
            </w:pPr>
            <w:r>
              <w:rPr>
                <w:rFonts w:ascii="Arial" w:cs="Arial" w:eastAsia="Arial" w:hAnsi="Arial"/>
                <w:sz w:val="16"/>
                <w:szCs w:val="16"/>
                <w:color w:val="auto"/>
              </w:rPr>
              <w:t>62,297</w:t>
            </w:r>
          </w:p>
        </w:tc>
        <w:tc>
          <w:tcPr>
            <w:tcW w:w="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62,297</w:t>
            </w:r>
          </w:p>
        </w:tc>
        <w:tc>
          <w:tcPr>
            <w:tcW w:w="0" w:type="dxa"/>
            <w:vAlign w:val="bottom"/>
          </w:tcPr>
          <w:p>
            <w:pPr>
              <w:spacing w:after="0"/>
              <w:rPr>
                <w:sz w:val="1"/>
                <w:szCs w:val="1"/>
                <w:color w:val="auto"/>
              </w:rPr>
            </w:pPr>
          </w:p>
        </w:tc>
      </w:tr>
      <w:tr>
        <w:trPr>
          <w:trHeight w:val="189"/>
        </w:trPr>
        <w:tc>
          <w:tcPr>
            <w:tcW w:w="7100" w:type="dxa"/>
            <w:vAlign w:val="bottom"/>
          </w:tcPr>
          <w:p>
            <w:pPr>
              <w:ind w:left="240"/>
              <w:spacing w:after="0"/>
              <w:rPr>
                <w:sz w:val="20"/>
                <w:szCs w:val="20"/>
                <w:color w:val="auto"/>
              </w:rPr>
            </w:pPr>
            <w:r>
              <w:rPr>
                <w:rFonts w:ascii="Arial" w:cs="Arial" w:eastAsia="Arial" w:hAnsi="Arial"/>
                <w:sz w:val="16"/>
                <w:szCs w:val="16"/>
                <w:color w:val="auto"/>
              </w:rPr>
              <w:t xml:space="preserve">7.25% unsecured notes </w:t>
            </w:r>
            <w:r>
              <w:rPr>
                <w:rFonts w:ascii="Arial" w:cs="Arial" w:eastAsia="Arial" w:hAnsi="Arial"/>
                <w:sz w:val="12"/>
                <w:szCs w:val="12"/>
                <w:color w:val="auto"/>
              </w:rPr>
              <w:t>(6)</w:t>
            </w:r>
          </w:p>
        </w:tc>
        <w:tc>
          <w:tcPr>
            <w:tcW w:w="340" w:type="dxa"/>
            <w:vAlign w:val="bottom"/>
          </w:tcPr>
          <w:p>
            <w:pPr>
              <w:spacing w:after="0"/>
              <w:rPr>
                <w:sz w:val="16"/>
                <w:szCs w:val="16"/>
                <w:color w:val="auto"/>
              </w:rPr>
            </w:pPr>
          </w:p>
        </w:tc>
        <w:tc>
          <w:tcPr>
            <w:tcW w:w="11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6"/>
                <w:szCs w:val="16"/>
                <w:color w:val="auto"/>
              </w:rPr>
            </w:pPr>
          </w:p>
        </w:tc>
        <w:tc>
          <w:tcPr>
            <w:tcW w:w="1120" w:type="dxa"/>
            <w:vAlign w:val="bottom"/>
          </w:tcPr>
          <w:p>
            <w:pPr>
              <w:jc w:val="right"/>
              <w:ind w:right="60"/>
              <w:spacing w:after="0"/>
              <w:rPr>
                <w:sz w:val="20"/>
                <w:szCs w:val="20"/>
                <w:color w:val="auto"/>
              </w:rPr>
            </w:pPr>
            <w:r>
              <w:rPr>
                <w:rFonts w:ascii="Arial" w:cs="Arial" w:eastAsia="Arial" w:hAnsi="Arial"/>
                <w:sz w:val="16"/>
                <w:szCs w:val="16"/>
                <w:color w:val="auto"/>
              </w:rPr>
              <w:t>481,424</w:t>
            </w: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481,424</w:t>
            </w:r>
          </w:p>
        </w:tc>
        <w:tc>
          <w:tcPr>
            <w:tcW w:w="0" w:type="dxa"/>
            <w:vAlign w:val="bottom"/>
          </w:tcPr>
          <w:p>
            <w:pPr>
              <w:spacing w:after="0"/>
              <w:rPr>
                <w:sz w:val="1"/>
                <w:szCs w:val="1"/>
                <w:color w:val="auto"/>
              </w:rPr>
            </w:pPr>
          </w:p>
        </w:tc>
      </w:tr>
      <w:tr>
        <w:trPr>
          <w:trHeight w:val="189"/>
        </w:trPr>
        <w:tc>
          <w:tcPr>
            <w:tcW w:w="7100" w:type="dxa"/>
            <w:vAlign w:val="bottom"/>
          </w:tcPr>
          <w:p>
            <w:pPr>
              <w:ind w:left="240"/>
              <w:spacing w:after="0"/>
              <w:rPr>
                <w:sz w:val="20"/>
                <w:szCs w:val="20"/>
                <w:color w:val="auto"/>
              </w:rPr>
            </w:pPr>
            <w:r>
              <w:rPr>
                <w:rFonts w:ascii="Arial" w:cs="Arial" w:eastAsia="Arial" w:hAnsi="Arial"/>
                <w:sz w:val="16"/>
                <w:szCs w:val="16"/>
                <w:color w:val="auto"/>
              </w:rPr>
              <w:t xml:space="preserve">AUD revolving credit borrowing </w:t>
            </w:r>
            <w:r>
              <w:rPr>
                <w:rFonts w:ascii="Arial" w:cs="Arial" w:eastAsia="Arial" w:hAnsi="Arial"/>
                <w:sz w:val="12"/>
                <w:szCs w:val="12"/>
                <w:color w:val="auto"/>
              </w:rPr>
              <w:t>(6)</w:t>
            </w:r>
          </w:p>
        </w:tc>
        <w:tc>
          <w:tcPr>
            <w:tcW w:w="340" w:type="dxa"/>
            <w:vAlign w:val="bottom"/>
          </w:tcPr>
          <w:p>
            <w:pPr>
              <w:spacing w:after="0"/>
              <w:rPr>
                <w:sz w:val="16"/>
                <w:szCs w:val="16"/>
                <w:color w:val="auto"/>
              </w:rPr>
            </w:pPr>
          </w:p>
        </w:tc>
        <w:tc>
          <w:tcPr>
            <w:tcW w:w="11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6"/>
                <w:szCs w:val="16"/>
                <w:color w:val="auto"/>
              </w:rPr>
            </w:pPr>
          </w:p>
        </w:tc>
        <w:tc>
          <w:tcPr>
            <w:tcW w:w="1120" w:type="dxa"/>
            <w:vAlign w:val="bottom"/>
          </w:tcPr>
          <w:p>
            <w:pPr>
              <w:jc w:val="right"/>
              <w:ind w:right="60"/>
              <w:spacing w:after="0"/>
              <w:rPr>
                <w:sz w:val="20"/>
                <w:szCs w:val="20"/>
                <w:color w:val="auto"/>
              </w:rPr>
            </w:pPr>
            <w:r>
              <w:rPr>
                <w:rFonts w:ascii="Arial" w:cs="Arial" w:eastAsia="Arial" w:hAnsi="Arial"/>
                <w:sz w:val="16"/>
                <w:szCs w:val="16"/>
                <w:color w:val="auto"/>
              </w:rPr>
              <w:t>51,915</w:t>
            </w: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51,915</w:t>
            </w:r>
          </w:p>
        </w:tc>
        <w:tc>
          <w:tcPr>
            <w:tcW w:w="0" w:type="dxa"/>
            <w:vAlign w:val="bottom"/>
          </w:tcPr>
          <w:p>
            <w:pPr>
              <w:spacing w:after="0"/>
              <w:rPr>
                <w:sz w:val="1"/>
                <w:szCs w:val="1"/>
                <w:color w:val="auto"/>
              </w:rPr>
            </w:pPr>
          </w:p>
        </w:tc>
      </w:tr>
      <w:tr>
        <w:trPr>
          <w:trHeight w:val="187"/>
        </w:trPr>
        <w:tc>
          <w:tcPr>
            <w:tcW w:w="7100" w:type="dxa"/>
            <w:vAlign w:val="bottom"/>
          </w:tcPr>
          <w:p>
            <w:pPr>
              <w:ind w:left="240"/>
              <w:spacing w:after="0"/>
              <w:rPr>
                <w:sz w:val="20"/>
                <w:szCs w:val="20"/>
                <w:color w:val="auto"/>
              </w:rPr>
            </w:pPr>
            <w:r>
              <w:rPr>
                <w:rFonts w:ascii="Arial" w:cs="Arial" w:eastAsia="Arial" w:hAnsi="Arial"/>
                <w:sz w:val="16"/>
                <w:szCs w:val="16"/>
                <w:color w:val="auto"/>
              </w:rPr>
              <w:t xml:space="preserve">Interest rate swap </w:t>
            </w:r>
            <w:r>
              <w:rPr>
                <w:rFonts w:ascii="Arial" w:cs="Arial" w:eastAsia="Arial" w:hAnsi="Arial"/>
                <w:sz w:val="12"/>
                <w:szCs w:val="12"/>
                <w:color w:val="auto"/>
              </w:rPr>
              <w:t>(7)</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1,567</w:t>
            </w: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1,567</w:t>
            </w:r>
          </w:p>
        </w:tc>
        <w:tc>
          <w:tcPr>
            <w:tcW w:w="0" w:type="dxa"/>
            <w:vAlign w:val="bottom"/>
          </w:tcPr>
          <w:p>
            <w:pPr>
              <w:spacing w:after="0"/>
              <w:rPr>
                <w:sz w:val="1"/>
                <w:szCs w:val="1"/>
                <w:color w:val="auto"/>
              </w:rPr>
            </w:pPr>
          </w:p>
        </w:tc>
      </w:tr>
      <w:tr>
        <w:trPr>
          <w:trHeight w:val="183"/>
        </w:trPr>
        <w:tc>
          <w:tcPr>
            <w:tcW w:w="7100" w:type="dxa"/>
            <w:vAlign w:val="bottom"/>
          </w:tcPr>
          <w:p>
            <w:pPr>
              <w:ind w:left="460"/>
              <w:spacing w:after="0" w:line="183" w:lineRule="exact"/>
              <w:rPr>
                <w:sz w:val="20"/>
                <w:szCs w:val="20"/>
                <w:color w:val="auto"/>
              </w:rPr>
            </w:pPr>
            <w:r>
              <w:rPr>
                <w:rFonts w:ascii="Arial" w:cs="Arial" w:eastAsia="Arial" w:hAnsi="Arial"/>
                <w:sz w:val="16"/>
                <w:szCs w:val="16"/>
                <w:b w:val="1"/>
                <w:bCs w:val="1"/>
                <w:color w:val="auto"/>
              </w:rPr>
              <w:t>Total Financial Liabilities</w:t>
            </w:r>
          </w:p>
        </w:tc>
        <w:tc>
          <w:tcPr>
            <w:tcW w:w="34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60"/>
              <w:spacing w:after="0" w:line="183" w:lineRule="exact"/>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60"/>
              <w:spacing w:after="0" w:line="183" w:lineRule="exact"/>
              <w:rPr>
                <w:sz w:val="20"/>
                <w:szCs w:val="20"/>
                <w:color w:val="auto"/>
              </w:rPr>
            </w:pPr>
            <w:r>
              <w:rPr>
                <w:rFonts w:ascii="Arial" w:cs="Arial" w:eastAsia="Arial" w:hAnsi="Arial"/>
                <w:sz w:val="16"/>
                <w:szCs w:val="16"/>
                <w:color w:val="auto"/>
              </w:rPr>
              <w:t>597,203</w:t>
            </w:r>
          </w:p>
        </w:tc>
        <w:tc>
          <w:tcPr>
            <w:tcW w:w="38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597,203</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15" w:lineRule="exact"/>
        <w:rPr>
          <w:sz w:val="20"/>
          <w:szCs w:val="20"/>
          <w:color w:val="auto"/>
        </w:rPr>
      </w:pPr>
    </w:p>
    <w:p>
      <w:pPr>
        <w:ind w:left="440" w:hanging="433"/>
        <w:spacing w:after="0"/>
        <w:tabs>
          <w:tab w:leader="none" w:pos="44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Company’s money market investments are included in cash and cash equivalents.</w:t>
      </w:r>
    </w:p>
    <w:p>
      <w:pPr>
        <w:spacing w:after="0" w:line="1" w:lineRule="exact"/>
        <w:rPr>
          <w:rFonts w:ascii="Arial" w:cs="Arial" w:eastAsia="Arial" w:hAnsi="Arial"/>
          <w:sz w:val="14"/>
          <w:szCs w:val="14"/>
          <w:color w:val="auto"/>
        </w:rPr>
      </w:pPr>
    </w:p>
    <w:p>
      <w:pPr>
        <w:ind w:left="440" w:hanging="433"/>
        <w:spacing w:after="0"/>
        <w:tabs>
          <w:tab w:leader="none" w:pos="44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Company’s money market investments are included in cash, cash equivalents and restricted cash.</w:t>
      </w:r>
    </w:p>
    <w:p>
      <w:pPr>
        <w:spacing w:after="0" w:line="1" w:lineRule="exact"/>
        <w:rPr>
          <w:rFonts w:ascii="Arial" w:cs="Arial" w:eastAsia="Arial" w:hAnsi="Arial"/>
          <w:sz w:val="14"/>
          <w:szCs w:val="14"/>
          <w:color w:val="auto"/>
        </w:rPr>
      </w:pPr>
    </w:p>
    <w:p>
      <w:pPr>
        <w:ind w:left="440" w:hanging="433"/>
        <w:spacing w:after="0"/>
        <w:tabs>
          <w:tab w:leader="none" w:pos="44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Company’s investments in marketable equity securities are classified as available-for-sale.</w:t>
      </w:r>
    </w:p>
    <w:p>
      <w:pPr>
        <w:spacing w:after="0" w:line="14" w:lineRule="exact"/>
        <w:rPr>
          <w:rFonts w:ascii="Arial" w:cs="Arial" w:eastAsia="Arial" w:hAnsi="Arial"/>
          <w:sz w:val="14"/>
          <w:szCs w:val="14"/>
          <w:color w:val="auto"/>
        </w:rPr>
      </w:pPr>
    </w:p>
    <w:p>
      <w:pPr>
        <w:ind w:left="440" w:hanging="433"/>
        <w:spacing w:after="0"/>
        <w:tabs>
          <w:tab w:leader="none" w:pos="44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U.S. Government Securities, corporate bonds, mutual funds and time deposits (with original maturities greater than 90 days, but less than one year).</w:t>
      </w:r>
    </w:p>
    <w:p>
      <w:pPr>
        <w:spacing w:after="0" w:line="1" w:lineRule="exact"/>
        <w:rPr>
          <w:rFonts w:ascii="Arial" w:cs="Arial" w:eastAsia="Arial" w:hAnsi="Arial"/>
          <w:sz w:val="14"/>
          <w:szCs w:val="14"/>
          <w:color w:val="auto"/>
        </w:rPr>
      </w:pPr>
    </w:p>
    <w:p>
      <w:pPr>
        <w:ind w:left="440" w:right="560" w:hanging="433"/>
        <w:spacing w:after="0" w:line="231" w:lineRule="auto"/>
        <w:tabs>
          <w:tab w:leader="none" w:pos="427"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Includes The Washington Post Company Deferred Compensation Plan and supplemental savings plan benefits under The Washington Post Company Supplemental Executive Retirement Plan, which are included in accrued compensation and related benefits.</w:t>
      </w:r>
    </w:p>
    <w:p>
      <w:pPr>
        <w:ind w:left="440" w:hanging="432"/>
        <w:spacing w:after="0"/>
        <w:tabs>
          <w:tab w:leader="none" w:pos="440" w:val="left"/>
        </w:tabs>
        <w:numPr>
          <w:ilvl w:val="0"/>
          <w:numId w:val="5"/>
        </w:numPr>
        <w:rPr>
          <w:rFonts w:ascii="Arial" w:cs="Arial" w:eastAsia="Arial" w:hAnsi="Arial"/>
          <w:sz w:val="14"/>
          <w:szCs w:val="14"/>
          <w:color w:val="auto"/>
        </w:rPr>
      </w:pPr>
      <w:r>
        <w:rPr>
          <w:rFonts w:ascii="Arial" w:cs="Arial" w:eastAsia="Arial" w:hAnsi="Arial"/>
          <w:sz w:val="14"/>
          <w:szCs w:val="14"/>
          <w:color w:val="auto"/>
        </w:rPr>
        <w:t>See Note 6 for carrying amount of these notes and borrowing.</w:t>
      </w:r>
    </w:p>
    <w:p>
      <w:pPr>
        <w:spacing w:after="0" w:line="14" w:lineRule="exact"/>
        <w:rPr>
          <w:rFonts w:ascii="Arial" w:cs="Arial" w:eastAsia="Arial" w:hAnsi="Arial"/>
          <w:sz w:val="14"/>
          <w:szCs w:val="14"/>
          <w:color w:val="auto"/>
        </w:rPr>
      </w:pPr>
    </w:p>
    <w:p>
      <w:pPr>
        <w:ind w:left="440" w:right="180" w:hanging="432"/>
        <w:spacing w:after="0" w:line="231" w:lineRule="auto"/>
        <w:tabs>
          <w:tab w:leader="none" w:pos="427"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Included in Other liabilities. The Company utilized a market approach model using the notional amount of the interest rate swap multiplied by the observable inputs of time to maturity and market interest rates.</w:t>
      </w:r>
    </w:p>
    <w:p>
      <w:pPr>
        <w:spacing w:after="0" w:line="190"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For assets that are measured using quoted prices in active markets, the total fair value is the published market price per unit multiplied by the number of units held without consideration of transaction costs. Assets and liabilities that are measured using significant other observable inputs are primarily valued by reference to quoted prices of similar assets or liabilities in active markets, adjusted for any terms specific to that asset or liability.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846"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8. EARNINGS PER SHARE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Company’s earnings per share from continuing operations (basic and diluted) are presented below:</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320" w:type="dxa"/>
            <w:vAlign w:val="bottom"/>
            <w:gridSpan w:val="3"/>
          </w:tcPr>
          <w:p>
            <w:pPr>
              <w:jc w:val="right"/>
              <w:ind w:right="141"/>
              <w:spacing w:after="0"/>
              <w:rPr>
                <w:sz w:val="20"/>
                <w:szCs w:val="20"/>
                <w:color w:val="auto"/>
              </w:rPr>
            </w:pPr>
            <w:r>
              <w:rPr>
                <w:rFonts w:ascii="Arial" w:cs="Arial" w:eastAsia="Arial" w:hAnsi="Arial"/>
                <w:sz w:val="14"/>
                <w:szCs w:val="14"/>
                <w:b w:val="1"/>
                <w:bCs w:val="1"/>
                <w:color w:val="auto"/>
              </w:rPr>
              <w:t>Three Months Ended</w:t>
            </w: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6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5"/>
        </w:trPr>
        <w:tc>
          <w:tcPr>
            <w:tcW w:w="5840" w:type="dxa"/>
            <w:vAlign w:val="bottom"/>
            <w:vMerge w:val="restart"/>
          </w:tcPr>
          <w:p>
            <w:pPr>
              <w:spacing w:after="0"/>
              <w:rPr>
                <w:sz w:val="20"/>
                <w:szCs w:val="20"/>
                <w:color w:val="auto"/>
              </w:rPr>
            </w:pPr>
            <w:r>
              <w:rPr>
                <w:rFonts w:ascii="Arial" w:cs="Arial" w:eastAsia="Arial" w:hAnsi="Arial"/>
                <w:sz w:val="14"/>
                <w:szCs w:val="14"/>
                <w:color w:val="auto"/>
              </w:rPr>
              <w:t>(in thousands, except per share amounts)</w:t>
            </w:r>
          </w:p>
        </w:tc>
        <w:tc>
          <w:tcPr>
            <w:tcW w:w="8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2"/>
          </w:tcPr>
          <w:p>
            <w:pPr>
              <w:jc w:val="right"/>
              <w:ind w:right="521"/>
              <w:spacing w:after="0"/>
              <w:rPr>
                <w:sz w:val="20"/>
                <w:szCs w:val="20"/>
                <w:color w:val="auto"/>
              </w:rPr>
            </w:pPr>
            <w:r>
              <w:rPr>
                <w:rFonts w:ascii="Arial" w:cs="Arial" w:eastAsia="Arial" w:hAnsi="Arial"/>
                <w:sz w:val="14"/>
                <w:szCs w:val="14"/>
                <w:b w:val="1"/>
                <w:bCs w:val="1"/>
                <w:color w:val="auto"/>
              </w:rPr>
              <w:t>June 30,</w:t>
            </w:r>
          </w:p>
        </w:tc>
        <w:tc>
          <w:tcPr>
            <w:tcW w:w="6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40" w:type="dxa"/>
            <w:vAlign w:val="bottom"/>
            <w:tcBorders>
              <w:bottom w:val="single" w:sz="8" w:color="auto"/>
            </w:tcBorders>
            <w:vMerge w:val="continue"/>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6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2012</w:t>
            </w:r>
          </w:p>
        </w:tc>
        <w:tc>
          <w:tcPr>
            <w:tcW w:w="6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02"/>
              <w:spacing w:after="0" w:line="142" w:lineRule="exact"/>
              <w:rPr>
                <w:sz w:val="20"/>
                <w:szCs w:val="20"/>
                <w:color w:val="auto"/>
              </w:rPr>
            </w:pPr>
            <w:r>
              <w:rPr>
                <w:rFonts w:ascii="Arial" w:cs="Arial" w:eastAsia="Arial" w:hAnsi="Arial"/>
                <w:sz w:val="14"/>
                <w:szCs w:val="14"/>
                <w:b w:val="1"/>
                <w:bCs w:val="1"/>
                <w:color w:val="auto"/>
              </w:rPr>
              <w:t>2013</w:t>
            </w:r>
          </w:p>
        </w:tc>
        <w:tc>
          <w:tcPr>
            <w:tcW w:w="3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00"/>
              <w:spacing w:after="0" w:line="142" w:lineRule="exact"/>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184"/>
        </w:trPr>
        <w:tc>
          <w:tcPr>
            <w:tcW w:w="5840" w:type="dxa"/>
            <w:vAlign w:val="bottom"/>
          </w:tcPr>
          <w:p>
            <w:pPr>
              <w:spacing w:after="0"/>
              <w:rPr>
                <w:sz w:val="20"/>
                <w:szCs w:val="20"/>
                <w:color w:val="auto"/>
              </w:rPr>
            </w:pPr>
            <w:r>
              <w:rPr>
                <w:rFonts w:ascii="Arial" w:cs="Arial" w:eastAsia="Arial" w:hAnsi="Arial"/>
                <w:sz w:val="16"/>
                <w:szCs w:val="16"/>
                <w:color w:val="auto"/>
              </w:rPr>
              <w:t>Income from continuing operations attributable to The</w:t>
            </w:r>
          </w:p>
        </w:tc>
        <w:tc>
          <w:tcPr>
            <w:tcW w:w="820" w:type="dxa"/>
            <w:vAlign w:val="bottom"/>
            <w:vMerge w:val="restart"/>
          </w:tcPr>
          <w:p>
            <w:pPr>
              <w:jc w:val="right"/>
              <w:ind w:right="503"/>
              <w:spacing w:after="0"/>
              <w:rPr>
                <w:sz w:val="20"/>
                <w:szCs w:val="20"/>
                <w:color w:val="auto"/>
              </w:rPr>
            </w:pPr>
            <w:r>
              <w:rPr>
                <w:rFonts w:ascii="Arial" w:cs="Arial" w:eastAsia="Arial" w:hAnsi="Arial"/>
                <w:sz w:val="16"/>
                <w:szCs w:val="16"/>
                <w:b w:val="1"/>
                <w:bCs w:val="1"/>
                <w:color w:val="auto"/>
              </w:rPr>
              <w:t>$</w:t>
            </w:r>
          </w:p>
        </w:tc>
        <w:tc>
          <w:tcPr>
            <w:tcW w:w="660" w:type="dxa"/>
            <w:vAlign w:val="bottom"/>
            <w:vMerge w:val="restart"/>
          </w:tcPr>
          <w:p>
            <w:pPr>
              <w:jc w:val="right"/>
              <w:ind w:right="60"/>
              <w:spacing w:after="0"/>
              <w:rPr>
                <w:sz w:val="20"/>
                <w:szCs w:val="20"/>
                <w:color w:val="auto"/>
              </w:rPr>
            </w:pPr>
            <w:r>
              <w:rPr>
                <w:rFonts w:ascii="Arial" w:cs="Arial" w:eastAsia="Arial" w:hAnsi="Arial"/>
                <w:sz w:val="16"/>
                <w:szCs w:val="16"/>
                <w:b w:val="1"/>
                <w:bCs w:val="1"/>
                <w:color w:val="auto"/>
              </w:rPr>
              <w:t>44,675</w:t>
            </w:r>
          </w:p>
        </w:tc>
        <w:tc>
          <w:tcPr>
            <w:tcW w:w="8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w:t>
            </w:r>
          </w:p>
        </w:tc>
        <w:tc>
          <w:tcPr>
            <w:tcW w:w="1000" w:type="dxa"/>
            <w:vAlign w:val="bottom"/>
            <w:vMerge w:val="restart"/>
          </w:tcPr>
          <w:p>
            <w:pPr>
              <w:jc w:val="right"/>
              <w:ind w:right="62"/>
              <w:spacing w:after="0"/>
              <w:rPr>
                <w:sz w:val="20"/>
                <w:szCs w:val="20"/>
                <w:color w:val="auto"/>
              </w:rPr>
            </w:pPr>
            <w:r>
              <w:rPr>
                <w:rFonts w:ascii="Arial" w:cs="Arial" w:eastAsia="Arial" w:hAnsi="Arial"/>
                <w:sz w:val="16"/>
                <w:szCs w:val="16"/>
                <w:b w:val="1"/>
                <w:bCs w:val="1"/>
                <w:color w:val="auto"/>
              </w:rPr>
              <w:t>50,779</w:t>
            </w: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40" w:type="dxa"/>
            <w:vAlign w:val="bottom"/>
          </w:tcPr>
          <w:p>
            <w:pPr>
              <w:ind w:left="240"/>
              <w:spacing w:after="0" w:line="169" w:lineRule="exact"/>
              <w:rPr>
                <w:sz w:val="20"/>
                <w:szCs w:val="20"/>
                <w:color w:val="auto"/>
              </w:rPr>
            </w:pPr>
            <w:r>
              <w:rPr>
                <w:rFonts w:ascii="Arial" w:cs="Arial" w:eastAsia="Arial" w:hAnsi="Arial"/>
                <w:sz w:val="16"/>
                <w:szCs w:val="16"/>
                <w:color w:val="auto"/>
              </w:rPr>
              <w:t>Washington Post Company common stockholders</w:t>
            </w:r>
          </w:p>
        </w:tc>
        <w:tc>
          <w:tcPr>
            <w:tcW w:w="8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840" w:type="dxa"/>
            <w:vAlign w:val="bottom"/>
          </w:tcPr>
          <w:p>
            <w:pPr>
              <w:jc w:val="right"/>
              <w:ind w:right="501"/>
              <w:spacing w:after="0" w:line="169" w:lineRule="exact"/>
              <w:rPr>
                <w:sz w:val="20"/>
                <w:szCs w:val="20"/>
                <w:color w:val="auto"/>
              </w:rPr>
            </w:pPr>
            <w:r>
              <w:rPr>
                <w:rFonts w:ascii="Arial" w:cs="Arial" w:eastAsia="Arial" w:hAnsi="Arial"/>
                <w:sz w:val="16"/>
                <w:szCs w:val="16"/>
                <w:color w:val="auto"/>
              </w:rPr>
              <w:t>$</w:t>
            </w:r>
          </w:p>
        </w:tc>
        <w:tc>
          <w:tcPr>
            <w:tcW w:w="660" w:type="dxa"/>
            <w:vAlign w:val="bottom"/>
          </w:tcPr>
          <w:p>
            <w:pPr>
              <w:jc w:val="right"/>
              <w:ind w:right="59"/>
              <w:spacing w:after="0" w:line="169" w:lineRule="exact"/>
              <w:rPr>
                <w:sz w:val="20"/>
                <w:szCs w:val="20"/>
                <w:color w:val="auto"/>
              </w:rPr>
            </w:pPr>
            <w:r>
              <w:rPr>
                <w:rFonts w:ascii="Arial" w:cs="Arial" w:eastAsia="Arial" w:hAnsi="Arial"/>
                <w:sz w:val="16"/>
                <w:szCs w:val="16"/>
                <w:color w:val="auto"/>
              </w:rPr>
              <w:t>36,063</w:t>
            </w:r>
          </w:p>
        </w:tc>
        <w:tc>
          <w:tcPr>
            <w:tcW w:w="3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360" w:type="dxa"/>
            <w:vAlign w:val="bottom"/>
          </w:tcPr>
          <w:p>
            <w:pPr>
              <w:jc w:val="right"/>
              <w:ind w:right="39"/>
              <w:spacing w:after="0" w:line="169" w:lineRule="exact"/>
              <w:rPr>
                <w:sz w:val="20"/>
                <w:szCs w:val="20"/>
                <w:color w:val="auto"/>
              </w:rPr>
            </w:pPr>
            <w:r>
              <w:rPr>
                <w:rFonts w:ascii="Arial" w:cs="Arial" w:eastAsia="Arial" w:hAnsi="Arial"/>
                <w:sz w:val="16"/>
                <w:szCs w:val="16"/>
                <w:color w:val="auto"/>
              </w:rPr>
              <w:t>$</w:t>
            </w:r>
          </w:p>
        </w:tc>
        <w:tc>
          <w:tcPr>
            <w:tcW w:w="900" w:type="dxa"/>
            <w:vAlign w:val="bottom"/>
          </w:tcPr>
          <w:p>
            <w:pPr>
              <w:jc w:val="right"/>
              <w:spacing w:after="0" w:line="169" w:lineRule="exact"/>
              <w:rPr>
                <w:sz w:val="20"/>
                <w:szCs w:val="20"/>
                <w:color w:val="auto"/>
              </w:rPr>
            </w:pPr>
            <w:r>
              <w:rPr>
                <w:rFonts w:ascii="Arial" w:cs="Arial" w:eastAsia="Arial" w:hAnsi="Arial"/>
                <w:sz w:val="16"/>
                <w:szCs w:val="16"/>
                <w:color w:val="auto"/>
              </w:rPr>
              <w:t>49,522</w:t>
            </w:r>
          </w:p>
        </w:tc>
        <w:tc>
          <w:tcPr>
            <w:tcW w:w="0" w:type="dxa"/>
            <w:vAlign w:val="bottom"/>
          </w:tcPr>
          <w:p>
            <w:pPr>
              <w:spacing w:after="0"/>
              <w:rPr>
                <w:sz w:val="1"/>
                <w:szCs w:val="1"/>
                <w:color w:val="auto"/>
              </w:rPr>
            </w:pPr>
          </w:p>
        </w:tc>
      </w:tr>
      <w:tr>
        <w:trPr>
          <w:trHeight w:val="207"/>
        </w:trPr>
        <w:tc>
          <w:tcPr>
            <w:tcW w:w="5840" w:type="dxa"/>
            <w:vAlign w:val="bottom"/>
          </w:tcPr>
          <w:p>
            <w:pPr>
              <w:spacing w:after="0"/>
              <w:rPr>
                <w:sz w:val="20"/>
                <w:szCs w:val="20"/>
                <w:color w:val="auto"/>
              </w:rPr>
            </w:pPr>
            <w:r>
              <w:rPr>
                <w:rFonts w:ascii="Arial" w:cs="Arial" w:eastAsia="Arial" w:hAnsi="Arial"/>
                <w:sz w:val="16"/>
                <w:szCs w:val="16"/>
                <w:color w:val="auto"/>
              </w:rPr>
              <w:t>Less: Amount attributable to participating securities</w:t>
            </w:r>
          </w:p>
        </w:tc>
        <w:tc>
          <w:tcPr>
            <w:tcW w:w="8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w w:val="98"/>
              </w:rPr>
              <w:t>(1,159)</w:t>
            </w:r>
          </w:p>
        </w:tc>
        <w:tc>
          <w:tcPr>
            <w:tcW w:w="8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(711)</w:t>
            </w: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(1,318)</w:t>
            </w: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(1,079)</w:t>
            </w:r>
          </w:p>
        </w:tc>
        <w:tc>
          <w:tcPr>
            <w:tcW w:w="0" w:type="dxa"/>
            <w:vAlign w:val="bottom"/>
          </w:tcPr>
          <w:p>
            <w:pPr>
              <w:spacing w:after="0"/>
              <w:rPr>
                <w:sz w:val="1"/>
                <w:szCs w:val="1"/>
                <w:color w:val="auto"/>
              </w:rPr>
            </w:pPr>
          </w:p>
        </w:tc>
      </w:tr>
      <w:tr>
        <w:trPr>
          <w:trHeight w:val="190"/>
        </w:trPr>
        <w:tc>
          <w:tcPr>
            <w:tcW w:w="5840" w:type="dxa"/>
            <w:vAlign w:val="bottom"/>
          </w:tcPr>
          <w:p>
            <w:pPr>
              <w:spacing w:after="0"/>
              <w:rPr>
                <w:sz w:val="20"/>
                <w:szCs w:val="20"/>
                <w:color w:val="auto"/>
              </w:rPr>
            </w:pPr>
            <w:r>
              <w:rPr>
                <w:rFonts w:ascii="Arial" w:cs="Arial" w:eastAsia="Arial" w:hAnsi="Arial"/>
                <w:sz w:val="16"/>
                <w:szCs w:val="16"/>
                <w:color w:val="auto"/>
              </w:rPr>
              <w:t>Basic income from continuing operations attributable to</w:t>
            </w:r>
          </w:p>
        </w:tc>
        <w:tc>
          <w:tcPr>
            <w:tcW w:w="820" w:type="dxa"/>
            <w:vAlign w:val="bottom"/>
            <w:vMerge w:val="restart"/>
          </w:tcPr>
          <w:p>
            <w:pPr>
              <w:jc w:val="right"/>
              <w:ind w:right="503"/>
              <w:spacing w:after="0"/>
              <w:rPr>
                <w:sz w:val="20"/>
                <w:szCs w:val="20"/>
                <w:color w:val="auto"/>
              </w:rPr>
            </w:pPr>
            <w:r>
              <w:rPr>
                <w:rFonts w:ascii="Arial" w:cs="Arial" w:eastAsia="Arial" w:hAnsi="Arial"/>
                <w:sz w:val="16"/>
                <w:szCs w:val="16"/>
                <w:b w:val="1"/>
                <w:bCs w:val="1"/>
                <w:color w:val="auto"/>
              </w:rPr>
              <w:t>$</w:t>
            </w:r>
          </w:p>
        </w:tc>
        <w:tc>
          <w:tcPr>
            <w:tcW w:w="660" w:type="dxa"/>
            <w:vAlign w:val="bottom"/>
            <w:vMerge w:val="restart"/>
          </w:tcPr>
          <w:p>
            <w:pPr>
              <w:jc w:val="right"/>
              <w:ind w:right="60"/>
              <w:spacing w:after="0"/>
              <w:rPr>
                <w:sz w:val="20"/>
                <w:szCs w:val="20"/>
                <w:color w:val="auto"/>
              </w:rPr>
            </w:pPr>
            <w:r>
              <w:rPr>
                <w:rFonts w:ascii="Arial" w:cs="Arial" w:eastAsia="Arial" w:hAnsi="Arial"/>
                <w:sz w:val="16"/>
                <w:szCs w:val="16"/>
                <w:b w:val="1"/>
                <w:bCs w:val="1"/>
                <w:color w:val="auto"/>
              </w:rPr>
              <w:t>43,516</w:t>
            </w:r>
          </w:p>
        </w:tc>
        <w:tc>
          <w:tcPr>
            <w:tcW w:w="840" w:type="dxa"/>
            <w:vAlign w:val="bottom"/>
            <w:vMerge w:val="restart"/>
          </w:tcPr>
          <w:p>
            <w:pPr>
              <w:jc w:val="right"/>
              <w:ind w:right="501"/>
              <w:spacing w:after="0"/>
              <w:rPr>
                <w:sz w:val="20"/>
                <w:szCs w:val="20"/>
                <w:color w:val="auto"/>
              </w:rPr>
            </w:pPr>
            <w:r>
              <w:rPr>
                <w:rFonts w:ascii="Arial" w:cs="Arial" w:eastAsia="Arial" w:hAnsi="Arial"/>
                <w:sz w:val="16"/>
                <w:szCs w:val="16"/>
                <w:color w:val="auto"/>
              </w:rPr>
              <w:t>$</w:t>
            </w:r>
          </w:p>
        </w:tc>
        <w:tc>
          <w:tcPr>
            <w:tcW w:w="660" w:type="dxa"/>
            <w:vAlign w:val="bottom"/>
            <w:vMerge w:val="restart"/>
          </w:tcPr>
          <w:p>
            <w:pPr>
              <w:jc w:val="right"/>
              <w:ind w:right="59"/>
              <w:spacing w:after="0"/>
              <w:rPr>
                <w:sz w:val="20"/>
                <w:szCs w:val="20"/>
                <w:color w:val="auto"/>
              </w:rPr>
            </w:pPr>
            <w:r>
              <w:rPr>
                <w:rFonts w:ascii="Arial" w:cs="Arial" w:eastAsia="Arial" w:hAnsi="Arial"/>
                <w:sz w:val="16"/>
                <w:szCs w:val="16"/>
                <w:color w:val="auto"/>
              </w:rPr>
              <w:t>35,352</w:t>
            </w:r>
          </w:p>
        </w:tc>
        <w:tc>
          <w:tcPr>
            <w:tcW w:w="34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w:t>
            </w:r>
          </w:p>
        </w:tc>
        <w:tc>
          <w:tcPr>
            <w:tcW w:w="1000" w:type="dxa"/>
            <w:vAlign w:val="bottom"/>
            <w:vMerge w:val="restart"/>
          </w:tcPr>
          <w:p>
            <w:pPr>
              <w:jc w:val="right"/>
              <w:ind w:right="62"/>
              <w:spacing w:after="0"/>
              <w:rPr>
                <w:sz w:val="20"/>
                <w:szCs w:val="20"/>
                <w:color w:val="auto"/>
              </w:rPr>
            </w:pPr>
            <w:r>
              <w:rPr>
                <w:rFonts w:ascii="Arial" w:cs="Arial" w:eastAsia="Arial" w:hAnsi="Arial"/>
                <w:sz w:val="16"/>
                <w:szCs w:val="16"/>
                <w:b w:val="1"/>
                <w:bCs w:val="1"/>
                <w:color w:val="auto"/>
              </w:rPr>
              <w:t>49,461</w:t>
            </w:r>
          </w:p>
        </w:tc>
        <w:tc>
          <w:tcPr>
            <w:tcW w:w="36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48,443</w:t>
            </w:r>
          </w:p>
        </w:tc>
        <w:tc>
          <w:tcPr>
            <w:tcW w:w="0" w:type="dxa"/>
            <w:vAlign w:val="bottom"/>
          </w:tcPr>
          <w:p>
            <w:pPr>
              <w:spacing w:after="0"/>
              <w:rPr>
                <w:sz w:val="1"/>
                <w:szCs w:val="1"/>
                <w:color w:val="auto"/>
              </w:rPr>
            </w:pPr>
          </w:p>
        </w:tc>
      </w:tr>
      <w:tr>
        <w:trPr>
          <w:trHeight w:val="187"/>
        </w:trPr>
        <w:tc>
          <w:tcPr>
            <w:tcW w:w="5840" w:type="dxa"/>
            <w:vAlign w:val="bottom"/>
          </w:tcPr>
          <w:p>
            <w:pPr>
              <w:ind w:left="240"/>
              <w:spacing w:after="0" w:line="181" w:lineRule="exact"/>
              <w:rPr>
                <w:sz w:val="20"/>
                <w:szCs w:val="20"/>
                <w:color w:val="auto"/>
              </w:rPr>
            </w:pPr>
            <w:r>
              <w:rPr>
                <w:rFonts w:ascii="Arial" w:cs="Arial" w:eastAsia="Arial" w:hAnsi="Arial"/>
                <w:sz w:val="16"/>
                <w:szCs w:val="16"/>
                <w:color w:val="auto"/>
              </w:rPr>
              <w:t>The Washington Post Company common stockholders</w:t>
            </w:r>
          </w:p>
        </w:tc>
        <w:tc>
          <w:tcPr>
            <w:tcW w:w="820" w:type="dxa"/>
            <w:vAlign w:val="bottom"/>
            <w:tcBorders>
              <w:bottom w:val="single" w:sz="8" w:color="auto"/>
            </w:tcBorders>
            <w:vMerge w:val="continue"/>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340" w:type="dxa"/>
            <w:vAlign w:val="bottom"/>
            <w:tcBorders>
              <w:bottom w:val="single" w:sz="8" w:color="auto"/>
            </w:tcBorders>
            <w:vMerge w:val="continue"/>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360" w:type="dxa"/>
            <w:vAlign w:val="bottom"/>
            <w:tcBorders>
              <w:bottom w:val="single" w:sz="8" w:color="auto"/>
            </w:tcBorders>
            <w:vMerge w:val="continue"/>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840" w:type="dxa"/>
            <w:vAlign w:val="bottom"/>
          </w:tcPr>
          <w:p>
            <w:pPr>
              <w:spacing w:after="0"/>
              <w:rPr>
                <w:sz w:val="20"/>
                <w:szCs w:val="20"/>
                <w:color w:val="auto"/>
              </w:rPr>
            </w:pPr>
            <w:r>
              <w:rPr>
                <w:rFonts w:ascii="Arial" w:cs="Arial" w:eastAsia="Arial" w:hAnsi="Arial"/>
                <w:sz w:val="16"/>
                <w:szCs w:val="16"/>
                <w:color w:val="auto"/>
              </w:rPr>
              <w:t>Plus: Amount attributable to participating securities</w:t>
            </w:r>
          </w:p>
        </w:tc>
        <w:tc>
          <w:tcPr>
            <w:tcW w:w="8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1,159</w:t>
            </w:r>
          </w:p>
        </w:tc>
        <w:tc>
          <w:tcPr>
            <w:tcW w:w="8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711</w:t>
            </w: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1,318</w:t>
            </w: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1,079</w:t>
            </w:r>
          </w:p>
        </w:tc>
        <w:tc>
          <w:tcPr>
            <w:tcW w:w="0" w:type="dxa"/>
            <w:vAlign w:val="bottom"/>
          </w:tcPr>
          <w:p>
            <w:pPr>
              <w:spacing w:after="0"/>
              <w:rPr>
                <w:sz w:val="1"/>
                <w:szCs w:val="1"/>
                <w:color w:val="auto"/>
              </w:rPr>
            </w:pPr>
          </w:p>
        </w:tc>
      </w:tr>
      <w:tr>
        <w:trPr>
          <w:trHeight w:val="190"/>
        </w:trPr>
        <w:tc>
          <w:tcPr>
            <w:tcW w:w="5840" w:type="dxa"/>
            <w:vAlign w:val="bottom"/>
          </w:tcPr>
          <w:p>
            <w:pPr>
              <w:spacing w:after="0"/>
              <w:rPr>
                <w:sz w:val="20"/>
                <w:szCs w:val="20"/>
                <w:color w:val="auto"/>
              </w:rPr>
            </w:pPr>
            <w:r>
              <w:rPr>
                <w:rFonts w:ascii="Arial" w:cs="Arial" w:eastAsia="Arial" w:hAnsi="Arial"/>
                <w:sz w:val="16"/>
                <w:szCs w:val="16"/>
                <w:color w:val="auto"/>
              </w:rPr>
              <w:t>Diluted income from continuing operations attributable to</w:t>
            </w:r>
          </w:p>
        </w:tc>
        <w:tc>
          <w:tcPr>
            <w:tcW w:w="820" w:type="dxa"/>
            <w:vAlign w:val="bottom"/>
            <w:vMerge w:val="restart"/>
          </w:tcPr>
          <w:p>
            <w:pPr>
              <w:jc w:val="right"/>
              <w:ind w:right="503"/>
              <w:spacing w:after="0"/>
              <w:rPr>
                <w:sz w:val="20"/>
                <w:szCs w:val="20"/>
                <w:color w:val="auto"/>
              </w:rPr>
            </w:pPr>
            <w:r>
              <w:rPr>
                <w:rFonts w:ascii="Arial" w:cs="Arial" w:eastAsia="Arial" w:hAnsi="Arial"/>
                <w:sz w:val="16"/>
                <w:szCs w:val="16"/>
                <w:b w:val="1"/>
                <w:bCs w:val="1"/>
                <w:color w:val="auto"/>
              </w:rPr>
              <w:t>$</w:t>
            </w:r>
          </w:p>
        </w:tc>
        <w:tc>
          <w:tcPr>
            <w:tcW w:w="660" w:type="dxa"/>
            <w:vAlign w:val="bottom"/>
            <w:vMerge w:val="restart"/>
          </w:tcPr>
          <w:p>
            <w:pPr>
              <w:jc w:val="right"/>
              <w:ind w:right="60"/>
              <w:spacing w:after="0"/>
              <w:rPr>
                <w:sz w:val="20"/>
                <w:szCs w:val="20"/>
                <w:color w:val="auto"/>
              </w:rPr>
            </w:pPr>
            <w:r>
              <w:rPr>
                <w:rFonts w:ascii="Arial" w:cs="Arial" w:eastAsia="Arial" w:hAnsi="Arial"/>
                <w:sz w:val="16"/>
                <w:szCs w:val="16"/>
                <w:b w:val="1"/>
                <w:bCs w:val="1"/>
                <w:color w:val="auto"/>
              </w:rPr>
              <w:t>44,675</w:t>
            </w:r>
          </w:p>
        </w:tc>
        <w:tc>
          <w:tcPr>
            <w:tcW w:w="840" w:type="dxa"/>
            <w:vAlign w:val="bottom"/>
            <w:vMerge w:val="restart"/>
          </w:tcPr>
          <w:p>
            <w:pPr>
              <w:jc w:val="right"/>
              <w:ind w:right="501"/>
              <w:spacing w:after="0"/>
              <w:rPr>
                <w:sz w:val="20"/>
                <w:szCs w:val="20"/>
                <w:color w:val="auto"/>
              </w:rPr>
            </w:pPr>
            <w:r>
              <w:rPr>
                <w:rFonts w:ascii="Arial" w:cs="Arial" w:eastAsia="Arial" w:hAnsi="Arial"/>
                <w:sz w:val="16"/>
                <w:szCs w:val="16"/>
                <w:color w:val="auto"/>
              </w:rPr>
              <w:t>$</w:t>
            </w:r>
          </w:p>
        </w:tc>
        <w:tc>
          <w:tcPr>
            <w:tcW w:w="660" w:type="dxa"/>
            <w:vAlign w:val="bottom"/>
            <w:vMerge w:val="restart"/>
          </w:tcPr>
          <w:p>
            <w:pPr>
              <w:jc w:val="right"/>
              <w:ind w:right="59"/>
              <w:spacing w:after="0"/>
              <w:rPr>
                <w:sz w:val="20"/>
                <w:szCs w:val="20"/>
                <w:color w:val="auto"/>
              </w:rPr>
            </w:pPr>
            <w:r>
              <w:rPr>
                <w:rFonts w:ascii="Arial" w:cs="Arial" w:eastAsia="Arial" w:hAnsi="Arial"/>
                <w:sz w:val="16"/>
                <w:szCs w:val="16"/>
                <w:color w:val="auto"/>
              </w:rPr>
              <w:t>36,063</w:t>
            </w:r>
          </w:p>
        </w:tc>
        <w:tc>
          <w:tcPr>
            <w:tcW w:w="34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w:t>
            </w:r>
          </w:p>
        </w:tc>
        <w:tc>
          <w:tcPr>
            <w:tcW w:w="1000" w:type="dxa"/>
            <w:vAlign w:val="bottom"/>
            <w:vMerge w:val="restart"/>
          </w:tcPr>
          <w:p>
            <w:pPr>
              <w:jc w:val="right"/>
              <w:ind w:right="62"/>
              <w:spacing w:after="0"/>
              <w:rPr>
                <w:sz w:val="20"/>
                <w:szCs w:val="20"/>
                <w:color w:val="auto"/>
              </w:rPr>
            </w:pPr>
            <w:r>
              <w:rPr>
                <w:rFonts w:ascii="Arial" w:cs="Arial" w:eastAsia="Arial" w:hAnsi="Arial"/>
                <w:sz w:val="16"/>
                <w:szCs w:val="16"/>
                <w:b w:val="1"/>
                <w:bCs w:val="1"/>
                <w:color w:val="auto"/>
              </w:rPr>
              <w:t>50,779</w:t>
            </w:r>
          </w:p>
        </w:tc>
        <w:tc>
          <w:tcPr>
            <w:tcW w:w="36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49,522</w:t>
            </w:r>
          </w:p>
        </w:tc>
        <w:tc>
          <w:tcPr>
            <w:tcW w:w="0" w:type="dxa"/>
            <w:vAlign w:val="bottom"/>
          </w:tcPr>
          <w:p>
            <w:pPr>
              <w:spacing w:after="0"/>
              <w:rPr>
                <w:sz w:val="1"/>
                <w:szCs w:val="1"/>
                <w:color w:val="auto"/>
              </w:rPr>
            </w:pPr>
          </w:p>
        </w:tc>
      </w:tr>
      <w:tr>
        <w:trPr>
          <w:trHeight w:val="187"/>
        </w:trPr>
        <w:tc>
          <w:tcPr>
            <w:tcW w:w="5840" w:type="dxa"/>
            <w:vAlign w:val="bottom"/>
          </w:tcPr>
          <w:p>
            <w:pPr>
              <w:ind w:left="240"/>
              <w:spacing w:after="0" w:line="181" w:lineRule="exact"/>
              <w:rPr>
                <w:sz w:val="20"/>
                <w:szCs w:val="20"/>
                <w:color w:val="auto"/>
              </w:rPr>
            </w:pPr>
            <w:r>
              <w:rPr>
                <w:rFonts w:ascii="Arial" w:cs="Arial" w:eastAsia="Arial" w:hAnsi="Arial"/>
                <w:sz w:val="16"/>
                <w:szCs w:val="16"/>
                <w:color w:val="auto"/>
              </w:rPr>
              <w:t>The Washington Post Company common stockholders</w:t>
            </w:r>
          </w:p>
        </w:tc>
        <w:tc>
          <w:tcPr>
            <w:tcW w:w="820" w:type="dxa"/>
            <w:vAlign w:val="bottom"/>
            <w:tcBorders>
              <w:bottom w:val="single" w:sz="8" w:color="auto"/>
            </w:tcBorders>
            <w:vMerge w:val="continue"/>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340" w:type="dxa"/>
            <w:vAlign w:val="bottom"/>
            <w:tcBorders>
              <w:bottom w:val="single" w:sz="8" w:color="auto"/>
            </w:tcBorders>
            <w:vMerge w:val="continue"/>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360" w:type="dxa"/>
            <w:vAlign w:val="bottom"/>
            <w:tcBorders>
              <w:bottom w:val="single" w:sz="8" w:color="auto"/>
            </w:tcBorders>
            <w:vMerge w:val="continue"/>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1"/>
        </w:trPr>
        <w:tc>
          <w:tcPr>
            <w:tcW w:w="5840" w:type="dxa"/>
            <w:vAlign w:val="bottom"/>
          </w:tcPr>
          <w:p>
            <w:pPr>
              <w:spacing w:after="0"/>
              <w:rPr>
                <w:sz w:val="20"/>
                <w:szCs w:val="20"/>
                <w:color w:val="auto"/>
              </w:rPr>
            </w:pPr>
            <w:r>
              <w:rPr>
                <w:rFonts w:ascii="Arial" w:cs="Arial" w:eastAsia="Arial" w:hAnsi="Arial"/>
                <w:sz w:val="16"/>
                <w:szCs w:val="16"/>
                <w:color w:val="auto"/>
              </w:rPr>
              <w:t>Basic weighted average shares outstanding</w:t>
            </w:r>
          </w:p>
        </w:tc>
        <w:tc>
          <w:tcPr>
            <w:tcW w:w="820" w:type="dxa"/>
            <w:vAlign w:val="bottom"/>
          </w:tcPr>
          <w:p>
            <w:pPr>
              <w:spacing w:after="0"/>
              <w:rPr>
                <w:sz w:val="24"/>
                <w:szCs w:val="24"/>
                <w:color w:val="auto"/>
              </w:rPr>
            </w:pPr>
          </w:p>
        </w:tc>
        <w:tc>
          <w:tcPr>
            <w:tcW w:w="660" w:type="dxa"/>
            <w:vAlign w:val="bottom"/>
          </w:tcPr>
          <w:p>
            <w:pPr>
              <w:jc w:val="right"/>
              <w:ind w:right="60"/>
              <w:spacing w:after="0"/>
              <w:rPr>
                <w:sz w:val="20"/>
                <w:szCs w:val="20"/>
                <w:color w:val="auto"/>
              </w:rPr>
            </w:pPr>
            <w:r>
              <w:rPr>
                <w:rFonts w:ascii="Arial" w:cs="Arial" w:eastAsia="Arial" w:hAnsi="Arial"/>
                <w:sz w:val="16"/>
                <w:szCs w:val="16"/>
                <w:b w:val="1"/>
                <w:bCs w:val="1"/>
                <w:color w:val="auto"/>
              </w:rPr>
              <w:t>7,229</w:t>
            </w:r>
          </w:p>
        </w:tc>
        <w:tc>
          <w:tcPr>
            <w:tcW w:w="840" w:type="dxa"/>
            <w:vAlign w:val="bottom"/>
          </w:tcPr>
          <w:p>
            <w:pPr>
              <w:spacing w:after="0"/>
              <w:rPr>
                <w:sz w:val="24"/>
                <w:szCs w:val="24"/>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color w:val="auto"/>
              </w:rPr>
              <w:t>7,431</w:t>
            </w:r>
          </w:p>
        </w:tc>
        <w:tc>
          <w:tcPr>
            <w:tcW w:w="340" w:type="dxa"/>
            <w:vAlign w:val="bottom"/>
          </w:tcPr>
          <w:p>
            <w:pPr>
              <w:spacing w:after="0"/>
              <w:rPr>
                <w:sz w:val="24"/>
                <w:szCs w:val="24"/>
                <w:color w:val="auto"/>
              </w:rPr>
            </w:pPr>
          </w:p>
        </w:tc>
        <w:tc>
          <w:tcPr>
            <w:tcW w:w="1000" w:type="dxa"/>
            <w:vAlign w:val="bottom"/>
          </w:tcPr>
          <w:p>
            <w:pPr>
              <w:jc w:val="right"/>
              <w:ind w:right="62"/>
              <w:spacing w:after="0"/>
              <w:rPr>
                <w:sz w:val="20"/>
                <w:szCs w:val="20"/>
                <w:color w:val="auto"/>
              </w:rPr>
            </w:pPr>
            <w:r>
              <w:rPr>
                <w:rFonts w:ascii="Arial" w:cs="Arial" w:eastAsia="Arial" w:hAnsi="Arial"/>
                <w:sz w:val="16"/>
                <w:szCs w:val="16"/>
                <w:b w:val="1"/>
                <w:bCs w:val="1"/>
                <w:color w:val="auto"/>
              </w:rPr>
              <w:t>7,228</w:t>
            </w:r>
          </w:p>
        </w:tc>
        <w:tc>
          <w:tcPr>
            <w:tcW w:w="3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7,473</w:t>
            </w:r>
          </w:p>
        </w:tc>
        <w:tc>
          <w:tcPr>
            <w:tcW w:w="0" w:type="dxa"/>
            <w:vAlign w:val="bottom"/>
          </w:tcPr>
          <w:p>
            <w:pPr>
              <w:spacing w:after="0"/>
              <w:rPr>
                <w:sz w:val="1"/>
                <w:szCs w:val="1"/>
                <w:color w:val="auto"/>
              </w:rPr>
            </w:pPr>
          </w:p>
        </w:tc>
      </w:tr>
      <w:tr>
        <w:trPr>
          <w:trHeight w:val="207"/>
        </w:trPr>
        <w:tc>
          <w:tcPr>
            <w:tcW w:w="5840" w:type="dxa"/>
            <w:vAlign w:val="bottom"/>
          </w:tcPr>
          <w:p>
            <w:pPr>
              <w:spacing w:after="0"/>
              <w:rPr>
                <w:sz w:val="20"/>
                <w:szCs w:val="20"/>
                <w:color w:val="auto"/>
              </w:rPr>
            </w:pPr>
            <w:r>
              <w:rPr>
                <w:rFonts w:ascii="Arial" w:cs="Arial" w:eastAsia="Arial" w:hAnsi="Arial"/>
                <w:sz w:val="16"/>
                <w:szCs w:val="16"/>
                <w:color w:val="auto"/>
              </w:rPr>
              <w:t>Plus: Effect of dilutive shares related to stock options and restricted stock</w:t>
            </w:r>
          </w:p>
        </w:tc>
        <w:tc>
          <w:tcPr>
            <w:tcW w:w="8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54</w:t>
            </w:r>
          </w:p>
        </w:tc>
        <w:tc>
          <w:tcPr>
            <w:tcW w:w="8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114</w:t>
            </w: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48</w:t>
            </w: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183"/>
        </w:trPr>
        <w:tc>
          <w:tcPr>
            <w:tcW w:w="5840" w:type="dxa"/>
            <w:vAlign w:val="bottom"/>
          </w:tcPr>
          <w:p>
            <w:pPr>
              <w:spacing w:after="0" w:line="183" w:lineRule="exact"/>
              <w:rPr>
                <w:sz w:val="20"/>
                <w:szCs w:val="20"/>
                <w:color w:val="auto"/>
              </w:rPr>
            </w:pPr>
            <w:r>
              <w:rPr>
                <w:rFonts w:ascii="Arial" w:cs="Arial" w:eastAsia="Arial" w:hAnsi="Arial"/>
                <w:sz w:val="16"/>
                <w:szCs w:val="16"/>
                <w:color w:val="auto"/>
              </w:rPr>
              <w:t>Diluted weighted average shares outstanding</w:t>
            </w:r>
          </w:p>
        </w:tc>
        <w:tc>
          <w:tcPr>
            <w:tcW w:w="8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60"/>
              <w:spacing w:after="0" w:line="183" w:lineRule="exact"/>
              <w:rPr>
                <w:sz w:val="20"/>
                <w:szCs w:val="20"/>
                <w:color w:val="auto"/>
              </w:rPr>
            </w:pPr>
            <w:r>
              <w:rPr>
                <w:rFonts w:ascii="Arial" w:cs="Arial" w:eastAsia="Arial" w:hAnsi="Arial"/>
                <w:sz w:val="16"/>
                <w:szCs w:val="16"/>
                <w:b w:val="1"/>
                <w:bCs w:val="1"/>
                <w:color w:val="auto"/>
              </w:rPr>
              <w:t>7,283</w:t>
            </w:r>
          </w:p>
        </w:tc>
        <w:tc>
          <w:tcPr>
            <w:tcW w:w="8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7,545</w:t>
            </w:r>
          </w:p>
        </w:tc>
        <w:tc>
          <w:tcPr>
            <w:tcW w:w="3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62"/>
              <w:spacing w:after="0" w:line="183" w:lineRule="exact"/>
              <w:rPr>
                <w:sz w:val="20"/>
                <w:szCs w:val="20"/>
                <w:color w:val="auto"/>
              </w:rPr>
            </w:pPr>
            <w:r>
              <w:rPr>
                <w:rFonts w:ascii="Arial" w:cs="Arial" w:eastAsia="Arial" w:hAnsi="Arial"/>
                <w:sz w:val="16"/>
                <w:szCs w:val="16"/>
                <w:b w:val="1"/>
                <w:bCs w:val="1"/>
                <w:color w:val="auto"/>
              </w:rPr>
              <w:t>7,276</w:t>
            </w:r>
          </w:p>
        </w:tc>
        <w:tc>
          <w:tcPr>
            <w:tcW w:w="3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7,580</w:t>
            </w: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6"/>
                <w:szCs w:val="16"/>
                <w:b w:val="1"/>
                <w:bCs w:val="1"/>
                <w:color w:val="auto"/>
              </w:rPr>
              <w:t>Income Per Share from Continuing Operations Attributable</w:t>
            </w:r>
          </w:p>
        </w:tc>
        <w:tc>
          <w:tcPr>
            <w:tcW w:w="8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1"/>
        </w:trPr>
        <w:tc>
          <w:tcPr>
            <w:tcW w:w="584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5840" w:type="dxa"/>
            <w:vAlign w:val="bottom"/>
          </w:tcPr>
          <w:p>
            <w:pPr>
              <w:ind w:left="240"/>
              <w:spacing w:after="0"/>
              <w:rPr>
                <w:sz w:val="20"/>
                <w:szCs w:val="20"/>
                <w:color w:val="auto"/>
              </w:rPr>
            </w:pPr>
            <w:r>
              <w:rPr>
                <w:rFonts w:ascii="Arial" w:cs="Arial" w:eastAsia="Arial" w:hAnsi="Arial"/>
                <w:sz w:val="16"/>
                <w:szCs w:val="16"/>
                <w:b w:val="1"/>
                <w:bCs w:val="1"/>
                <w:color w:val="auto"/>
              </w:rPr>
              <w:t>to The Washington Post Company Common Stockholders:</w:t>
            </w:r>
          </w:p>
        </w:tc>
        <w:tc>
          <w:tcPr>
            <w:tcW w:w="820" w:type="dxa"/>
            <w:vAlign w:val="bottom"/>
            <w:vMerge w:val="restart"/>
          </w:tcPr>
          <w:p>
            <w:pPr>
              <w:jc w:val="right"/>
              <w:ind w:right="503"/>
              <w:spacing w:after="0"/>
              <w:rPr>
                <w:sz w:val="20"/>
                <w:szCs w:val="20"/>
                <w:color w:val="auto"/>
              </w:rPr>
            </w:pPr>
            <w:r>
              <w:rPr>
                <w:rFonts w:ascii="Arial" w:cs="Arial" w:eastAsia="Arial" w:hAnsi="Arial"/>
                <w:sz w:val="16"/>
                <w:szCs w:val="16"/>
                <w:b w:val="1"/>
                <w:bCs w:val="1"/>
                <w:color w:val="auto"/>
              </w:rPr>
              <w:t>$</w:t>
            </w:r>
          </w:p>
        </w:tc>
        <w:tc>
          <w:tcPr>
            <w:tcW w:w="660" w:type="dxa"/>
            <w:vAlign w:val="bottom"/>
            <w:vMerge w:val="restart"/>
          </w:tcPr>
          <w:p>
            <w:pPr>
              <w:jc w:val="right"/>
              <w:ind w:right="60"/>
              <w:spacing w:after="0"/>
              <w:rPr>
                <w:sz w:val="20"/>
                <w:szCs w:val="20"/>
                <w:color w:val="auto"/>
              </w:rPr>
            </w:pPr>
            <w:r>
              <w:rPr>
                <w:rFonts w:ascii="Arial" w:cs="Arial" w:eastAsia="Arial" w:hAnsi="Arial"/>
                <w:sz w:val="16"/>
                <w:szCs w:val="16"/>
                <w:b w:val="1"/>
                <w:bCs w:val="1"/>
                <w:color w:val="auto"/>
              </w:rPr>
              <w:t>6.02</w:t>
            </w:r>
          </w:p>
        </w:tc>
        <w:tc>
          <w:tcPr>
            <w:tcW w:w="840" w:type="dxa"/>
            <w:vAlign w:val="bottom"/>
            <w:vMerge w:val="restart"/>
          </w:tcPr>
          <w:p>
            <w:pPr>
              <w:jc w:val="right"/>
              <w:ind w:right="501"/>
              <w:spacing w:after="0"/>
              <w:rPr>
                <w:sz w:val="20"/>
                <w:szCs w:val="20"/>
                <w:color w:val="auto"/>
              </w:rPr>
            </w:pPr>
            <w:r>
              <w:rPr>
                <w:rFonts w:ascii="Arial" w:cs="Arial" w:eastAsia="Arial" w:hAnsi="Arial"/>
                <w:sz w:val="16"/>
                <w:szCs w:val="16"/>
                <w:color w:val="auto"/>
              </w:rPr>
              <w:t>$</w:t>
            </w:r>
          </w:p>
        </w:tc>
        <w:tc>
          <w:tcPr>
            <w:tcW w:w="660" w:type="dxa"/>
            <w:vAlign w:val="bottom"/>
            <w:vMerge w:val="restart"/>
          </w:tcPr>
          <w:p>
            <w:pPr>
              <w:jc w:val="right"/>
              <w:ind w:right="59"/>
              <w:spacing w:after="0"/>
              <w:rPr>
                <w:sz w:val="20"/>
                <w:szCs w:val="20"/>
                <w:color w:val="auto"/>
              </w:rPr>
            </w:pPr>
            <w:r>
              <w:rPr>
                <w:rFonts w:ascii="Arial" w:cs="Arial" w:eastAsia="Arial" w:hAnsi="Arial"/>
                <w:sz w:val="16"/>
                <w:szCs w:val="16"/>
                <w:color w:val="auto"/>
              </w:rPr>
              <w:t>4.76</w:t>
            </w:r>
          </w:p>
        </w:tc>
        <w:tc>
          <w:tcPr>
            <w:tcW w:w="34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w:t>
            </w:r>
          </w:p>
        </w:tc>
        <w:tc>
          <w:tcPr>
            <w:tcW w:w="1000" w:type="dxa"/>
            <w:vAlign w:val="bottom"/>
            <w:vMerge w:val="restart"/>
          </w:tcPr>
          <w:p>
            <w:pPr>
              <w:jc w:val="right"/>
              <w:ind w:right="62"/>
              <w:spacing w:after="0"/>
              <w:rPr>
                <w:sz w:val="20"/>
                <w:szCs w:val="20"/>
                <w:color w:val="auto"/>
              </w:rPr>
            </w:pPr>
            <w:r>
              <w:rPr>
                <w:rFonts w:ascii="Arial" w:cs="Arial" w:eastAsia="Arial" w:hAnsi="Arial"/>
                <w:sz w:val="16"/>
                <w:szCs w:val="16"/>
                <w:b w:val="1"/>
                <w:bCs w:val="1"/>
                <w:color w:val="auto"/>
              </w:rPr>
              <w:t>6.84</w:t>
            </w:r>
          </w:p>
        </w:tc>
        <w:tc>
          <w:tcPr>
            <w:tcW w:w="36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6.48</w:t>
            </w:r>
          </w:p>
        </w:tc>
        <w:tc>
          <w:tcPr>
            <w:tcW w:w="0" w:type="dxa"/>
            <w:vAlign w:val="bottom"/>
          </w:tcPr>
          <w:p>
            <w:pPr>
              <w:spacing w:after="0"/>
              <w:rPr>
                <w:sz w:val="1"/>
                <w:szCs w:val="1"/>
                <w:color w:val="auto"/>
              </w:rPr>
            </w:pPr>
          </w:p>
        </w:tc>
      </w:tr>
      <w:tr>
        <w:trPr>
          <w:trHeight w:val="187"/>
        </w:trPr>
        <w:tc>
          <w:tcPr>
            <w:tcW w:w="5840" w:type="dxa"/>
            <w:vAlign w:val="bottom"/>
          </w:tcPr>
          <w:p>
            <w:pPr>
              <w:ind w:left="460"/>
              <w:spacing w:after="0" w:line="181" w:lineRule="exact"/>
              <w:rPr>
                <w:sz w:val="20"/>
                <w:szCs w:val="20"/>
                <w:color w:val="auto"/>
              </w:rPr>
            </w:pPr>
            <w:r>
              <w:rPr>
                <w:rFonts w:ascii="Arial" w:cs="Arial" w:eastAsia="Arial" w:hAnsi="Arial"/>
                <w:sz w:val="16"/>
                <w:szCs w:val="16"/>
                <w:color w:val="auto"/>
              </w:rPr>
              <w:t>Basic</w:t>
            </w:r>
          </w:p>
        </w:tc>
        <w:tc>
          <w:tcPr>
            <w:tcW w:w="820" w:type="dxa"/>
            <w:vAlign w:val="bottom"/>
            <w:tcBorders>
              <w:bottom w:val="single" w:sz="8" w:color="auto"/>
            </w:tcBorders>
            <w:vMerge w:val="continue"/>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340" w:type="dxa"/>
            <w:vAlign w:val="bottom"/>
            <w:tcBorders>
              <w:bottom w:val="single" w:sz="8" w:color="auto"/>
            </w:tcBorders>
            <w:vMerge w:val="continue"/>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360" w:type="dxa"/>
            <w:vAlign w:val="bottom"/>
            <w:tcBorders>
              <w:bottom w:val="single" w:sz="8" w:color="auto"/>
            </w:tcBorders>
            <w:vMerge w:val="continue"/>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840" w:type="dxa"/>
            <w:vAlign w:val="bottom"/>
          </w:tcPr>
          <w:p>
            <w:pPr>
              <w:ind w:left="460"/>
              <w:spacing w:after="0" w:line="170" w:lineRule="exact"/>
              <w:rPr>
                <w:sz w:val="20"/>
                <w:szCs w:val="20"/>
                <w:color w:val="auto"/>
              </w:rPr>
            </w:pPr>
            <w:r>
              <w:rPr>
                <w:rFonts w:ascii="Arial" w:cs="Arial" w:eastAsia="Arial" w:hAnsi="Arial"/>
                <w:sz w:val="16"/>
                <w:szCs w:val="16"/>
                <w:color w:val="auto"/>
              </w:rPr>
              <w:t>Diluted</w:t>
            </w:r>
          </w:p>
        </w:tc>
        <w:tc>
          <w:tcPr>
            <w:tcW w:w="820" w:type="dxa"/>
            <w:vAlign w:val="bottom"/>
            <w:tcBorders>
              <w:bottom w:val="single" w:sz="8" w:color="auto"/>
            </w:tcBorders>
          </w:tcPr>
          <w:p>
            <w:pPr>
              <w:jc w:val="right"/>
              <w:ind w:right="503"/>
              <w:spacing w:after="0" w:line="170" w:lineRule="exact"/>
              <w:rPr>
                <w:sz w:val="20"/>
                <w:szCs w:val="20"/>
                <w:color w:val="auto"/>
              </w:rPr>
            </w:pPr>
            <w:r>
              <w:rPr>
                <w:rFonts w:ascii="Arial" w:cs="Arial" w:eastAsia="Arial" w:hAnsi="Arial"/>
                <w:sz w:val="16"/>
                <w:szCs w:val="16"/>
                <w:b w:val="1"/>
                <w:bCs w:val="1"/>
                <w:color w:val="auto"/>
              </w:rPr>
              <w:t>$</w:t>
            </w:r>
          </w:p>
        </w:tc>
        <w:tc>
          <w:tcPr>
            <w:tcW w:w="660" w:type="dxa"/>
            <w:vAlign w:val="bottom"/>
            <w:tcBorders>
              <w:bottom w:val="single" w:sz="8" w:color="auto"/>
            </w:tcBorders>
          </w:tcPr>
          <w:p>
            <w:pPr>
              <w:jc w:val="right"/>
              <w:ind w:right="60"/>
              <w:spacing w:after="0" w:line="170" w:lineRule="exact"/>
              <w:rPr>
                <w:sz w:val="20"/>
                <w:szCs w:val="20"/>
                <w:color w:val="auto"/>
              </w:rPr>
            </w:pPr>
            <w:r>
              <w:rPr>
                <w:rFonts w:ascii="Arial" w:cs="Arial" w:eastAsia="Arial" w:hAnsi="Arial"/>
                <w:sz w:val="16"/>
                <w:szCs w:val="16"/>
                <w:b w:val="1"/>
                <w:bCs w:val="1"/>
                <w:color w:val="auto"/>
              </w:rPr>
              <w:t>6.02</w:t>
            </w:r>
          </w:p>
        </w:tc>
        <w:tc>
          <w:tcPr>
            <w:tcW w:w="840" w:type="dxa"/>
            <w:vAlign w:val="bottom"/>
            <w:tcBorders>
              <w:bottom w:val="single" w:sz="8" w:color="auto"/>
            </w:tcBorders>
          </w:tcPr>
          <w:p>
            <w:pPr>
              <w:jc w:val="right"/>
              <w:ind w:right="501"/>
              <w:spacing w:after="0" w:line="170" w:lineRule="exact"/>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ind w:right="59"/>
              <w:spacing w:after="0" w:line="170" w:lineRule="exact"/>
              <w:rPr>
                <w:sz w:val="20"/>
                <w:szCs w:val="20"/>
                <w:color w:val="auto"/>
              </w:rPr>
            </w:pPr>
            <w:r>
              <w:rPr>
                <w:rFonts w:ascii="Arial" w:cs="Arial" w:eastAsia="Arial" w:hAnsi="Arial"/>
                <w:sz w:val="16"/>
                <w:szCs w:val="16"/>
                <w:color w:val="auto"/>
              </w:rPr>
              <w:t>4.76</w:t>
            </w:r>
          </w:p>
        </w:tc>
        <w:tc>
          <w:tcPr>
            <w:tcW w:w="340" w:type="dxa"/>
            <w:vAlign w:val="bottom"/>
            <w:tcBorders>
              <w:bottom w:val="single" w:sz="8" w:color="auto"/>
            </w:tcBorders>
          </w:tcPr>
          <w:p>
            <w:pPr>
              <w:jc w:val="right"/>
              <w:ind w:right="39"/>
              <w:spacing w:after="0" w:line="170" w:lineRule="exact"/>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62"/>
              <w:spacing w:after="0" w:line="170" w:lineRule="exact"/>
              <w:rPr>
                <w:sz w:val="20"/>
                <w:szCs w:val="20"/>
                <w:color w:val="auto"/>
              </w:rPr>
            </w:pPr>
            <w:r>
              <w:rPr>
                <w:rFonts w:ascii="Arial" w:cs="Arial" w:eastAsia="Arial" w:hAnsi="Arial"/>
                <w:sz w:val="16"/>
                <w:szCs w:val="16"/>
                <w:b w:val="1"/>
                <w:bCs w:val="1"/>
                <w:color w:val="auto"/>
              </w:rPr>
              <w:t>6.84</w:t>
            </w:r>
          </w:p>
        </w:tc>
        <w:tc>
          <w:tcPr>
            <w:tcW w:w="360" w:type="dxa"/>
            <w:vAlign w:val="bottom"/>
            <w:tcBorders>
              <w:bottom w:val="single" w:sz="8" w:color="auto"/>
            </w:tcBorders>
          </w:tcPr>
          <w:p>
            <w:pPr>
              <w:jc w:val="right"/>
              <w:ind w:right="39"/>
              <w:spacing w:after="0" w:line="170"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6"/>
                <w:szCs w:val="16"/>
                <w:color w:val="auto"/>
              </w:rPr>
              <w:t>6.48</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For the three and six months ended June 30, 2013 and 2012, the basic earnings per share computed under the two-class method is lower than the diluted earnings per share computed under the if-converted method for participating securities, resulting in the presentation of the lower amount in diluted earnings per share. The diluted earnings per share amounts for the three and six months ended June 30, 2013 exclude the effects of 63,000 and 63,750 stock options outstanding, respectively, as their inclusion would have been antidilutive. The diluted earnings per share amounts for the three and six months ended June 30, 2013 exclude the effects of 51,300 restricted stock awards, as their inclusion would have been antidilutive. The diluted earnings per share amounts for the three and six months ended June 30, 2012 exclude the effects of 125,044 and 113,294 stock options outstanding, respectively, as their inclusion would have been antidilutive. The diluted earnings per share amounts for the three and six months ended June 30, 2012 exclude the effects of 51,500 restricted stock awards, as their inclusion would have been antidilutive.</w:t>
      </w:r>
    </w:p>
    <w:p>
      <w:pPr>
        <w:spacing w:after="0" w:line="194" w:lineRule="exact"/>
        <w:rPr>
          <w:sz w:val="20"/>
          <w:szCs w:val="20"/>
          <w:color w:val="auto"/>
        </w:rPr>
      </w:pPr>
    </w:p>
    <w:p>
      <w:pPr>
        <w:ind w:right="80"/>
        <w:spacing w:after="0"/>
        <w:rPr>
          <w:sz w:val="20"/>
          <w:szCs w:val="20"/>
          <w:color w:val="auto"/>
        </w:rPr>
      </w:pPr>
      <w:r>
        <w:rPr>
          <w:rFonts w:ascii="Arial" w:cs="Arial" w:eastAsia="Arial" w:hAnsi="Arial"/>
          <w:sz w:val="18"/>
          <w:szCs w:val="18"/>
          <w:color w:val="auto"/>
        </w:rPr>
        <w:t>In the three and six months ended June 30, 2012, the Company declared regular dividends totaling $2.45 and $7.35 per share, respectively. In December 2012, the Company declared and paid an accelerated cash dividend totaling $9.80 per share, in lieu of regular quarterly dividends that the Company otherwise would have declared and paid in calendar year 2013.</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PENSION AND POSTRETIREMENT PLANS</w:t>
      </w:r>
    </w:p>
    <w:p>
      <w:pPr>
        <w:spacing w:after="0" w:line="198"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b w:val="1"/>
          <w:bCs w:val="1"/>
          <w:color w:val="auto"/>
        </w:rPr>
        <w:t>Defined Benefit Plans</w:t>
      </w:r>
      <w:r>
        <w:rPr>
          <w:rFonts w:ascii="Arial" w:cs="Arial" w:eastAsia="Arial" w:hAnsi="Arial"/>
          <w:sz w:val="18"/>
          <w:szCs w:val="18"/>
          <w:color w:val="auto"/>
        </w:rPr>
        <w:t>. The total cost arising from the Company’s defined benefit pension plans, including a portion included in discontinued</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operations, consists of the following components: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6"/>
              </w:rPr>
              <w:t>Three Months Ended</w:t>
            </w:r>
          </w:p>
        </w:tc>
        <w:tc>
          <w:tcPr>
            <w:tcW w:w="440" w:type="dxa"/>
            <w:vAlign w:val="bottom"/>
          </w:tcPr>
          <w:p>
            <w:pPr>
              <w:spacing w:after="0"/>
              <w:rPr>
                <w:sz w:val="14"/>
                <w:szCs w:val="14"/>
                <w:color w:val="auto"/>
              </w:rPr>
            </w:pPr>
          </w:p>
        </w:tc>
        <w:tc>
          <w:tcPr>
            <w:tcW w:w="23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7"/>
              </w:rPr>
              <w:t>Six Months Ended</w:t>
            </w:r>
          </w:p>
        </w:tc>
        <w:tc>
          <w:tcPr>
            <w:tcW w:w="0" w:type="dxa"/>
            <w:vAlign w:val="bottom"/>
          </w:tcPr>
          <w:p>
            <w:pPr>
              <w:spacing w:after="0"/>
              <w:rPr>
                <w:sz w:val="1"/>
                <w:szCs w:val="1"/>
                <w:color w:val="auto"/>
              </w:rPr>
            </w:pPr>
          </w:p>
        </w:tc>
      </w:tr>
      <w:tr>
        <w:trPr>
          <w:trHeight w:val="165"/>
        </w:trPr>
        <w:tc>
          <w:tcPr>
            <w:tcW w:w="574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jc w:val="center"/>
              <w:ind w:left="623"/>
              <w:spacing w:after="0"/>
              <w:rPr>
                <w:sz w:val="20"/>
                <w:szCs w:val="20"/>
                <w:color w:val="auto"/>
              </w:rPr>
            </w:pPr>
            <w:r>
              <w:rPr>
                <w:rFonts w:ascii="Arial" w:cs="Arial" w:eastAsia="Arial" w:hAnsi="Arial"/>
                <w:sz w:val="14"/>
                <w:szCs w:val="14"/>
                <w:b w:val="1"/>
                <w:bCs w:val="1"/>
                <w:color w:val="auto"/>
                <w:w w:val="96"/>
              </w:rPr>
              <w:t>June 30,</w:t>
            </w:r>
          </w:p>
        </w:tc>
        <w:tc>
          <w:tcPr>
            <w:tcW w:w="10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center"/>
              <w:ind w:left="463"/>
              <w:spacing w:after="0"/>
              <w:rPr>
                <w:sz w:val="20"/>
                <w:szCs w:val="20"/>
                <w:color w:val="auto"/>
              </w:rPr>
            </w:pPr>
            <w:r>
              <w:rPr>
                <w:rFonts w:ascii="Arial" w:cs="Arial" w:eastAsia="Arial" w:hAnsi="Arial"/>
                <w:sz w:val="14"/>
                <w:szCs w:val="14"/>
                <w:b w:val="1"/>
                <w:bCs w:val="1"/>
                <w:color w:val="auto"/>
                <w:w w:val="96"/>
              </w:rPr>
              <w:t>June 30,</w:t>
            </w:r>
          </w:p>
        </w:tc>
        <w:tc>
          <w:tcPr>
            <w:tcW w:w="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40" w:type="dxa"/>
            <w:vAlign w:val="bottom"/>
            <w:tcBorders>
              <w:bottom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23"/>
              <w:spacing w:after="0" w:line="142" w:lineRule="exact"/>
              <w:rPr>
                <w:sz w:val="20"/>
                <w:szCs w:val="20"/>
                <w:color w:val="auto"/>
              </w:rPr>
            </w:pPr>
            <w:r>
              <w:rPr>
                <w:rFonts w:ascii="Arial" w:cs="Arial" w:eastAsia="Arial" w:hAnsi="Arial"/>
                <w:sz w:val="14"/>
                <w:szCs w:val="14"/>
                <w:b w:val="1"/>
                <w:bCs w:val="1"/>
                <w:color w:val="auto"/>
              </w:rPr>
              <w:t>2013</w:t>
            </w:r>
          </w:p>
        </w:tc>
        <w:tc>
          <w:tcPr>
            <w:tcW w:w="4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500"/>
              <w:spacing w:after="0" w:line="142" w:lineRule="exact"/>
              <w:rPr>
                <w:sz w:val="20"/>
                <w:szCs w:val="20"/>
                <w:color w:val="auto"/>
              </w:rPr>
            </w:pPr>
            <w:r>
              <w:rPr>
                <w:rFonts w:ascii="Arial" w:cs="Arial" w:eastAsia="Arial" w:hAnsi="Arial"/>
                <w:sz w:val="14"/>
                <w:szCs w:val="14"/>
                <w:color w:val="auto"/>
              </w:rPr>
              <w:t>2012</w:t>
            </w:r>
          </w:p>
        </w:tc>
        <w:tc>
          <w:tcPr>
            <w:tcW w:w="4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03"/>
              <w:spacing w:after="0" w:line="142" w:lineRule="exact"/>
              <w:rPr>
                <w:sz w:val="20"/>
                <w:szCs w:val="20"/>
                <w:color w:val="auto"/>
              </w:rPr>
            </w:pPr>
            <w:r>
              <w:rPr>
                <w:rFonts w:ascii="Arial" w:cs="Arial" w:eastAsia="Arial" w:hAnsi="Arial"/>
                <w:sz w:val="14"/>
                <w:szCs w:val="14"/>
                <w:b w:val="1"/>
                <w:bCs w:val="1"/>
                <w:color w:val="auto"/>
              </w:rPr>
              <w:t>2013</w:t>
            </w:r>
          </w:p>
        </w:tc>
        <w:tc>
          <w:tcPr>
            <w:tcW w:w="4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00"/>
              <w:spacing w:after="0" w:line="142" w:lineRule="exact"/>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164"/>
        </w:trPr>
        <w:tc>
          <w:tcPr>
            <w:tcW w:w="5740" w:type="dxa"/>
            <w:vAlign w:val="bottom"/>
          </w:tcPr>
          <w:p>
            <w:pPr>
              <w:spacing w:after="0" w:line="165" w:lineRule="exact"/>
              <w:rPr>
                <w:sz w:val="20"/>
                <w:szCs w:val="20"/>
                <w:color w:val="auto"/>
              </w:rPr>
            </w:pPr>
            <w:r>
              <w:rPr>
                <w:rFonts w:ascii="Arial" w:cs="Arial" w:eastAsia="Arial" w:hAnsi="Arial"/>
                <w:sz w:val="16"/>
                <w:szCs w:val="16"/>
                <w:color w:val="auto"/>
              </w:rPr>
              <w:t>Service cost</w:t>
            </w:r>
          </w:p>
        </w:tc>
        <w:tc>
          <w:tcPr>
            <w:tcW w:w="300" w:type="dxa"/>
            <w:vAlign w:val="bottom"/>
            <w:gridSpan w:val="2"/>
          </w:tcPr>
          <w:p>
            <w:pPr>
              <w:jc w:val="right"/>
              <w:ind w:right="169"/>
              <w:spacing w:after="0" w:line="164" w:lineRule="exact"/>
              <w:rPr>
                <w:sz w:val="20"/>
                <w:szCs w:val="20"/>
                <w:color w:val="auto"/>
              </w:rPr>
            </w:pPr>
            <w:r>
              <w:rPr>
                <w:rFonts w:ascii="Arial" w:cs="Arial" w:eastAsia="Arial" w:hAnsi="Arial"/>
                <w:sz w:val="15"/>
                <w:szCs w:val="15"/>
                <w:b w:val="1"/>
                <w:bCs w:val="1"/>
                <w:color w:val="auto"/>
                <w:w w:val="71"/>
              </w:rPr>
              <w:t>$</w:t>
            </w:r>
          </w:p>
        </w:tc>
        <w:tc>
          <w:tcPr>
            <w:tcW w:w="1120" w:type="dxa"/>
            <w:vAlign w:val="bottom"/>
          </w:tcPr>
          <w:p>
            <w:pPr>
              <w:jc w:val="right"/>
              <w:ind w:right="23"/>
              <w:spacing w:after="0" w:line="165" w:lineRule="exact"/>
              <w:rPr>
                <w:sz w:val="20"/>
                <w:szCs w:val="20"/>
                <w:color w:val="auto"/>
              </w:rPr>
            </w:pPr>
            <w:r>
              <w:rPr>
                <w:rFonts w:ascii="Arial" w:cs="Arial" w:eastAsia="Arial" w:hAnsi="Arial"/>
                <w:sz w:val="16"/>
                <w:szCs w:val="16"/>
                <w:b w:val="1"/>
                <w:bCs w:val="1"/>
                <w:color w:val="auto"/>
              </w:rPr>
              <w:t>12,710</w:t>
            </w:r>
          </w:p>
        </w:tc>
        <w:tc>
          <w:tcPr>
            <w:tcW w:w="440" w:type="dxa"/>
            <w:vAlign w:val="bottom"/>
          </w:tcPr>
          <w:p>
            <w:pPr>
              <w:jc w:val="right"/>
              <w:ind w:right="59"/>
              <w:spacing w:after="0" w:line="165" w:lineRule="exact"/>
              <w:rPr>
                <w:sz w:val="20"/>
                <w:szCs w:val="20"/>
                <w:color w:val="auto"/>
              </w:rPr>
            </w:pPr>
            <w:r>
              <w:rPr>
                <w:rFonts w:ascii="Arial" w:cs="Arial" w:eastAsia="Arial" w:hAnsi="Arial"/>
                <w:sz w:val="16"/>
                <w:szCs w:val="16"/>
                <w:color w:val="auto"/>
              </w:rPr>
              <w:t>$</w:t>
            </w:r>
          </w:p>
        </w:tc>
        <w:tc>
          <w:tcPr>
            <w:tcW w:w="1040" w:type="dxa"/>
            <w:vAlign w:val="bottom"/>
          </w:tcPr>
          <w:p>
            <w:pPr>
              <w:jc w:val="right"/>
              <w:spacing w:after="0" w:line="165" w:lineRule="exact"/>
              <w:rPr>
                <w:sz w:val="20"/>
                <w:szCs w:val="20"/>
                <w:color w:val="auto"/>
              </w:rPr>
            </w:pPr>
            <w:r>
              <w:rPr>
                <w:rFonts w:ascii="Arial" w:cs="Arial" w:eastAsia="Arial" w:hAnsi="Arial"/>
                <w:sz w:val="16"/>
                <w:szCs w:val="16"/>
                <w:color w:val="auto"/>
              </w:rPr>
              <w:t>8,701</w:t>
            </w:r>
          </w:p>
        </w:tc>
        <w:tc>
          <w:tcPr>
            <w:tcW w:w="440" w:type="dxa"/>
            <w:vAlign w:val="bottom"/>
          </w:tcPr>
          <w:p>
            <w:pPr>
              <w:jc w:val="right"/>
              <w:ind w:right="59"/>
              <w:spacing w:after="0" w:line="165" w:lineRule="exact"/>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3"/>
              <w:spacing w:after="0" w:line="165" w:lineRule="exact"/>
              <w:rPr>
                <w:sz w:val="20"/>
                <w:szCs w:val="20"/>
                <w:color w:val="auto"/>
              </w:rPr>
            </w:pPr>
            <w:r>
              <w:rPr>
                <w:rFonts w:ascii="Arial" w:cs="Arial" w:eastAsia="Arial" w:hAnsi="Arial"/>
                <w:sz w:val="16"/>
                <w:szCs w:val="16"/>
                <w:b w:val="1"/>
                <w:bCs w:val="1"/>
                <w:color w:val="auto"/>
              </w:rPr>
              <w:t>26,075</w:t>
            </w:r>
          </w:p>
        </w:tc>
        <w:tc>
          <w:tcPr>
            <w:tcW w:w="420" w:type="dxa"/>
            <w:vAlign w:val="bottom"/>
          </w:tcPr>
          <w:p>
            <w:pPr>
              <w:jc w:val="right"/>
              <w:ind w:right="39"/>
              <w:spacing w:after="0" w:line="165" w:lineRule="exact"/>
              <w:rPr>
                <w:sz w:val="20"/>
                <w:szCs w:val="20"/>
                <w:color w:val="auto"/>
              </w:rPr>
            </w:pPr>
            <w:r>
              <w:rPr>
                <w:rFonts w:ascii="Arial" w:cs="Arial" w:eastAsia="Arial" w:hAnsi="Arial"/>
                <w:sz w:val="16"/>
                <w:szCs w:val="16"/>
                <w:color w:val="auto"/>
              </w:rPr>
              <w:t>$</w:t>
            </w:r>
          </w:p>
        </w:tc>
        <w:tc>
          <w:tcPr>
            <w:tcW w:w="900" w:type="dxa"/>
            <w:vAlign w:val="bottom"/>
          </w:tcPr>
          <w:p>
            <w:pPr>
              <w:jc w:val="right"/>
              <w:spacing w:after="0" w:line="165" w:lineRule="exact"/>
              <w:rPr>
                <w:sz w:val="20"/>
                <w:szCs w:val="20"/>
                <w:color w:val="auto"/>
              </w:rPr>
            </w:pPr>
            <w:r>
              <w:rPr>
                <w:rFonts w:ascii="Arial" w:cs="Arial" w:eastAsia="Arial" w:hAnsi="Arial"/>
                <w:sz w:val="16"/>
                <w:szCs w:val="16"/>
                <w:color w:val="auto"/>
              </w:rPr>
              <w:t>17,808</w:t>
            </w:r>
          </w:p>
        </w:tc>
        <w:tc>
          <w:tcPr>
            <w:tcW w:w="0" w:type="dxa"/>
            <w:vAlign w:val="bottom"/>
          </w:tcPr>
          <w:p>
            <w:pPr>
              <w:spacing w:after="0"/>
              <w:rPr>
                <w:sz w:val="1"/>
                <w:szCs w:val="1"/>
                <w:color w:val="auto"/>
              </w:rPr>
            </w:pPr>
          </w:p>
        </w:tc>
      </w:tr>
      <w:tr>
        <w:trPr>
          <w:trHeight w:val="189"/>
        </w:trPr>
        <w:tc>
          <w:tcPr>
            <w:tcW w:w="5740" w:type="dxa"/>
            <w:vAlign w:val="bottom"/>
          </w:tcPr>
          <w:p>
            <w:pPr>
              <w:spacing w:after="0"/>
              <w:rPr>
                <w:sz w:val="20"/>
                <w:szCs w:val="20"/>
                <w:color w:val="auto"/>
              </w:rPr>
            </w:pPr>
            <w:r>
              <w:rPr>
                <w:rFonts w:ascii="Arial" w:cs="Arial" w:eastAsia="Arial" w:hAnsi="Arial"/>
                <w:sz w:val="16"/>
                <w:szCs w:val="16"/>
                <w:color w:val="auto"/>
              </w:rPr>
              <w:t>Interest cost</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jc w:val="right"/>
              <w:ind w:right="23"/>
              <w:spacing w:after="0"/>
              <w:rPr>
                <w:sz w:val="20"/>
                <w:szCs w:val="20"/>
                <w:color w:val="auto"/>
              </w:rPr>
            </w:pPr>
            <w:r>
              <w:rPr>
                <w:rFonts w:ascii="Arial" w:cs="Arial" w:eastAsia="Arial" w:hAnsi="Arial"/>
                <w:sz w:val="16"/>
                <w:szCs w:val="16"/>
                <w:b w:val="1"/>
                <w:bCs w:val="1"/>
                <w:color w:val="auto"/>
              </w:rPr>
              <w:t>14,243</w:t>
            </w:r>
          </w:p>
        </w:tc>
        <w:tc>
          <w:tcPr>
            <w:tcW w:w="4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14,829</w:t>
            </w:r>
          </w:p>
        </w:tc>
        <w:tc>
          <w:tcPr>
            <w:tcW w:w="440" w:type="dxa"/>
            <w:vAlign w:val="bottom"/>
          </w:tcPr>
          <w:p>
            <w:pPr>
              <w:spacing w:after="0"/>
              <w:rPr>
                <w:sz w:val="16"/>
                <w:szCs w:val="16"/>
                <w:color w:val="auto"/>
              </w:rPr>
            </w:pPr>
          </w:p>
        </w:tc>
        <w:tc>
          <w:tcPr>
            <w:tcW w:w="1020" w:type="dxa"/>
            <w:vAlign w:val="bottom"/>
          </w:tcPr>
          <w:p>
            <w:pPr>
              <w:jc w:val="right"/>
              <w:ind w:right="3"/>
              <w:spacing w:after="0"/>
              <w:rPr>
                <w:sz w:val="20"/>
                <w:szCs w:val="20"/>
                <w:color w:val="auto"/>
              </w:rPr>
            </w:pPr>
            <w:r>
              <w:rPr>
                <w:rFonts w:ascii="Arial" w:cs="Arial" w:eastAsia="Arial" w:hAnsi="Arial"/>
                <w:sz w:val="16"/>
                <w:szCs w:val="16"/>
                <w:b w:val="1"/>
                <w:bCs w:val="1"/>
                <w:color w:val="auto"/>
              </w:rPr>
              <w:t>28,534</w:t>
            </w:r>
          </w:p>
        </w:tc>
        <w:tc>
          <w:tcPr>
            <w:tcW w:w="4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29,420</w:t>
            </w:r>
          </w:p>
        </w:tc>
        <w:tc>
          <w:tcPr>
            <w:tcW w:w="0" w:type="dxa"/>
            <w:vAlign w:val="bottom"/>
          </w:tcPr>
          <w:p>
            <w:pPr>
              <w:spacing w:after="0"/>
              <w:rPr>
                <w:sz w:val="1"/>
                <w:szCs w:val="1"/>
                <w:color w:val="auto"/>
              </w:rPr>
            </w:pPr>
          </w:p>
        </w:tc>
      </w:tr>
      <w:tr>
        <w:trPr>
          <w:trHeight w:val="189"/>
        </w:trPr>
        <w:tc>
          <w:tcPr>
            <w:tcW w:w="5740" w:type="dxa"/>
            <w:vAlign w:val="bottom"/>
          </w:tcPr>
          <w:p>
            <w:pPr>
              <w:spacing w:after="0"/>
              <w:rPr>
                <w:sz w:val="20"/>
                <w:szCs w:val="20"/>
                <w:color w:val="auto"/>
              </w:rPr>
            </w:pPr>
            <w:r>
              <w:rPr>
                <w:rFonts w:ascii="Arial" w:cs="Arial" w:eastAsia="Arial" w:hAnsi="Arial"/>
                <w:sz w:val="16"/>
                <w:szCs w:val="16"/>
                <w:color w:val="auto"/>
              </w:rPr>
              <w:t>Expected return on assets</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jc w:val="right"/>
              <w:ind w:right="23"/>
              <w:spacing w:after="0"/>
              <w:rPr>
                <w:sz w:val="20"/>
                <w:szCs w:val="20"/>
                <w:color w:val="auto"/>
              </w:rPr>
            </w:pPr>
            <w:r>
              <w:rPr>
                <w:rFonts w:ascii="Arial" w:cs="Arial" w:eastAsia="Arial" w:hAnsi="Arial"/>
                <w:sz w:val="16"/>
                <w:szCs w:val="16"/>
                <w:b w:val="1"/>
                <w:bCs w:val="1"/>
                <w:color w:val="auto"/>
              </w:rPr>
              <w:t>(25,467)</w:t>
            </w:r>
          </w:p>
        </w:tc>
        <w:tc>
          <w:tcPr>
            <w:tcW w:w="4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(24,510)</w:t>
            </w:r>
          </w:p>
        </w:tc>
        <w:tc>
          <w:tcPr>
            <w:tcW w:w="440" w:type="dxa"/>
            <w:vAlign w:val="bottom"/>
          </w:tcPr>
          <w:p>
            <w:pPr>
              <w:spacing w:after="0"/>
              <w:rPr>
                <w:sz w:val="16"/>
                <w:szCs w:val="16"/>
                <w:color w:val="auto"/>
              </w:rPr>
            </w:pPr>
          </w:p>
        </w:tc>
        <w:tc>
          <w:tcPr>
            <w:tcW w:w="1020" w:type="dxa"/>
            <w:vAlign w:val="bottom"/>
          </w:tcPr>
          <w:p>
            <w:pPr>
              <w:jc w:val="right"/>
              <w:ind w:right="3"/>
              <w:spacing w:after="0"/>
              <w:rPr>
                <w:sz w:val="20"/>
                <w:szCs w:val="20"/>
                <w:color w:val="auto"/>
              </w:rPr>
            </w:pPr>
            <w:r>
              <w:rPr>
                <w:rFonts w:ascii="Arial" w:cs="Arial" w:eastAsia="Arial" w:hAnsi="Arial"/>
                <w:sz w:val="16"/>
                <w:szCs w:val="16"/>
                <w:b w:val="1"/>
                <w:bCs w:val="1"/>
                <w:color w:val="auto"/>
              </w:rPr>
              <w:t>(51,789)</w:t>
            </w:r>
          </w:p>
        </w:tc>
        <w:tc>
          <w:tcPr>
            <w:tcW w:w="4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(48,522)</w:t>
            </w:r>
          </w:p>
        </w:tc>
        <w:tc>
          <w:tcPr>
            <w:tcW w:w="0" w:type="dxa"/>
            <w:vAlign w:val="bottom"/>
          </w:tcPr>
          <w:p>
            <w:pPr>
              <w:spacing w:after="0"/>
              <w:rPr>
                <w:sz w:val="1"/>
                <w:szCs w:val="1"/>
                <w:color w:val="auto"/>
              </w:rPr>
            </w:pPr>
          </w:p>
        </w:tc>
      </w:tr>
      <w:tr>
        <w:trPr>
          <w:trHeight w:val="189"/>
        </w:trPr>
        <w:tc>
          <w:tcPr>
            <w:tcW w:w="5740" w:type="dxa"/>
            <w:vAlign w:val="bottom"/>
          </w:tcPr>
          <w:p>
            <w:pPr>
              <w:spacing w:after="0"/>
              <w:rPr>
                <w:sz w:val="20"/>
                <w:szCs w:val="20"/>
                <w:color w:val="auto"/>
              </w:rPr>
            </w:pPr>
            <w:r>
              <w:rPr>
                <w:rFonts w:ascii="Arial" w:cs="Arial" w:eastAsia="Arial" w:hAnsi="Arial"/>
                <w:sz w:val="16"/>
                <w:szCs w:val="16"/>
                <w:color w:val="auto"/>
              </w:rPr>
              <w:t>Amortization of prior service cost</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jc w:val="right"/>
              <w:ind w:right="23"/>
              <w:spacing w:after="0"/>
              <w:rPr>
                <w:sz w:val="20"/>
                <w:szCs w:val="20"/>
                <w:color w:val="auto"/>
              </w:rPr>
            </w:pPr>
            <w:r>
              <w:rPr>
                <w:rFonts w:ascii="Arial" w:cs="Arial" w:eastAsia="Arial" w:hAnsi="Arial"/>
                <w:sz w:val="16"/>
                <w:szCs w:val="16"/>
                <w:b w:val="1"/>
                <w:bCs w:val="1"/>
                <w:color w:val="auto"/>
              </w:rPr>
              <w:t>909</w:t>
            </w:r>
          </w:p>
        </w:tc>
        <w:tc>
          <w:tcPr>
            <w:tcW w:w="4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919</w:t>
            </w:r>
          </w:p>
        </w:tc>
        <w:tc>
          <w:tcPr>
            <w:tcW w:w="440" w:type="dxa"/>
            <w:vAlign w:val="bottom"/>
          </w:tcPr>
          <w:p>
            <w:pPr>
              <w:spacing w:after="0"/>
              <w:rPr>
                <w:sz w:val="16"/>
                <w:szCs w:val="16"/>
                <w:color w:val="auto"/>
              </w:rPr>
            </w:pPr>
          </w:p>
        </w:tc>
        <w:tc>
          <w:tcPr>
            <w:tcW w:w="1020" w:type="dxa"/>
            <w:vAlign w:val="bottom"/>
          </w:tcPr>
          <w:p>
            <w:pPr>
              <w:jc w:val="right"/>
              <w:ind w:right="3"/>
              <w:spacing w:after="0"/>
              <w:rPr>
                <w:sz w:val="20"/>
                <w:szCs w:val="20"/>
                <w:color w:val="auto"/>
              </w:rPr>
            </w:pPr>
            <w:r>
              <w:rPr>
                <w:rFonts w:ascii="Arial" w:cs="Arial" w:eastAsia="Arial" w:hAnsi="Arial"/>
                <w:sz w:val="16"/>
                <w:szCs w:val="16"/>
                <w:b w:val="1"/>
                <w:bCs w:val="1"/>
                <w:color w:val="auto"/>
              </w:rPr>
              <w:t>1,818</w:t>
            </w:r>
          </w:p>
        </w:tc>
        <w:tc>
          <w:tcPr>
            <w:tcW w:w="4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1,856</w:t>
            </w:r>
          </w:p>
        </w:tc>
        <w:tc>
          <w:tcPr>
            <w:tcW w:w="0" w:type="dxa"/>
            <w:vAlign w:val="bottom"/>
          </w:tcPr>
          <w:p>
            <w:pPr>
              <w:spacing w:after="0"/>
              <w:rPr>
                <w:sz w:val="1"/>
                <w:szCs w:val="1"/>
                <w:color w:val="auto"/>
              </w:rPr>
            </w:pPr>
          </w:p>
        </w:tc>
      </w:tr>
      <w:tr>
        <w:trPr>
          <w:trHeight w:val="207"/>
        </w:trPr>
        <w:tc>
          <w:tcPr>
            <w:tcW w:w="5740" w:type="dxa"/>
            <w:vAlign w:val="bottom"/>
          </w:tcPr>
          <w:p>
            <w:pPr>
              <w:spacing w:after="0"/>
              <w:rPr>
                <w:sz w:val="20"/>
                <w:szCs w:val="20"/>
                <w:color w:val="auto"/>
              </w:rPr>
            </w:pPr>
            <w:r>
              <w:rPr>
                <w:rFonts w:ascii="Arial" w:cs="Arial" w:eastAsia="Arial" w:hAnsi="Arial"/>
                <w:sz w:val="16"/>
                <w:szCs w:val="16"/>
                <w:color w:val="auto"/>
              </w:rPr>
              <w:t>Recognized actuarial loss</w:t>
            </w:r>
          </w:p>
        </w:tc>
        <w:tc>
          <w:tcPr>
            <w:tcW w:w="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1,797</w:t>
            </w: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2,503</w:t>
            </w: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3,944</w:t>
            </w: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4,072</w:t>
            </w:r>
          </w:p>
        </w:tc>
        <w:tc>
          <w:tcPr>
            <w:tcW w:w="0" w:type="dxa"/>
            <w:vAlign w:val="bottom"/>
          </w:tcPr>
          <w:p>
            <w:pPr>
              <w:spacing w:after="0"/>
              <w:rPr>
                <w:sz w:val="1"/>
                <w:szCs w:val="1"/>
                <w:color w:val="auto"/>
              </w:rPr>
            </w:pPr>
          </w:p>
        </w:tc>
      </w:tr>
      <w:tr>
        <w:trPr>
          <w:trHeight w:val="164"/>
        </w:trPr>
        <w:tc>
          <w:tcPr>
            <w:tcW w:w="5740" w:type="dxa"/>
            <w:vAlign w:val="bottom"/>
          </w:tcPr>
          <w:p>
            <w:pPr>
              <w:spacing w:after="0" w:line="165" w:lineRule="exact"/>
              <w:rPr>
                <w:sz w:val="20"/>
                <w:szCs w:val="20"/>
                <w:color w:val="auto"/>
              </w:rPr>
            </w:pPr>
            <w:r>
              <w:rPr>
                <w:rFonts w:ascii="Arial" w:cs="Arial" w:eastAsia="Arial" w:hAnsi="Arial"/>
                <w:sz w:val="16"/>
                <w:szCs w:val="16"/>
                <w:b w:val="1"/>
                <w:bCs w:val="1"/>
                <w:color w:val="auto"/>
              </w:rPr>
              <w:t>Net Periodic Cost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jc w:val="right"/>
              <w:ind w:right="23"/>
              <w:spacing w:after="0" w:line="165" w:lineRule="exact"/>
              <w:rPr>
                <w:sz w:val="20"/>
                <w:szCs w:val="20"/>
                <w:color w:val="auto"/>
              </w:rPr>
            </w:pPr>
            <w:r>
              <w:rPr>
                <w:rFonts w:ascii="Arial" w:cs="Arial" w:eastAsia="Arial" w:hAnsi="Arial"/>
                <w:sz w:val="16"/>
                <w:szCs w:val="16"/>
                <w:b w:val="1"/>
                <w:bCs w:val="1"/>
                <w:color w:val="auto"/>
              </w:rPr>
              <w:t>4,192</w:t>
            </w:r>
          </w:p>
        </w:tc>
        <w:tc>
          <w:tcPr>
            <w:tcW w:w="440" w:type="dxa"/>
            <w:vAlign w:val="bottom"/>
          </w:tcPr>
          <w:p>
            <w:pPr>
              <w:spacing w:after="0"/>
              <w:rPr>
                <w:sz w:val="14"/>
                <w:szCs w:val="14"/>
                <w:color w:val="auto"/>
              </w:rPr>
            </w:pPr>
          </w:p>
        </w:tc>
        <w:tc>
          <w:tcPr>
            <w:tcW w:w="1040" w:type="dxa"/>
            <w:vAlign w:val="bottom"/>
          </w:tcPr>
          <w:p>
            <w:pPr>
              <w:jc w:val="right"/>
              <w:spacing w:after="0" w:line="165" w:lineRule="exact"/>
              <w:rPr>
                <w:sz w:val="20"/>
                <w:szCs w:val="20"/>
                <w:color w:val="auto"/>
              </w:rPr>
            </w:pPr>
            <w:r>
              <w:rPr>
                <w:rFonts w:ascii="Arial" w:cs="Arial" w:eastAsia="Arial" w:hAnsi="Arial"/>
                <w:sz w:val="16"/>
                <w:szCs w:val="16"/>
                <w:color w:val="auto"/>
              </w:rPr>
              <w:t>2,442</w:t>
            </w:r>
          </w:p>
        </w:tc>
        <w:tc>
          <w:tcPr>
            <w:tcW w:w="440" w:type="dxa"/>
            <w:vAlign w:val="bottom"/>
          </w:tcPr>
          <w:p>
            <w:pPr>
              <w:spacing w:after="0"/>
              <w:rPr>
                <w:sz w:val="14"/>
                <w:szCs w:val="14"/>
                <w:color w:val="auto"/>
              </w:rPr>
            </w:pPr>
          </w:p>
        </w:tc>
        <w:tc>
          <w:tcPr>
            <w:tcW w:w="1020" w:type="dxa"/>
            <w:vAlign w:val="bottom"/>
          </w:tcPr>
          <w:p>
            <w:pPr>
              <w:jc w:val="right"/>
              <w:ind w:right="3"/>
              <w:spacing w:after="0" w:line="165" w:lineRule="exact"/>
              <w:rPr>
                <w:sz w:val="20"/>
                <w:szCs w:val="20"/>
                <w:color w:val="auto"/>
              </w:rPr>
            </w:pPr>
            <w:r>
              <w:rPr>
                <w:rFonts w:ascii="Arial" w:cs="Arial" w:eastAsia="Arial" w:hAnsi="Arial"/>
                <w:sz w:val="16"/>
                <w:szCs w:val="16"/>
                <w:b w:val="1"/>
                <w:bCs w:val="1"/>
                <w:color w:val="auto"/>
              </w:rPr>
              <w:t>8,582</w:t>
            </w:r>
          </w:p>
        </w:tc>
        <w:tc>
          <w:tcPr>
            <w:tcW w:w="420" w:type="dxa"/>
            <w:vAlign w:val="bottom"/>
          </w:tcPr>
          <w:p>
            <w:pPr>
              <w:spacing w:after="0"/>
              <w:rPr>
                <w:sz w:val="14"/>
                <w:szCs w:val="14"/>
                <w:color w:val="auto"/>
              </w:rPr>
            </w:pPr>
          </w:p>
        </w:tc>
        <w:tc>
          <w:tcPr>
            <w:tcW w:w="900" w:type="dxa"/>
            <w:vAlign w:val="bottom"/>
          </w:tcPr>
          <w:p>
            <w:pPr>
              <w:jc w:val="right"/>
              <w:spacing w:after="0" w:line="165" w:lineRule="exact"/>
              <w:rPr>
                <w:sz w:val="20"/>
                <w:szCs w:val="20"/>
                <w:color w:val="auto"/>
              </w:rPr>
            </w:pPr>
            <w:r>
              <w:rPr>
                <w:rFonts w:ascii="Arial" w:cs="Arial" w:eastAsia="Arial" w:hAnsi="Arial"/>
                <w:sz w:val="16"/>
                <w:szCs w:val="16"/>
                <w:color w:val="auto"/>
              </w:rPr>
              <w:t>4,634</w:t>
            </w:r>
          </w:p>
        </w:tc>
        <w:tc>
          <w:tcPr>
            <w:tcW w:w="0" w:type="dxa"/>
            <w:vAlign w:val="bottom"/>
          </w:tcPr>
          <w:p>
            <w:pPr>
              <w:spacing w:after="0"/>
              <w:rPr>
                <w:sz w:val="1"/>
                <w:szCs w:val="1"/>
                <w:color w:val="auto"/>
              </w:rPr>
            </w:pPr>
          </w:p>
        </w:tc>
      </w:tr>
      <w:tr>
        <w:trPr>
          <w:trHeight w:val="207"/>
        </w:trPr>
        <w:tc>
          <w:tcPr>
            <w:tcW w:w="5740" w:type="dxa"/>
            <w:vAlign w:val="bottom"/>
          </w:tcPr>
          <w:p>
            <w:pPr>
              <w:spacing w:after="0"/>
              <w:rPr>
                <w:sz w:val="20"/>
                <w:szCs w:val="20"/>
                <w:color w:val="auto"/>
              </w:rPr>
            </w:pPr>
            <w:r>
              <w:rPr>
                <w:rFonts w:ascii="Arial" w:cs="Arial" w:eastAsia="Arial" w:hAnsi="Arial"/>
                <w:sz w:val="16"/>
                <w:szCs w:val="16"/>
                <w:color w:val="auto"/>
              </w:rPr>
              <w:t>Early retirement programs expense</w:t>
            </w:r>
          </w:p>
        </w:tc>
        <w:tc>
          <w:tcPr>
            <w:tcW w:w="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8,442</w:t>
            </w: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22,700</w:t>
            </w: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1,022</w:t>
            </w:r>
          </w:p>
        </w:tc>
        <w:tc>
          <w:tcPr>
            <w:tcW w:w="0" w:type="dxa"/>
            <w:vAlign w:val="bottom"/>
          </w:tcPr>
          <w:p>
            <w:pPr>
              <w:spacing w:after="0"/>
              <w:rPr>
                <w:sz w:val="1"/>
                <w:szCs w:val="1"/>
                <w:color w:val="auto"/>
              </w:rPr>
            </w:pPr>
          </w:p>
        </w:tc>
      </w:tr>
      <w:tr>
        <w:trPr>
          <w:trHeight w:val="183"/>
        </w:trPr>
        <w:tc>
          <w:tcPr>
            <w:tcW w:w="5740" w:type="dxa"/>
            <w:vAlign w:val="bottom"/>
          </w:tcPr>
          <w:p>
            <w:pPr>
              <w:spacing w:after="0" w:line="183" w:lineRule="exact"/>
              <w:rPr>
                <w:sz w:val="20"/>
                <w:szCs w:val="20"/>
                <w:color w:val="auto"/>
              </w:rPr>
            </w:pPr>
            <w:r>
              <w:rPr>
                <w:rFonts w:ascii="Arial" w:cs="Arial" w:eastAsia="Arial" w:hAnsi="Arial"/>
                <w:sz w:val="16"/>
                <w:szCs w:val="16"/>
                <w:b w:val="1"/>
                <w:bCs w:val="1"/>
                <w:color w:val="auto"/>
              </w:rPr>
              <w:t>Total Cost</w:t>
            </w: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jc w:val="right"/>
              <w:ind w:right="169"/>
              <w:spacing w:after="0"/>
              <w:rPr>
                <w:sz w:val="20"/>
                <w:szCs w:val="20"/>
                <w:color w:val="auto"/>
              </w:rPr>
            </w:pPr>
            <w:r>
              <w:rPr>
                <w:rFonts w:ascii="Arial" w:cs="Arial" w:eastAsia="Arial" w:hAnsi="Arial"/>
                <w:sz w:val="10"/>
                <w:szCs w:val="10"/>
                <w:b w:val="1"/>
                <w:bCs w:val="1"/>
                <w:color w:val="auto"/>
                <w:w w:val="71"/>
              </w:rPr>
              <w:t>$</w:t>
            </w:r>
          </w:p>
        </w:tc>
        <w:tc>
          <w:tcPr>
            <w:tcW w:w="1120" w:type="dxa"/>
            <w:vAlign w:val="bottom"/>
            <w:tcBorders>
              <w:bottom w:val="single" w:sz="8" w:color="auto"/>
            </w:tcBorders>
          </w:tcPr>
          <w:p>
            <w:pPr>
              <w:jc w:val="right"/>
              <w:ind w:right="23"/>
              <w:spacing w:after="0" w:line="183" w:lineRule="exact"/>
              <w:rPr>
                <w:sz w:val="20"/>
                <w:szCs w:val="20"/>
                <w:color w:val="auto"/>
              </w:rPr>
            </w:pPr>
            <w:r>
              <w:rPr>
                <w:rFonts w:ascii="Arial" w:cs="Arial" w:eastAsia="Arial" w:hAnsi="Arial"/>
                <w:sz w:val="16"/>
                <w:szCs w:val="16"/>
                <w:b w:val="1"/>
                <w:bCs w:val="1"/>
                <w:color w:val="auto"/>
              </w:rPr>
              <w:t>12,634</w:t>
            </w:r>
          </w:p>
        </w:tc>
        <w:tc>
          <w:tcPr>
            <w:tcW w:w="440" w:type="dxa"/>
            <w:vAlign w:val="bottom"/>
            <w:tcBorders>
              <w:bottom w:val="single" w:sz="8" w:color="auto"/>
            </w:tcBorders>
          </w:tcPr>
          <w:p>
            <w:pPr>
              <w:jc w:val="right"/>
              <w:ind w:right="199"/>
              <w:spacing w:after="0" w:line="183" w:lineRule="exact"/>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2,442</w:t>
            </w:r>
          </w:p>
        </w:tc>
        <w:tc>
          <w:tcPr>
            <w:tcW w:w="440" w:type="dxa"/>
            <w:vAlign w:val="bottom"/>
            <w:tcBorders>
              <w:bottom w:val="single" w:sz="8" w:color="auto"/>
            </w:tcBorders>
          </w:tcPr>
          <w:p>
            <w:pPr>
              <w:jc w:val="right"/>
              <w:ind w:right="199"/>
              <w:spacing w:after="0" w:line="183" w:lineRule="exact"/>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3"/>
              <w:spacing w:after="0" w:line="183" w:lineRule="exact"/>
              <w:rPr>
                <w:sz w:val="20"/>
                <w:szCs w:val="20"/>
                <w:color w:val="auto"/>
              </w:rPr>
            </w:pPr>
            <w:r>
              <w:rPr>
                <w:rFonts w:ascii="Arial" w:cs="Arial" w:eastAsia="Arial" w:hAnsi="Arial"/>
                <w:sz w:val="16"/>
                <w:szCs w:val="16"/>
                <w:b w:val="1"/>
                <w:bCs w:val="1"/>
                <w:color w:val="auto"/>
              </w:rPr>
              <w:t>31,282</w:t>
            </w:r>
          </w:p>
        </w:tc>
        <w:tc>
          <w:tcPr>
            <w:tcW w:w="420" w:type="dxa"/>
            <w:vAlign w:val="bottom"/>
            <w:tcBorders>
              <w:bottom w:val="single" w:sz="8" w:color="auto"/>
            </w:tcBorders>
          </w:tcPr>
          <w:p>
            <w:pPr>
              <w:jc w:val="right"/>
              <w:ind w:right="179"/>
              <w:spacing w:after="0" w:line="183"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5,656</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846" w:right="239" w:bottom="1440" w:gutter="0" w:footer="0" w:header="0"/>
        </w:sectPr>
      </w:pPr>
    </w:p>
    <w:bookmarkStart w:id="12" w:name="page13"/>
    <w:bookmarkEnd w:id="12"/>
    <w:p>
      <w:pPr>
        <w:ind w:right="200"/>
        <w:spacing w:after="0" w:line="237" w:lineRule="auto"/>
        <w:rPr>
          <w:sz w:val="20"/>
          <w:szCs w:val="20"/>
          <w:color w:val="auto"/>
        </w:rPr>
      </w:pPr>
      <w:r>
        <w:rPr>
          <w:rFonts w:ascii="Arial" w:cs="Arial" w:eastAsia="Arial" w:hAnsi="Arial"/>
          <w:sz w:val="18"/>
          <w:szCs w:val="18"/>
          <w:color w:val="auto"/>
        </w:rPr>
        <w:t>The Company announced a Voluntary Retirement Incentive Program in February 2013, which was offered to certain employees of the Washington Post newspaper. The total early retirement program expense for this program for the six months ended June 30, 2013 was $20.4 million. Of this amount, $ 12.0 million was recorded in the first quarter of 2013 and $8.4 million was recorded in the second quarter of 2013. In addition, the Washington Post newspaper recorded $2.3 million in special separation benefits for a group of employees in the first quarter of 2013. The early retirement program expense and special separation benefits for these programs are being funded from the assets of the Company’s pension plan.</w:t>
      </w:r>
    </w:p>
    <w:p>
      <w:pPr>
        <w:spacing w:after="0" w:line="192" w:lineRule="exact"/>
        <w:rPr>
          <w:sz w:val="20"/>
          <w:szCs w:val="20"/>
          <w:color w:val="auto"/>
        </w:rPr>
      </w:pPr>
    </w:p>
    <w:p>
      <w:pPr>
        <w:ind w:right="40"/>
        <w:spacing w:after="0"/>
        <w:rPr>
          <w:sz w:val="20"/>
          <w:szCs w:val="20"/>
          <w:color w:val="auto"/>
        </w:rPr>
      </w:pPr>
      <w:r>
        <w:rPr>
          <w:rFonts w:ascii="Arial" w:cs="Arial" w:eastAsia="Arial" w:hAnsi="Arial"/>
          <w:sz w:val="18"/>
          <w:szCs w:val="18"/>
          <w:color w:val="auto"/>
        </w:rPr>
        <w:t>In the first quarter of 2012, the Company offered a Voluntary Retirement Incentive Program to certain employees of Post-Newsweek Media and recorded early retirement program expense of $1.0 million. The early retirement program expense for these programs was funded from the assets of the Company’s pension plan.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total cost arising from the Company’s Supplemental Executive Retirement Plan (SERP) consists of the following components: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2360" w:type="dxa"/>
            <w:vAlign w:val="bottom"/>
            <w:gridSpan w:val="3"/>
          </w:tcPr>
          <w:p>
            <w:pPr>
              <w:jc w:val="right"/>
              <w:ind w:right="183"/>
              <w:spacing w:after="0"/>
              <w:rPr>
                <w:sz w:val="20"/>
                <w:szCs w:val="20"/>
                <w:color w:val="auto"/>
              </w:rPr>
            </w:pPr>
            <w:r>
              <w:rPr>
                <w:rFonts w:ascii="Arial" w:cs="Arial" w:eastAsia="Arial" w:hAnsi="Arial"/>
                <w:sz w:val="14"/>
                <w:szCs w:val="14"/>
                <w:b w:val="1"/>
                <w:bCs w:val="1"/>
                <w:color w:val="auto"/>
              </w:rPr>
              <w:t>Three Months Ended</w:t>
            </w:r>
          </w:p>
        </w:tc>
        <w:tc>
          <w:tcPr>
            <w:tcW w:w="600" w:type="dxa"/>
            <w:vAlign w:val="bottom"/>
          </w:tcPr>
          <w:p>
            <w:pPr>
              <w:spacing w:after="0"/>
              <w:rPr>
                <w:sz w:val="14"/>
                <w:szCs w:val="14"/>
                <w:color w:val="auto"/>
              </w:rPr>
            </w:pPr>
          </w:p>
        </w:tc>
        <w:tc>
          <w:tcPr>
            <w:tcW w:w="2240" w:type="dxa"/>
            <w:vAlign w:val="bottom"/>
            <w:gridSpan w:val="3"/>
          </w:tcPr>
          <w:p>
            <w:pPr>
              <w:jc w:val="right"/>
              <w:ind w:right="203"/>
              <w:spacing w:after="0"/>
              <w:rPr>
                <w:sz w:val="20"/>
                <w:szCs w:val="20"/>
                <w:color w:val="auto"/>
              </w:rPr>
            </w:pPr>
            <w:r>
              <w:rPr>
                <w:rFonts w:ascii="Arial" w:cs="Arial" w:eastAsia="Arial" w:hAnsi="Arial"/>
                <w:sz w:val="14"/>
                <w:szCs w:val="14"/>
                <w:b w:val="1"/>
                <w:bCs w:val="1"/>
                <w:color w:val="auto"/>
              </w:rPr>
              <w:t>Six Months Ended</w:t>
            </w: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574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8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2"/>
          </w:tcPr>
          <w:p>
            <w:pPr>
              <w:jc w:val="right"/>
              <w:ind w:right="583"/>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right"/>
              <w:ind w:right="523"/>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40" w:type="dxa"/>
            <w:vAlign w:val="bottom"/>
            <w:tcBorders>
              <w:bottom w:val="single" w:sz="8" w:color="auto"/>
            </w:tcBorders>
            <w:vMerge w:val="continue"/>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6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2012</w:t>
            </w:r>
          </w:p>
        </w:tc>
        <w:tc>
          <w:tcPr>
            <w:tcW w:w="6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5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2012</w:t>
            </w:r>
          </w:p>
        </w:tc>
        <w:tc>
          <w:tcPr>
            <w:tcW w:w="4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5740" w:type="dxa"/>
            <w:vAlign w:val="bottom"/>
          </w:tcPr>
          <w:p>
            <w:pPr>
              <w:spacing w:after="0" w:line="165" w:lineRule="exact"/>
              <w:rPr>
                <w:sz w:val="20"/>
                <w:szCs w:val="20"/>
                <w:color w:val="auto"/>
              </w:rPr>
            </w:pPr>
            <w:r>
              <w:rPr>
                <w:rFonts w:ascii="Arial" w:cs="Arial" w:eastAsia="Arial" w:hAnsi="Arial"/>
                <w:sz w:val="16"/>
                <w:szCs w:val="16"/>
                <w:color w:val="auto"/>
              </w:rPr>
              <w:t>Service cost</w:t>
            </w:r>
          </w:p>
        </w:tc>
        <w:tc>
          <w:tcPr>
            <w:tcW w:w="860" w:type="dxa"/>
            <w:vAlign w:val="bottom"/>
          </w:tcPr>
          <w:p>
            <w:pPr>
              <w:jc w:val="right"/>
              <w:ind w:right="566"/>
              <w:spacing w:after="0" w:line="165" w:lineRule="exact"/>
              <w:rPr>
                <w:sz w:val="20"/>
                <w:szCs w:val="20"/>
                <w:color w:val="auto"/>
              </w:rPr>
            </w:pPr>
            <w:r>
              <w:rPr>
                <w:rFonts w:ascii="Arial" w:cs="Arial" w:eastAsia="Arial" w:hAnsi="Arial"/>
                <w:sz w:val="16"/>
                <w:szCs w:val="16"/>
                <w:b w:val="1"/>
                <w:bCs w:val="1"/>
                <w:color w:val="auto"/>
              </w:rPr>
              <w:t>$</w:t>
            </w:r>
          </w:p>
        </w:tc>
        <w:tc>
          <w:tcPr>
            <w:tcW w:w="620" w:type="dxa"/>
            <w:vAlign w:val="bottom"/>
          </w:tcPr>
          <w:p>
            <w:pPr>
              <w:jc w:val="right"/>
              <w:ind w:right="81"/>
              <w:spacing w:after="0" w:line="165" w:lineRule="exact"/>
              <w:rPr>
                <w:sz w:val="20"/>
                <w:szCs w:val="20"/>
                <w:color w:val="auto"/>
              </w:rPr>
            </w:pPr>
            <w:r>
              <w:rPr>
                <w:rFonts w:ascii="Arial" w:cs="Arial" w:eastAsia="Arial" w:hAnsi="Arial"/>
                <w:sz w:val="16"/>
                <w:szCs w:val="16"/>
                <w:b w:val="1"/>
                <w:bCs w:val="1"/>
                <w:color w:val="auto"/>
              </w:rPr>
              <w:t>430</w:t>
            </w:r>
          </w:p>
        </w:tc>
        <w:tc>
          <w:tcPr>
            <w:tcW w:w="880" w:type="dxa"/>
            <w:vAlign w:val="bottom"/>
          </w:tcPr>
          <w:p>
            <w:pPr>
              <w:jc w:val="right"/>
              <w:ind w:right="563"/>
              <w:spacing w:after="0" w:line="165" w:lineRule="exact"/>
              <w:rPr>
                <w:sz w:val="20"/>
                <w:szCs w:val="20"/>
                <w:color w:val="auto"/>
              </w:rPr>
            </w:pPr>
            <w:r>
              <w:rPr>
                <w:rFonts w:ascii="Arial" w:cs="Arial" w:eastAsia="Arial" w:hAnsi="Arial"/>
                <w:sz w:val="16"/>
                <w:szCs w:val="16"/>
                <w:color w:val="auto"/>
              </w:rPr>
              <w:t>$</w:t>
            </w:r>
          </w:p>
        </w:tc>
        <w:tc>
          <w:tcPr>
            <w:tcW w:w="600" w:type="dxa"/>
            <w:vAlign w:val="bottom"/>
          </w:tcPr>
          <w:p>
            <w:pPr>
              <w:jc w:val="right"/>
              <w:ind w:right="59"/>
              <w:spacing w:after="0" w:line="165" w:lineRule="exact"/>
              <w:rPr>
                <w:sz w:val="20"/>
                <w:szCs w:val="20"/>
                <w:color w:val="auto"/>
              </w:rPr>
            </w:pPr>
            <w:r>
              <w:rPr>
                <w:rFonts w:ascii="Arial" w:cs="Arial" w:eastAsia="Arial" w:hAnsi="Arial"/>
                <w:sz w:val="16"/>
                <w:szCs w:val="16"/>
                <w:color w:val="auto"/>
              </w:rPr>
              <w:t>366</w:t>
            </w:r>
          </w:p>
        </w:tc>
        <w:tc>
          <w:tcPr>
            <w:tcW w:w="880" w:type="dxa"/>
            <w:vAlign w:val="bottom"/>
          </w:tcPr>
          <w:p>
            <w:pPr>
              <w:jc w:val="right"/>
              <w:ind w:right="566"/>
              <w:spacing w:after="0" w:line="165" w:lineRule="exact"/>
              <w:rPr>
                <w:sz w:val="20"/>
                <w:szCs w:val="20"/>
                <w:color w:val="auto"/>
              </w:rPr>
            </w:pPr>
            <w:r>
              <w:rPr>
                <w:rFonts w:ascii="Arial" w:cs="Arial" w:eastAsia="Arial" w:hAnsi="Arial"/>
                <w:sz w:val="16"/>
                <w:szCs w:val="16"/>
                <w:b w:val="1"/>
                <w:bCs w:val="1"/>
                <w:color w:val="auto"/>
              </w:rPr>
              <w:t>$</w:t>
            </w:r>
          </w:p>
        </w:tc>
        <w:tc>
          <w:tcPr>
            <w:tcW w:w="580" w:type="dxa"/>
            <w:vAlign w:val="bottom"/>
          </w:tcPr>
          <w:p>
            <w:pPr>
              <w:jc w:val="right"/>
              <w:ind w:right="61"/>
              <w:spacing w:after="0" w:line="165" w:lineRule="exact"/>
              <w:rPr>
                <w:sz w:val="20"/>
                <w:szCs w:val="20"/>
                <w:color w:val="auto"/>
              </w:rPr>
            </w:pPr>
            <w:r>
              <w:rPr>
                <w:rFonts w:ascii="Arial" w:cs="Arial" w:eastAsia="Arial" w:hAnsi="Arial"/>
                <w:sz w:val="16"/>
                <w:szCs w:val="16"/>
                <w:b w:val="1"/>
                <w:bCs w:val="1"/>
                <w:color w:val="auto"/>
              </w:rPr>
              <w:t>859</w:t>
            </w:r>
          </w:p>
        </w:tc>
        <w:tc>
          <w:tcPr>
            <w:tcW w:w="780" w:type="dxa"/>
            <w:vAlign w:val="bottom"/>
          </w:tcPr>
          <w:p>
            <w:pPr>
              <w:jc w:val="right"/>
              <w:ind w:right="463"/>
              <w:spacing w:after="0" w:line="165" w:lineRule="exact"/>
              <w:rPr>
                <w:sz w:val="20"/>
                <w:szCs w:val="20"/>
                <w:color w:val="auto"/>
              </w:rPr>
            </w:pPr>
            <w:r>
              <w:rPr>
                <w:rFonts w:ascii="Arial" w:cs="Arial" w:eastAsia="Arial" w:hAnsi="Arial"/>
                <w:sz w:val="16"/>
                <w:szCs w:val="16"/>
                <w:color w:val="auto"/>
              </w:rPr>
              <w:t>$</w:t>
            </w:r>
          </w:p>
        </w:tc>
        <w:tc>
          <w:tcPr>
            <w:tcW w:w="480" w:type="dxa"/>
            <w:vAlign w:val="bottom"/>
          </w:tcPr>
          <w:p>
            <w:pPr>
              <w:jc w:val="right"/>
              <w:spacing w:after="0" w:line="165" w:lineRule="exact"/>
              <w:rPr>
                <w:sz w:val="20"/>
                <w:szCs w:val="20"/>
                <w:color w:val="auto"/>
              </w:rPr>
            </w:pPr>
            <w:r>
              <w:rPr>
                <w:rFonts w:ascii="Arial" w:cs="Arial" w:eastAsia="Arial" w:hAnsi="Arial"/>
                <w:sz w:val="16"/>
                <w:szCs w:val="16"/>
                <w:color w:val="auto"/>
              </w:rPr>
              <w:t>733</w:t>
            </w:r>
          </w:p>
        </w:tc>
        <w:tc>
          <w:tcPr>
            <w:tcW w:w="0" w:type="dxa"/>
            <w:vAlign w:val="bottom"/>
          </w:tcPr>
          <w:p>
            <w:pPr>
              <w:spacing w:after="0"/>
              <w:rPr>
                <w:sz w:val="1"/>
                <w:szCs w:val="1"/>
                <w:color w:val="auto"/>
              </w:rPr>
            </w:pPr>
          </w:p>
        </w:tc>
      </w:tr>
      <w:tr>
        <w:trPr>
          <w:trHeight w:val="189"/>
        </w:trPr>
        <w:tc>
          <w:tcPr>
            <w:tcW w:w="5740" w:type="dxa"/>
            <w:vAlign w:val="bottom"/>
          </w:tcPr>
          <w:p>
            <w:pPr>
              <w:spacing w:after="0"/>
              <w:rPr>
                <w:sz w:val="20"/>
                <w:szCs w:val="20"/>
                <w:color w:val="auto"/>
              </w:rPr>
            </w:pPr>
            <w:r>
              <w:rPr>
                <w:rFonts w:ascii="Arial" w:cs="Arial" w:eastAsia="Arial" w:hAnsi="Arial"/>
                <w:sz w:val="16"/>
                <w:szCs w:val="16"/>
                <w:color w:val="auto"/>
              </w:rPr>
              <w:t>Interest cost</w:t>
            </w:r>
          </w:p>
        </w:tc>
        <w:tc>
          <w:tcPr>
            <w:tcW w:w="860" w:type="dxa"/>
            <w:vAlign w:val="bottom"/>
          </w:tcPr>
          <w:p>
            <w:pPr>
              <w:spacing w:after="0"/>
              <w:rPr>
                <w:sz w:val="16"/>
                <w:szCs w:val="16"/>
                <w:color w:val="auto"/>
              </w:rPr>
            </w:pPr>
          </w:p>
        </w:tc>
        <w:tc>
          <w:tcPr>
            <w:tcW w:w="620" w:type="dxa"/>
            <w:vAlign w:val="bottom"/>
          </w:tcPr>
          <w:p>
            <w:pPr>
              <w:jc w:val="right"/>
              <w:ind w:right="81"/>
              <w:spacing w:after="0"/>
              <w:rPr>
                <w:sz w:val="20"/>
                <w:szCs w:val="20"/>
                <w:color w:val="auto"/>
              </w:rPr>
            </w:pPr>
            <w:r>
              <w:rPr>
                <w:rFonts w:ascii="Arial" w:cs="Arial" w:eastAsia="Arial" w:hAnsi="Arial"/>
                <w:sz w:val="16"/>
                <w:szCs w:val="16"/>
                <w:b w:val="1"/>
                <w:bCs w:val="1"/>
                <w:color w:val="auto"/>
              </w:rPr>
              <w:t>1,023</w:t>
            </w:r>
          </w:p>
        </w:tc>
        <w:tc>
          <w:tcPr>
            <w:tcW w:w="880" w:type="dxa"/>
            <w:vAlign w:val="bottom"/>
          </w:tcPr>
          <w:p>
            <w:pPr>
              <w:spacing w:after="0"/>
              <w:rPr>
                <w:sz w:val="16"/>
                <w:szCs w:val="16"/>
                <w:color w:val="auto"/>
              </w:rPr>
            </w:pPr>
          </w:p>
        </w:tc>
        <w:tc>
          <w:tcPr>
            <w:tcW w:w="600" w:type="dxa"/>
            <w:vAlign w:val="bottom"/>
          </w:tcPr>
          <w:p>
            <w:pPr>
              <w:jc w:val="right"/>
              <w:ind w:right="59"/>
              <w:spacing w:after="0"/>
              <w:rPr>
                <w:sz w:val="20"/>
                <w:szCs w:val="20"/>
                <w:color w:val="auto"/>
              </w:rPr>
            </w:pPr>
            <w:r>
              <w:rPr>
                <w:rFonts w:ascii="Arial" w:cs="Arial" w:eastAsia="Arial" w:hAnsi="Arial"/>
                <w:sz w:val="16"/>
                <w:szCs w:val="16"/>
                <w:color w:val="auto"/>
              </w:rPr>
              <w:t>1,061</w:t>
            </w:r>
          </w:p>
        </w:tc>
        <w:tc>
          <w:tcPr>
            <w:tcW w:w="880" w:type="dxa"/>
            <w:vAlign w:val="bottom"/>
          </w:tcPr>
          <w:p>
            <w:pPr>
              <w:spacing w:after="0"/>
              <w:rPr>
                <w:sz w:val="16"/>
                <w:szCs w:val="16"/>
                <w:color w:val="auto"/>
              </w:rPr>
            </w:pPr>
          </w:p>
        </w:tc>
        <w:tc>
          <w:tcPr>
            <w:tcW w:w="580" w:type="dxa"/>
            <w:vAlign w:val="bottom"/>
          </w:tcPr>
          <w:p>
            <w:pPr>
              <w:jc w:val="right"/>
              <w:ind w:right="61"/>
              <w:spacing w:after="0"/>
              <w:rPr>
                <w:sz w:val="20"/>
                <w:szCs w:val="20"/>
                <w:color w:val="auto"/>
              </w:rPr>
            </w:pPr>
            <w:r>
              <w:rPr>
                <w:rFonts w:ascii="Arial" w:cs="Arial" w:eastAsia="Arial" w:hAnsi="Arial"/>
                <w:sz w:val="16"/>
                <w:szCs w:val="16"/>
                <w:b w:val="1"/>
                <w:bCs w:val="1"/>
                <w:color w:val="auto"/>
              </w:rPr>
              <w:t>2,046</w:t>
            </w:r>
          </w:p>
        </w:tc>
        <w:tc>
          <w:tcPr>
            <w:tcW w:w="7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2,121</w:t>
            </w:r>
          </w:p>
        </w:tc>
        <w:tc>
          <w:tcPr>
            <w:tcW w:w="0" w:type="dxa"/>
            <w:vAlign w:val="bottom"/>
          </w:tcPr>
          <w:p>
            <w:pPr>
              <w:spacing w:after="0"/>
              <w:rPr>
                <w:sz w:val="1"/>
                <w:szCs w:val="1"/>
                <w:color w:val="auto"/>
              </w:rPr>
            </w:pPr>
          </w:p>
        </w:tc>
      </w:tr>
      <w:tr>
        <w:trPr>
          <w:trHeight w:val="189"/>
        </w:trPr>
        <w:tc>
          <w:tcPr>
            <w:tcW w:w="5740" w:type="dxa"/>
            <w:vAlign w:val="bottom"/>
          </w:tcPr>
          <w:p>
            <w:pPr>
              <w:spacing w:after="0"/>
              <w:rPr>
                <w:sz w:val="20"/>
                <w:szCs w:val="20"/>
                <w:color w:val="auto"/>
              </w:rPr>
            </w:pPr>
            <w:r>
              <w:rPr>
                <w:rFonts w:ascii="Arial" w:cs="Arial" w:eastAsia="Arial" w:hAnsi="Arial"/>
                <w:sz w:val="16"/>
                <w:szCs w:val="16"/>
                <w:color w:val="auto"/>
              </w:rPr>
              <w:t>Amortization of prior service cost</w:t>
            </w:r>
          </w:p>
        </w:tc>
        <w:tc>
          <w:tcPr>
            <w:tcW w:w="860" w:type="dxa"/>
            <w:vAlign w:val="bottom"/>
          </w:tcPr>
          <w:p>
            <w:pPr>
              <w:spacing w:after="0"/>
              <w:rPr>
                <w:sz w:val="16"/>
                <w:szCs w:val="16"/>
                <w:color w:val="auto"/>
              </w:rPr>
            </w:pPr>
          </w:p>
        </w:tc>
        <w:tc>
          <w:tcPr>
            <w:tcW w:w="620" w:type="dxa"/>
            <w:vAlign w:val="bottom"/>
          </w:tcPr>
          <w:p>
            <w:pPr>
              <w:jc w:val="right"/>
              <w:ind w:right="81"/>
              <w:spacing w:after="0"/>
              <w:rPr>
                <w:sz w:val="20"/>
                <w:szCs w:val="20"/>
                <w:color w:val="auto"/>
              </w:rPr>
            </w:pPr>
            <w:r>
              <w:rPr>
                <w:rFonts w:ascii="Arial" w:cs="Arial" w:eastAsia="Arial" w:hAnsi="Arial"/>
                <w:sz w:val="16"/>
                <w:szCs w:val="16"/>
                <w:b w:val="1"/>
                <w:bCs w:val="1"/>
                <w:color w:val="auto"/>
              </w:rPr>
              <w:t>13</w:t>
            </w:r>
          </w:p>
        </w:tc>
        <w:tc>
          <w:tcPr>
            <w:tcW w:w="880" w:type="dxa"/>
            <w:vAlign w:val="bottom"/>
          </w:tcPr>
          <w:p>
            <w:pPr>
              <w:spacing w:after="0"/>
              <w:rPr>
                <w:sz w:val="16"/>
                <w:szCs w:val="16"/>
                <w:color w:val="auto"/>
              </w:rPr>
            </w:pPr>
          </w:p>
        </w:tc>
        <w:tc>
          <w:tcPr>
            <w:tcW w:w="600" w:type="dxa"/>
            <w:vAlign w:val="bottom"/>
          </w:tcPr>
          <w:p>
            <w:pPr>
              <w:jc w:val="right"/>
              <w:ind w:right="59"/>
              <w:spacing w:after="0"/>
              <w:rPr>
                <w:sz w:val="20"/>
                <w:szCs w:val="20"/>
                <w:color w:val="auto"/>
              </w:rPr>
            </w:pPr>
            <w:r>
              <w:rPr>
                <w:rFonts w:ascii="Arial" w:cs="Arial" w:eastAsia="Arial" w:hAnsi="Arial"/>
                <w:sz w:val="16"/>
                <w:szCs w:val="16"/>
                <w:color w:val="auto"/>
              </w:rPr>
              <w:t>13</w:t>
            </w:r>
          </w:p>
        </w:tc>
        <w:tc>
          <w:tcPr>
            <w:tcW w:w="880" w:type="dxa"/>
            <w:vAlign w:val="bottom"/>
          </w:tcPr>
          <w:p>
            <w:pPr>
              <w:spacing w:after="0"/>
              <w:rPr>
                <w:sz w:val="16"/>
                <w:szCs w:val="16"/>
                <w:color w:val="auto"/>
              </w:rPr>
            </w:pPr>
          </w:p>
        </w:tc>
        <w:tc>
          <w:tcPr>
            <w:tcW w:w="580" w:type="dxa"/>
            <w:vAlign w:val="bottom"/>
          </w:tcPr>
          <w:p>
            <w:pPr>
              <w:jc w:val="right"/>
              <w:ind w:right="61"/>
              <w:spacing w:after="0"/>
              <w:rPr>
                <w:sz w:val="20"/>
                <w:szCs w:val="20"/>
                <w:color w:val="auto"/>
              </w:rPr>
            </w:pPr>
            <w:r>
              <w:rPr>
                <w:rFonts w:ascii="Arial" w:cs="Arial" w:eastAsia="Arial" w:hAnsi="Arial"/>
                <w:sz w:val="16"/>
                <w:szCs w:val="16"/>
                <w:b w:val="1"/>
                <w:bCs w:val="1"/>
                <w:color w:val="auto"/>
              </w:rPr>
              <w:t>27</w:t>
            </w:r>
          </w:p>
        </w:tc>
        <w:tc>
          <w:tcPr>
            <w:tcW w:w="7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07"/>
        </w:trPr>
        <w:tc>
          <w:tcPr>
            <w:tcW w:w="5740" w:type="dxa"/>
            <w:vAlign w:val="bottom"/>
          </w:tcPr>
          <w:p>
            <w:pPr>
              <w:spacing w:after="0"/>
              <w:rPr>
                <w:sz w:val="20"/>
                <w:szCs w:val="20"/>
                <w:color w:val="auto"/>
              </w:rPr>
            </w:pPr>
            <w:r>
              <w:rPr>
                <w:rFonts w:ascii="Arial" w:cs="Arial" w:eastAsia="Arial" w:hAnsi="Arial"/>
                <w:sz w:val="16"/>
                <w:szCs w:val="16"/>
                <w:color w:val="auto"/>
              </w:rPr>
              <w:t>Recognized actuarial loss</w:t>
            </w:r>
          </w:p>
        </w:tc>
        <w:tc>
          <w:tcPr>
            <w:tcW w:w="8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711</w:t>
            </w:r>
          </w:p>
        </w:tc>
        <w:tc>
          <w:tcPr>
            <w:tcW w:w="8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459</w:t>
            </w:r>
          </w:p>
        </w:tc>
        <w:tc>
          <w:tcPr>
            <w:tcW w:w="8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1,422</w:t>
            </w:r>
          </w:p>
        </w:tc>
        <w:tc>
          <w:tcPr>
            <w:tcW w:w="7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917</w:t>
            </w:r>
          </w:p>
        </w:tc>
        <w:tc>
          <w:tcPr>
            <w:tcW w:w="0" w:type="dxa"/>
            <w:vAlign w:val="bottom"/>
          </w:tcPr>
          <w:p>
            <w:pPr>
              <w:spacing w:after="0"/>
              <w:rPr>
                <w:sz w:val="1"/>
                <w:szCs w:val="1"/>
                <w:color w:val="auto"/>
              </w:rPr>
            </w:pPr>
          </w:p>
        </w:tc>
      </w:tr>
      <w:tr>
        <w:trPr>
          <w:trHeight w:val="183"/>
        </w:trPr>
        <w:tc>
          <w:tcPr>
            <w:tcW w:w="5740" w:type="dxa"/>
            <w:vAlign w:val="bottom"/>
          </w:tcPr>
          <w:p>
            <w:pPr>
              <w:spacing w:after="0" w:line="183" w:lineRule="exact"/>
              <w:rPr>
                <w:sz w:val="20"/>
                <w:szCs w:val="20"/>
                <w:color w:val="auto"/>
              </w:rPr>
            </w:pPr>
            <w:r>
              <w:rPr>
                <w:rFonts w:ascii="Arial" w:cs="Arial" w:eastAsia="Arial" w:hAnsi="Arial"/>
                <w:sz w:val="16"/>
                <w:szCs w:val="16"/>
                <w:b w:val="1"/>
                <w:bCs w:val="1"/>
                <w:color w:val="auto"/>
              </w:rPr>
              <w:t>Total Cost</w:t>
            </w:r>
          </w:p>
        </w:tc>
        <w:tc>
          <w:tcPr>
            <w:tcW w:w="860" w:type="dxa"/>
            <w:vAlign w:val="bottom"/>
            <w:tcBorders>
              <w:bottom w:val="single" w:sz="8" w:color="auto"/>
            </w:tcBorders>
          </w:tcPr>
          <w:p>
            <w:pPr>
              <w:jc w:val="right"/>
              <w:ind w:right="566"/>
              <w:spacing w:after="0" w:line="183" w:lineRule="exact"/>
              <w:rPr>
                <w:sz w:val="20"/>
                <w:szCs w:val="20"/>
                <w:color w:val="auto"/>
              </w:rPr>
            </w:pPr>
            <w:r>
              <w:rPr>
                <w:rFonts w:ascii="Arial" w:cs="Arial" w:eastAsia="Arial" w:hAnsi="Arial"/>
                <w:sz w:val="16"/>
                <w:szCs w:val="16"/>
                <w:b w:val="1"/>
                <w:bCs w:val="1"/>
                <w:color w:val="auto"/>
              </w:rPr>
              <w:t>$</w:t>
            </w:r>
          </w:p>
        </w:tc>
        <w:tc>
          <w:tcPr>
            <w:tcW w:w="620" w:type="dxa"/>
            <w:vAlign w:val="bottom"/>
            <w:tcBorders>
              <w:bottom w:val="single" w:sz="8" w:color="auto"/>
            </w:tcBorders>
          </w:tcPr>
          <w:p>
            <w:pPr>
              <w:jc w:val="right"/>
              <w:ind w:right="81"/>
              <w:spacing w:after="0" w:line="183" w:lineRule="exact"/>
              <w:rPr>
                <w:sz w:val="20"/>
                <w:szCs w:val="20"/>
                <w:color w:val="auto"/>
              </w:rPr>
            </w:pPr>
            <w:r>
              <w:rPr>
                <w:rFonts w:ascii="Arial" w:cs="Arial" w:eastAsia="Arial" w:hAnsi="Arial"/>
                <w:sz w:val="16"/>
                <w:szCs w:val="16"/>
                <w:b w:val="1"/>
                <w:bCs w:val="1"/>
                <w:color w:val="auto"/>
              </w:rPr>
              <w:t>2,177</w:t>
            </w:r>
          </w:p>
        </w:tc>
        <w:tc>
          <w:tcPr>
            <w:tcW w:w="880" w:type="dxa"/>
            <w:vAlign w:val="bottom"/>
            <w:tcBorders>
              <w:bottom w:val="single" w:sz="8" w:color="auto"/>
            </w:tcBorders>
          </w:tcPr>
          <w:p>
            <w:pPr>
              <w:jc w:val="right"/>
              <w:ind w:right="563"/>
              <w:spacing w:after="0" w:line="183" w:lineRule="exact"/>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1,899</w:t>
            </w:r>
          </w:p>
        </w:tc>
        <w:tc>
          <w:tcPr>
            <w:tcW w:w="880" w:type="dxa"/>
            <w:vAlign w:val="bottom"/>
            <w:tcBorders>
              <w:bottom w:val="single" w:sz="8" w:color="auto"/>
            </w:tcBorders>
          </w:tcPr>
          <w:p>
            <w:pPr>
              <w:jc w:val="right"/>
              <w:ind w:right="566"/>
              <w:spacing w:after="0" w:line="183" w:lineRule="exact"/>
              <w:rPr>
                <w:sz w:val="20"/>
                <w:szCs w:val="20"/>
                <w:color w:val="auto"/>
              </w:rPr>
            </w:pPr>
            <w:r>
              <w:rPr>
                <w:rFonts w:ascii="Arial" w:cs="Arial" w:eastAsia="Arial" w:hAnsi="Arial"/>
                <w:sz w:val="16"/>
                <w:szCs w:val="16"/>
                <w:b w:val="1"/>
                <w:bCs w:val="1"/>
                <w:color w:val="auto"/>
              </w:rPr>
              <w:t>$</w:t>
            </w:r>
          </w:p>
        </w:tc>
        <w:tc>
          <w:tcPr>
            <w:tcW w:w="580" w:type="dxa"/>
            <w:vAlign w:val="bottom"/>
            <w:tcBorders>
              <w:bottom w:val="single" w:sz="8" w:color="auto"/>
            </w:tcBorders>
          </w:tcPr>
          <w:p>
            <w:pPr>
              <w:jc w:val="right"/>
              <w:ind w:right="61"/>
              <w:spacing w:after="0" w:line="183" w:lineRule="exact"/>
              <w:rPr>
                <w:sz w:val="20"/>
                <w:szCs w:val="20"/>
                <w:color w:val="auto"/>
              </w:rPr>
            </w:pPr>
            <w:r>
              <w:rPr>
                <w:rFonts w:ascii="Arial" w:cs="Arial" w:eastAsia="Arial" w:hAnsi="Arial"/>
                <w:sz w:val="16"/>
                <w:szCs w:val="16"/>
                <w:b w:val="1"/>
                <w:bCs w:val="1"/>
                <w:color w:val="auto"/>
              </w:rPr>
              <w:t>4,354</w:t>
            </w:r>
          </w:p>
        </w:tc>
        <w:tc>
          <w:tcPr>
            <w:tcW w:w="780" w:type="dxa"/>
            <w:vAlign w:val="bottom"/>
            <w:tcBorders>
              <w:bottom w:val="single" w:sz="8" w:color="auto"/>
            </w:tcBorders>
          </w:tcPr>
          <w:p>
            <w:pPr>
              <w:jc w:val="right"/>
              <w:ind w:right="463"/>
              <w:spacing w:after="0" w:line="183" w:lineRule="exact"/>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3,798</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ind w:right="440"/>
        <w:spacing w:after="0" w:line="253" w:lineRule="auto"/>
        <w:rPr>
          <w:sz w:val="20"/>
          <w:szCs w:val="20"/>
          <w:color w:val="auto"/>
        </w:rPr>
      </w:pPr>
      <w:r>
        <w:rPr>
          <w:rFonts w:ascii="Arial" w:cs="Arial" w:eastAsia="Arial" w:hAnsi="Arial"/>
          <w:sz w:val="18"/>
          <w:szCs w:val="18"/>
          <w:b w:val="1"/>
          <w:bCs w:val="1"/>
          <w:color w:val="auto"/>
        </w:rPr>
        <w:t>Defined Benefit Plan Assets</w:t>
      </w:r>
      <w:r>
        <w:rPr>
          <w:rFonts w:ascii="Arial" w:cs="Arial" w:eastAsia="Arial" w:hAnsi="Arial"/>
          <w:sz w:val="18"/>
          <w:szCs w:val="18"/>
          <w:color w:val="auto"/>
        </w:rPr>
        <w:t>. The Company’s defined benefit pension obligations are funded by a portfolio made up of a relatively small</w:t>
      </w:r>
      <w:r>
        <w:rPr>
          <w:rFonts w:ascii="Arial" w:cs="Arial" w:eastAsia="Arial" w:hAnsi="Arial"/>
          <w:sz w:val="18"/>
          <w:szCs w:val="18"/>
          <w:b w:val="1"/>
          <w:bCs w:val="1"/>
          <w:color w:val="auto"/>
        </w:rPr>
        <w:t xml:space="preserve"> </w:t>
      </w:r>
      <w:r>
        <w:rPr>
          <w:rFonts w:ascii="Arial" w:cs="Arial" w:eastAsia="Arial" w:hAnsi="Arial"/>
          <w:sz w:val="18"/>
          <w:szCs w:val="18"/>
          <w:color w:val="auto"/>
        </w:rPr>
        <w:t>number of stocks and high-quality fixed-income securities that are held by a third-party trustee. The assets of the Company’s pension plan were allocated as follows: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020" w:type="dxa"/>
            <w:vAlign w:val="bottom"/>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tcPr>
          <w:p>
            <w:pPr>
              <w:jc w:val="right"/>
              <w:ind w:right="1465"/>
              <w:spacing w:after="0"/>
              <w:rPr>
                <w:sz w:val="20"/>
                <w:szCs w:val="20"/>
                <w:color w:val="auto"/>
              </w:rPr>
            </w:pPr>
            <w:r>
              <w:rPr>
                <w:rFonts w:ascii="Arial" w:cs="Arial" w:eastAsia="Arial" w:hAnsi="Arial"/>
                <w:sz w:val="14"/>
                <w:szCs w:val="14"/>
                <w:b w:val="1"/>
                <w:bCs w:val="1"/>
                <w:color w:val="auto"/>
                <w:w w:val="91"/>
              </w:rPr>
              <w:t>As of</w:t>
            </w:r>
          </w:p>
        </w:tc>
      </w:tr>
      <w:tr>
        <w:trPr>
          <w:trHeight w:val="125"/>
        </w:trPr>
        <w:tc>
          <w:tcPr>
            <w:tcW w:w="8020" w:type="dxa"/>
            <w:vAlign w:val="bottom"/>
          </w:tcPr>
          <w:p>
            <w:pPr>
              <w:spacing w:after="0"/>
              <w:rPr>
                <w:sz w:val="10"/>
                <w:szCs w:val="10"/>
                <w:color w:val="auto"/>
              </w:rPr>
            </w:pPr>
          </w:p>
        </w:tc>
        <w:tc>
          <w:tcPr>
            <w:tcW w:w="1520" w:type="dxa"/>
            <w:vAlign w:val="bottom"/>
          </w:tcPr>
          <w:p>
            <w:pPr>
              <w:jc w:val="right"/>
              <w:ind w:right="363"/>
              <w:spacing w:after="0" w:line="125" w:lineRule="exact"/>
              <w:rPr>
                <w:sz w:val="20"/>
                <w:szCs w:val="20"/>
                <w:color w:val="auto"/>
              </w:rPr>
            </w:pPr>
            <w:r>
              <w:rPr>
                <w:rFonts w:ascii="Arial" w:cs="Arial" w:eastAsia="Arial" w:hAnsi="Arial"/>
                <w:sz w:val="14"/>
                <w:szCs w:val="14"/>
                <w:b w:val="1"/>
                <w:bCs w:val="1"/>
                <w:color w:val="auto"/>
              </w:rPr>
              <w:t>June 30,</w:t>
            </w:r>
          </w:p>
        </w:tc>
        <w:tc>
          <w:tcPr>
            <w:tcW w:w="1880" w:type="dxa"/>
            <w:vAlign w:val="bottom"/>
          </w:tcPr>
          <w:p>
            <w:pPr>
              <w:jc w:val="right"/>
              <w:ind w:right="285"/>
              <w:spacing w:after="0" w:line="125" w:lineRule="exact"/>
              <w:rPr>
                <w:sz w:val="20"/>
                <w:szCs w:val="20"/>
                <w:color w:val="auto"/>
              </w:rPr>
            </w:pPr>
            <w:r>
              <w:rPr>
                <w:rFonts w:ascii="Arial" w:cs="Arial" w:eastAsia="Arial" w:hAnsi="Arial"/>
                <w:sz w:val="14"/>
                <w:szCs w:val="14"/>
                <w:color w:val="auto"/>
              </w:rPr>
              <w:t>December 31,</w:t>
            </w:r>
          </w:p>
        </w:tc>
      </w:tr>
      <w:tr>
        <w:trPr>
          <w:trHeight w:val="165"/>
        </w:trPr>
        <w:tc>
          <w:tcPr>
            <w:tcW w:w="80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2013</w:t>
            </w:r>
          </w:p>
        </w:tc>
        <w:tc>
          <w:tcPr>
            <w:tcW w:w="1880" w:type="dxa"/>
            <w:vAlign w:val="bottom"/>
            <w:tcBorders>
              <w:bottom w:val="single" w:sz="8" w:color="auto"/>
            </w:tcBorders>
          </w:tcPr>
          <w:p>
            <w:pPr>
              <w:jc w:val="right"/>
              <w:ind w:right="585"/>
              <w:spacing w:after="0"/>
              <w:rPr>
                <w:sz w:val="20"/>
                <w:szCs w:val="20"/>
                <w:color w:val="auto"/>
              </w:rPr>
            </w:pPr>
            <w:r>
              <w:rPr>
                <w:rFonts w:ascii="Arial" w:cs="Arial" w:eastAsia="Arial" w:hAnsi="Arial"/>
                <w:sz w:val="14"/>
                <w:szCs w:val="14"/>
                <w:color w:val="auto"/>
              </w:rPr>
              <w:t>2012</w:t>
            </w:r>
          </w:p>
        </w:tc>
      </w:tr>
      <w:tr>
        <w:trPr>
          <w:trHeight w:val="164"/>
        </w:trPr>
        <w:tc>
          <w:tcPr>
            <w:tcW w:w="8020" w:type="dxa"/>
            <w:vAlign w:val="bottom"/>
          </w:tcPr>
          <w:p>
            <w:pPr>
              <w:spacing w:after="0" w:line="165" w:lineRule="exact"/>
              <w:rPr>
                <w:sz w:val="20"/>
                <w:szCs w:val="20"/>
                <w:color w:val="auto"/>
              </w:rPr>
            </w:pPr>
            <w:r>
              <w:rPr>
                <w:rFonts w:ascii="Arial" w:cs="Arial" w:eastAsia="Arial" w:hAnsi="Arial"/>
                <w:sz w:val="16"/>
                <w:szCs w:val="16"/>
                <w:color w:val="auto"/>
              </w:rPr>
              <w:t>U.S. equities</w:t>
            </w:r>
          </w:p>
        </w:tc>
        <w:tc>
          <w:tcPr>
            <w:tcW w:w="1520" w:type="dxa"/>
            <w:vAlign w:val="bottom"/>
          </w:tcPr>
          <w:p>
            <w:pPr>
              <w:jc w:val="right"/>
              <w:spacing w:after="0" w:line="165" w:lineRule="exact"/>
              <w:rPr>
                <w:sz w:val="20"/>
                <w:szCs w:val="20"/>
                <w:color w:val="auto"/>
              </w:rPr>
            </w:pPr>
            <w:r>
              <w:rPr>
                <w:rFonts w:ascii="Arial" w:cs="Arial" w:eastAsia="Arial" w:hAnsi="Arial"/>
                <w:sz w:val="16"/>
                <w:szCs w:val="16"/>
                <w:b w:val="1"/>
                <w:bCs w:val="1"/>
                <w:color w:val="auto"/>
              </w:rPr>
              <w:t>62 %</w:t>
            </w:r>
          </w:p>
        </w:tc>
        <w:tc>
          <w:tcPr>
            <w:tcW w:w="1880" w:type="dxa"/>
            <w:vAlign w:val="bottom"/>
          </w:tcPr>
          <w:p>
            <w:pPr>
              <w:jc w:val="right"/>
              <w:ind w:right="5"/>
              <w:spacing w:after="0" w:line="165" w:lineRule="exact"/>
              <w:rPr>
                <w:sz w:val="20"/>
                <w:szCs w:val="20"/>
                <w:color w:val="auto"/>
              </w:rPr>
            </w:pPr>
            <w:r>
              <w:rPr>
                <w:rFonts w:ascii="Arial" w:cs="Arial" w:eastAsia="Arial" w:hAnsi="Arial"/>
                <w:sz w:val="16"/>
                <w:szCs w:val="16"/>
                <w:color w:val="auto"/>
              </w:rPr>
              <w:t>64 %</w:t>
            </w:r>
          </w:p>
        </w:tc>
      </w:tr>
      <w:tr>
        <w:trPr>
          <w:trHeight w:val="189"/>
        </w:trPr>
        <w:tc>
          <w:tcPr>
            <w:tcW w:w="8020" w:type="dxa"/>
            <w:vAlign w:val="bottom"/>
          </w:tcPr>
          <w:p>
            <w:pPr>
              <w:spacing w:after="0"/>
              <w:rPr>
                <w:sz w:val="20"/>
                <w:szCs w:val="20"/>
                <w:color w:val="auto"/>
              </w:rPr>
            </w:pPr>
            <w:r>
              <w:rPr>
                <w:rFonts w:ascii="Arial" w:cs="Arial" w:eastAsia="Arial" w:hAnsi="Arial"/>
                <w:sz w:val="16"/>
                <w:szCs w:val="16"/>
                <w:color w:val="auto"/>
              </w:rPr>
              <w:t>U.S. fixed income</w:t>
            </w: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13 %</w:t>
            </w:r>
          </w:p>
        </w:tc>
        <w:tc>
          <w:tcPr>
            <w:tcW w:w="1880" w:type="dxa"/>
            <w:vAlign w:val="bottom"/>
          </w:tcPr>
          <w:p>
            <w:pPr>
              <w:jc w:val="right"/>
              <w:ind w:right="5"/>
              <w:spacing w:after="0"/>
              <w:rPr>
                <w:sz w:val="20"/>
                <w:szCs w:val="20"/>
                <w:color w:val="auto"/>
              </w:rPr>
            </w:pPr>
            <w:r>
              <w:rPr>
                <w:rFonts w:ascii="Arial" w:cs="Arial" w:eastAsia="Arial" w:hAnsi="Arial"/>
                <w:sz w:val="16"/>
                <w:szCs w:val="16"/>
                <w:color w:val="auto"/>
              </w:rPr>
              <w:t>13 %</w:t>
            </w:r>
          </w:p>
        </w:tc>
      </w:tr>
      <w:tr>
        <w:trPr>
          <w:trHeight w:val="207"/>
        </w:trPr>
        <w:tc>
          <w:tcPr>
            <w:tcW w:w="8020" w:type="dxa"/>
            <w:vAlign w:val="bottom"/>
          </w:tcPr>
          <w:p>
            <w:pPr>
              <w:spacing w:after="0"/>
              <w:rPr>
                <w:sz w:val="20"/>
                <w:szCs w:val="20"/>
                <w:color w:val="auto"/>
              </w:rPr>
            </w:pPr>
            <w:r>
              <w:rPr>
                <w:rFonts w:ascii="Arial" w:cs="Arial" w:eastAsia="Arial" w:hAnsi="Arial"/>
                <w:sz w:val="16"/>
                <w:szCs w:val="16"/>
                <w:color w:val="auto"/>
              </w:rPr>
              <w:t>International equities</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25 %</w:t>
            </w:r>
          </w:p>
        </w:tc>
        <w:tc>
          <w:tcPr>
            <w:tcW w:w="188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23 %</w:t>
            </w:r>
          </w:p>
        </w:tc>
      </w:tr>
      <w:tr>
        <w:trPr>
          <w:trHeight w:val="183"/>
        </w:trPr>
        <w:tc>
          <w:tcPr>
            <w:tcW w:w="8020" w:type="dxa"/>
            <w:vAlign w:val="bottom"/>
          </w:tcPr>
          <w:p>
            <w:pPr>
              <w:spacing w:after="0"/>
              <w:rPr>
                <w:sz w:val="15"/>
                <w:szCs w:val="15"/>
                <w:color w:val="auto"/>
              </w:rPr>
            </w:pPr>
          </w:p>
        </w:tc>
        <w:tc>
          <w:tcPr>
            <w:tcW w:w="15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100 %</w:t>
            </w:r>
          </w:p>
        </w:tc>
        <w:tc>
          <w:tcPr>
            <w:tcW w:w="1880" w:type="dxa"/>
            <w:vAlign w:val="bottom"/>
            <w:tcBorders>
              <w:bottom w:val="single" w:sz="8" w:color="auto"/>
            </w:tcBorders>
          </w:tcPr>
          <w:p>
            <w:pPr>
              <w:jc w:val="right"/>
              <w:ind w:right="5"/>
              <w:spacing w:after="0" w:line="183" w:lineRule="exact"/>
              <w:rPr>
                <w:sz w:val="20"/>
                <w:szCs w:val="20"/>
                <w:color w:val="auto"/>
              </w:rPr>
            </w:pPr>
            <w:r>
              <w:rPr>
                <w:rFonts w:ascii="Arial" w:cs="Arial" w:eastAsia="Arial" w:hAnsi="Arial"/>
                <w:sz w:val="16"/>
                <w:szCs w:val="16"/>
                <w:color w:val="auto"/>
              </w:rPr>
              <w:t>100 %</w:t>
            </w:r>
          </w:p>
        </w:tc>
      </w:tr>
      <w:tr>
        <w:trPr>
          <w:trHeight w:val="20"/>
        </w:trPr>
        <w:tc>
          <w:tcPr>
            <w:tcW w:w="80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Essentially all of the assets are actively managed by two investment companies. The goal of the investment managers is to produce moderate long-term growth in the value of these assets, while protecting them against large decreases in value. Both of these managers may invest in a combination of equity and fixed-income securities and cash. The managers are not permitted to invest in securities of the Company or in alternative investments. The investment managers cannot invest more than 20% of the assets at the time of purchase in the stock of Berkshire Hathaway or more than 10% of the assets in the securities of any other single issuer, except for obligations of the U.S. Government, without receiving prior approval by the Plan administrator. As of June 30, 2013, the managers can invest no more than 24% of the assets in international stocks at the time the investment is made, and no less than 10% of the assets could be invested in fixed-income securities. None of the assets is managed internally by the Company.</w:t>
      </w:r>
    </w:p>
    <w:p>
      <w:pPr>
        <w:spacing w:after="0" w:line="195" w:lineRule="exact"/>
        <w:rPr>
          <w:sz w:val="20"/>
          <w:szCs w:val="20"/>
          <w:color w:val="auto"/>
        </w:rPr>
      </w:pPr>
    </w:p>
    <w:p>
      <w:pPr>
        <w:ind w:right="720"/>
        <w:spacing w:after="0"/>
        <w:rPr>
          <w:sz w:val="20"/>
          <w:szCs w:val="20"/>
          <w:color w:val="auto"/>
        </w:rPr>
      </w:pPr>
      <w:r>
        <w:rPr>
          <w:rFonts w:ascii="Arial" w:cs="Arial" w:eastAsia="Arial" w:hAnsi="Arial"/>
          <w:sz w:val="18"/>
          <w:szCs w:val="18"/>
          <w:color w:val="auto"/>
        </w:rPr>
        <w:t>In determining the expected rate of return on plan assets, the Company considers the relative weighting of plan assets, the historical performance of total plan assets and individual asset classes and economic and other indicators of future performance. In addition, the Company may consult with and consider the input of financial and other professionals in developing appropriate return benchmarks.</w:t>
      </w:r>
    </w:p>
    <w:p>
      <w:pPr>
        <w:spacing w:after="0" w:line="189"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The Company evaluated its defined benefit pension plan asset portfolio for the existence of significant concentrations (defined as greater than 10% of plan assets) of credit risk as of June 30, 2013. Types of concentrations that were evaluated include, but are not limited to, investment concentrations in a single entity, type of industry, foreign country and individual fund. At June 30, 2013 and December 31, 2012, the pension plan held common stock in one investment that exceeded 10% of total plan assets. This investment was valued at $ 321.2 million and $223.1 million at June 30, 2013 and December 31, 2012, respectively, or approximately 14% and 11%, respectively, of total plan assets. Assets also included $226.2 million and $179.9 million of Berkshire Hathaway common stock at June 30, 2013 and December 31, 2012,</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13" w:name="page14"/>
    <w:bookmarkEnd w:id="13"/>
    <w:p>
      <w:pPr>
        <w:jc w:val="both"/>
        <w:ind w:right="260"/>
        <w:spacing w:after="0"/>
        <w:rPr>
          <w:sz w:val="20"/>
          <w:szCs w:val="20"/>
          <w:color w:val="auto"/>
        </w:rPr>
      </w:pPr>
      <w:r>
        <w:rPr>
          <w:rFonts w:ascii="Arial" w:cs="Arial" w:eastAsia="Arial" w:hAnsi="Arial"/>
          <w:sz w:val="18"/>
          <w:szCs w:val="18"/>
          <w:color w:val="auto"/>
        </w:rPr>
        <w:t>respectively. At June 30, 2013 and December 31, 2012, the pension plan held investments in one foreign country that exceeded 10% of total plan assets. These investments were valued at $337.4 million and $240.4 million at June 30, 2013 and December 31, 2012, respectively, or approximately 14% and 12%, respectively, of total plan assets.</w:t>
      </w:r>
    </w:p>
    <w:p>
      <w:pPr>
        <w:spacing w:after="0" w:line="167" w:lineRule="exact"/>
        <w:rPr>
          <w:sz w:val="20"/>
          <w:szCs w:val="20"/>
          <w:color w:val="auto"/>
        </w:rPr>
      </w:pPr>
    </w:p>
    <w:p>
      <w:pPr>
        <w:ind w:right="860"/>
        <w:spacing w:after="0" w:line="271" w:lineRule="auto"/>
        <w:rPr>
          <w:sz w:val="20"/>
          <w:szCs w:val="20"/>
          <w:color w:val="auto"/>
        </w:rPr>
      </w:pPr>
      <w:r>
        <w:rPr>
          <w:rFonts w:ascii="Arial" w:cs="Arial" w:eastAsia="Arial" w:hAnsi="Arial"/>
          <w:sz w:val="18"/>
          <w:szCs w:val="18"/>
          <w:b w:val="1"/>
          <w:bCs w:val="1"/>
          <w:color w:val="auto"/>
        </w:rPr>
        <w:t>Other Postretirement Plans</w:t>
      </w:r>
      <w:r>
        <w:rPr>
          <w:rFonts w:ascii="Arial" w:cs="Arial" w:eastAsia="Arial" w:hAnsi="Arial"/>
          <w:sz w:val="18"/>
          <w:szCs w:val="18"/>
          <w:color w:val="auto"/>
        </w:rPr>
        <w:t>. The total benefit arising from the Company’s other postretirement plans, including a portion included in</w:t>
      </w:r>
      <w:r>
        <w:rPr>
          <w:rFonts w:ascii="Arial" w:cs="Arial" w:eastAsia="Arial" w:hAnsi="Arial"/>
          <w:sz w:val="18"/>
          <w:szCs w:val="18"/>
          <w:b w:val="1"/>
          <w:bCs w:val="1"/>
          <w:color w:val="auto"/>
        </w:rPr>
        <w:t xml:space="preserve"> </w:t>
      </w:r>
      <w:r>
        <w:rPr>
          <w:rFonts w:ascii="Arial" w:cs="Arial" w:eastAsia="Arial" w:hAnsi="Arial"/>
          <w:sz w:val="18"/>
          <w:szCs w:val="18"/>
          <w:color w:val="auto"/>
        </w:rPr>
        <w:t>discontinued operations, consists of the following components: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00" w:type="dxa"/>
            <w:vAlign w:val="bottom"/>
            <w:gridSpan w:val="3"/>
          </w:tcPr>
          <w:p>
            <w:pPr>
              <w:jc w:val="center"/>
              <w:ind w:left="458"/>
              <w:spacing w:after="0"/>
              <w:rPr>
                <w:sz w:val="20"/>
                <w:szCs w:val="20"/>
                <w:color w:val="auto"/>
              </w:rPr>
            </w:pPr>
            <w:r>
              <w:rPr>
                <w:rFonts w:ascii="Arial" w:cs="Arial" w:eastAsia="Arial" w:hAnsi="Arial"/>
                <w:sz w:val="14"/>
                <w:szCs w:val="14"/>
                <w:b w:val="1"/>
                <w:bCs w:val="1"/>
                <w:color w:val="auto"/>
                <w:w w:val="96"/>
              </w:rPr>
              <w:t>Three Months Ended</w:t>
            </w: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340" w:type="dxa"/>
            <w:vAlign w:val="bottom"/>
            <w:gridSpan w:val="3"/>
          </w:tcPr>
          <w:p>
            <w:pPr>
              <w:jc w:val="center"/>
              <w:ind w:right="281"/>
              <w:spacing w:after="0"/>
              <w:rPr>
                <w:sz w:val="20"/>
                <w:szCs w:val="20"/>
                <w:color w:val="auto"/>
              </w:rPr>
            </w:pPr>
            <w:r>
              <w:rPr>
                <w:rFonts w:ascii="Arial" w:cs="Arial" w:eastAsia="Arial" w:hAnsi="Arial"/>
                <w:sz w:val="14"/>
                <w:szCs w:val="14"/>
                <w:b w:val="1"/>
                <w:bCs w:val="1"/>
                <w:color w:val="auto"/>
                <w:w w:val="97"/>
              </w:rPr>
              <w:t>Six Months Ended</w:t>
            </w:r>
          </w:p>
        </w:tc>
        <w:tc>
          <w:tcPr>
            <w:tcW w:w="0" w:type="dxa"/>
            <w:vAlign w:val="bottom"/>
          </w:tcPr>
          <w:p>
            <w:pPr>
              <w:spacing w:after="0"/>
              <w:rPr>
                <w:sz w:val="1"/>
                <w:szCs w:val="1"/>
                <w:color w:val="auto"/>
              </w:rPr>
            </w:pPr>
          </w:p>
        </w:tc>
      </w:tr>
      <w:tr>
        <w:trPr>
          <w:trHeight w:val="165"/>
        </w:trPr>
        <w:tc>
          <w:tcPr>
            <w:tcW w:w="574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2"/>
          </w:tcPr>
          <w:p>
            <w:pPr>
              <w:jc w:val="center"/>
              <w:ind w:right="203"/>
              <w:spacing w:after="0"/>
              <w:rPr>
                <w:sz w:val="20"/>
                <w:szCs w:val="20"/>
                <w:color w:val="auto"/>
              </w:rPr>
            </w:pPr>
            <w:r>
              <w:rPr>
                <w:rFonts w:ascii="Arial" w:cs="Arial" w:eastAsia="Arial" w:hAnsi="Arial"/>
                <w:sz w:val="14"/>
                <w:szCs w:val="14"/>
                <w:b w:val="1"/>
                <w:bCs w:val="1"/>
                <w:color w:val="auto"/>
                <w:w w:val="96"/>
              </w:rPr>
              <w:t>June 30,</w:t>
            </w:r>
          </w:p>
        </w:tc>
        <w:tc>
          <w:tcPr>
            <w:tcW w:w="5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center"/>
              <w:ind w:left="463"/>
              <w:spacing w:after="0"/>
              <w:rPr>
                <w:sz w:val="20"/>
                <w:szCs w:val="20"/>
                <w:color w:val="auto"/>
              </w:rPr>
            </w:pPr>
            <w:r>
              <w:rPr>
                <w:rFonts w:ascii="Arial" w:cs="Arial" w:eastAsia="Arial" w:hAnsi="Arial"/>
                <w:sz w:val="14"/>
                <w:szCs w:val="14"/>
                <w:b w:val="1"/>
                <w:bCs w:val="1"/>
                <w:color w:val="auto"/>
                <w:w w:val="96"/>
              </w:rPr>
              <w:t>June 30,</w:t>
            </w:r>
          </w:p>
        </w:tc>
        <w:tc>
          <w:tcPr>
            <w:tcW w:w="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40" w:type="dxa"/>
            <w:vAlign w:val="bottom"/>
            <w:tcBorders>
              <w:bottom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6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2012</w:t>
            </w:r>
          </w:p>
        </w:tc>
        <w:tc>
          <w:tcPr>
            <w:tcW w:w="5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03"/>
              <w:spacing w:after="0" w:line="142" w:lineRule="exact"/>
              <w:rPr>
                <w:sz w:val="20"/>
                <w:szCs w:val="20"/>
                <w:color w:val="auto"/>
              </w:rPr>
            </w:pPr>
            <w:r>
              <w:rPr>
                <w:rFonts w:ascii="Arial" w:cs="Arial" w:eastAsia="Arial" w:hAnsi="Arial"/>
                <w:sz w:val="14"/>
                <w:szCs w:val="14"/>
                <w:b w:val="1"/>
                <w:bCs w:val="1"/>
                <w:color w:val="auto"/>
              </w:rPr>
              <w:t>2013</w:t>
            </w:r>
          </w:p>
        </w:tc>
        <w:tc>
          <w:tcPr>
            <w:tcW w:w="4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01"/>
              <w:spacing w:after="0" w:line="142" w:lineRule="exact"/>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164"/>
        </w:trPr>
        <w:tc>
          <w:tcPr>
            <w:tcW w:w="5740" w:type="dxa"/>
            <w:vAlign w:val="bottom"/>
          </w:tcPr>
          <w:p>
            <w:pPr>
              <w:spacing w:after="0" w:line="165" w:lineRule="exact"/>
              <w:rPr>
                <w:sz w:val="20"/>
                <w:szCs w:val="20"/>
                <w:color w:val="auto"/>
              </w:rPr>
            </w:pPr>
            <w:r>
              <w:rPr>
                <w:rFonts w:ascii="Arial" w:cs="Arial" w:eastAsia="Arial" w:hAnsi="Arial"/>
                <w:sz w:val="16"/>
                <w:szCs w:val="16"/>
                <w:color w:val="auto"/>
              </w:rPr>
              <w:t>Service cost</w:t>
            </w:r>
          </w:p>
        </w:tc>
        <w:tc>
          <w:tcPr>
            <w:tcW w:w="820" w:type="dxa"/>
            <w:vAlign w:val="bottom"/>
            <w:gridSpan w:val="2"/>
          </w:tcPr>
          <w:p>
            <w:pPr>
              <w:jc w:val="right"/>
              <w:ind w:right="678"/>
              <w:spacing w:after="0" w:line="164" w:lineRule="exact"/>
              <w:rPr>
                <w:sz w:val="20"/>
                <w:szCs w:val="20"/>
                <w:color w:val="auto"/>
              </w:rPr>
            </w:pPr>
            <w:r>
              <w:rPr>
                <w:rFonts w:ascii="Arial" w:cs="Arial" w:eastAsia="Arial" w:hAnsi="Arial"/>
                <w:sz w:val="15"/>
                <w:szCs w:val="15"/>
                <w:b w:val="1"/>
                <w:bCs w:val="1"/>
                <w:color w:val="auto"/>
                <w:w w:val="71"/>
              </w:rPr>
              <w:t>$</w:t>
            </w:r>
          </w:p>
        </w:tc>
        <w:tc>
          <w:tcPr>
            <w:tcW w:w="600" w:type="dxa"/>
            <w:vAlign w:val="bottom"/>
          </w:tcPr>
          <w:p>
            <w:pPr>
              <w:jc w:val="right"/>
              <w:ind w:right="21"/>
              <w:spacing w:after="0" w:line="165" w:lineRule="exact"/>
              <w:rPr>
                <w:sz w:val="20"/>
                <w:szCs w:val="20"/>
                <w:color w:val="auto"/>
              </w:rPr>
            </w:pPr>
            <w:r>
              <w:rPr>
                <w:rFonts w:ascii="Arial" w:cs="Arial" w:eastAsia="Arial" w:hAnsi="Arial"/>
                <w:sz w:val="16"/>
                <w:szCs w:val="16"/>
                <w:b w:val="1"/>
                <w:bCs w:val="1"/>
                <w:color w:val="auto"/>
              </w:rPr>
              <w:t>728</w:t>
            </w:r>
          </w:p>
        </w:tc>
        <w:tc>
          <w:tcPr>
            <w:tcW w:w="900" w:type="dxa"/>
            <w:vAlign w:val="bottom"/>
          </w:tcPr>
          <w:p>
            <w:pPr>
              <w:jc w:val="right"/>
              <w:ind w:right="523"/>
              <w:spacing w:after="0" w:line="165" w:lineRule="exact"/>
              <w:rPr>
                <w:sz w:val="20"/>
                <w:szCs w:val="20"/>
                <w:color w:val="auto"/>
              </w:rPr>
            </w:pPr>
            <w:r>
              <w:rPr>
                <w:rFonts w:ascii="Arial" w:cs="Arial" w:eastAsia="Arial" w:hAnsi="Arial"/>
                <w:sz w:val="16"/>
                <w:szCs w:val="16"/>
                <w:color w:val="auto"/>
              </w:rPr>
              <w:t>$</w:t>
            </w:r>
          </w:p>
        </w:tc>
        <w:tc>
          <w:tcPr>
            <w:tcW w:w="580" w:type="dxa"/>
            <w:vAlign w:val="bottom"/>
          </w:tcPr>
          <w:p>
            <w:pPr>
              <w:jc w:val="right"/>
              <w:spacing w:after="0" w:line="165" w:lineRule="exact"/>
              <w:rPr>
                <w:sz w:val="20"/>
                <w:szCs w:val="20"/>
                <w:color w:val="auto"/>
              </w:rPr>
            </w:pPr>
            <w:r>
              <w:rPr>
                <w:rFonts w:ascii="Arial" w:cs="Arial" w:eastAsia="Arial" w:hAnsi="Arial"/>
                <w:sz w:val="16"/>
                <w:szCs w:val="16"/>
                <w:color w:val="auto"/>
              </w:rPr>
              <w:t>779</w:t>
            </w:r>
          </w:p>
        </w:tc>
        <w:tc>
          <w:tcPr>
            <w:tcW w:w="440" w:type="dxa"/>
            <w:vAlign w:val="bottom"/>
          </w:tcPr>
          <w:p>
            <w:pPr>
              <w:jc w:val="right"/>
              <w:ind w:right="59"/>
              <w:spacing w:after="0" w:line="165" w:lineRule="exact"/>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3"/>
              <w:spacing w:after="0" w:line="165" w:lineRule="exact"/>
              <w:rPr>
                <w:sz w:val="20"/>
                <w:szCs w:val="20"/>
                <w:color w:val="auto"/>
              </w:rPr>
            </w:pPr>
            <w:r>
              <w:rPr>
                <w:rFonts w:ascii="Arial" w:cs="Arial" w:eastAsia="Arial" w:hAnsi="Arial"/>
                <w:sz w:val="16"/>
                <w:szCs w:val="16"/>
                <w:b w:val="1"/>
                <w:bCs w:val="1"/>
                <w:color w:val="auto"/>
              </w:rPr>
              <w:t>1,455</w:t>
            </w:r>
          </w:p>
        </w:tc>
        <w:tc>
          <w:tcPr>
            <w:tcW w:w="420" w:type="dxa"/>
            <w:vAlign w:val="bottom"/>
          </w:tcPr>
          <w:p>
            <w:pPr>
              <w:jc w:val="right"/>
              <w:ind w:right="39"/>
              <w:spacing w:after="0" w:line="165" w:lineRule="exact"/>
              <w:rPr>
                <w:sz w:val="20"/>
                <w:szCs w:val="20"/>
                <w:color w:val="auto"/>
              </w:rPr>
            </w:pPr>
            <w:r>
              <w:rPr>
                <w:rFonts w:ascii="Arial" w:cs="Arial" w:eastAsia="Arial" w:hAnsi="Arial"/>
                <w:sz w:val="16"/>
                <w:szCs w:val="16"/>
                <w:color w:val="auto"/>
              </w:rPr>
              <w:t>$</w:t>
            </w:r>
          </w:p>
        </w:tc>
        <w:tc>
          <w:tcPr>
            <w:tcW w:w="900" w:type="dxa"/>
            <w:vAlign w:val="bottom"/>
          </w:tcPr>
          <w:p>
            <w:pPr>
              <w:jc w:val="right"/>
              <w:spacing w:after="0" w:line="165" w:lineRule="exact"/>
              <w:rPr>
                <w:sz w:val="20"/>
                <w:szCs w:val="20"/>
                <w:color w:val="auto"/>
              </w:rPr>
            </w:pPr>
            <w:r>
              <w:rPr>
                <w:rFonts w:ascii="Arial" w:cs="Arial" w:eastAsia="Arial" w:hAnsi="Arial"/>
                <w:sz w:val="16"/>
                <w:szCs w:val="16"/>
                <w:color w:val="auto"/>
              </w:rPr>
              <w:t>1,557</w:t>
            </w:r>
          </w:p>
        </w:tc>
        <w:tc>
          <w:tcPr>
            <w:tcW w:w="0" w:type="dxa"/>
            <w:vAlign w:val="bottom"/>
          </w:tcPr>
          <w:p>
            <w:pPr>
              <w:spacing w:after="0"/>
              <w:rPr>
                <w:sz w:val="1"/>
                <w:szCs w:val="1"/>
                <w:color w:val="auto"/>
              </w:rPr>
            </w:pPr>
          </w:p>
        </w:tc>
      </w:tr>
      <w:tr>
        <w:trPr>
          <w:trHeight w:val="189"/>
        </w:trPr>
        <w:tc>
          <w:tcPr>
            <w:tcW w:w="5740" w:type="dxa"/>
            <w:vAlign w:val="bottom"/>
          </w:tcPr>
          <w:p>
            <w:pPr>
              <w:spacing w:after="0"/>
              <w:rPr>
                <w:sz w:val="20"/>
                <w:szCs w:val="20"/>
                <w:color w:val="auto"/>
              </w:rPr>
            </w:pPr>
            <w:r>
              <w:rPr>
                <w:rFonts w:ascii="Arial" w:cs="Arial" w:eastAsia="Arial" w:hAnsi="Arial"/>
                <w:sz w:val="16"/>
                <w:szCs w:val="16"/>
                <w:color w:val="auto"/>
              </w:rPr>
              <w:t>Interest cost</w:t>
            </w: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0" w:type="dxa"/>
            <w:vAlign w:val="bottom"/>
          </w:tcPr>
          <w:p>
            <w:pPr>
              <w:jc w:val="right"/>
              <w:ind w:right="21"/>
              <w:spacing w:after="0"/>
              <w:rPr>
                <w:sz w:val="20"/>
                <w:szCs w:val="20"/>
                <w:color w:val="auto"/>
              </w:rPr>
            </w:pPr>
            <w:r>
              <w:rPr>
                <w:rFonts w:ascii="Arial" w:cs="Arial" w:eastAsia="Arial" w:hAnsi="Arial"/>
                <w:sz w:val="16"/>
                <w:szCs w:val="16"/>
                <w:b w:val="1"/>
                <w:bCs w:val="1"/>
                <w:color w:val="auto"/>
              </w:rPr>
              <w:t>507</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684</w:t>
            </w:r>
          </w:p>
        </w:tc>
        <w:tc>
          <w:tcPr>
            <w:tcW w:w="440" w:type="dxa"/>
            <w:vAlign w:val="bottom"/>
          </w:tcPr>
          <w:p>
            <w:pPr>
              <w:spacing w:after="0"/>
              <w:rPr>
                <w:sz w:val="16"/>
                <w:szCs w:val="16"/>
                <w:color w:val="auto"/>
              </w:rPr>
            </w:pPr>
          </w:p>
        </w:tc>
        <w:tc>
          <w:tcPr>
            <w:tcW w:w="1020" w:type="dxa"/>
            <w:vAlign w:val="bottom"/>
          </w:tcPr>
          <w:p>
            <w:pPr>
              <w:jc w:val="right"/>
              <w:ind w:right="3"/>
              <w:spacing w:after="0"/>
              <w:rPr>
                <w:sz w:val="20"/>
                <w:szCs w:val="20"/>
                <w:color w:val="auto"/>
              </w:rPr>
            </w:pPr>
            <w:r>
              <w:rPr>
                <w:rFonts w:ascii="Arial" w:cs="Arial" w:eastAsia="Arial" w:hAnsi="Arial"/>
                <w:sz w:val="16"/>
                <w:szCs w:val="16"/>
                <w:b w:val="1"/>
                <w:bCs w:val="1"/>
                <w:color w:val="auto"/>
              </w:rPr>
              <w:t>1,017</w:t>
            </w:r>
          </w:p>
        </w:tc>
        <w:tc>
          <w:tcPr>
            <w:tcW w:w="4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1,368</w:t>
            </w:r>
          </w:p>
        </w:tc>
        <w:tc>
          <w:tcPr>
            <w:tcW w:w="0" w:type="dxa"/>
            <w:vAlign w:val="bottom"/>
          </w:tcPr>
          <w:p>
            <w:pPr>
              <w:spacing w:after="0"/>
              <w:rPr>
                <w:sz w:val="1"/>
                <w:szCs w:val="1"/>
                <w:color w:val="auto"/>
              </w:rPr>
            </w:pPr>
          </w:p>
        </w:tc>
      </w:tr>
      <w:tr>
        <w:trPr>
          <w:trHeight w:val="189"/>
        </w:trPr>
        <w:tc>
          <w:tcPr>
            <w:tcW w:w="5740" w:type="dxa"/>
            <w:vAlign w:val="bottom"/>
          </w:tcPr>
          <w:p>
            <w:pPr>
              <w:spacing w:after="0"/>
              <w:rPr>
                <w:sz w:val="20"/>
                <w:szCs w:val="20"/>
                <w:color w:val="auto"/>
              </w:rPr>
            </w:pPr>
            <w:r>
              <w:rPr>
                <w:rFonts w:ascii="Arial" w:cs="Arial" w:eastAsia="Arial" w:hAnsi="Arial"/>
                <w:sz w:val="16"/>
                <w:szCs w:val="16"/>
                <w:color w:val="auto"/>
              </w:rPr>
              <w:t>Amortization of prior service credit</w:t>
            </w: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0" w:type="dxa"/>
            <w:vAlign w:val="bottom"/>
          </w:tcPr>
          <w:p>
            <w:pPr>
              <w:jc w:val="right"/>
              <w:ind w:right="21"/>
              <w:spacing w:after="0"/>
              <w:rPr>
                <w:sz w:val="20"/>
                <w:szCs w:val="20"/>
                <w:color w:val="auto"/>
              </w:rPr>
            </w:pPr>
            <w:r>
              <w:rPr>
                <w:rFonts w:ascii="Arial" w:cs="Arial" w:eastAsia="Arial" w:hAnsi="Arial"/>
                <w:sz w:val="16"/>
                <w:szCs w:val="16"/>
                <w:b w:val="1"/>
                <w:bCs w:val="1"/>
                <w:color w:val="auto"/>
                <w:w w:val="94"/>
              </w:rPr>
              <w:t>(1,306)</w:t>
            </w:r>
          </w:p>
        </w:tc>
        <w:tc>
          <w:tcPr>
            <w:tcW w:w="9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4"/>
              </w:rPr>
              <w:t>(1,402)</w:t>
            </w:r>
          </w:p>
        </w:tc>
        <w:tc>
          <w:tcPr>
            <w:tcW w:w="440" w:type="dxa"/>
            <w:vAlign w:val="bottom"/>
          </w:tcPr>
          <w:p>
            <w:pPr>
              <w:spacing w:after="0"/>
              <w:rPr>
                <w:sz w:val="16"/>
                <w:szCs w:val="16"/>
                <w:color w:val="auto"/>
              </w:rPr>
            </w:pPr>
          </w:p>
        </w:tc>
        <w:tc>
          <w:tcPr>
            <w:tcW w:w="1020" w:type="dxa"/>
            <w:vAlign w:val="bottom"/>
          </w:tcPr>
          <w:p>
            <w:pPr>
              <w:jc w:val="right"/>
              <w:ind w:right="3"/>
              <w:spacing w:after="0"/>
              <w:rPr>
                <w:sz w:val="20"/>
                <w:szCs w:val="20"/>
                <w:color w:val="auto"/>
              </w:rPr>
            </w:pPr>
            <w:r>
              <w:rPr>
                <w:rFonts w:ascii="Arial" w:cs="Arial" w:eastAsia="Arial" w:hAnsi="Arial"/>
                <w:sz w:val="16"/>
                <w:szCs w:val="16"/>
                <w:b w:val="1"/>
                <w:bCs w:val="1"/>
                <w:color w:val="auto"/>
              </w:rPr>
              <w:t>(2,666)</w:t>
            </w:r>
          </w:p>
        </w:tc>
        <w:tc>
          <w:tcPr>
            <w:tcW w:w="4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(2,804)</w:t>
            </w:r>
          </w:p>
        </w:tc>
        <w:tc>
          <w:tcPr>
            <w:tcW w:w="0" w:type="dxa"/>
            <w:vAlign w:val="bottom"/>
          </w:tcPr>
          <w:p>
            <w:pPr>
              <w:spacing w:after="0"/>
              <w:rPr>
                <w:sz w:val="1"/>
                <w:szCs w:val="1"/>
                <w:color w:val="auto"/>
              </w:rPr>
            </w:pPr>
          </w:p>
        </w:tc>
      </w:tr>
      <w:tr>
        <w:trPr>
          <w:trHeight w:val="207"/>
        </w:trPr>
        <w:tc>
          <w:tcPr>
            <w:tcW w:w="5740" w:type="dxa"/>
            <w:vAlign w:val="bottom"/>
          </w:tcPr>
          <w:p>
            <w:pPr>
              <w:spacing w:after="0"/>
              <w:rPr>
                <w:sz w:val="20"/>
                <w:szCs w:val="20"/>
                <w:color w:val="auto"/>
              </w:rPr>
            </w:pPr>
            <w:r>
              <w:rPr>
                <w:rFonts w:ascii="Arial" w:cs="Arial" w:eastAsia="Arial" w:hAnsi="Arial"/>
                <w:sz w:val="16"/>
                <w:szCs w:val="16"/>
                <w:color w:val="auto"/>
              </w:rPr>
              <w:t>Recognized actuarial gain</w:t>
            </w:r>
          </w:p>
        </w:tc>
        <w:tc>
          <w:tcPr>
            <w:tcW w:w="2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(504)</w:t>
            </w:r>
          </w:p>
        </w:tc>
        <w:tc>
          <w:tcPr>
            <w:tcW w:w="9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(370)</w:t>
            </w: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(1,045)</w:t>
            </w: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(740)</w:t>
            </w:r>
          </w:p>
        </w:tc>
        <w:tc>
          <w:tcPr>
            <w:tcW w:w="0" w:type="dxa"/>
            <w:vAlign w:val="bottom"/>
          </w:tcPr>
          <w:p>
            <w:pPr>
              <w:spacing w:after="0"/>
              <w:rPr>
                <w:sz w:val="1"/>
                <w:szCs w:val="1"/>
                <w:color w:val="auto"/>
              </w:rPr>
            </w:pPr>
          </w:p>
        </w:tc>
      </w:tr>
      <w:tr>
        <w:trPr>
          <w:trHeight w:val="164"/>
        </w:trPr>
        <w:tc>
          <w:tcPr>
            <w:tcW w:w="5740" w:type="dxa"/>
            <w:vAlign w:val="bottom"/>
          </w:tcPr>
          <w:p>
            <w:pPr>
              <w:spacing w:after="0" w:line="165" w:lineRule="exact"/>
              <w:rPr>
                <w:sz w:val="20"/>
                <w:szCs w:val="20"/>
                <w:color w:val="auto"/>
              </w:rPr>
            </w:pPr>
            <w:r>
              <w:rPr>
                <w:rFonts w:ascii="Arial" w:cs="Arial" w:eastAsia="Arial" w:hAnsi="Arial"/>
                <w:sz w:val="16"/>
                <w:szCs w:val="16"/>
                <w:b w:val="1"/>
                <w:bCs w:val="1"/>
                <w:color w:val="auto"/>
              </w:rPr>
              <w:t>Net Periodic Benefit</w:t>
            </w: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Pr>
          <w:p>
            <w:pPr>
              <w:jc w:val="right"/>
              <w:ind w:right="21"/>
              <w:spacing w:after="0" w:line="165" w:lineRule="exact"/>
              <w:rPr>
                <w:sz w:val="20"/>
                <w:szCs w:val="20"/>
                <w:color w:val="auto"/>
              </w:rPr>
            </w:pPr>
            <w:r>
              <w:rPr>
                <w:rFonts w:ascii="Arial" w:cs="Arial" w:eastAsia="Arial" w:hAnsi="Arial"/>
                <w:sz w:val="16"/>
                <w:szCs w:val="16"/>
                <w:b w:val="1"/>
                <w:bCs w:val="1"/>
                <w:color w:val="auto"/>
              </w:rPr>
              <w:t>(575)</w:t>
            </w:r>
          </w:p>
        </w:tc>
        <w:tc>
          <w:tcPr>
            <w:tcW w:w="900" w:type="dxa"/>
            <w:vAlign w:val="bottom"/>
          </w:tcPr>
          <w:p>
            <w:pPr>
              <w:spacing w:after="0"/>
              <w:rPr>
                <w:sz w:val="14"/>
                <w:szCs w:val="14"/>
                <w:color w:val="auto"/>
              </w:rPr>
            </w:pPr>
          </w:p>
        </w:tc>
        <w:tc>
          <w:tcPr>
            <w:tcW w:w="580" w:type="dxa"/>
            <w:vAlign w:val="bottom"/>
          </w:tcPr>
          <w:p>
            <w:pPr>
              <w:jc w:val="right"/>
              <w:spacing w:after="0" w:line="165" w:lineRule="exact"/>
              <w:rPr>
                <w:sz w:val="20"/>
                <w:szCs w:val="20"/>
                <w:color w:val="auto"/>
              </w:rPr>
            </w:pPr>
            <w:r>
              <w:rPr>
                <w:rFonts w:ascii="Arial" w:cs="Arial" w:eastAsia="Arial" w:hAnsi="Arial"/>
                <w:sz w:val="16"/>
                <w:szCs w:val="16"/>
                <w:color w:val="auto"/>
              </w:rPr>
              <w:t>(309)</w:t>
            </w:r>
          </w:p>
        </w:tc>
        <w:tc>
          <w:tcPr>
            <w:tcW w:w="440" w:type="dxa"/>
            <w:vAlign w:val="bottom"/>
          </w:tcPr>
          <w:p>
            <w:pPr>
              <w:spacing w:after="0"/>
              <w:rPr>
                <w:sz w:val="14"/>
                <w:szCs w:val="14"/>
                <w:color w:val="auto"/>
              </w:rPr>
            </w:pPr>
          </w:p>
        </w:tc>
        <w:tc>
          <w:tcPr>
            <w:tcW w:w="1020" w:type="dxa"/>
            <w:vAlign w:val="bottom"/>
          </w:tcPr>
          <w:p>
            <w:pPr>
              <w:jc w:val="right"/>
              <w:ind w:right="3"/>
              <w:spacing w:after="0" w:line="165" w:lineRule="exact"/>
              <w:rPr>
                <w:sz w:val="20"/>
                <w:szCs w:val="20"/>
                <w:color w:val="auto"/>
              </w:rPr>
            </w:pPr>
            <w:r>
              <w:rPr>
                <w:rFonts w:ascii="Arial" w:cs="Arial" w:eastAsia="Arial" w:hAnsi="Arial"/>
                <w:sz w:val="16"/>
                <w:szCs w:val="16"/>
                <w:b w:val="1"/>
                <w:bCs w:val="1"/>
                <w:color w:val="auto"/>
              </w:rPr>
              <w:t>(1,239)</w:t>
            </w:r>
          </w:p>
        </w:tc>
        <w:tc>
          <w:tcPr>
            <w:tcW w:w="420" w:type="dxa"/>
            <w:vAlign w:val="bottom"/>
          </w:tcPr>
          <w:p>
            <w:pPr>
              <w:spacing w:after="0"/>
              <w:rPr>
                <w:sz w:val="14"/>
                <w:szCs w:val="14"/>
                <w:color w:val="auto"/>
              </w:rPr>
            </w:pPr>
          </w:p>
        </w:tc>
        <w:tc>
          <w:tcPr>
            <w:tcW w:w="900" w:type="dxa"/>
            <w:vAlign w:val="bottom"/>
          </w:tcPr>
          <w:p>
            <w:pPr>
              <w:jc w:val="right"/>
              <w:spacing w:after="0" w:line="165" w:lineRule="exact"/>
              <w:rPr>
                <w:sz w:val="20"/>
                <w:szCs w:val="20"/>
                <w:color w:val="auto"/>
              </w:rPr>
            </w:pPr>
            <w:r>
              <w:rPr>
                <w:rFonts w:ascii="Arial" w:cs="Arial" w:eastAsia="Arial" w:hAnsi="Arial"/>
                <w:sz w:val="16"/>
                <w:szCs w:val="16"/>
                <w:color w:val="auto"/>
              </w:rPr>
              <w:t>(619)</w:t>
            </w:r>
          </w:p>
        </w:tc>
        <w:tc>
          <w:tcPr>
            <w:tcW w:w="0" w:type="dxa"/>
            <w:vAlign w:val="bottom"/>
          </w:tcPr>
          <w:p>
            <w:pPr>
              <w:spacing w:after="0"/>
              <w:rPr>
                <w:sz w:val="1"/>
                <w:szCs w:val="1"/>
                <w:color w:val="auto"/>
              </w:rPr>
            </w:pPr>
          </w:p>
        </w:tc>
      </w:tr>
      <w:tr>
        <w:trPr>
          <w:trHeight w:val="207"/>
        </w:trPr>
        <w:tc>
          <w:tcPr>
            <w:tcW w:w="5740" w:type="dxa"/>
            <w:vAlign w:val="bottom"/>
          </w:tcPr>
          <w:p>
            <w:pPr>
              <w:spacing w:after="0"/>
              <w:rPr>
                <w:sz w:val="20"/>
                <w:szCs w:val="20"/>
                <w:color w:val="auto"/>
              </w:rPr>
            </w:pPr>
            <w:r>
              <w:rPr>
                <w:rFonts w:ascii="Arial" w:cs="Arial" w:eastAsia="Arial" w:hAnsi="Arial"/>
                <w:sz w:val="16"/>
                <w:szCs w:val="16"/>
                <w:color w:val="auto"/>
              </w:rPr>
              <w:t>Settlement gain</w:t>
            </w:r>
          </w:p>
        </w:tc>
        <w:tc>
          <w:tcPr>
            <w:tcW w:w="2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(3,471)</w:t>
            </w: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5740" w:type="dxa"/>
            <w:vAlign w:val="bottom"/>
          </w:tcPr>
          <w:p>
            <w:pPr>
              <w:spacing w:after="0" w:line="183" w:lineRule="exact"/>
              <w:rPr>
                <w:sz w:val="20"/>
                <w:szCs w:val="20"/>
                <w:color w:val="auto"/>
              </w:rPr>
            </w:pPr>
            <w:r>
              <w:rPr>
                <w:rFonts w:ascii="Arial" w:cs="Arial" w:eastAsia="Arial" w:hAnsi="Arial"/>
                <w:sz w:val="16"/>
                <w:szCs w:val="16"/>
                <w:b w:val="1"/>
                <w:bCs w:val="1"/>
                <w:color w:val="auto"/>
              </w:rPr>
              <w:t>Total Periodic Benefit</w:t>
            </w:r>
          </w:p>
        </w:tc>
        <w:tc>
          <w:tcPr>
            <w:tcW w:w="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678"/>
              <w:spacing w:after="0"/>
              <w:rPr>
                <w:sz w:val="20"/>
                <w:szCs w:val="20"/>
                <w:color w:val="auto"/>
              </w:rPr>
            </w:pPr>
            <w:r>
              <w:rPr>
                <w:rFonts w:ascii="Arial" w:cs="Arial" w:eastAsia="Arial" w:hAnsi="Arial"/>
                <w:sz w:val="10"/>
                <w:szCs w:val="10"/>
                <w:b w:val="1"/>
                <w:bCs w:val="1"/>
                <w:color w:val="auto"/>
                <w:w w:val="71"/>
              </w:rPr>
              <w:t>$</w:t>
            </w:r>
          </w:p>
        </w:tc>
        <w:tc>
          <w:tcPr>
            <w:tcW w:w="600" w:type="dxa"/>
            <w:vAlign w:val="bottom"/>
            <w:tcBorders>
              <w:bottom w:val="single" w:sz="8" w:color="auto"/>
            </w:tcBorders>
          </w:tcPr>
          <w:p>
            <w:pPr>
              <w:jc w:val="right"/>
              <w:ind w:right="21"/>
              <w:spacing w:after="0" w:line="183" w:lineRule="exact"/>
              <w:rPr>
                <w:sz w:val="20"/>
                <w:szCs w:val="20"/>
                <w:color w:val="auto"/>
              </w:rPr>
            </w:pPr>
            <w:r>
              <w:rPr>
                <w:rFonts w:ascii="Arial" w:cs="Arial" w:eastAsia="Arial" w:hAnsi="Arial"/>
                <w:sz w:val="16"/>
                <w:szCs w:val="16"/>
                <w:b w:val="1"/>
                <w:bCs w:val="1"/>
                <w:color w:val="auto"/>
              </w:rPr>
              <w:t>(575)</w:t>
            </w:r>
          </w:p>
        </w:tc>
        <w:tc>
          <w:tcPr>
            <w:tcW w:w="900" w:type="dxa"/>
            <w:vAlign w:val="bottom"/>
            <w:tcBorders>
              <w:bottom w:val="single" w:sz="8" w:color="auto"/>
            </w:tcBorders>
          </w:tcPr>
          <w:p>
            <w:pPr>
              <w:jc w:val="right"/>
              <w:ind w:right="663"/>
              <w:spacing w:after="0" w:line="183" w:lineRule="exact"/>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(309)</w:t>
            </w:r>
          </w:p>
        </w:tc>
        <w:tc>
          <w:tcPr>
            <w:tcW w:w="440" w:type="dxa"/>
            <w:vAlign w:val="bottom"/>
            <w:tcBorders>
              <w:bottom w:val="single" w:sz="8" w:color="auto"/>
            </w:tcBorders>
          </w:tcPr>
          <w:p>
            <w:pPr>
              <w:jc w:val="right"/>
              <w:ind w:right="199"/>
              <w:spacing w:after="0" w:line="183" w:lineRule="exact"/>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3"/>
              <w:spacing w:after="0" w:line="183" w:lineRule="exact"/>
              <w:rPr>
                <w:sz w:val="20"/>
                <w:szCs w:val="20"/>
                <w:color w:val="auto"/>
              </w:rPr>
            </w:pPr>
            <w:r>
              <w:rPr>
                <w:rFonts w:ascii="Arial" w:cs="Arial" w:eastAsia="Arial" w:hAnsi="Arial"/>
                <w:sz w:val="16"/>
                <w:szCs w:val="16"/>
                <w:b w:val="1"/>
                <w:bCs w:val="1"/>
                <w:color w:val="auto"/>
              </w:rPr>
              <w:t>(4,710)</w:t>
            </w:r>
          </w:p>
        </w:tc>
        <w:tc>
          <w:tcPr>
            <w:tcW w:w="420" w:type="dxa"/>
            <w:vAlign w:val="bottom"/>
            <w:tcBorders>
              <w:bottom w:val="single" w:sz="8" w:color="auto"/>
            </w:tcBorders>
          </w:tcPr>
          <w:p>
            <w:pPr>
              <w:jc w:val="right"/>
              <w:ind w:right="179"/>
              <w:spacing w:after="0" w:line="183"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(619)</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60"/>
        <w:spacing w:after="0" w:line="246" w:lineRule="auto"/>
        <w:rPr>
          <w:sz w:val="20"/>
          <w:szCs w:val="20"/>
          <w:color w:val="auto"/>
        </w:rPr>
      </w:pPr>
      <w:r>
        <w:rPr>
          <w:rFonts w:ascii="Arial" w:cs="Arial" w:eastAsia="Arial" w:hAnsi="Arial"/>
          <w:sz w:val="18"/>
          <w:szCs w:val="18"/>
          <w:color w:val="auto"/>
        </w:rPr>
        <w:t>As part of the sale of The Herald, changes were made with respect to its postretirement medical plan, resulting in a $3.5 million settlement gain that is included in discontinued operations, net of tax, for the first quarter of 2013.</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OTHER NON-OPERATING INCOME (EXPENSE)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A summary of non-operating (expense) income is as follows: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3"/>
          </w:tcPr>
          <w:p>
            <w:pPr>
              <w:jc w:val="right"/>
              <w:ind w:right="723"/>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3"/>
          </w:tcPr>
          <w:p>
            <w:pPr>
              <w:jc w:val="right"/>
              <w:ind w:right="683"/>
              <w:spacing w:after="0"/>
              <w:rPr>
                <w:sz w:val="20"/>
                <w:szCs w:val="20"/>
                <w:color w:val="auto"/>
              </w:rPr>
            </w:pPr>
            <w:r>
              <w:rPr>
                <w:rFonts w:ascii="Arial" w:cs="Arial" w:eastAsia="Arial" w:hAnsi="Arial"/>
                <w:sz w:val="14"/>
                <w:szCs w:val="14"/>
                <w:b w:val="1"/>
                <w:bCs w:val="1"/>
                <w:color w:val="auto"/>
              </w:rPr>
              <w:t>Six Months Ended</w:t>
            </w:r>
          </w:p>
        </w:tc>
        <w:tc>
          <w:tcPr>
            <w:tcW w:w="20" w:type="dxa"/>
            <w:vAlign w:val="bottom"/>
          </w:tcPr>
          <w:p>
            <w:pPr>
              <w:spacing w:after="0"/>
              <w:rPr>
                <w:sz w:val="14"/>
                <w:szCs w:val="14"/>
                <w:color w:val="auto"/>
              </w:rPr>
            </w:pPr>
          </w:p>
        </w:tc>
      </w:tr>
      <w:tr>
        <w:trPr>
          <w:trHeight w:val="125"/>
        </w:trPr>
        <w:tc>
          <w:tcPr>
            <w:tcW w:w="5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tcPr>
          <w:p>
            <w:pPr>
              <w:jc w:val="right"/>
              <w:ind w:right="384"/>
              <w:spacing w:after="0" w:line="125" w:lineRule="exact"/>
              <w:rPr>
                <w:sz w:val="20"/>
                <w:szCs w:val="20"/>
                <w:color w:val="auto"/>
              </w:rPr>
            </w:pPr>
            <w:r>
              <w:rPr>
                <w:rFonts w:ascii="Arial" w:cs="Arial" w:eastAsia="Arial" w:hAnsi="Arial"/>
                <w:sz w:val="14"/>
                <w:szCs w:val="14"/>
                <w:b w:val="1"/>
                <w:bCs w:val="1"/>
                <w:color w:val="auto"/>
              </w:rPr>
              <w:t>June 30,</w:t>
            </w:r>
          </w:p>
        </w:tc>
        <w:tc>
          <w:tcPr>
            <w:tcW w:w="340" w:type="dxa"/>
            <w:vAlign w:val="bottom"/>
          </w:tcPr>
          <w:p>
            <w:pPr>
              <w:spacing w:after="0"/>
              <w:rPr>
                <w:sz w:val="10"/>
                <w:szCs w:val="10"/>
                <w:color w:val="auto"/>
              </w:rPr>
            </w:pPr>
          </w:p>
        </w:tc>
        <w:tc>
          <w:tcPr>
            <w:tcW w:w="1140" w:type="dxa"/>
            <w:vAlign w:val="bottom"/>
          </w:tcPr>
          <w:p>
            <w:pPr>
              <w:jc w:val="right"/>
              <w:ind w:right="383"/>
              <w:spacing w:after="0" w:line="125" w:lineRule="exact"/>
              <w:rPr>
                <w:sz w:val="20"/>
                <w:szCs w:val="20"/>
                <w:color w:val="auto"/>
              </w:rPr>
            </w:pPr>
            <w:r>
              <w:rPr>
                <w:rFonts w:ascii="Arial" w:cs="Arial" w:eastAsia="Arial" w:hAnsi="Arial"/>
                <w:sz w:val="14"/>
                <w:szCs w:val="14"/>
                <w:color w:val="auto"/>
              </w:rPr>
              <w:t>June 30,</w:t>
            </w:r>
          </w:p>
        </w:tc>
        <w:tc>
          <w:tcPr>
            <w:tcW w:w="320" w:type="dxa"/>
            <w:vAlign w:val="bottom"/>
          </w:tcPr>
          <w:p>
            <w:pPr>
              <w:spacing w:after="0"/>
              <w:rPr>
                <w:sz w:val="10"/>
                <w:szCs w:val="10"/>
                <w:color w:val="auto"/>
              </w:rPr>
            </w:pPr>
          </w:p>
        </w:tc>
        <w:tc>
          <w:tcPr>
            <w:tcW w:w="1140" w:type="dxa"/>
            <w:vAlign w:val="bottom"/>
          </w:tcPr>
          <w:p>
            <w:pPr>
              <w:jc w:val="right"/>
              <w:ind w:right="364"/>
              <w:spacing w:after="0" w:line="125" w:lineRule="exact"/>
              <w:rPr>
                <w:sz w:val="20"/>
                <w:szCs w:val="20"/>
                <w:color w:val="auto"/>
              </w:rPr>
            </w:pPr>
            <w:r>
              <w:rPr>
                <w:rFonts w:ascii="Arial" w:cs="Arial" w:eastAsia="Arial" w:hAnsi="Arial"/>
                <w:sz w:val="14"/>
                <w:szCs w:val="14"/>
                <w:b w:val="1"/>
                <w:bCs w:val="1"/>
                <w:color w:val="auto"/>
              </w:rPr>
              <w:t>June 30,</w:t>
            </w:r>
          </w:p>
        </w:tc>
        <w:tc>
          <w:tcPr>
            <w:tcW w:w="300" w:type="dxa"/>
            <w:vAlign w:val="bottom"/>
          </w:tcPr>
          <w:p>
            <w:pPr>
              <w:spacing w:after="0"/>
              <w:rPr>
                <w:sz w:val="10"/>
                <w:szCs w:val="10"/>
                <w:color w:val="auto"/>
              </w:rPr>
            </w:pPr>
          </w:p>
        </w:tc>
        <w:tc>
          <w:tcPr>
            <w:tcW w:w="1020" w:type="dxa"/>
            <w:vAlign w:val="bottom"/>
          </w:tcPr>
          <w:p>
            <w:pPr>
              <w:jc w:val="right"/>
              <w:ind w:right="283"/>
              <w:spacing w:after="0" w:line="125" w:lineRule="exact"/>
              <w:rPr>
                <w:sz w:val="20"/>
                <w:szCs w:val="20"/>
                <w:color w:val="auto"/>
              </w:rPr>
            </w:pPr>
            <w:r>
              <w:rPr>
                <w:rFonts w:ascii="Arial" w:cs="Arial" w:eastAsia="Arial" w:hAnsi="Arial"/>
                <w:sz w:val="14"/>
                <w:szCs w:val="14"/>
                <w:color w:val="auto"/>
              </w:rPr>
              <w:t>June 30,</w:t>
            </w:r>
          </w:p>
        </w:tc>
        <w:tc>
          <w:tcPr>
            <w:tcW w:w="20" w:type="dxa"/>
            <w:vAlign w:val="bottom"/>
          </w:tcPr>
          <w:p>
            <w:pPr>
              <w:spacing w:after="0"/>
              <w:rPr>
                <w:sz w:val="10"/>
                <w:szCs w:val="10"/>
                <w:color w:val="auto"/>
              </w:rPr>
            </w:pPr>
          </w:p>
        </w:tc>
      </w:tr>
      <w:tr>
        <w:trPr>
          <w:trHeight w:val="165"/>
        </w:trPr>
        <w:tc>
          <w:tcPr>
            <w:tcW w:w="52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thousands)</w:t>
            </w: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24"/>
              <w:spacing w:after="0"/>
              <w:rPr>
                <w:sz w:val="20"/>
                <w:szCs w:val="20"/>
                <w:color w:val="auto"/>
              </w:rPr>
            </w:pPr>
            <w:r>
              <w:rPr>
                <w:rFonts w:ascii="Arial" w:cs="Arial" w:eastAsia="Arial" w:hAnsi="Arial"/>
                <w:sz w:val="14"/>
                <w:szCs w:val="14"/>
                <w:b w:val="1"/>
                <w:bCs w:val="1"/>
                <w:color w:val="auto"/>
              </w:rPr>
              <w:t>2013</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color w:val="auto"/>
              </w:rPr>
              <w:t>2012</w:t>
            </w: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color w:val="auto"/>
              </w:rPr>
              <w:t>2012</w:t>
            </w:r>
          </w:p>
        </w:tc>
        <w:tc>
          <w:tcPr>
            <w:tcW w:w="20" w:type="dxa"/>
            <w:vAlign w:val="bottom"/>
          </w:tcPr>
          <w:p>
            <w:pPr>
              <w:spacing w:after="0"/>
              <w:rPr>
                <w:sz w:val="14"/>
                <w:szCs w:val="14"/>
                <w:color w:val="auto"/>
              </w:rPr>
            </w:pPr>
          </w:p>
        </w:tc>
      </w:tr>
      <w:tr>
        <w:trPr>
          <w:trHeight w:val="164"/>
        </w:trPr>
        <w:tc>
          <w:tcPr>
            <w:tcW w:w="5240" w:type="dxa"/>
            <w:vAlign w:val="bottom"/>
          </w:tcPr>
          <w:p>
            <w:pPr>
              <w:spacing w:after="0" w:line="165" w:lineRule="exact"/>
              <w:rPr>
                <w:sz w:val="20"/>
                <w:szCs w:val="20"/>
                <w:color w:val="auto"/>
              </w:rPr>
            </w:pPr>
            <w:r>
              <w:rPr>
                <w:rFonts w:ascii="Arial" w:cs="Arial" w:eastAsia="Arial" w:hAnsi="Arial"/>
                <w:sz w:val="16"/>
                <w:szCs w:val="16"/>
                <w:color w:val="auto"/>
              </w:rPr>
              <w:t>Foreign currency (loss) gain, net</w:t>
            </w:r>
          </w:p>
        </w:tc>
        <w:tc>
          <w:tcPr>
            <w:tcW w:w="740" w:type="dxa"/>
            <w:vAlign w:val="bottom"/>
            <w:gridSpan w:val="3"/>
          </w:tcPr>
          <w:p>
            <w:pPr>
              <w:jc w:val="right"/>
              <w:ind w:right="109"/>
              <w:spacing w:after="0" w:line="165" w:lineRule="exact"/>
              <w:rPr>
                <w:sz w:val="20"/>
                <w:szCs w:val="20"/>
                <w:color w:val="auto"/>
              </w:rPr>
            </w:pPr>
            <w:r>
              <w:rPr>
                <w:rFonts w:ascii="Arial" w:cs="Arial" w:eastAsia="Arial" w:hAnsi="Arial"/>
                <w:sz w:val="16"/>
                <w:szCs w:val="16"/>
                <w:b w:val="1"/>
                <w:bCs w:val="1"/>
                <w:color w:val="auto"/>
              </w:rPr>
              <w:t>$</w:t>
            </w:r>
          </w:p>
        </w:tc>
        <w:tc>
          <w:tcPr>
            <w:tcW w:w="1180" w:type="dxa"/>
            <w:vAlign w:val="bottom"/>
          </w:tcPr>
          <w:p>
            <w:pPr>
              <w:jc w:val="right"/>
              <w:ind w:right="24"/>
              <w:spacing w:after="0" w:line="165" w:lineRule="exact"/>
              <w:rPr>
                <w:sz w:val="20"/>
                <w:szCs w:val="20"/>
                <w:color w:val="auto"/>
              </w:rPr>
            </w:pPr>
            <w:r>
              <w:rPr>
                <w:rFonts w:ascii="Arial" w:cs="Arial" w:eastAsia="Arial" w:hAnsi="Arial"/>
                <w:sz w:val="16"/>
                <w:szCs w:val="16"/>
                <w:b w:val="1"/>
                <w:bCs w:val="1"/>
                <w:color w:val="auto"/>
              </w:rPr>
              <w:t>(12,622)</w:t>
            </w:r>
          </w:p>
        </w:tc>
        <w:tc>
          <w:tcPr>
            <w:tcW w:w="340" w:type="dxa"/>
            <w:vAlign w:val="bottom"/>
          </w:tcPr>
          <w:p>
            <w:pPr>
              <w:jc w:val="right"/>
              <w:ind w:right="99"/>
              <w:spacing w:after="0" w:line="165" w:lineRule="exact"/>
              <w:rPr>
                <w:sz w:val="20"/>
                <w:szCs w:val="20"/>
                <w:color w:val="auto"/>
              </w:rPr>
            </w:pPr>
            <w:r>
              <w:rPr>
                <w:rFonts w:ascii="Arial" w:cs="Arial" w:eastAsia="Arial" w:hAnsi="Arial"/>
                <w:sz w:val="16"/>
                <w:szCs w:val="16"/>
                <w:color w:val="auto"/>
              </w:rPr>
              <w:t>$</w:t>
            </w:r>
          </w:p>
        </w:tc>
        <w:tc>
          <w:tcPr>
            <w:tcW w:w="1140" w:type="dxa"/>
            <w:vAlign w:val="bottom"/>
          </w:tcPr>
          <w:p>
            <w:pPr>
              <w:jc w:val="right"/>
              <w:ind w:right="3"/>
              <w:spacing w:after="0" w:line="165" w:lineRule="exact"/>
              <w:rPr>
                <w:sz w:val="20"/>
                <w:szCs w:val="20"/>
                <w:color w:val="auto"/>
              </w:rPr>
            </w:pPr>
            <w:r>
              <w:rPr>
                <w:rFonts w:ascii="Arial" w:cs="Arial" w:eastAsia="Arial" w:hAnsi="Arial"/>
                <w:sz w:val="16"/>
                <w:szCs w:val="16"/>
                <w:color w:val="auto"/>
              </w:rPr>
              <w:t>(2,592)</w:t>
            </w:r>
          </w:p>
        </w:tc>
        <w:tc>
          <w:tcPr>
            <w:tcW w:w="320" w:type="dxa"/>
            <w:vAlign w:val="bottom"/>
          </w:tcPr>
          <w:p>
            <w:pPr>
              <w:jc w:val="right"/>
              <w:ind w:right="79"/>
              <w:spacing w:after="0" w:line="165" w:lineRule="exact"/>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4"/>
              <w:spacing w:after="0" w:line="165" w:lineRule="exact"/>
              <w:rPr>
                <w:sz w:val="20"/>
                <w:szCs w:val="20"/>
                <w:color w:val="auto"/>
              </w:rPr>
            </w:pPr>
            <w:r>
              <w:rPr>
                <w:rFonts w:ascii="Arial" w:cs="Arial" w:eastAsia="Arial" w:hAnsi="Arial"/>
                <w:sz w:val="16"/>
                <w:szCs w:val="16"/>
                <w:b w:val="1"/>
                <w:bCs w:val="1"/>
                <w:color w:val="auto"/>
              </w:rPr>
              <w:t>(17,236)</w:t>
            </w:r>
          </w:p>
        </w:tc>
        <w:tc>
          <w:tcPr>
            <w:tcW w:w="300" w:type="dxa"/>
            <w:vAlign w:val="bottom"/>
          </w:tcPr>
          <w:p>
            <w:pPr>
              <w:jc w:val="right"/>
              <w:ind w:right="59"/>
              <w:spacing w:after="0" w:line="165" w:lineRule="exact"/>
              <w:rPr>
                <w:sz w:val="20"/>
                <w:szCs w:val="20"/>
                <w:color w:val="auto"/>
              </w:rPr>
            </w:pPr>
            <w:r>
              <w:rPr>
                <w:rFonts w:ascii="Arial" w:cs="Arial" w:eastAsia="Arial" w:hAnsi="Arial"/>
                <w:sz w:val="16"/>
                <w:szCs w:val="16"/>
                <w:color w:val="auto"/>
              </w:rPr>
              <w:t>$</w:t>
            </w:r>
          </w:p>
        </w:tc>
        <w:tc>
          <w:tcPr>
            <w:tcW w:w="1020" w:type="dxa"/>
            <w:vAlign w:val="bottom"/>
          </w:tcPr>
          <w:p>
            <w:pPr>
              <w:jc w:val="right"/>
              <w:spacing w:after="0" w:line="165" w:lineRule="exact"/>
              <w:rPr>
                <w:sz w:val="20"/>
                <w:szCs w:val="20"/>
                <w:color w:val="auto"/>
              </w:rPr>
            </w:pPr>
            <w:r>
              <w:rPr>
                <w:rFonts w:ascii="Arial" w:cs="Arial" w:eastAsia="Arial" w:hAnsi="Arial"/>
                <w:sz w:val="16"/>
                <w:szCs w:val="16"/>
                <w:color w:val="auto"/>
              </w:rPr>
              <w:t>68</w:t>
            </w:r>
          </w:p>
        </w:tc>
        <w:tc>
          <w:tcPr>
            <w:tcW w:w="20" w:type="dxa"/>
            <w:vAlign w:val="bottom"/>
          </w:tcPr>
          <w:p>
            <w:pPr>
              <w:spacing w:after="0"/>
              <w:rPr>
                <w:sz w:val="14"/>
                <w:szCs w:val="14"/>
                <w:color w:val="auto"/>
              </w:rPr>
            </w:pPr>
          </w:p>
        </w:tc>
      </w:tr>
      <w:tr>
        <w:trPr>
          <w:trHeight w:val="189"/>
        </w:trPr>
        <w:tc>
          <w:tcPr>
            <w:tcW w:w="5240" w:type="dxa"/>
            <w:vAlign w:val="bottom"/>
          </w:tcPr>
          <w:p>
            <w:pPr>
              <w:spacing w:after="0"/>
              <w:rPr>
                <w:sz w:val="20"/>
                <w:szCs w:val="20"/>
                <w:color w:val="auto"/>
              </w:rPr>
            </w:pPr>
            <w:r>
              <w:rPr>
                <w:rFonts w:ascii="Arial" w:cs="Arial" w:eastAsia="Arial" w:hAnsi="Arial"/>
                <w:sz w:val="16"/>
                <w:szCs w:val="16"/>
                <w:color w:val="auto"/>
              </w:rPr>
              <w:t>Gain on sales of marketable equity securities</w:t>
            </w: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ind w:right="24"/>
              <w:spacing w:after="0"/>
              <w:rPr>
                <w:sz w:val="20"/>
                <w:szCs w:val="20"/>
                <w:color w:val="auto"/>
              </w:rPr>
            </w:pPr>
            <w:r>
              <w:rPr>
                <w:rFonts w:ascii="Arial" w:cs="Arial" w:eastAsia="Arial" w:hAnsi="Arial"/>
                <w:sz w:val="16"/>
                <w:szCs w:val="16"/>
                <w:b w:val="1"/>
                <w:bCs w:val="1"/>
                <w:color w:val="auto"/>
              </w:rPr>
              <w:t>337</w:t>
            </w:r>
          </w:p>
        </w:tc>
        <w:tc>
          <w:tcPr>
            <w:tcW w:w="340" w:type="dxa"/>
            <w:vAlign w:val="bottom"/>
          </w:tcPr>
          <w:p>
            <w:pPr>
              <w:spacing w:after="0"/>
              <w:rPr>
                <w:sz w:val="16"/>
                <w:szCs w:val="16"/>
                <w:color w:val="auto"/>
              </w:rPr>
            </w:pPr>
          </w:p>
        </w:tc>
        <w:tc>
          <w:tcPr>
            <w:tcW w:w="1140" w:type="dxa"/>
            <w:vAlign w:val="bottom"/>
          </w:tcPr>
          <w:p>
            <w:pPr>
              <w:jc w:val="right"/>
              <w:ind w:right="3"/>
              <w:spacing w:after="0"/>
              <w:rPr>
                <w:sz w:val="20"/>
                <w:szCs w:val="20"/>
                <w:color w:val="auto"/>
              </w:rPr>
            </w:pPr>
            <w:r>
              <w:rPr>
                <w:rFonts w:ascii="Arial" w:cs="Arial" w:eastAsia="Arial" w:hAnsi="Arial"/>
                <w:sz w:val="16"/>
                <w:szCs w:val="16"/>
                <w:color w:val="auto"/>
              </w:rPr>
              <w:t>505</w:t>
            </w:r>
          </w:p>
        </w:tc>
        <w:tc>
          <w:tcPr>
            <w:tcW w:w="320" w:type="dxa"/>
            <w:vAlign w:val="bottom"/>
          </w:tcPr>
          <w:p>
            <w:pPr>
              <w:spacing w:after="0"/>
              <w:rPr>
                <w:sz w:val="16"/>
                <w:szCs w:val="16"/>
                <w:color w:val="auto"/>
              </w:rPr>
            </w:pPr>
          </w:p>
        </w:tc>
        <w:tc>
          <w:tcPr>
            <w:tcW w:w="1140" w:type="dxa"/>
            <w:vAlign w:val="bottom"/>
          </w:tcPr>
          <w:p>
            <w:pPr>
              <w:jc w:val="right"/>
              <w:ind w:right="4"/>
              <w:spacing w:after="0"/>
              <w:rPr>
                <w:sz w:val="20"/>
                <w:szCs w:val="20"/>
                <w:color w:val="auto"/>
              </w:rPr>
            </w:pPr>
            <w:r>
              <w:rPr>
                <w:rFonts w:ascii="Arial" w:cs="Arial" w:eastAsia="Arial" w:hAnsi="Arial"/>
                <w:sz w:val="16"/>
                <w:szCs w:val="16"/>
                <w:b w:val="1"/>
                <w:bCs w:val="1"/>
                <w:color w:val="auto"/>
              </w:rPr>
              <w:t>879</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505</w:t>
            </w:r>
          </w:p>
        </w:tc>
        <w:tc>
          <w:tcPr>
            <w:tcW w:w="20" w:type="dxa"/>
            <w:vAlign w:val="bottom"/>
          </w:tcPr>
          <w:p>
            <w:pPr>
              <w:spacing w:after="0"/>
              <w:rPr>
                <w:sz w:val="16"/>
                <w:szCs w:val="16"/>
                <w:color w:val="auto"/>
              </w:rPr>
            </w:pPr>
          </w:p>
        </w:tc>
      </w:tr>
      <w:tr>
        <w:trPr>
          <w:trHeight w:val="189"/>
        </w:trPr>
        <w:tc>
          <w:tcPr>
            <w:tcW w:w="5240" w:type="dxa"/>
            <w:vAlign w:val="bottom"/>
          </w:tcPr>
          <w:p>
            <w:pPr>
              <w:spacing w:after="0"/>
              <w:rPr>
                <w:sz w:val="20"/>
                <w:szCs w:val="20"/>
                <w:color w:val="auto"/>
              </w:rPr>
            </w:pPr>
            <w:r>
              <w:rPr>
                <w:rFonts w:ascii="Arial" w:cs="Arial" w:eastAsia="Arial" w:hAnsi="Arial"/>
                <w:sz w:val="16"/>
                <w:szCs w:val="16"/>
                <w:color w:val="auto"/>
              </w:rPr>
              <w:t>Gain (loss) on sales or write-downs of cost method investments, net</w:t>
            </w: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ind w:right="24"/>
              <w:spacing w:after="0"/>
              <w:rPr>
                <w:sz w:val="20"/>
                <w:szCs w:val="20"/>
                <w:color w:val="auto"/>
              </w:rPr>
            </w:pPr>
            <w:r>
              <w:rPr>
                <w:rFonts w:ascii="Arial" w:cs="Arial" w:eastAsia="Arial" w:hAnsi="Arial"/>
                <w:sz w:val="16"/>
                <w:szCs w:val="16"/>
                <w:b w:val="1"/>
                <w:bCs w:val="1"/>
                <w:color w:val="auto"/>
              </w:rPr>
              <w:t>1</w:t>
            </w:r>
          </w:p>
        </w:tc>
        <w:tc>
          <w:tcPr>
            <w:tcW w:w="340" w:type="dxa"/>
            <w:vAlign w:val="bottom"/>
          </w:tcPr>
          <w:p>
            <w:pPr>
              <w:spacing w:after="0"/>
              <w:rPr>
                <w:sz w:val="16"/>
                <w:szCs w:val="16"/>
                <w:color w:val="auto"/>
              </w:rPr>
            </w:pPr>
          </w:p>
        </w:tc>
        <w:tc>
          <w:tcPr>
            <w:tcW w:w="1140" w:type="dxa"/>
            <w:vAlign w:val="bottom"/>
          </w:tcPr>
          <w:p>
            <w:pPr>
              <w:jc w:val="right"/>
              <w:ind w:right="3"/>
              <w:spacing w:after="0"/>
              <w:rPr>
                <w:sz w:val="20"/>
                <w:szCs w:val="20"/>
                <w:color w:val="auto"/>
              </w:rPr>
            </w:pPr>
            <w:r>
              <w:rPr>
                <w:rFonts w:ascii="Arial" w:cs="Arial" w:eastAsia="Arial" w:hAnsi="Arial"/>
                <w:sz w:val="16"/>
                <w:szCs w:val="16"/>
                <w:color w:val="auto"/>
              </w:rPr>
              <w:t>1,106</w:t>
            </w:r>
          </w:p>
        </w:tc>
        <w:tc>
          <w:tcPr>
            <w:tcW w:w="320" w:type="dxa"/>
            <w:vAlign w:val="bottom"/>
          </w:tcPr>
          <w:p>
            <w:pPr>
              <w:spacing w:after="0"/>
              <w:rPr>
                <w:sz w:val="16"/>
                <w:szCs w:val="16"/>
                <w:color w:val="auto"/>
              </w:rPr>
            </w:pPr>
          </w:p>
        </w:tc>
        <w:tc>
          <w:tcPr>
            <w:tcW w:w="1140" w:type="dxa"/>
            <w:vAlign w:val="bottom"/>
          </w:tcPr>
          <w:p>
            <w:pPr>
              <w:jc w:val="right"/>
              <w:ind w:right="4"/>
              <w:spacing w:after="0"/>
              <w:rPr>
                <w:sz w:val="20"/>
                <w:szCs w:val="20"/>
                <w:color w:val="auto"/>
              </w:rPr>
            </w:pPr>
            <w:r>
              <w:rPr>
                <w:rFonts w:ascii="Arial" w:cs="Arial" w:eastAsia="Arial" w:hAnsi="Arial"/>
                <w:sz w:val="16"/>
                <w:szCs w:val="16"/>
                <w:b w:val="1"/>
                <w:bCs w:val="1"/>
                <w:color w:val="auto"/>
              </w:rPr>
              <w:t>(178)</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6,872</w:t>
            </w:r>
          </w:p>
        </w:tc>
        <w:tc>
          <w:tcPr>
            <w:tcW w:w="20" w:type="dxa"/>
            <w:vAlign w:val="bottom"/>
          </w:tcPr>
          <w:p>
            <w:pPr>
              <w:spacing w:after="0"/>
              <w:rPr>
                <w:sz w:val="16"/>
                <w:szCs w:val="16"/>
                <w:color w:val="auto"/>
              </w:rPr>
            </w:pPr>
          </w:p>
        </w:tc>
      </w:tr>
      <w:tr>
        <w:trPr>
          <w:trHeight w:val="207"/>
        </w:trPr>
        <w:tc>
          <w:tcPr>
            <w:tcW w:w="5240" w:type="dxa"/>
            <w:vAlign w:val="bottom"/>
          </w:tcPr>
          <w:p>
            <w:pPr>
              <w:spacing w:after="0"/>
              <w:rPr>
                <w:sz w:val="20"/>
                <w:szCs w:val="20"/>
                <w:color w:val="auto"/>
              </w:rPr>
            </w:pPr>
            <w:r>
              <w:rPr>
                <w:rFonts w:ascii="Arial" w:cs="Arial" w:eastAsia="Arial" w:hAnsi="Arial"/>
                <w:sz w:val="16"/>
                <w:szCs w:val="16"/>
                <w:color w:val="auto"/>
              </w:rPr>
              <w:t>Other, net</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b w:val="1"/>
                <w:bCs w:val="1"/>
                <w:color w:val="auto"/>
              </w:rPr>
              <w:t>(574)</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346</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b w:val="1"/>
                <w:bCs w:val="1"/>
                <w:color w:val="auto"/>
              </w:rPr>
              <w:t>(406)</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508</w:t>
            </w:r>
          </w:p>
        </w:tc>
        <w:tc>
          <w:tcPr>
            <w:tcW w:w="20" w:type="dxa"/>
            <w:vAlign w:val="bottom"/>
          </w:tcPr>
          <w:p>
            <w:pPr>
              <w:spacing w:after="0"/>
              <w:rPr>
                <w:sz w:val="18"/>
                <w:szCs w:val="18"/>
                <w:color w:val="auto"/>
              </w:rPr>
            </w:pPr>
          </w:p>
        </w:tc>
      </w:tr>
      <w:tr>
        <w:trPr>
          <w:trHeight w:val="183"/>
        </w:trPr>
        <w:tc>
          <w:tcPr>
            <w:tcW w:w="5240" w:type="dxa"/>
            <w:vAlign w:val="bottom"/>
          </w:tcPr>
          <w:p>
            <w:pPr>
              <w:ind w:left="240"/>
              <w:spacing w:after="0" w:line="183" w:lineRule="exact"/>
              <w:rPr>
                <w:sz w:val="20"/>
                <w:szCs w:val="20"/>
                <w:color w:val="auto"/>
              </w:rPr>
            </w:pPr>
            <w:r>
              <w:rPr>
                <w:rFonts w:ascii="Arial" w:cs="Arial" w:eastAsia="Arial" w:hAnsi="Arial"/>
                <w:sz w:val="16"/>
                <w:szCs w:val="16"/>
                <w:b w:val="1"/>
                <w:bCs w:val="1"/>
                <w:color w:val="auto"/>
              </w:rPr>
              <w:t>Total Other Non-Operating (Expense) Income</w:t>
            </w:r>
          </w:p>
        </w:tc>
        <w:tc>
          <w:tcPr>
            <w:tcW w:w="5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b w:val="1"/>
                <w:bCs w:val="1"/>
                <w:color w:val="auto"/>
                <w:w w:val="71"/>
              </w:rPr>
              <w:t>$</w:t>
            </w:r>
          </w:p>
        </w:tc>
        <w:tc>
          <w:tcPr>
            <w:tcW w:w="1180" w:type="dxa"/>
            <w:vAlign w:val="bottom"/>
            <w:tcBorders>
              <w:bottom w:val="single" w:sz="8" w:color="auto"/>
            </w:tcBorders>
          </w:tcPr>
          <w:p>
            <w:pPr>
              <w:jc w:val="right"/>
              <w:ind w:right="24"/>
              <w:spacing w:after="0" w:line="183" w:lineRule="exact"/>
              <w:rPr>
                <w:sz w:val="20"/>
                <w:szCs w:val="20"/>
                <w:color w:val="auto"/>
              </w:rPr>
            </w:pPr>
            <w:r>
              <w:rPr>
                <w:rFonts w:ascii="Arial" w:cs="Arial" w:eastAsia="Arial" w:hAnsi="Arial"/>
                <w:sz w:val="16"/>
                <w:szCs w:val="16"/>
                <w:b w:val="1"/>
                <w:bCs w:val="1"/>
                <w:color w:val="auto"/>
              </w:rPr>
              <w:t>(12,858)</w:t>
            </w:r>
          </w:p>
        </w:tc>
        <w:tc>
          <w:tcPr>
            <w:tcW w:w="34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3"/>
              <w:spacing w:after="0" w:line="183" w:lineRule="exact"/>
              <w:rPr>
                <w:sz w:val="20"/>
                <w:szCs w:val="20"/>
                <w:color w:val="auto"/>
              </w:rPr>
            </w:pPr>
            <w:r>
              <w:rPr>
                <w:rFonts w:ascii="Arial" w:cs="Arial" w:eastAsia="Arial" w:hAnsi="Arial"/>
                <w:sz w:val="16"/>
                <w:szCs w:val="16"/>
                <w:color w:val="auto"/>
              </w:rPr>
              <w:t>(635)</w:t>
            </w:r>
          </w:p>
        </w:tc>
        <w:tc>
          <w:tcPr>
            <w:tcW w:w="32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ind w:right="4"/>
              <w:spacing w:after="0" w:line="183" w:lineRule="exact"/>
              <w:rPr>
                <w:sz w:val="20"/>
                <w:szCs w:val="20"/>
                <w:color w:val="auto"/>
              </w:rPr>
            </w:pPr>
            <w:r>
              <w:rPr>
                <w:rFonts w:ascii="Arial" w:cs="Arial" w:eastAsia="Arial" w:hAnsi="Arial"/>
                <w:sz w:val="16"/>
                <w:szCs w:val="16"/>
                <w:b w:val="1"/>
                <w:bCs w:val="1"/>
                <w:color w:val="auto"/>
              </w:rPr>
              <w:t>(16,941)</w:t>
            </w:r>
          </w:p>
        </w:tc>
        <w:tc>
          <w:tcPr>
            <w:tcW w:w="30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7,953</w:t>
            </w:r>
          </w:p>
        </w:tc>
        <w:tc>
          <w:tcPr>
            <w:tcW w:w="20" w:type="dxa"/>
            <w:vAlign w:val="bottom"/>
          </w:tcPr>
          <w:p>
            <w:pPr>
              <w:spacing w:after="0"/>
              <w:rPr>
                <w:sz w:val="15"/>
                <w:szCs w:val="15"/>
                <w:color w:val="auto"/>
              </w:rPr>
            </w:pPr>
          </w:p>
        </w:tc>
      </w:tr>
      <w:tr>
        <w:trPr>
          <w:trHeight w:val="20"/>
        </w:trPr>
        <w:tc>
          <w:tcPr>
            <w:tcW w:w="52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9"/>
        </w:trPr>
        <w:tc>
          <w:tcPr>
            <w:tcW w:w="5240" w:type="dxa"/>
            <w:vAlign w:val="bottom"/>
          </w:tcPr>
          <w:p>
            <w:pPr>
              <w:spacing w:after="0"/>
              <w:rPr>
                <w:sz w:val="24"/>
                <w:szCs w:val="24"/>
                <w:color w:val="auto"/>
              </w:rPr>
            </w:pPr>
          </w:p>
        </w:tc>
        <w:tc>
          <w:tcPr>
            <w:tcW w:w="740" w:type="dxa"/>
            <w:vAlign w:val="bottom"/>
            <w:gridSpan w:val="3"/>
          </w:tcPr>
          <w:p>
            <w:pPr>
              <w:jc w:val="right"/>
              <w:ind w:right="109"/>
              <w:spacing w:after="0"/>
              <w:rPr>
                <w:sz w:val="20"/>
                <w:szCs w:val="20"/>
                <w:color w:val="auto"/>
              </w:rPr>
            </w:pPr>
            <w:r>
              <w:rPr>
                <w:rFonts w:ascii="Arial" w:cs="Arial" w:eastAsia="Arial" w:hAnsi="Arial"/>
                <w:sz w:val="18"/>
                <w:szCs w:val="18"/>
                <w:color w:val="auto"/>
              </w:rPr>
              <w:t>12</w:t>
            </w: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45"/>
        </w:trPr>
        <w:tc>
          <w:tcPr>
            <w:tcW w:w="5240" w:type="dxa"/>
            <w:vAlign w:val="bottom"/>
            <w:tcBorders>
              <w:bottom w:val="single" w:sz="8" w:color="808080"/>
            </w:tcBorders>
          </w:tcPr>
          <w:p>
            <w:pPr>
              <w:spacing w:after="0"/>
              <w:rPr>
                <w:sz w:val="12"/>
                <w:szCs w:val="12"/>
                <w:color w:val="auto"/>
              </w:rPr>
            </w:pPr>
          </w:p>
        </w:tc>
        <w:tc>
          <w:tcPr>
            <w:tcW w:w="50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1180" w:type="dxa"/>
            <w:vAlign w:val="bottom"/>
            <w:tcBorders>
              <w:bottom w:val="single" w:sz="8" w:color="808080"/>
            </w:tcBorders>
          </w:tcPr>
          <w:p>
            <w:pPr>
              <w:spacing w:after="0"/>
              <w:rPr>
                <w:sz w:val="12"/>
                <w:szCs w:val="12"/>
                <w:color w:val="auto"/>
              </w:rPr>
            </w:pPr>
          </w:p>
        </w:tc>
        <w:tc>
          <w:tcPr>
            <w:tcW w:w="340" w:type="dxa"/>
            <w:vAlign w:val="bottom"/>
            <w:tcBorders>
              <w:bottom w:val="single" w:sz="8" w:color="808080"/>
            </w:tcBorders>
          </w:tcPr>
          <w:p>
            <w:pPr>
              <w:spacing w:after="0"/>
              <w:rPr>
                <w:sz w:val="12"/>
                <w:szCs w:val="12"/>
                <w:color w:val="auto"/>
              </w:rPr>
            </w:pPr>
          </w:p>
        </w:tc>
        <w:tc>
          <w:tcPr>
            <w:tcW w:w="1140" w:type="dxa"/>
            <w:vAlign w:val="bottom"/>
            <w:tcBorders>
              <w:bottom w:val="single" w:sz="8" w:color="808080"/>
            </w:tcBorders>
          </w:tcPr>
          <w:p>
            <w:pPr>
              <w:spacing w:after="0"/>
              <w:rPr>
                <w:sz w:val="12"/>
                <w:szCs w:val="12"/>
                <w:color w:val="auto"/>
              </w:rPr>
            </w:pPr>
          </w:p>
        </w:tc>
        <w:tc>
          <w:tcPr>
            <w:tcW w:w="320" w:type="dxa"/>
            <w:vAlign w:val="bottom"/>
            <w:tcBorders>
              <w:bottom w:val="single" w:sz="8" w:color="808080"/>
            </w:tcBorders>
          </w:tcPr>
          <w:p>
            <w:pPr>
              <w:spacing w:after="0"/>
              <w:rPr>
                <w:sz w:val="12"/>
                <w:szCs w:val="12"/>
                <w:color w:val="auto"/>
              </w:rPr>
            </w:pPr>
          </w:p>
        </w:tc>
        <w:tc>
          <w:tcPr>
            <w:tcW w:w="1140" w:type="dxa"/>
            <w:vAlign w:val="bottom"/>
            <w:tcBorders>
              <w:bottom w:val="single" w:sz="8" w:color="808080"/>
            </w:tcBorders>
          </w:tcPr>
          <w:p>
            <w:pPr>
              <w:spacing w:after="0"/>
              <w:rPr>
                <w:sz w:val="12"/>
                <w:szCs w:val="12"/>
                <w:color w:val="auto"/>
              </w:rPr>
            </w:pPr>
          </w:p>
        </w:tc>
        <w:tc>
          <w:tcPr>
            <w:tcW w:w="300" w:type="dxa"/>
            <w:vAlign w:val="bottom"/>
            <w:tcBorders>
              <w:bottom w:val="single" w:sz="8" w:color="808080"/>
            </w:tcBorders>
          </w:tcPr>
          <w:p>
            <w:pPr>
              <w:spacing w:after="0"/>
              <w:rPr>
                <w:sz w:val="12"/>
                <w:szCs w:val="12"/>
                <w:color w:val="auto"/>
              </w:rPr>
            </w:pPr>
          </w:p>
        </w:tc>
        <w:tc>
          <w:tcPr>
            <w:tcW w:w="102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868" w:right="21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11. ACCUMULATED OTHER COMPREHENSIVE INCOME (LOSS)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other comprehensive income (loss) consists of the following components: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38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Three Months Ended June 30,</w:t>
            </w:r>
          </w:p>
        </w:tc>
        <w:tc>
          <w:tcPr>
            <w:tcW w:w="9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r>
      <w:tr>
        <w:trPr>
          <w:trHeight w:val="142"/>
        </w:trPr>
        <w:tc>
          <w:tcPr>
            <w:tcW w:w="5380" w:type="dxa"/>
            <w:vAlign w:val="bottom"/>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2013</w:t>
            </w:r>
          </w:p>
        </w:tc>
        <w:tc>
          <w:tcPr>
            <w:tcW w:w="10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ind w:left="300"/>
              <w:spacing w:after="0" w:line="142" w:lineRule="exact"/>
              <w:rPr>
                <w:sz w:val="20"/>
                <w:szCs w:val="20"/>
                <w:color w:val="auto"/>
              </w:rPr>
            </w:pPr>
            <w:r>
              <w:rPr>
                <w:rFonts w:ascii="Arial" w:cs="Arial" w:eastAsia="Arial" w:hAnsi="Arial"/>
                <w:sz w:val="14"/>
                <w:szCs w:val="14"/>
                <w:color w:val="auto"/>
              </w:rPr>
              <w:t>2012</w:t>
            </w:r>
          </w:p>
        </w:tc>
        <w:tc>
          <w:tcPr>
            <w:tcW w:w="980" w:type="dxa"/>
            <w:vAlign w:val="bottom"/>
            <w:tcBorders>
              <w:bottom w:val="single" w:sz="8" w:color="auto"/>
            </w:tcBorders>
          </w:tcPr>
          <w:p>
            <w:pPr>
              <w:spacing w:after="0"/>
              <w:rPr>
                <w:sz w:val="12"/>
                <w:szCs w:val="12"/>
                <w:color w:val="auto"/>
              </w:rPr>
            </w:pPr>
          </w:p>
        </w:tc>
      </w:tr>
      <w:tr>
        <w:trPr>
          <w:trHeight w:val="125"/>
        </w:trPr>
        <w:tc>
          <w:tcPr>
            <w:tcW w:w="5380" w:type="dxa"/>
            <w:vAlign w:val="bottom"/>
          </w:tcPr>
          <w:p>
            <w:pPr>
              <w:spacing w:after="0"/>
              <w:rPr>
                <w:sz w:val="10"/>
                <w:szCs w:val="10"/>
                <w:color w:val="auto"/>
              </w:rPr>
            </w:pPr>
          </w:p>
        </w:tc>
        <w:tc>
          <w:tcPr>
            <w:tcW w:w="1060" w:type="dxa"/>
            <w:vAlign w:val="bottom"/>
          </w:tcPr>
          <w:p>
            <w:pPr>
              <w:jc w:val="center"/>
              <w:ind w:right="52"/>
              <w:spacing w:after="0" w:line="125" w:lineRule="exact"/>
              <w:rPr>
                <w:sz w:val="20"/>
                <w:szCs w:val="20"/>
                <w:color w:val="auto"/>
              </w:rPr>
            </w:pPr>
            <w:r>
              <w:rPr>
                <w:rFonts w:ascii="Arial" w:cs="Arial" w:eastAsia="Arial" w:hAnsi="Arial"/>
                <w:sz w:val="14"/>
                <w:szCs w:val="14"/>
                <w:b w:val="1"/>
                <w:bCs w:val="1"/>
                <w:color w:val="auto"/>
                <w:w w:val="95"/>
              </w:rPr>
              <w:t>Before-Tax</w:t>
            </w:r>
          </w:p>
        </w:tc>
        <w:tc>
          <w:tcPr>
            <w:tcW w:w="860" w:type="dxa"/>
            <w:vAlign w:val="bottom"/>
          </w:tcPr>
          <w:p>
            <w:pPr>
              <w:jc w:val="right"/>
              <w:ind w:right="92"/>
              <w:spacing w:after="0" w:line="125" w:lineRule="exact"/>
              <w:rPr>
                <w:sz w:val="20"/>
                <w:szCs w:val="20"/>
                <w:color w:val="auto"/>
              </w:rPr>
            </w:pPr>
            <w:r>
              <w:rPr>
                <w:rFonts w:ascii="Arial" w:cs="Arial" w:eastAsia="Arial" w:hAnsi="Arial"/>
                <w:sz w:val="14"/>
                <w:szCs w:val="14"/>
                <w:b w:val="1"/>
                <w:bCs w:val="1"/>
                <w:color w:val="auto"/>
              </w:rPr>
              <w:t>Income</w:t>
            </w:r>
          </w:p>
        </w:tc>
        <w:tc>
          <w:tcPr>
            <w:tcW w:w="1080" w:type="dxa"/>
            <w:vAlign w:val="bottom"/>
          </w:tcPr>
          <w:p>
            <w:pPr>
              <w:jc w:val="center"/>
              <w:ind w:left="112"/>
              <w:spacing w:after="0" w:line="125" w:lineRule="exact"/>
              <w:rPr>
                <w:sz w:val="20"/>
                <w:szCs w:val="20"/>
                <w:color w:val="auto"/>
              </w:rPr>
            </w:pPr>
            <w:r>
              <w:rPr>
                <w:rFonts w:ascii="Arial" w:cs="Arial" w:eastAsia="Arial" w:hAnsi="Arial"/>
                <w:sz w:val="14"/>
                <w:szCs w:val="14"/>
                <w:b w:val="1"/>
                <w:bCs w:val="1"/>
                <w:color w:val="auto"/>
                <w:w w:val="94"/>
              </w:rPr>
              <w:t>After-Tax</w:t>
            </w:r>
          </w:p>
        </w:tc>
        <w:tc>
          <w:tcPr>
            <w:tcW w:w="100" w:type="dxa"/>
            <w:vAlign w:val="bottom"/>
          </w:tcPr>
          <w:p>
            <w:pPr>
              <w:spacing w:after="0"/>
              <w:rPr>
                <w:sz w:val="10"/>
                <w:szCs w:val="10"/>
                <w:color w:val="auto"/>
              </w:rPr>
            </w:pPr>
          </w:p>
        </w:tc>
        <w:tc>
          <w:tcPr>
            <w:tcW w:w="1060" w:type="dxa"/>
            <w:vAlign w:val="bottom"/>
          </w:tcPr>
          <w:p>
            <w:pPr>
              <w:jc w:val="center"/>
              <w:ind w:right="72"/>
              <w:spacing w:after="0" w:line="125" w:lineRule="exact"/>
              <w:rPr>
                <w:sz w:val="20"/>
                <w:szCs w:val="20"/>
                <w:color w:val="auto"/>
              </w:rPr>
            </w:pPr>
            <w:r>
              <w:rPr>
                <w:rFonts w:ascii="Arial" w:cs="Arial" w:eastAsia="Arial" w:hAnsi="Arial"/>
                <w:sz w:val="14"/>
                <w:szCs w:val="14"/>
                <w:color w:val="auto"/>
                <w:w w:val="92"/>
              </w:rPr>
              <w:t>Before-Tax</w:t>
            </w:r>
          </w:p>
        </w:tc>
        <w:tc>
          <w:tcPr>
            <w:tcW w:w="900" w:type="dxa"/>
            <w:vAlign w:val="bottom"/>
          </w:tcPr>
          <w:p>
            <w:pPr>
              <w:ind w:left="200"/>
              <w:spacing w:after="0" w:line="125" w:lineRule="exact"/>
              <w:rPr>
                <w:sz w:val="20"/>
                <w:szCs w:val="20"/>
                <w:color w:val="auto"/>
              </w:rPr>
            </w:pPr>
            <w:r>
              <w:rPr>
                <w:rFonts w:ascii="Arial" w:cs="Arial" w:eastAsia="Arial" w:hAnsi="Arial"/>
                <w:sz w:val="14"/>
                <w:szCs w:val="14"/>
                <w:color w:val="auto"/>
              </w:rPr>
              <w:t>Income</w:t>
            </w:r>
          </w:p>
        </w:tc>
        <w:tc>
          <w:tcPr>
            <w:tcW w:w="980" w:type="dxa"/>
            <w:vAlign w:val="bottom"/>
          </w:tcPr>
          <w:p>
            <w:pPr>
              <w:jc w:val="center"/>
              <w:ind w:left="12"/>
              <w:spacing w:after="0" w:line="125" w:lineRule="exact"/>
              <w:rPr>
                <w:sz w:val="20"/>
                <w:szCs w:val="20"/>
                <w:color w:val="auto"/>
              </w:rPr>
            </w:pPr>
            <w:r>
              <w:rPr>
                <w:rFonts w:ascii="Arial" w:cs="Arial" w:eastAsia="Arial" w:hAnsi="Arial"/>
                <w:sz w:val="14"/>
                <w:szCs w:val="14"/>
                <w:color w:val="auto"/>
                <w:w w:val="93"/>
              </w:rPr>
              <w:t>After-Tax</w:t>
            </w:r>
          </w:p>
        </w:tc>
      </w:tr>
      <w:tr>
        <w:trPr>
          <w:trHeight w:val="178"/>
        </w:trPr>
        <w:tc>
          <w:tcPr>
            <w:tcW w:w="5380" w:type="dxa"/>
            <w:vAlign w:val="bottom"/>
          </w:tcPr>
          <w:p>
            <w:pPr>
              <w:spacing w:after="0"/>
              <w:rPr>
                <w:sz w:val="20"/>
                <w:szCs w:val="20"/>
                <w:color w:val="auto"/>
              </w:rPr>
            </w:pPr>
            <w:r>
              <w:rPr>
                <w:rFonts w:ascii="Arial" w:cs="Arial" w:eastAsia="Arial" w:hAnsi="Arial"/>
                <w:sz w:val="14"/>
                <w:szCs w:val="14"/>
                <w:color w:val="auto"/>
              </w:rPr>
              <w:t>(in thousands)</w:t>
            </w:r>
          </w:p>
        </w:tc>
        <w:tc>
          <w:tcPr>
            <w:tcW w:w="1060" w:type="dxa"/>
            <w:vAlign w:val="bottom"/>
          </w:tcPr>
          <w:p>
            <w:pPr>
              <w:jc w:val="center"/>
              <w:ind w:right="52"/>
              <w:spacing w:after="0"/>
              <w:rPr>
                <w:sz w:val="20"/>
                <w:szCs w:val="20"/>
                <w:color w:val="auto"/>
              </w:rPr>
            </w:pPr>
            <w:r>
              <w:rPr>
                <w:rFonts w:ascii="Arial" w:cs="Arial" w:eastAsia="Arial" w:hAnsi="Arial"/>
                <w:sz w:val="14"/>
                <w:szCs w:val="14"/>
                <w:b w:val="1"/>
                <w:bCs w:val="1"/>
                <w:color w:val="auto"/>
                <w:w w:val="94"/>
              </w:rPr>
              <w:t>Amount</w:t>
            </w:r>
          </w:p>
        </w:tc>
        <w:tc>
          <w:tcPr>
            <w:tcW w:w="860" w:type="dxa"/>
            <w:vAlign w:val="bottom"/>
          </w:tcPr>
          <w:p>
            <w:pPr>
              <w:jc w:val="right"/>
              <w:ind w:right="212"/>
              <w:spacing w:after="0"/>
              <w:rPr>
                <w:sz w:val="20"/>
                <w:szCs w:val="20"/>
                <w:color w:val="auto"/>
              </w:rPr>
            </w:pPr>
            <w:r>
              <w:rPr>
                <w:rFonts w:ascii="Arial" w:cs="Arial" w:eastAsia="Arial" w:hAnsi="Arial"/>
                <w:sz w:val="14"/>
                <w:szCs w:val="14"/>
                <w:b w:val="1"/>
                <w:bCs w:val="1"/>
                <w:color w:val="auto"/>
              </w:rPr>
              <w:t>Tax</w:t>
            </w:r>
          </w:p>
        </w:tc>
        <w:tc>
          <w:tcPr>
            <w:tcW w:w="1180" w:type="dxa"/>
            <w:vAlign w:val="bottom"/>
            <w:gridSpan w:val="2"/>
          </w:tcPr>
          <w:p>
            <w:pPr>
              <w:jc w:val="center"/>
              <w:ind w:left="12"/>
              <w:spacing w:after="0"/>
              <w:rPr>
                <w:sz w:val="20"/>
                <w:szCs w:val="20"/>
                <w:color w:val="auto"/>
              </w:rPr>
            </w:pPr>
            <w:r>
              <w:rPr>
                <w:rFonts w:ascii="Arial" w:cs="Arial" w:eastAsia="Arial" w:hAnsi="Arial"/>
                <w:sz w:val="14"/>
                <w:szCs w:val="14"/>
                <w:b w:val="1"/>
                <w:bCs w:val="1"/>
                <w:color w:val="auto"/>
                <w:w w:val="94"/>
              </w:rPr>
              <w:t>Amount</w:t>
            </w:r>
          </w:p>
        </w:tc>
        <w:tc>
          <w:tcPr>
            <w:tcW w:w="1060" w:type="dxa"/>
            <w:vAlign w:val="bottom"/>
          </w:tcPr>
          <w:p>
            <w:pPr>
              <w:jc w:val="center"/>
              <w:ind w:right="72"/>
              <w:spacing w:after="0"/>
              <w:rPr>
                <w:sz w:val="20"/>
                <w:szCs w:val="20"/>
                <w:color w:val="auto"/>
              </w:rPr>
            </w:pPr>
            <w:r>
              <w:rPr>
                <w:rFonts w:ascii="Arial" w:cs="Arial" w:eastAsia="Arial" w:hAnsi="Arial"/>
                <w:sz w:val="14"/>
                <w:szCs w:val="14"/>
                <w:color w:val="auto"/>
                <w:w w:val="99"/>
              </w:rPr>
              <w:t>Amount</w:t>
            </w:r>
          </w:p>
        </w:tc>
        <w:tc>
          <w:tcPr>
            <w:tcW w:w="900" w:type="dxa"/>
            <w:vAlign w:val="bottom"/>
          </w:tcPr>
          <w:p>
            <w:pPr>
              <w:ind w:left="300"/>
              <w:spacing w:after="0"/>
              <w:rPr>
                <w:sz w:val="20"/>
                <w:szCs w:val="20"/>
                <w:color w:val="auto"/>
              </w:rPr>
            </w:pPr>
            <w:r>
              <w:rPr>
                <w:rFonts w:ascii="Arial" w:cs="Arial" w:eastAsia="Arial" w:hAnsi="Arial"/>
                <w:sz w:val="14"/>
                <w:szCs w:val="14"/>
                <w:color w:val="auto"/>
              </w:rPr>
              <w:t>Tax</w:t>
            </w:r>
          </w:p>
        </w:tc>
        <w:tc>
          <w:tcPr>
            <w:tcW w:w="980" w:type="dxa"/>
            <w:vAlign w:val="bottom"/>
          </w:tcPr>
          <w:p>
            <w:pPr>
              <w:jc w:val="center"/>
              <w:ind w:left="12"/>
              <w:spacing w:after="0"/>
              <w:rPr>
                <w:sz w:val="20"/>
                <w:szCs w:val="20"/>
                <w:color w:val="auto"/>
              </w:rPr>
            </w:pPr>
            <w:r>
              <w:rPr>
                <w:rFonts w:ascii="Arial" w:cs="Arial" w:eastAsia="Arial" w:hAnsi="Arial"/>
                <w:sz w:val="14"/>
                <w:szCs w:val="14"/>
                <w:color w:val="auto"/>
                <w:w w:val="95"/>
              </w:rPr>
              <w:t>Amount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46" w:right="2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Foreign currency translation adjustments:</w:t>
      </w:r>
    </w:p>
    <w:p>
      <w:pPr>
        <w:spacing w:after="0" w:line="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Translation adjustments arising during the period</w:t>
      </w:r>
    </w:p>
    <w:p>
      <w:pPr>
        <w:spacing w:after="0" w:line="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Adjustment for sales of businesses with foreign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Unrealized gains on available-for-sale securities:</w:t>
      </w:r>
    </w:p>
    <w:p>
      <w:pPr>
        <w:spacing w:after="0" w:line="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Unrealized gains for the period</w:t>
      </w:r>
    </w:p>
    <w:p>
      <w:pPr>
        <w:spacing w:after="0" w:line="5" w:lineRule="exact"/>
        <w:rPr>
          <w:sz w:val="20"/>
          <w:szCs w:val="20"/>
          <w:color w:val="auto"/>
        </w:rPr>
      </w:pPr>
    </w:p>
    <w:p>
      <w:pPr>
        <w:ind w:left="460" w:right="360" w:hanging="229"/>
        <w:spacing w:after="0" w:line="260" w:lineRule="auto"/>
        <w:rPr>
          <w:sz w:val="20"/>
          <w:szCs w:val="20"/>
          <w:color w:val="auto"/>
        </w:rPr>
      </w:pPr>
      <w:r>
        <w:rPr>
          <w:rFonts w:ascii="Arial" w:cs="Arial" w:eastAsia="Arial" w:hAnsi="Arial"/>
          <w:sz w:val="16"/>
          <w:szCs w:val="16"/>
          <w:color w:val="auto"/>
        </w:rPr>
        <w:t>Reclassification adjustment for gain on available-for-sale securities included in net income</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Pension and other postretirement plans:</w:t>
      </w:r>
    </w:p>
    <w:p>
      <w:pPr>
        <w:spacing w:after="0" w:line="5" w:lineRule="exact"/>
        <w:rPr>
          <w:sz w:val="20"/>
          <w:szCs w:val="20"/>
          <w:color w:val="auto"/>
        </w:rPr>
      </w:pPr>
    </w:p>
    <w:p>
      <w:pPr>
        <w:ind w:left="240" w:right="40"/>
        <w:spacing w:after="0" w:line="260" w:lineRule="auto"/>
        <w:rPr>
          <w:sz w:val="20"/>
          <w:szCs w:val="20"/>
          <w:color w:val="auto"/>
        </w:rPr>
      </w:pPr>
      <w:r>
        <w:rPr>
          <w:rFonts w:ascii="Arial" w:cs="Arial" w:eastAsia="Arial" w:hAnsi="Arial"/>
          <w:sz w:val="16"/>
          <w:szCs w:val="16"/>
          <w:color w:val="auto"/>
        </w:rPr>
        <w:t>Amortization of net prior service credit included in net income Amortization of net actuarial loss included in net income</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Cash flow hedge:</w:t>
      </w:r>
    </w:p>
    <w:p>
      <w:pPr>
        <w:spacing w:after="0" w:line="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Gain (loss) for the period</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Comprehensive Income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color w:val="auto"/>
        </w:rPr>
        <w:t>(in thousands)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(3,509)</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ind w:right="2"/>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(3,509)</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(8,911)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(8,911)</w:t>
            </w:r>
          </w:p>
        </w:tc>
      </w:tr>
      <w:tr>
        <w:trPr>
          <w:trHeight w:val="207"/>
        </w:trPr>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8</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r>
      <w:tr>
        <w:trPr>
          <w:trHeight w:val="183"/>
        </w:trPr>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(3,509)</w:t>
            </w:r>
          </w:p>
        </w:tc>
        <w:tc>
          <w:tcPr>
            <w:tcW w:w="2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
              <w:spacing w:after="0" w:line="183" w:lineRule="exact"/>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(3,509)</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1"/>
              <w:spacing w:after="0" w:line="183" w:lineRule="exact"/>
              <w:rPr>
                <w:sz w:val="20"/>
                <w:szCs w:val="20"/>
                <w:color w:val="auto"/>
              </w:rPr>
            </w:pPr>
            <w:r>
              <w:rPr>
                <w:rFonts w:ascii="Arial" w:cs="Arial" w:eastAsia="Arial" w:hAnsi="Arial"/>
                <w:sz w:val="16"/>
                <w:szCs w:val="16"/>
                <w:color w:val="auto"/>
              </w:rPr>
              <w:t>(8,903)</w:t>
            </w: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
              <w:spacing w:after="0" w:line="183" w:lineRule="exact"/>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(8,903)</w:t>
            </w:r>
          </w:p>
        </w:tc>
      </w:tr>
      <w:tr>
        <w:trPr>
          <w:trHeight w:val="379"/>
        </w:trPr>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31,423</w:t>
            </w:r>
          </w:p>
        </w:tc>
        <w:tc>
          <w:tcPr>
            <w:tcW w:w="260" w:type="dxa"/>
            <w:vAlign w:val="bottom"/>
          </w:tcPr>
          <w:p>
            <w:pPr>
              <w:spacing w:after="0"/>
              <w:rPr>
                <w:sz w:val="24"/>
                <w:szCs w:val="24"/>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b w:val="1"/>
                <w:bCs w:val="1"/>
                <w:color w:val="auto"/>
              </w:rPr>
              <w:t>(12,569)</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18,854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6,590</w:t>
            </w:r>
          </w:p>
        </w:tc>
        <w:tc>
          <w:tcPr>
            <w:tcW w:w="240" w:type="dxa"/>
            <w:vAlign w:val="bottom"/>
          </w:tcPr>
          <w:p>
            <w:pPr>
              <w:spacing w:after="0"/>
              <w:rPr>
                <w:sz w:val="24"/>
                <w:szCs w:val="24"/>
                <w:color w:val="auto"/>
              </w:rPr>
            </w:pPr>
          </w:p>
        </w:tc>
        <w:tc>
          <w:tcPr>
            <w:tcW w:w="760" w:type="dxa"/>
            <w:vAlign w:val="bottom"/>
          </w:tcPr>
          <w:p>
            <w:pPr>
              <w:jc w:val="right"/>
              <w:ind w:right="2"/>
              <w:spacing w:after="0"/>
              <w:rPr>
                <w:sz w:val="20"/>
                <w:szCs w:val="20"/>
                <w:color w:val="auto"/>
              </w:rPr>
            </w:pPr>
            <w:r>
              <w:rPr>
                <w:rFonts w:ascii="Arial" w:cs="Arial" w:eastAsia="Arial" w:hAnsi="Arial"/>
                <w:sz w:val="16"/>
                <w:szCs w:val="16"/>
                <w:color w:val="auto"/>
              </w:rPr>
              <w:t>(2,637)</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3,953</w:t>
            </w:r>
          </w:p>
        </w:tc>
      </w:tr>
      <w:tr>
        <w:trPr>
          <w:trHeight w:val="371"/>
        </w:trPr>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(333)</w:t>
            </w: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133</w:t>
            </w: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(200)</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(772)</w:t>
            </w: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309</w:t>
            </w: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(463)</w:t>
            </w:r>
          </w:p>
        </w:tc>
      </w:tr>
      <w:tr>
        <w:trPr>
          <w:trHeight w:val="183"/>
        </w:trPr>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31,090</w:t>
            </w:r>
          </w:p>
        </w:tc>
        <w:tc>
          <w:tcPr>
            <w:tcW w:w="2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
              <w:spacing w:after="0" w:line="183" w:lineRule="exact"/>
              <w:rPr>
                <w:sz w:val="20"/>
                <w:szCs w:val="20"/>
                <w:color w:val="auto"/>
              </w:rPr>
            </w:pPr>
            <w:r>
              <w:rPr>
                <w:rFonts w:ascii="Arial" w:cs="Arial" w:eastAsia="Arial" w:hAnsi="Arial"/>
                <w:sz w:val="16"/>
                <w:szCs w:val="16"/>
                <w:b w:val="1"/>
                <w:bCs w:val="1"/>
                <w:color w:val="auto"/>
              </w:rPr>
              <w:t>(12,436)</w:t>
            </w: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18,654</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1"/>
              <w:spacing w:after="0" w:line="183" w:lineRule="exact"/>
              <w:rPr>
                <w:sz w:val="20"/>
                <w:szCs w:val="20"/>
                <w:color w:val="auto"/>
              </w:rPr>
            </w:pPr>
            <w:r>
              <w:rPr>
                <w:rFonts w:ascii="Arial" w:cs="Arial" w:eastAsia="Arial" w:hAnsi="Arial"/>
                <w:sz w:val="16"/>
                <w:szCs w:val="16"/>
                <w:color w:val="auto"/>
              </w:rPr>
              <w:t>5,818</w:t>
            </w: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
              <w:spacing w:after="0" w:line="183" w:lineRule="exact"/>
              <w:rPr>
                <w:sz w:val="20"/>
                <w:szCs w:val="20"/>
                <w:color w:val="auto"/>
              </w:rPr>
            </w:pPr>
            <w:r>
              <w:rPr>
                <w:rFonts w:ascii="Arial" w:cs="Arial" w:eastAsia="Arial" w:hAnsi="Arial"/>
                <w:sz w:val="16"/>
                <w:szCs w:val="16"/>
                <w:color w:val="auto"/>
              </w:rPr>
              <w:t>(2,328)</w:t>
            </w: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3,490</w:t>
            </w:r>
          </w:p>
        </w:tc>
      </w:tr>
      <w:tr>
        <w:trPr>
          <w:trHeight w:val="354"/>
        </w:trPr>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(384)</w:t>
            </w:r>
          </w:p>
        </w:tc>
        <w:tc>
          <w:tcPr>
            <w:tcW w:w="260" w:type="dxa"/>
            <w:vAlign w:val="bottom"/>
          </w:tcPr>
          <w:p>
            <w:pPr>
              <w:spacing w:after="0"/>
              <w:rPr>
                <w:sz w:val="24"/>
                <w:szCs w:val="24"/>
                <w:color w:val="auto"/>
              </w:rPr>
            </w:pPr>
          </w:p>
        </w:tc>
        <w:tc>
          <w:tcPr>
            <w:tcW w:w="780" w:type="dxa"/>
            <w:vAlign w:val="bottom"/>
          </w:tcPr>
          <w:p>
            <w:pPr>
              <w:jc w:val="right"/>
              <w:ind w:right="2"/>
              <w:spacing w:after="0"/>
              <w:rPr>
                <w:sz w:val="20"/>
                <w:szCs w:val="20"/>
                <w:color w:val="auto"/>
              </w:rPr>
            </w:pPr>
            <w:r>
              <w:rPr>
                <w:rFonts w:ascii="Arial" w:cs="Arial" w:eastAsia="Arial" w:hAnsi="Arial"/>
                <w:sz w:val="16"/>
                <w:szCs w:val="16"/>
                <w:b w:val="1"/>
                <w:bCs w:val="1"/>
                <w:color w:val="auto"/>
              </w:rPr>
              <w:t>153</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(231)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(470)</w:t>
            </w:r>
          </w:p>
        </w:tc>
        <w:tc>
          <w:tcPr>
            <w:tcW w:w="240" w:type="dxa"/>
            <w:vAlign w:val="bottom"/>
          </w:tcPr>
          <w:p>
            <w:pPr>
              <w:spacing w:after="0"/>
              <w:rPr>
                <w:sz w:val="24"/>
                <w:szCs w:val="24"/>
                <w:color w:val="auto"/>
              </w:rPr>
            </w:pPr>
          </w:p>
        </w:tc>
        <w:tc>
          <w:tcPr>
            <w:tcW w:w="760" w:type="dxa"/>
            <w:vAlign w:val="bottom"/>
          </w:tcPr>
          <w:p>
            <w:pPr>
              <w:jc w:val="right"/>
              <w:ind w:right="2"/>
              <w:spacing w:after="0"/>
              <w:rPr>
                <w:sz w:val="20"/>
                <w:szCs w:val="20"/>
                <w:color w:val="auto"/>
              </w:rPr>
            </w:pPr>
            <w:r>
              <w:rPr>
                <w:rFonts w:ascii="Arial" w:cs="Arial" w:eastAsia="Arial" w:hAnsi="Arial"/>
                <w:sz w:val="16"/>
                <w:szCs w:val="16"/>
                <w:color w:val="auto"/>
              </w:rPr>
              <w:t>189</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(281)</w:t>
            </w:r>
          </w:p>
        </w:tc>
      </w:tr>
      <w:tr>
        <w:trPr>
          <w:trHeight w:val="207"/>
        </w:trPr>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2,004</w:t>
            </w: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(801)</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1,203</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2,590</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(1,037)</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1,553</w:t>
            </w:r>
          </w:p>
        </w:tc>
      </w:tr>
      <w:tr>
        <w:trPr>
          <w:trHeight w:val="183"/>
        </w:trPr>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1,620</w:t>
            </w:r>
          </w:p>
        </w:tc>
        <w:tc>
          <w:tcPr>
            <w:tcW w:w="2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
              <w:spacing w:after="0" w:line="183" w:lineRule="exact"/>
              <w:rPr>
                <w:sz w:val="20"/>
                <w:szCs w:val="20"/>
                <w:color w:val="auto"/>
              </w:rPr>
            </w:pPr>
            <w:r>
              <w:rPr>
                <w:rFonts w:ascii="Arial" w:cs="Arial" w:eastAsia="Arial" w:hAnsi="Arial"/>
                <w:sz w:val="16"/>
                <w:szCs w:val="16"/>
                <w:b w:val="1"/>
                <w:bCs w:val="1"/>
                <w:color w:val="auto"/>
              </w:rPr>
              <w:t>(648)</w:t>
            </w: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972</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1"/>
              <w:spacing w:after="0" w:line="183" w:lineRule="exact"/>
              <w:rPr>
                <w:sz w:val="20"/>
                <w:szCs w:val="20"/>
                <w:color w:val="auto"/>
              </w:rPr>
            </w:pPr>
            <w:r>
              <w:rPr>
                <w:rFonts w:ascii="Arial" w:cs="Arial" w:eastAsia="Arial" w:hAnsi="Arial"/>
                <w:sz w:val="16"/>
                <w:szCs w:val="16"/>
                <w:color w:val="auto"/>
              </w:rPr>
              <w:t>2,120</w:t>
            </w: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
              <w:spacing w:after="0" w:line="183" w:lineRule="exact"/>
              <w:rPr>
                <w:sz w:val="20"/>
                <w:szCs w:val="20"/>
                <w:color w:val="auto"/>
              </w:rPr>
            </w:pPr>
            <w:r>
              <w:rPr>
                <w:rFonts w:ascii="Arial" w:cs="Arial" w:eastAsia="Arial" w:hAnsi="Arial"/>
                <w:sz w:val="16"/>
                <w:szCs w:val="16"/>
                <w:color w:val="auto"/>
              </w:rPr>
              <w:t>(848)</w:t>
            </w: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1,272</w:t>
            </w:r>
          </w:p>
        </w:tc>
      </w:tr>
      <w:tr>
        <w:trPr>
          <w:trHeight w:val="372"/>
        </w:trPr>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214</w:t>
            </w: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(86)</w:t>
            </w: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128</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(1,342)</w:t>
            </w: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538</w:t>
            </w: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(804)</w:t>
            </w:r>
          </w:p>
        </w:tc>
      </w:tr>
      <w:tr>
        <w:trPr>
          <w:trHeight w:val="183"/>
        </w:trPr>
        <w:tc>
          <w:tcPr>
            <w:tcW w:w="1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29,415</w:t>
            </w:r>
          </w:p>
        </w:tc>
        <w:tc>
          <w:tcPr>
            <w:tcW w:w="2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auto"/>
            </w:tcBorders>
          </w:tcPr>
          <w:p>
            <w:pPr>
              <w:jc w:val="right"/>
              <w:ind w:right="2"/>
              <w:spacing w:after="0" w:line="183" w:lineRule="exact"/>
              <w:rPr>
                <w:sz w:val="20"/>
                <w:szCs w:val="20"/>
                <w:color w:val="auto"/>
              </w:rPr>
            </w:pPr>
            <w:r>
              <w:rPr>
                <w:rFonts w:ascii="Arial" w:cs="Arial" w:eastAsia="Arial" w:hAnsi="Arial"/>
                <w:sz w:val="16"/>
                <w:szCs w:val="16"/>
                <w:b w:val="1"/>
                <w:bCs w:val="1"/>
                <w:color w:val="auto"/>
              </w:rPr>
              <w:t>(13,170)</w:t>
            </w:r>
          </w:p>
        </w:tc>
        <w:tc>
          <w:tcPr>
            <w:tcW w:w="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16,245</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21"/>
              <w:spacing w:after="0" w:line="183" w:lineRule="exact"/>
              <w:rPr>
                <w:sz w:val="20"/>
                <w:szCs w:val="20"/>
                <w:color w:val="auto"/>
              </w:rPr>
            </w:pPr>
            <w:r>
              <w:rPr>
                <w:rFonts w:ascii="Arial" w:cs="Arial" w:eastAsia="Arial" w:hAnsi="Arial"/>
                <w:sz w:val="16"/>
                <w:szCs w:val="16"/>
                <w:color w:val="auto"/>
              </w:rPr>
              <w:t>(2,307)</w:t>
            </w:r>
          </w:p>
        </w:tc>
        <w:tc>
          <w:tcPr>
            <w:tcW w:w="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2"/>
              <w:spacing w:after="0" w:line="183" w:lineRule="exact"/>
              <w:rPr>
                <w:sz w:val="20"/>
                <w:szCs w:val="20"/>
                <w:color w:val="auto"/>
              </w:rPr>
            </w:pPr>
            <w:r>
              <w:rPr>
                <w:rFonts w:ascii="Arial" w:cs="Arial" w:eastAsia="Arial" w:hAnsi="Arial"/>
                <w:sz w:val="16"/>
                <w:szCs w:val="16"/>
                <w:color w:val="auto"/>
              </w:rPr>
              <w:t>(2,638)</w:t>
            </w:r>
          </w:p>
        </w:tc>
        <w:tc>
          <w:tcPr>
            <w:tcW w:w="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(4,945)</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060" w:type="dxa"/>
            <w:vAlign w:val="bottom"/>
            <w:tcBorders>
              <w:bottom w:val="single" w:sz="8" w:color="auto"/>
            </w:tcBorders>
            <w:gridSpan w:val="3"/>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467"/>
        </w:trPr>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5"/>
          </w:tcPr>
          <w:p>
            <w:pPr>
              <w:jc w:val="right"/>
              <w:ind w:right="81"/>
              <w:spacing w:after="0"/>
              <w:rPr>
                <w:sz w:val="20"/>
                <w:szCs w:val="20"/>
                <w:color w:val="auto"/>
              </w:rPr>
            </w:pPr>
            <w:r>
              <w:rPr>
                <w:rFonts w:ascii="Arial" w:cs="Arial" w:eastAsia="Arial" w:hAnsi="Arial"/>
                <w:sz w:val="14"/>
                <w:szCs w:val="14"/>
                <w:b w:val="1"/>
                <w:bCs w:val="1"/>
                <w:color w:val="auto"/>
              </w:rPr>
              <w:t>Six Months Ended June 30,</w:t>
            </w: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r>
        <w:trPr>
          <w:trHeight w:val="142"/>
        </w:trPr>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02"/>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22"/>
              <w:spacing w:after="0" w:line="142" w:lineRule="exact"/>
              <w:rPr>
                <w:sz w:val="20"/>
                <w:szCs w:val="20"/>
                <w:color w:val="auto"/>
              </w:rPr>
            </w:pPr>
            <w:r>
              <w:rPr>
                <w:rFonts w:ascii="Arial" w:cs="Arial" w:eastAsia="Arial" w:hAnsi="Arial"/>
                <w:sz w:val="14"/>
                <w:szCs w:val="14"/>
                <w:color w:val="auto"/>
              </w:rPr>
              <w:t>2012</w:t>
            </w: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r>
      <w:tr>
        <w:trPr>
          <w:trHeight w:val="125"/>
        </w:trPr>
        <w:tc>
          <w:tcPr>
            <w:tcW w:w="980" w:type="dxa"/>
            <w:vAlign w:val="bottom"/>
            <w:gridSpan w:val="2"/>
          </w:tcPr>
          <w:p>
            <w:pPr>
              <w:jc w:val="right"/>
              <w:ind w:right="80"/>
              <w:spacing w:after="0" w:line="125" w:lineRule="exact"/>
              <w:rPr>
                <w:sz w:val="20"/>
                <w:szCs w:val="20"/>
                <w:color w:val="auto"/>
              </w:rPr>
            </w:pPr>
            <w:r>
              <w:rPr>
                <w:rFonts w:ascii="Arial" w:cs="Arial" w:eastAsia="Arial" w:hAnsi="Arial"/>
                <w:sz w:val="14"/>
                <w:szCs w:val="14"/>
                <w:b w:val="1"/>
                <w:bCs w:val="1"/>
                <w:color w:val="auto"/>
              </w:rPr>
              <w:t>Before-Tax</w:t>
            </w:r>
          </w:p>
        </w:tc>
        <w:tc>
          <w:tcPr>
            <w:tcW w:w="260" w:type="dxa"/>
            <w:vAlign w:val="bottom"/>
          </w:tcPr>
          <w:p>
            <w:pPr>
              <w:spacing w:after="0"/>
              <w:rPr>
                <w:sz w:val="10"/>
                <w:szCs w:val="10"/>
                <w:color w:val="auto"/>
              </w:rPr>
            </w:pPr>
          </w:p>
        </w:tc>
        <w:tc>
          <w:tcPr>
            <w:tcW w:w="780" w:type="dxa"/>
            <w:vAlign w:val="bottom"/>
          </w:tcPr>
          <w:p>
            <w:pPr>
              <w:jc w:val="right"/>
              <w:ind w:right="182"/>
              <w:spacing w:after="0" w:line="125" w:lineRule="exact"/>
              <w:rPr>
                <w:sz w:val="20"/>
                <w:szCs w:val="20"/>
                <w:color w:val="auto"/>
              </w:rPr>
            </w:pPr>
            <w:r>
              <w:rPr>
                <w:rFonts w:ascii="Arial" w:cs="Arial" w:eastAsia="Arial" w:hAnsi="Arial"/>
                <w:sz w:val="14"/>
                <w:szCs w:val="14"/>
                <w:b w:val="1"/>
                <w:bCs w:val="1"/>
                <w:color w:val="auto"/>
              </w:rPr>
              <w:t>Income</w:t>
            </w:r>
          </w:p>
        </w:tc>
        <w:tc>
          <w:tcPr>
            <w:tcW w:w="220" w:type="dxa"/>
            <w:vAlign w:val="bottom"/>
          </w:tcPr>
          <w:p>
            <w:pPr>
              <w:spacing w:after="0"/>
              <w:rPr>
                <w:sz w:val="10"/>
                <w:szCs w:val="10"/>
                <w:color w:val="auto"/>
              </w:rPr>
            </w:pPr>
          </w:p>
        </w:tc>
        <w:tc>
          <w:tcPr>
            <w:tcW w:w="760" w:type="dxa"/>
            <w:vAlign w:val="bottom"/>
          </w:tcPr>
          <w:p>
            <w:pPr>
              <w:jc w:val="center"/>
              <w:ind w:right="61"/>
              <w:spacing w:after="0" w:line="125" w:lineRule="exact"/>
              <w:rPr>
                <w:sz w:val="20"/>
                <w:szCs w:val="20"/>
                <w:color w:val="auto"/>
              </w:rPr>
            </w:pPr>
            <w:r>
              <w:rPr>
                <w:rFonts w:ascii="Arial" w:cs="Arial" w:eastAsia="Arial" w:hAnsi="Arial"/>
                <w:sz w:val="14"/>
                <w:szCs w:val="14"/>
                <w:b w:val="1"/>
                <w:bCs w:val="1"/>
                <w:color w:val="auto"/>
                <w:w w:val="94"/>
              </w:rPr>
              <w:t>After-Tax</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jc w:val="right"/>
              <w:ind w:right="101"/>
              <w:spacing w:after="0" w:line="125" w:lineRule="exact"/>
              <w:rPr>
                <w:sz w:val="20"/>
                <w:szCs w:val="20"/>
                <w:color w:val="auto"/>
              </w:rPr>
            </w:pPr>
            <w:r>
              <w:rPr>
                <w:rFonts w:ascii="Arial" w:cs="Arial" w:eastAsia="Arial" w:hAnsi="Arial"/>
                <w:sz w:val="14"/>
                <w:szCs w:val="14"/>
                <w:color w:val="auto"/>
                <w:w w:val="92"/>
              </w:rPr>
              <w:t>Before-Tax</w:t>
            </w:r>
          </w:p>
        </w:tc>
        <w:tc>
          <w:tcPr>
            <w:tcW w:w="240" w:type="dxa"/>
            <w:vAlign w:val="bottom"/>
          </w:tcPr>
          <w:p>
            <w:pPr>
              <w:spacing w:after="0"/>
              <w:rPr>
                <w:sz w:val="10"/>
                <w:szCs w:val="10"/>
                <w:color w:val="auto"/>
              </w:rPr>
            </w:pPr>
          </w:p>
        </w:tc>
        <w:tc>
          <w:tcPr>
            <w:tcW w:w="760" w:type="dxa"/>
            <w:vAlign w:val="bottom"/>
          </w:tcPr>
          <w:p>
            <w:pPr>
              <w:jc w:val="right"/>
              <w:ind w:right="182"/>
              <w:spacing w:after="0" w:line="125" w:lineRule="exact"/>
              <w:rPr>
                <w:sz w:val="20"/>
                <w:szCs w:val="20"/>
                <w:color w:val="auto"/>
              </w:rPr>
            </w:pPr>
            <w:r>
              <w:rPr>
                <w:rFonts w:ascii="Arial" w:cs="Arial" w:eastAsia="Arial" w:hAnsi="Arial"/>
                <w:sz w:val="14"/>
                <w:szCs w:val="14"/>
                <w:color w:val="auto"/>
              </w:rPr>
              <w:t>Income</w:t>
            </w:r>
          </w:p>
        </w:tc>
        <w:tc>
          <w:tcPr>
            <w:tcW w:w="220" w:type="dxa"/>
            <w:vAlign w:val="bottom"/>
          </w:tcPr>
          <w:p>
            <w:pPr>
              <w:spacing w:after="0"/>
              <w:rPr>
                <w:sz w:val="10"/>
                <w:szCs w:val="10"/>
                <w:color w:val="auto"/>
              </w:rPr>
            </w:pPr>
          </w:p>
        </w:tc>
        <w:tc>
          <w:tcPr>
            <w:tcW w:w="760" w:type="dxa"/>
            <w:vAlign w:val="bottom"/>
          </w:tcPr>
          <w:p>
            <w:pPr>
              <w:jc w:val="right"/>
              <w:ind w:right="101"/>
              <w:spacing w:after="0" w:line="125" w:lineRule="exact"/>
              <w:rPr>
                <w:sz w:val="20"/>
                <w:szCs w:val="20"/>
                <w:color w:val="auto"/>
              </w:rPr>
            </w:pPr>
            <w:r>
              <w:rPr>
                <w:rFonts w:ascii="Arial" w:cs="Arial" w:eastAsia="Arial" w:hAnsi="Arial"/>
                <w:sz w:val="14"/>
                <w:szCs w:val="14"/>
                <w:color w:val="auto"/>
                <w:w w:val="97"/>
              </w:rPr>
              <w:t>After-Tax</w:t>
            </w:r>
          </w:p>
        </w:tc>
      </w:tr>
      <w:tr>
        <w:trPr>
          <w:trHeight w:val="178"/>
        </w:trPr>
        <w:tc>
          <w:tcPr>
            <w:tcW w:w="160" w:type="dxa"/>
            <w:vAlign w:val="bottom"/>
          </w:tcPr>
          <w:p>
            <w:pPr>
              <w:spacing w:after="0"/>
              <w:rPr>
                <w:sz w:val="15"/>
                <w:szCs w:val="15"/>
                <w:color w:val="auto"/>
              </w:rPr>
            </w:pPr>
          </w:p>
        </w:tc>
        <w:tc>
          <w:tcPr>
            <w:tcW w:w="820" w:type="dxa"/>
            <w:vAlign w:val="bottom"/>
          </w:tcPr>
          <w:p>
            <w:pPr>
              <w:jc w:val="right"/>
              <w:ind w:right="180"/>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5"/>
                <w:szCs w:val="15"/>
                <w:color w:val="auto"/>
              </w:rPr>
            </w:pPr>
          </w:p>
        </w:tc>
        <w:tc>
          <w:tcPr>
            <w:tcW w:w="780" w:type="dxa"/>
            <w:vAlign w:val="bottom"/>
          </w:tcPr>
          <w:p>
            <w:pPr>
              <w:jc w:val="right"/>
              <w:ind w:right="302"/>
              <w:spacing w:after="0"/>
              <w:rPr>
                <w:sz w:val="20"/>
                <w:szCs w:val="20"/>
                <w:color w:val="auto"/>
              </w:rPr>
            </w:pPr>
            <w:r>
              <w:rPr>
                <w:rFonts w:ascii="Arial" w:cs="Arial" w:eastAsia="Arial" w:hAnsi="Arial"/>
                <w:sz w:val="14"/>
                <w:szCs w:val="14"/>
                <w:b w:val="1"/>
                <w:bCs w:val="1"/>
                <w:color w:val="auto"/>
              </w:rPr>
              <w:t>Tax</w:t>
            </w:r>
          </w:p>
        </w:tc>
        <w:tc>
          <w:tcPr>
            <w:tcW w:w="220" w:type="dxa"/>
            <w:vAlign w:val="bottom"/>
          </w:tcPr>
          <w:p>
            <w:pPr>
              <w:spacing w:after="0"/>
              <w:rPr>
                <w:sz w:val="15"/>
                <w:szCs w:val="15"/>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5"/>
                <w:szCs w:val="15"/>
                <w:color w:val="auto"/>
              </w:rPr>
            </w:pPr>
          </w:p>
        </w:tc>
        <w:tc>
          <w:tcPr>
            <w:tcW w:w="840" w:type="dxa"/>
            <w:vAlign w:val="bottom"/>
          </w:tcPr>
          <w:p>
            <w:pPr>
              <w:jc w:val="right"/>
              <w:ind w:right="181"/>
              <w:spacing w:after="0"/>
              <w:rPr>
                <w:sz w:val="20"/>
                <w:szCs w:val="20"/>
                <w:color w:val="auto"/>
              </w:rPr>
            </w:pPr>
            <w:r>
              <w:rPr>
                <w:rFonts w:ascii="Arial" w:cs="Arial" w:eastAsia="Arial" w:hAnsi="Arial"/>
                <w:sz w:val="14"/>
                <w:szCs w:val="14"/>
                <w:color w:val="auto"/>
              </w:rPr>
              <w:t>Amount</w:t>
            </w:r>
          </w:p>
        </w:tc>
        <w:tc>
          <w:tcPr>
            <w:tcW w:w="240" w:type="dxa"/>
            <w:vAlign w:val="bottom"/>
          </w:tcPr>
          <w:p>
            <w:pPr>
              <w:spacing w:after="0"/>
              <w:rPr>
                <w:sz w:val="15"/>
                <w:szCs w:val="15"/>
                <w:color w:val="auto"/>
              </w:rPr>
            </w:pPr>
          </w:p>
        </w:tc>
        <w:tc>
          <w:tcPr>
            <w:tcW w:w="760" w:type="dxa"/>
            <w:vAlign w:val="bottom"/>
          </w:tcPr>
          <w:p>
            <w:pPr>
              <w:jc w:val="right"/>
              <w:ind w:right="302"/>
              <w:spacing w:after="0"/>
              <w:rPr>
                <w:sz w:val="20"/>
                <w:szCs w:val="20"/>
                <w:color w:val="auto"/>
              </w:rPr>
            </w:pPr>
            <w:r>
              <w:rPr>
                <w:rFonts w:ascii="Arial" w:cs="Arial" w:eastAsia="Arial" w:hAnsi="Arial"/>
                <w:sz w:val="14"/>
                <w:szCs w:val="14"/>
                <w:color w:val="auto"/>
              </w:rPr>
              <w:t>Tax</w:t>
            </w:r>
          </w:p>
        </w:tc>
        <w:tc>
          <w:tcPr>
            <w:tcW w:w="220" w:type="dxa"/>
            <w:vAlign w:val="bottom"/>
          </w:tcPr>
          <w:p>
            <w:pPr>
              <w:spacing w:after="0"/>
              <w:rPr>
                <w:sz w:val="15"/>
                <w:szCs w:val="15"/>
                <w:color w:val="auto"/>
              </w:rPr>
            </w:pPr>
          </w:p>
        </w:tc>
        <w:tc>
          <w:tcPr>
            <w:tcW w:w="760" w:type="dxa"/>
            <w:vAlign w:val="bottom"/>
          </w:tcPr>
          <w:p>
            <w:pPr>
              <w:jc w:val="right"/>
              <w:ind w:right="141"/>
              <w:spacing w:after="0"/>
              <w:rPr>
                <w:sz w:val="20"/>
                <w:szCs w:val="20"/>
                <w:color w:val="auto"/>
              </w:rPr>
            </w:pPr>
            <w:r>
              <w:rPr>
                <w:rFonts w:ascii="Arial" w:cs="Arial" w:eastAsia="Arial" w:hAnsi="Arial"/>
                <w:sz w:val="14"/>
                <w:szCs w:val="14"/>
                <w:color w:val="auto"/>
              </w:rPr>
              <w:t>Amount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-3410585</wp:posOffset>
            </wp:positionH>
            <wp:positionV relativeFrom="paragraph">
              <wp:posOffset>-7620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 w:lineRule="exact"/>
        <w:rPr>
          <w:sz w:val="20"/>
          <w:szCs w:val="20"/>
          <w:color w:val="auto"/>
        </w:rPr>
      </w:pPr>
    </w:p>
    <w:p>
      <w:pPr>
        <w:sectPr>
          <w:pgSz w:w="11900" w:h="16838" w:orient="portrait"/>
          <w:cols w:equalWidth="0" w:num="2">
            <w:col w:w="4660" w:space="720"/>
            <w:col w:w="6040"/>
          </w:cols>
          <w:pgMar w:left="240" w:top="846" w:right="239" w:bottom="1440" w:gutter="0" w:footer="0" w:header="0"/>
          <w:type w:val="continuous"/>
        </w:sectPr>
      </w:pPr>
    </w:p>
    <w:p>
      <w:pPr>
        <w:spacing w:after="0"/>
        <w:rPr>
          <w:sz w:val="20"/>
          <w:szCs w:val="20"/>
          <w:color w:val="auto"/>
        </w:rPr>
      </w:pPr>
      <w:r>
        <w:rPr>
          <w:rFonts w:ascii="Arial" w:cs="Arial" w:eastAsia="Arial" w:hAnsi="Arial"/>
          <w:sz w:val="16"/>
          <w:szCs w:val="16"/>
          <w:color w:val="auto"/>
        </w:rPr>
        <w:t>Foreign currency translation adjustments:</w:t>
      </w:r>
    </w:p>
    <w:p>
      <w:pPr>
        <w:spacing w:after="0" w:line="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Translation adjustments arising during the period</w:t>
      </w:r>
    </w:p>
    <w:p>
      <w:pPr>
        <w:spacing w:after="0" w:line="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Adjustment for sales of businesses with foreign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Unrealized gains on available-for-sale securities:</w:t>
      </w:r>
    </w:p>
    <w:p>
      <w:pPr>
        <w:spacing w:after="0" w:line="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Unrealized gains for the period</w:t>
      </w:r>
    </w:p>
    <w:p>
      <w:pPr>
        <w:spacing w:after="0" w:line="5" w:lineRule="exact"/>
        <w:rPr>
          <w:sz w:val="20"/>
          <w:szCs w:val="20"/>
          <w:color w:val="auto"/>
        </w:rPr>
      </w:pPr>
    </w:p>
    <w:p>
      <w:pPr>
        <w:ind w:left="460" w:right="360" w:hanging="229"/>
        <w:spacing w:after="0" w:line="260" w:lineRule="auto"/>
        <w:rPr>
          <w:sz w:val="20"/>
          <w:szCs w:val="20"/>
          <w:color w:val="auto"/>
        </w:rPr>
      </w:pPr>
      <w:r>
        <w:rPr>
          <w:rFonts w:ascii="Arial" w:cs="Arial" w:eastAsia="Arial" w:hAnsi="Arial"/>
          <w:sz w:val="16"/>
          <w:szCs w:val="16"/>
          <w:color w:val="auto"/>
        </w:rPr>
        <w:t>Reclassification adjustment for gain on available-for-sale securities included in net income</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Pension and other postretirement plans:</w:t>
      </w:r>
    </w:p>
    <w:p>
      <w:pPr>
        <w:spacing w:after="0" w:line="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Amortization of net prior service credit included in net income</w:t>
      </w:r>
    </w:p>
    <w:p>
      <w:pPr>
        <w:spacing w:after="0" w:line="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Amortization of net actuarial loss included in net income</w:t>
      </w:r>
    </w:p>
    <w:p>
      <w:pPr>
        <w:spacing w:after="0" w:line="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Settlement gain included in net income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Cash flow hedge:</w:t>
      </w:r>
    </w:p>
    <w:p>
      <w:pPr>
        <w:spacing w:after="0" w:line="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Gain (loss) for the period</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Comprehensive Income</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(7,700)</w:t>
            </w:r>
          </w:p>
        </w:tc>
        <w:tc>
          <w:tcPr>
            <w:tcW w:w="2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(7,700)</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(1,088)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(1,088)</w:t>
            </w:r>
          </w:p>
        </w:tc>
      </w:tr>
      <w:tr>
        <w:trPr>
          <w:trHeight w:val="207"/>
        </w:trPr>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521</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521</w:t>
            </w:r>
          </w:p>
        </w:tc>
      </w:tr>
      <w:tr>
        <w:trPr>
          <w:trHeight w:val="183"/>
        </w:trPr>
        <w:tc>
          <w:tcPr>
            <w:tcW w:w="2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(7,700)</w:t>
            </w: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(7,700)</w:t>
            </w:r>
          </w:p>
        </w:tc>
        <w:tc>
          <w:tcPr>
            <w:tcW w:w="3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(567)</w:t>
            </w: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(567)</w:t>
            </w:r>
          </w:p>
        </w:tc>
      </w:tr>
      <w:tr>
        <w:trPr>
          <w:trHeight w:val="379"/>
        </w:trPr>
        <w:tc>
          <w:tcPr>
            <w:tcW w:w="2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80,501</w:t>
            </w:r>
          </w:p>
        </w:tc>
        <w:tc>
          <w:tcPr>
            <w:tcW w:w="2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(32,200)</w:t>
            </w:r>
          </w:p>
        </w:tc>
        <w:tc>
          <w:tcPr>
            <w:tcW w:w="3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48,301</w:t>
            </w:r>
          </w:p>
        </w:tc>
        <w:tc>
          <w:tcPr>
            <w:tcW w:w="300" w:type="dxa"/>
            <w:vAlign w:val="bottom"/>
          </w:tcPr>
          <w:p>
            <w:pPr>
              <w:spacing w:after="0"/>
              <w:rPr>
                <w:sz w:val="24"/>
                <w:szCs w:val="24"/>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38,905</w:t>
            </w: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(15,562)</w:t>
            </w:r>
          </w:p>
        </w:tc>
        <w:tc>
          <w:tcPr>
            <w:tcW w:w="3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23,343</w:t>
            </w:r>
          </w:p>
        </w:tc>
      </w:tr>
      <w:tr>
        <w:trPr>
          <w:trHeight w:val="371"/>
        </w:trPr>
        <w:tc>
          <w:tcPr>
            <w:tcW w:w="2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(884)</w:t>
            </w: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353</w:t>
            </w: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(531)</w:t>
            </w: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(772)</w:t>
            </w: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w:t>
            </w:r>
          </w:p>
        </w:tc>
        <w:tc>
          <w:tcPr>
            <w:tcW w:w="3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(463)</w:t>
            </w:r>
          </w:p>
        </w:tc>
      </w:tr>
      <w:tr>
        <w:trPr>
          <w:trHeight w:val="183"/>
        </w:trPr>
        <w:tc>
          <w:tcPr>
            <w:tcW w:w="2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79,617</w:t>
            </w: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(31,847)</w:t>
            </w:r>
          </w:p>
        </w:tc>
        <w:tc>
          <w:tcPr>
            <w:tcW w:w="3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47,770</w:t>
            </w:r>
          </w:p>
        </w:tc>
        <w:tc>
          <w:tcPr>
            <w:tcW w:w="3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38,133</w:t>
            </w: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(15,253)</w:t>
            </w:r>
          </w:p>
        </w:tc>
        <w:tc>
          <w:tcPr>
            <w:tcW w:w="3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22,880</w:t>
            </w:r>
          </w:p>
        </w:tc>
      </w:tr>
      <w:tr>
        <w:trPr>
          <w:trHeight w:val="354"/>
        </w:trPr>
        <w:tc>
          <w:tcPr>
            <w:tcW w:w="2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(821)</w:t>
            </w:r>
          </w:p>
        </w:tc>
        <w:tc>
          <w:tcPr>
            <w:tcW w:w="2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328</w:t>
            </w:r>
          </w:p>
        </w:tc>
        <w:tc>
          <w:tcPr>
            <w:tcW w:w="3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(493)</w:t>
            </w:r>
          </w:p>
        </w:tc>
        <w:tc>
          <w:tcPr>
            <w:tcW w:w="300" w:type="dxa"/>
            <w:vAlign w:val="bottom"/>
          </w:tcPr>
          <w:p>
            <w:pPr>
              <w:spacing w:after="0"/>
              <w:rPr>
                <w:sz w:val="24"/>
                <w:szCs w:val="24"/>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(921)</w:t>
            </w: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369</w:t>
            </w:r>
          </w:p>
        </w:tc>
        <w:tc>
          <w:tcPr>
            <w:tcW w:w="3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(552)</w:t>
            </w:r>
          </w:p>
        </w:tc>
      </w:tr>
      <w:tr>
        <w:trPr>
          <w:trHeight w:val="189"/>
        </w:trPr>
        <w:tc>
          <w:tcPr>
            <w:tcW w:w="2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4,321</w:t>
            </w:r>
          </w:p>
        </w:tc>
        <w:tc>
          <w:tcPr>
            <w:tcW w:w="2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(1,728)</w:t>
            </w:r>
          </w:p>
        </w:tc>
        <w:tc>
          <w:tcPr>
            <w:tcW w:w="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2,593</w:t>
            </w:r>
          </w:p>
        </w:tc>
        <w:tc>
          <w:tcPr>
            <w:tcW w:w="300" w:type="dxa"/>
            <w:vAlign w:val="bottom"/>
          </w:tcPr>
          <w:p>
            <w:pPr>
              <w:spacing w:after="0"/>
              <w:rPr>
                <w:sz w:val="16"/>
                <w:szCs w:val="16"/>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4,247</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(1,699)</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2,548</w:t>
            </w:r>
          </w:p>
        </w:tc>
      </w:tr>
      <w:tr>
        <w:trPr>
          <w:trHeight w:val="207"/>
        </w:trPr>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(3,471)</w:t>
            </w: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1,388</w:t>
            </w: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(2,083)</w:t>
            </w: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2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29</w:t>
            </w:r>
          </w:p>
        </w:tc>
        <w:tc>
          <w:tcPr>
            <w:tcW w:w="2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(12)</w:t>
            </w:r>
          </w:p>
        </w:tc>
        <w:tc>
          <w:tcPr>
            <w:tcW w:w="3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17</w:t>
            </w:r>
          </w:p>
        </w:tc>
        <w:tc>
          <w:tcPr>
            <w:tcW w:w="3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3,326</w:t>
            </w: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(1,330)</w:t>
            </w:r>
          </w:p>
        </w:tc>
        <w:tc>
          <w:tcPr>
            <w:tcW w:w="3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1,996</w:t>
            </w:r>
          </w:p>
        </w:tc>
      </w:tr>
      <w:tr>
        <w:trPr>
          <w:trHeight w:val="372"/>
        </w:trPr>
        <w:tc>
          <w:tcPr>
            <w:tcW w:w="2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244</w:t>
            </w: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(98)</w:t>
            </w: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146</w:t>
            </w: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(1,377)</w:t>
            </w: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552</w:t>
            </w:r>
          </w:p>
        </w:tc>
        <w:tc>
          <w:tcPr>
            <w:tcW w:w="3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(825)</w:t>
            </w:r>
          </w:p>
        </w:tc>
      </w:tr>
      <w:tr>
        <w:trPr>
          <w:trHeight w:val="183"/>
        </w:trPr>
        <w:tc>
          <w:tcPr>
            <w:tcW w:w="26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72,190</w:t>
            </w:r>
          </w:p>
        </w:tc>
        <w:tc>
          <w:tcPr>
            <w:tcW w:w="2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(31,957)</w:t>
            </w:r>
          </w:p>
        </w:tc>
        <w:tc>
          <w:tcPr>
            <w:tcW w:w="30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40,233</w:t>
            </w:r>
          </w:p>
        </w:tc>
        <w:tc>
          <w:tcPr>
            <w:tcW w:w="30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39,515</w:t>
            </w:r>
          </w:p>
        </w:tc>
        <w:tc>
          <w:tcPr>
            <w:tcW w:w="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(16,031)</w:t>
            </w:r>
          </w:p>
        </w:tc>
        <w:tc>
          <w:tcPr>
            <w:tcW w:w="30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23,484</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4660" w:space="720"/>
            <w:col w:w="6040"/>
          </w:cols>
          <w:pgMar w:left="240" w:top="846" w:right="23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 accumulated balances related to each component of other comprehensive income (loss) are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center"/>
              <w:ind w:right="166"/>
              <w:spacing w:after="0"/>
              <w:rPr>
                <w:sz w:val="20"/>
                <w:szCs w:val="20"/>
                <w:color w:val="auto"/>
              </w:rPr>
            </w:pPr>
            <w:r>
              <w:rPr>
                <w:rFonts w:ascii="Arial" w:cs="Arial" w:eastAsia="Arial" w:hAnsi="Arial"/>
                <w:sz w:val="14"/>
                <w:szCs w:val="14"/>
                <w:b w:val="1"/>
                <w:bCs w:val="1"/>
                <w:color w:val="auto"/>
                <w:w w:val="98"/>
              </w:rPr>
              <w:t>Cumulative</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center"/>
              <w:ind w:right="86"/>
              <w:spacing w:after="0"/>
              <w:rPr>
                <w:sz w:val="20"/>
                <w:szCs w:val="20"/>
                <w:color w:val="auto"/>
              </w:rPr>
            </w:pPr>
            <w:r>
              <w:rPr>
                <w:rFonts w:ascii="Arial" w:cs="Arial" w:eastAsia="Arial" w:hAnsi="Arial"/>
                <w:sz w:val="14"/>
                <w:szCs w:val="14"/>
                <w:b w:val="1"/>
                <w:bCs w:val="1"/>
                <w:color w:val="auto"/>
                <w:w w:val="96"/>
              </w:rPr>
              <w:t>Unrealized Gain</w:t>
            </w: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49"/>
        </w:trPr>
        <w:tc>
          <w:tcPr>
            <w:tcW w:w="4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center"/>
              <w:ind w:right="166"/>
              <w:spacing w:after="0" w:line="149" w:lineRule="exact"/>
              <w:rPr>
                <w:sz w:val="20"/>
                <w:szCs w:val="20"/>
                <w:color w:val="auto"/>
              </w:rPr>
            </w:pPr>
            <w:r>
              <w:rPr>
                <w:rFonts w:ascii="Arial" w:cs="Arial" w:eastAsia="Arial" w:hAnsi="Arial"/>
                <w:sz w:val="14"/>
                <w:szCs w:val="14"/>
                <w:b w:val="1"/>
                <w:bCs w:val="1"/>
                <w:color w:val="auto"/>
                <w:w w:val="97"/>
              </w:rPr>
              <w:t>Foreign</w:t>
            </w:r>
          </w:p>
        </w:tc>
        <w:tc>
          <w:tcPr>
            <w:tcW w:w="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jc w:val="center"/>
              <w:ind w:right="106"/>
              <w:spacing w:after="0" w:line="149" w:lineRule="exact"/>
              <w:rPr>
                <w:sz w:val="20"/>
                <w:szCs w:val="20"/>
                <w:color w:val="auto"/>
              </w:rPr>
            </w:pPr>
            <w:r>
              <w:rPr>
                <w:rFonts w:ascii="Arial" w:cs="Arial" w:eastAsia="Arial" w:hAnsi="Arial"/>
                <w:sz w:val="14"/>
                <w:szCs w:val="14"/>
                <w:b w:val="1"/>
                <w:bCs w:val="1"/>
                <w:color w:val="auto"/>
                <w:w w:val="96"/>
              </w:rPr>
              <w:t>on Pensions</w:t>
            </w:r>
          </w:p>
        </w:tc>
        <w:tc>
          <w:tcPr>
            <w:tcW w:w="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jc w:val="center"/>
              <w:ind w:right="65"/>
              <w:spacing w:after="0" w:line="149" w:lineRule="exact"/>
              <w:rPr>
                <w:sz w:val="20"/>
                <w:szCs w:val="20"/>
                <w:color w:val="auto"/>
              </w:rPr>
            </w:pPr>
            <w:r>
              <w:rPr>
                <w:rFonts w:ascii="Arial" w:cs="Arial" w:eastAsia="Arial" w:hAnsi="Arial"/>
                <w:sz w:val="14"/>
                <w:szCs w:val="14"/>
                <w:b w:val="1"/>
                <w:bCs w:val="1"/>
                <w:color w:val="auto"/>
                <w:w w:val="95"/>
              </w:rPr>
              <w:t>Accumulated</w:t>
            </w:r>
          </w:p>
        </w:tc>
      </w:tr>
      <w:tr>
        <w:trPr>
          <w:trHeight w:val="149"/>
        </w:trPr>
        <w:tc>
          <w:tcPr>
            <w:tcW w:w="4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center"/>
              <w:ind w:right="166"/>
              <w:spacing w:after="0" w:line="149" w:lineRule="exact"/>
              <w:rPr>
                <w:sz w:val="20"/>
                <w:szCs w:val="20"/>
                <w:color w:val="auto"/>
              </w:rPr>
            </w:pPr>
            <w:r>
              <w:rPr>
                <w:rFonts w:ascii="Arial" w:cs="Arial" w:eastAsia="Arial" w:hAnsi="Arial"/>
                <w:sz w:val="14"/>
                <w:szCs w:val="14"/>
                <w:b w:val="1"/>
                <w:bCs w:val="1"/>
                <w:color w:val="auto"/>
                <w:w w:val="94"/>
              </w:rPr>
              <w:t>Currency</w:t>
            </w:r>
          </w:p>
        </w:tc>
        <w:tc>
          <w:tcPr>
            <w:tcW w:w="220" w:type="dxa"/>
            <w:vAlign w:val="bottom"/>
          </w:tcPr>
          <w:p>
            <w:pPr>
              <w:spacing w:after="0"/>
              <w:rPr>
                <w:sz w:val="12"/>
                <w:szCs w:val="12"/>
                <w:color w:val="auto"/>
              </w:rPr>
            </w:pPr>
          </w:p>
        </w:tc>
        <w:tc>
          <w:tcPr>
            <w:tcW w:w="1280" w:type="dxa"/>
            <w:vAlign w:val="bottom"/>
          </w:tcPr>
          <w:p>
            <w:pPr>
              <w:jc w:val="center"/>
              <w:ind w:right="104"/>
              <w:spacing w:after="0" w:line="149" w:lineRule="exact"/>
              <w:rPr>
                <w:sz w:val="20"/>
                <w:szCs w:val="20"/>
                <w:color w:val="auto"/>
              </w:rPr>
            </w:pPr>
            <w:r>
              <w:rPr>
                <w:rFonts w:ascii="Arial" w:cs="Arial" w:eastAsia="Arial" w:hAnsi="Arial"/>
                <w:sz w:val="14"/>
                <w:szCs w:val="14"/>
                <w:b w:val="1"/>
                <w:bCs w:val="1"/>
                <w:color w:val="auto"/>
                <w:w w:val="96"/>
              </w:rPr>
              <w:t>Unrealized Gain</w:t>
            </w:r>
          </w:p>
        </w:tc>
        <w:tc>
          <w:tcPr>
            <w:tcW w:w="220" w:type="dxa"/>
            <w:vAlign w:val="bottom"/>
          </w:tcPr>
          <w:p>
            <w:pPr>
              <w:spacing w:after="0"/>
              <w:rPr>
                <w:sz w:val="12"/>
                <w:szCs w:val="12"/>
                <w:color w:val="auto"/>
              </w:rPr>
            </w:pPr>
          </w:p>
        </w:tc>
        <w:tc>
          <w:tcPr>
            <w:tcW w:w="1260" w:type="dxa"/>
            <w:vAlign w:val="bottom"/>
          </w:tcPr>
          <w:p>
            <w:pPr>
              <w:jc w:val="center"/>
              <w:ind w:right="106"/>
              <w:spacing w:after="0" w:line="149" w:lineRule="exact"/>
              <w:rPr>
                <w:sz w:val="20"/>
                <w:szCs w:val="20"/>
                <w:color w:val="auto"/>
              </w:rPr>
            </w:pPr>
            <w:r>
              <w:rPr>
                <w:rFonts w:ascii="Arial" w:cs="Arial" w:eastAsia="Arial" w:hAnsi="Arial"/>
                <w:sz w:val="14"/>
                <w:szCs w:val="14"/>
                <w:b w:val="1"/>
                <w:bCs w:val="1"/>
                <w:color w:val="auto"/>
                <w:w w:val="96"/>
              </w:rPr>
              <w:t>and Other</w:t>
            </w:r>
          </w:p>
        </w:tc>
        <w:tc>
          <w:tcPr>
            <w:tcW w:w="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jc w:val="center"/>
              <w:ind w:right="65"/>
              <w:spacing w:after="0" w:line="149" w:lineRule="exact"/>
              <w:rPr>
                <w:sz w:val="20"/>
                <w:szCs w:val="20"/>
                <w:color w:val="auto"/>
              </w:rPr>
            </w:pPr>
            <w:r>
              <w:rPr>
                <w:rFonts w:ascii="Arial" w:cs="Arial" w:eastAsia="Arial" w:hAnsi="Arial"/>
                <w:sz w:val="14"/>
                <w:szCs w:val="14"/>
                <w:b w:val="1"/>
                <w:bCs w:val="1"/>
                <w:color w:val="auto"/>
                <w:w w:val="96"/>
              </w:rPr>
              <w:t>Other</w:t>
            </w:r>
          </w:p>
        </w:tc>
      </w:tr>
      <w:tr>
        <w:trPr>
          <w:trHeight w:val="149"/>
        </w:trPr>
        <w:tc>
          <w:tcPr>
            <w:tcW w:w="4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center"/>
              <w:ind w:right="186"/>
              <w:spacing w:after="0" w:line="149" w:lineRule="exact"/>
              <w:rPr>
                <w:sz w:val="20"/>
                <w:szCs w:val="20"/>
                <w:color w:val="auto"/>
              </w:rPr>
            </w:pPr>
            <w:r>
              <w:rPr>
                <w:rFonts w:ascii="Arial" w:cs="Arial" w:eastAsia="Arial" w:hAnsi="Arial"/>
                <w:sz w:val="14"/>
                <w:szCs w:val="14"/>
                <w:b w:val="1"/>
                <w:bCs w:val="1"/>
                <w:color w:val="auto"/>
                <w:w w:val="95"/>
              </w:rPr>
              <w:t>Translation</w:t>
            </w:r>
          </w:p>
        </w:tc>
        <w:tc>
          <w:tcPr>
            <w:tcW w:w="220" w:type="dxa"/>
            <w:vAlign w:val="bottom"/>
          </w:tcPr>
          <w:p>
            <w:pPr>
              <w:spacing w:after="0"/>
              <w:rPr>
                <w:sz w:val="12"/>
                <w:szCs w:val="12"/>
                <w:color w:val="auto"/>
              </w:rPr>
            </w:pPr>
          </w:p>
        </w:tc>
        <w:tc>
          <w:tcPr>
            <w:tcW w:w="1280" w:type="dxa"/>
            <w:vAlign w:val="bottom"/>
          </w:tcPr>
          <w:p>
            <w:pPr>
              <w:jc w:val="center"/>
              <w:ind w:right="104"/>
              <w:spacing w:after="0" w:line="149" w:lineRule="exact"/>
              <w:rPr>
                <w:sz w:val="20"/>
                <w:szCs w:val="20"/>
                <w:color w:val="auto"/>
              </w:rPr>
            </w:pPr>
            <w:r>
              <w:rPr>
                <w:rFonts w:ascii="Arial" w:cs="Arial" w:eastAsia="Arial" w:hAnsi="Arial"/>
                <w:sz w:val="14"/>
                <w:szCs w:val="14"/>
                <w:b w:val="1"/>
                <w:bCs w:val="1"/>
                <w:color w:val="auto"/>
                <w:w w:val="95"/>
              </w:rPr>
              <w:t>on Available-for-</w:t>
            </w:r>
          </w:p>
        </w:tc>
        <w:tc>
          <w:tcPr>
            <w:tcW w:w="220" w:type="dxa"/>
            <w:vAlign w:val="bottom"/>
          </w:tcPr>
          <w:p>
            <w:pPr>
              <w:spacing w:after="0"/>
              <w:rPr>
                <w:sz w:val="12"/>
                <w:szCs w:val="12"/>
                <w:color w:val="auto"/>
              </w:rPr>
            </w:pPr>
          </w:p>
        </w:tc>
        <w:tc>
          <w:tcPr>
            <w:tcW w:w="1260" w:type="dxa"/>
            <w:vAlign w:val="bottom"/>
          </w:tcPr>
          <w:p>
            <w:pPr>
              <w:jc w:val="center"/>
              <w:ind w:right="106"/>
              <w:spacing w:after="0" w:line="149" w:lineRule="exact"/>
              <w:rPr>
                <w:sz w:val="20"/>
                <w:szCs w:val="20"/>
                <w:color w:val="auto"/>
              </w:rPr>
            </w:pPr>
            <w:r>
              <w:rPr>
                <w:rFonts w:ascii="Arial" w:cs="Arial" w:eastAsia="Arial" w:hAnsi="Arial"/>
                <w:sz w:val="14"/>
                <w:szCs w:val="14"/>
                <w:b w:val="1"/>
                <w:bCs w:val="1"/>
                <w:color w:val="auto"/>
                <w:w w:val="97"/>
              </w:rPr>
              <w:t>Postretirement</w:t>
            </w:r>
          </w:p>
        </w:tc>
        <w:tc>
          <w:tcPr>
            <w:tcW w:w="300" w:type="dxa"/>
            <w:vAlign w:val="bottom"/>
          </w:tcPr>
          <w:p>
            <w:pPr>
              <w:spacing w:after="0"/>
              <w:rPr>
                <w:sz w:val="12"/>
                <w:szCs w:val="12"/>
                <w:color w:val="auto"/>
              </w:rPr>
            </w:pPr>
          </w:p>
        </w:tc>
        <w:tc>
          <w:tcPr>
            <w:tcW w:w="1160" w:type="dxa"/>
            <w:vAlign w:val="bottom"/>
          </w:tcPr>
          <w:p>
            <w:pPr>
              <w:jc w:val="right"/>
              <w:ind w:right="303"/>
              <w:spacing w:after="0" w:line="149" w:lineRule="exact"/>
              <w:rPr>
                <w:sz w:val="20"/>
                <w:szCs w:val="20"/>
                <w:color w:val="auto"/>
              </w:rPr>
            </w:pPr>
            <w:r>
              <w:rPr>
                <w:rFonts w:ascii="Arial" w:cs="Arial" w:eastAsia="Arial" w:hAnsi="Arial"/>
                <w:sz w:val="14"/>
                <w:szCs w:val="14"/>
                <w:b w:val="1"/>
                <w:bCs w:val="1"/>
                <w:color w:val="auto"/>
              </w:rPr>
              <w:t>Cash Flow</w:t>
            </w:r>
          </w:p>
        </w:tc>
        <w:tc>
          <w:tcPr>
            <w:tcW w:w="200" w:type="dxa"/>
            <w:vAlign w:val="bottom"/>
          </w:tcPr>
          <w:p>
            <w:pPr>
              <w:spacing w:after="0"/>
              <w:rPr>
                <w:sz w:val="12"/>
                <w:szCs w:val="12"/>
                <w:color w:val="auto"/>
              </w:rPr>
            </w:pPr>
          </w:p>
        </w:tc>
        <w:tc>
          <w:tcPr>
            <w:tcW w:w="1220" w:type="dxa"/>
            <w:vAlign w:val="bottom"/>
          </w:tcPr>
          <w:p>
            <w:pPr>
              <w:jc w:val="center"/>
              <w:ind w:right="45"/>
              <w:spacing w:after="0" w:line="149" w:lineRule="exact"/>
              <w:rPr>
                <w:sz w:val="20"/>
                <w:szCs w:val="20"/>
                <w:color w:val="auto"/>
              </w:rPr>
            </w:pPr>
            <w:r>
              <w:rPr>
                <w:rFonts w:ascii="Arial" w:cs="Arial" w:eastAsia="Arial" w:hAnsi="Arial"/>
                <w:sz w:val="14"/>
                <w:szCs w:val="14"/>
                <w:b w:val="1"/>
                <w:bCs w:val="1"/>
                <w:color w:val="auto"/>
                <w:w w:val="97"/>
              </w:rPr>
              <w:t>Comprehensive</w:t>
            </w:r>
          </w:p>
        </w:tc>
      </w:tr>
      <w:tr>
        <w:trPr>
          <w:trHeight w:val="165"/>
        </w:trPr>
        <w:tc>
          <w:tcPr>
            <w:tcW w:w="41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thousands, net of taxes)</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166"/>
              <w:spacing w:after="0"/>
              <w:rPr>
                <w:sz w:val="20"/>
                <w:szCs w:val="20"/>
                <w:color w:val="auto"/>
              </w:rPr>
            </w:pPr>
            <w:r>
              <w:rPr>
                <w:rFonts w:ascii="Arial" w:cs="Arial" w:eastAsia="Arial" w:hAnsi="Arial"/>
                <w:sz w:val="14"/>
                <w:szCs w:val="14"/>
                <w:b w:val="1"/>
                <w:bCs w:val="1"/>
                <w:color w:val="auto"/>
                <w:w w:val="96"/>
              </w:rPr>
              <w:t>Adjustment</w:t>
            </w: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w w:val="96"/>
              </w:rPr>
              <w:t>Sale Securities</w:t>
            </w: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106"/>
              <w:spacing w:after="0"/>
              <w:rPr>
                <w:sz w:val="20"/>
                <w:szCs w:val="20"/>
                <w:color w:val="auto"/>
              </w:rPr>
            </w:pPr>
            <w:r>
              <w:rPr>
                <w:rFonts w:ascii="Arial" w:cs="Arial" w:eastAsia="Arial" w:hAnsi="Arial"/>
                <w:sz w:val="14"/>
                <w:szCs w:val="14"/>
                <w:b w:val="1"/>
                <w:bCs w:val="1"/>
                <w:color w:val="auto"/>
                <w:w w:val="96"/>
              </w:rPr>
              <w:t>Plans</w:t>
            </w:r>
          </w:p>
        </w:tc>
        <w:tc>
          <w:tcPr>
            <w:tcW w:w="3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Hedge</w:t>
            </w: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65"/>
              <w:spacing w:after="0"/>
              <w:rPr>
                <w:sz w:val="20"/>
                <w:szCs w:val="20"/>
                <w:color w:val="auto"/>
              </w:rPr>
            </w:pPr>
            <w:r>
              <w:rPr>
                <w:rFonts w:ascii="Arial" w:cs="Arial" w:eastAsia="Arial" w:hAnsi="Arial"/>
                <w:sz w:val="14"/>
                <w:szCs w:val="14"/>
                <w:b w:val="1"/>
                <w:bCs w:val="1"/>
                <w:color w:val="auto"/>
                <w:w w:val="97"/>
              </w:rPr>
              <w:t>Income</w:t>
            </w:r>
          </w:p>
        </w:tc>
      </w:tr>
      <w:tr>
        <w:trPr>
          <w:trHeight w:val="164"/>
        </w:trPr>
        <w:tc>
          <w:tcPr>
            <w:tcW w:w="4140" w:type="dxa"/>
            <w:vAlign w:val="bottom"/>
          </w:tcPr>
          <w:p>
            <w:pPr>
              <w:spacing w:after="0" w:line="165" w:lineRule="exact"/>
              <w:rPr>
                <w:sz w:val="20"/>
                <w:szCs w:val="20"/>
                <w:color w:val="auto"/>
              </w:rPr>
            </w:pPr>
            <w:r>
              <w:rPr>
                <w:rFonts w:ascii="Arial" w:cs="Arial" w:eastAsia="Arial" w:hAnsi="Arial"/>
                <w:sz w:val="16"/>
                <w:szCs w:val="16"/>
                <w:color w:val="auto"/>
              </w:rPr>
              <w:t>Balance as of December 31, 2012</w:t>
            </w:r>
          </w:p>
        </w:tc>
        <w:tc>
          <w:tcPr>
            <w:tcW w:w="200" w:type="dxa"/>
            <w:vAlign w:val="bottom"/>
            <w:gridSpan w:val="2"/>
          </w:tcPr>
          <w:p>
            <w:pPr>
              <w:jc w:val="right"/>
              <w:ind w:right="24"/>
              <w:spacing w:after="0" w:line="165" w:lineRule="exact"/>
              <w:rPr>
                <w:sz w:val="20"/>
                <w:szCs w:val="20"/>
                <w:color w:val="auto"/>
              </w:rPr>
            </w:pPr>
            <w:r>
              <w:rPr>
                <w:rFonts w:ascii="Arial" w:cs="Arial" w:eastAsia="Arial" w:hAnsi="Arial"/>
                <w:sz w:val="16"/>
                <w:szCs w:val="16"/>
                <w:color w:val="auto"/>
                <w:w w:val="89"/>
              </w:rPr>
              <w:t>$</w:t>
            </w:r>
          </w:p>
        </w:tc>
        <w:tc>
          <w:tcPr>
            <w:tcW w:w="1220" w:type="dxa"/>
            <w:vAlign w:val="bottom"/>
          </w:tcPr>
          <w:p>
            <w:pPr>
              <w:jc w:val="right"/>
              <w:ind w:right="6"/>
              <w:spacing w:after="0" w:line="165" w:lineRule="exact"/>
              <w:rPr>
                <w:sz w:val="20"/>
                <w:szCs w:val="20"/>
                <w:color w:val="auto"/>
              </w:rPr>
            </w:pPr>
            <w:r>
              <w:rPr>
                <w:rFonts w:ascii="Arial" w:cs="Arial" w:eastAsia="Arial" w:hAnsi="Arial"/>
                <w:sz w:val="16"/>
                <w:szCs w:val="16"/>
                <w:color w:val="auto"/>
              </w:rPr>
              <w:t>26,072</w:t>
            </w:r>
          </w:p>
        </w:tc>
        <w:tc>
          <w:tcPr>
            <w:tcW w:w="220" w:type="dxa"/>
            <w:vAlign w:val="bottom"/>
          </w:tcPr>
          <w:p>
            <w:pPr>
              <w:jc w:val="right"/>
              <w:spacing w:after="0" w:line="165" w:lineRule="exact"/>
              <w:rPr>
                <w:sz w:val="20"/>
                <w:szCs w:val="20"/>
                <w:color w:val="auto"/>
              </w:rPr>
            </w:pPr>
            <w:r>
              <w:rPr>
                <w:rFonts w:ascii="Arial" w:cs="Arial" w:eastAsia="Arial" w:hAnsi="Arial"/>
                <w:sz w:val="16"/>
                <w:szCs w:val="16"/>
                <w:color w:val="auto"/>
              </w:rPr>
              <w:t>$</w:t>
            </w:r>
          </w:p>
        </w:tc>
        <w:tc>
          <w:tcPr>
            <w:tcW w:w="1280" w:type="dxa"/>
            <w:vAlign w:val="bottom"/>
          </w:tcPr>
          <w:p>
            <w:pPr>
              <w:jc w:val="right"/>
              <w:ind w:right="4"/>
              <w:spacing w:after="0" w:line="165" w:lineRule="exact"/>
              <w:rPr>
                <w:sz w:val="20"/>
                <w:szCs w:val="20"/>
                <w:color w:val="auto"/>
              </w:rPr>
            </w:pPr>
            <w:r>
              <w:rPr>
                <w:rFonts w:ascii="Arial" w:cs="Arial" w:eastAsia="Arial" w:hAnsi="Arial"/>
                <w:sz w:val="16"/>
                <w:szCs w:val="16"/>
                <w:color w:val="auto"/>
              </w:rPr>
              <w:t>110,553</w:t>
            </w:r>
          </w:p>
        </w:tc>
        <w:tc>
          <w:tcPr>
            <w:tcW w:w="220" w:type="dxa"/>
            <w:vAlign w:val="bottom"/>
          </w:tcPr>
          <w:p>
            <w:pPr>
              <w:jc w:val="right"/>
              <w:spacing w:after="0" w:line="165" w:lineRule="exact"/>
              <w:rPr>
                <w:sz w:val="20"/>
                <w:szCs w:val="20"/>
                <w:color w:val="auto"/>
              </w:rPr>
            </w:pPr>
            <w:r>
              <w:rPr>
                <w:rFonts w:ascii="Arial" w:cs="Arial" w:eastAsia="Arial" w:hAnsi="Arial"/>
                <w:sz w:val="16"/>
                <w:szCs w:val="16"/>
                <w:color w:val="auto"/>
              </w:rPr>
              <w:t>$</w:t>
            </w:r>
          </w:p>
        </w:tc>
        <w:tc>
          <w:tcPr>
            <w:tcW w:w="1260" w:type="dxa"/>
            <w:vAlign w:val="bottom"/>
          </w:tcPr>
          <w:p>
            <w:pPr>
              <w:jc w:val="right"/>
              <w:ind w:right="6"/>
              <w:spacing w:after="0" w:line="165" w:lineRule="exact"/>
              <w:rPr>
                <w:sz w:val="20"/>
                <w:szCs w:val="20"/>
                <w:color w:val="auto"/>
              </w:rPr>
            </w:pPr>
            <w:r>
              <w:rPr>
                <w:rFonts w:ascii="Arial" w:cs="Arial" w:eastAsia="Arial" w:hAnsi="Arial"/>
                <w:sz w:val="16"/>
                <w:szCs w:val="16"/>
                <w:color w:val="auto"/>
              </w:rPr>
              <w:t>117,169</w:t>
            </w:r>
          </w:p>
        </w:tc>
        <w:tc>
          <w:tcPr>
            <w:tcW w:w="300" w:type="dxa"/>
            <w:vAlign w:val="bottom"/>
          </w:tcPr>
          <w:p>
            <w:pPr>
              <w:jc w:val="right"/>
              <w:ind w:right="39"/>
              <w:spacing w:after="0" w:line="165" w:lineRule="exact"/>
              <w:rPr>
                <w:sz w:val="20"/>
                <w:szCs w:val="20"/>
                <w:color w:val="auto"/>
              </w:rPr>
            </w:pPr>
            <w:r>
              <w:rPr>
                <w:rFonts w:ascii="Arial" w:cs="Arial" w:eastAsia="Arial" w:hAnsi="Arial"/>
                <w:sz w:val="16"/>
                <w:szCs w:val="16"/>
                <w:color w:val="auto"/>
              </w:rPr>
              <w:t>$</w:t>
            </w:r>
          </w:p>
        </w:tc>
        <w:tc>
          <w:tcPr>
            <w:tcW w:w="1160" w:type="dxa"/>
            <w:vAlign w:val="bottom"/>
          </w:tcPr>
          <w:p>
            <w:pPr>
              <w:jc w:val="right"/>
              <w:ind w:right="3"/>
              <w:spacing w:after="0" w:line="165" w:lineRule="exact"/>
              <w:rPr>
                <w:sz w:val="20"/>
                <w:szCs w:val="20"/>
                <w:color w:val="auto"/>
              </w:rPr>
            </w:pPr>
            <w:r>
              <w:rPr>
                <w:rFonts w:ascii="Arial" w:cs="Arial" w:eastAsia="Arial" w:hAnsi="Arial"/>
                <w:sz w:val="16"/>
                <w:szCs w:val="16"/>
                <w:color w:val="auto"/>
              </w:rPr>
              <w:t>(940)</w:t>
            </w:r>
          </w:p>
        </w:tc>
        <w:tc>
          <w:tcPr>
            <w:tcW w:w="200" w:type="dxa"/>
            <w:vAlign w:val="bottom"/>
          </w:tcPr>
          <w:p>
            <w:pPr>
              <w:jc w:val="right"/>
              <w:spacing w:after="0" w:line="165" w:lineRule="exact"/>
              <w:rPr>
                <w:sz w:val="20"/>
                <w:szCs w:val="20"/>
                <w:color w:val="auto"/>
              </w:rPr>
            </w:pPr>
            <w:r>
              <w:rPr>
                <w:rFonts w:ascii="Arial" w:cs="Arial" w:eastAsia="Arial" w:hAnsi="Arial"/>
                <w:sz w:val="16"/>
                <w:szCs w:val="16"/>
                <w:color w:val="auto"/>
              </w:rPr>
              <w:t>$</w:t>
            </w:r>
          </w:p>
        </w:tc>
        <w:tc>
          <w:tcPr>
            <w:tcW w:w="1220" w:type="dxa"/>
            <w:vAlign w:val="bottom"/>
          </w:tcPr>
          <w:p>
            <w:pPr>
              <w:jc w:val="right"/>
              <w:spacing w:after="0" w:line="165" w:lineRule="exact"/>
              <w:rPr>
                <w:sz w:val="20"/>
                <w:szCs w:val="20"/>
                <w:color w:val="auto"/>
              </w:rPr>
            </w:pPr>
            <w:r>
              <w:rPr>
                <w:rFonts w:ascii="Arial" w:cs="Arial" w:eastAsia="Arial" w:hAnsi="Arial"/>
                <w:sz w:val="16"/>
                <w:szCs w:val="16"/>
                <w:color w:val="auto"/>
              </w:rPr>
              <w:t>252,854</w:t>
            </w:r>
          </w:p>
        </w:tc>
      </w:tr>
      <w:tr>
        <w:trPr>
          <w:trHeight w:val="189"/>
        </w:trPr>
        <w:tc>
          <w:tcPr>
            <w:tcW w:w="4140" w:type="dxa"/>
            <w:vAlign w:val="bottom"/>
          </w:tcPr>
          <w:p>
            <w:pPr>
              <w:ind w:left="120"/>
              <w:spacing w:after="0"/>
              <w:rPr>
                <w:sz w:val="20"/>
                <w:szCs w:val="20"/>
                <w:color w:val="auto"/>
              </w:rPr>
            </w:pPr>
            <w:r>
              <w:rPr>
                <w:rFonts w:ascii="Arial" w:cs="Arial" w:eastAsia="Arial" w:hAnsi="Arial"/>
                <w:sz w:val="16"/>
                <w:szCs w:val="16"/>
                <w:b w:val="1"/>
                <w:bCs w:val="1"/>
                <w:color w:val="auto"/>
              </w:rPr>
              <w:t>Other comprehensive income (loss) before</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9"/>
        </w:trPr>
        <w:tc>
          <w:tcPr>
            <w:tcW w:w="4140" w:type="dxa"/>
            <w:vAlign w:val="bottom"/>
          </w:tcPr>
          <w:p>
            <w:pPr>
              <w:ind w:left="260"/>
              <w:spacing w:after="0"/>
              <w:rPr>
                <w:sz w:val="20"/>
                <w:szCs w:val="20"/>
                <w:color w:val="auto"/>
              </w:rPr>
            </w:pPr>
            <w:r>
              <w:rPr>
                <w:rFonts w:ascii="Arial" w:cs="Arial" w:eastAsia="Arial" w:hAnsi="Arial"/>
                <w:sz w:val="16"/>
                <w:szCs w:val="16"/>
                <w:b w:val="1"/>
                <w:bCs w:val="1"/>
                <w:color w:val="auto"/>
              </w:rPr>
              <w:t>reclassifications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ind w:right="6"/>
              <w:spacing w:after="0"/>
              <w:rPr>
                <w:sz w:val="20"/>
                <w:szCs w:val="20"/>
                <w:color w:val="auto"/>
              </w:rPr>
            </w:pPr>
            <w:r>
              <w:rPr>
                <w:rFonts w:ascii="Arial" w:cs="Arial" w:eastAsia="Arial" w:hAnsi="Arial"/>
                <w:sz w:val="16"/>
                <w:szCs w:val="16"/>
                <w:b w:val="1"/>
                <w:bCs w:val="1"/>
                <w:color w:val="auto"/>
              </w:rPr>
              <w:t>(7,700)</w:t>
            </w:r>
          </w:p>
        </w:tc>
        <w:tc>
          <w:tcPr>
            <w:tcW w:w="220" w:type="dxa"/>
            <w:vAlign w:val="bottom"/>
          </w:tcPr>
          <w:p>
            <w:pPr>
              <w:spacing w:after="0"/>
              <w:rPr>
                <w:sz w:val="16"/>
                <w:szCs w:val="16"/>
                <w:color w:val="auto"/>
              </w:rPr>
            </w:pPr>
          </w:p>
        </w:tc>
        <w:tc>
          <w:tcPr>
            <w:tcW w:w="1280" w:type="dxa"/>
            <w:vAlign w:val="bottom"/>
          </w:tcPr>
          <w:p>
            <w:pPr>
              <w:jc w:val="right"/>
              <w:ind w:right="4"/>
              <w:spacing w:after="0"/>
              <w:rPr>
                <w:sz w:val="20"/>
                <w:szCs w:val="20"/>
                <w:color w:val="auto"/>
              </w:rPr>
            </w:pPr>
            <w:r>
              <w:rPr>
                <w:rFonts w:ascii="Arial" w:cs="Arial" w:eastAsia="Arial" w:hAnsi="Arial"/>
                <w:sz w:val="16"/>
                <w:szCs w:val="16"/>
                <w:b w:val="1"/>
                <w:bCs w:val="1"/>
                <w:color w:val="auto"/>
              </w:rPr>
              <w:t>48,301</w:t>
            </w:r>
          </w:p>
        </w:tc>
        <w:tc>
          <w:tcPr>
            <w:tcW w:w="220" w:type="dxa"/>
            <w:vAlign w:val="bottom"/>
          </w:tcPr>
          <w:p>
            <w:pPr>
              <w:spacing w:after="0"/>
              <w:rPr>
                <w:sz w:val="16"/>
                <w:szCs w:val="16"/>
                <w:color w:val="auto"/>
              </w:rPr>
            </w:pPr>
          </w:p>
        </w:tc>
        <w:tc>
          <w:tcPr>
            <w:tcW w:w="1260" w:type="dxa"/>
            <w:vAlign w:val="bottom"/>
          </w:tcPr>
          <w:p>
            <w:pPr>
              <w:jc w:val="right"/>
              <w:ind w:right="6"/>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6"/>
                <w:szCs w:val="16"/>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b w:val="1"/>
                <w:bCs w:val="1"/>
                <w:color w:val="auto"/>
              </w:rPr>
              <w:t>(84)</w:t>
            </w: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40,517</w:t>
            </w:r>
          </w:p>
        </w:tc>
      </w:tr>
      <w:tr>
        <w:trPr>
          <w:trHeight w:val="189"/>
        </w:trPr>
        <w:tc>
          <w:tcPr>
            <w:tcW w:w="4140" w:type="dxa"/>
            <w:vAlign w:val="bottom"/>
          </w:tcPr>
          <w:p>
            <w:pPr>
              <w:ind w:left="120"/>
              <w:spacing w:after="0"/>
              <w:rPr>
                <w:sz w:val="20"/>
                <w:szCs w:val="20"/>
                <w:color w:val="auto"/>
              </w:rPr>
            </w:pPr>
            <w:r>
              <w:rPr>
                <w:rFonts w:ascii="Arial" w:cs="Arial" w:eastAsia="Arial" w:hAnsi="Arial"/>
                <w:sz w:val="16"/>
                <w:szCs w:val="16"/>
                <w:b w:val="1"/>
                <w:bCs w:val="1"/>
                <w:color w:val="auto"/>
              </w:rPr>
              <w:t>Net amount reclassified from accumulated</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07"/>
        </w:trPr>
        <w:tc>
          <w:tcPr>
            <w:tcW w:w="4140" w:type="dxa"/>
            <w:vAlign w:val="bottom"/>
          </w:tcPr>
          <w:p>
            <w:pPr>
              <w:ind w:left="260"/>
              <w:spacing w:after="0"/>
              <w:rPr>
                <w:sz w:val="20"/>
                <w:szCs w:val="20"/>
                <w:color w:val="auto"/>
              </w:rPr>
            </w:pPr>
            <w:r>
              <w:rPr>
                <w:rFonts w:ascii="Arial" w:cs="Arial" w:eastAsia="Arial" w:hAnsi="Arial"/>
                <w:sz w:val="16"/>
                <w:szCs w:val="16"/>
                <w:b w:val="1"/>
                <w:bCs w:val="1"/>
                <w:color w:val="auto"/>
              </w:rPr>
              <w:t>other comprehensive income</w:t>
            </w: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b w:val="1"/>
                <w:bCs w:val="1"/>
                <w:color w:val="auto"/>
              </w:rPr>
              <w:t>(531)</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b w:val="1"/>
                <w:bCs w:val="1"/>
                <w:color w:val="auto"/>
              </w:rPr>
              <w:t>17</w:t>
            </w: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230</w:t>
            </w: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(284)</w:t>
            </w:r>
          </w:p>
        </w:tc>
      </w:tr>
      <w:tr>
        <w:trPr>
          <w:trHeight w:val="183"/>
        </w:trPr>
        <w:tc>
          <w:tcPr>
            <w:tcW w:w="4140" w:type="dxa"/>
            <w:vAlign w:val="bottom"/>
          </w:tcPr>
          <w:p>
            <w:pPr>
              <w:ind w:left="120"/>
              <w:spacing w:after="0" w:line="183" w:lineRule="exact"/>
              <w:rPr>
                <w:sz w:val="20"/>
                <w:szCs w:val="20"/>
                <w:color w:val="auto"/>
              </w:rPr>
            </w:pPr>
            <w:r>
              <w:rPr>
                <w:rFonts w:ascii="Arial" w:cs="Arial" w:eastAsia="Arial" w:hAnsi="Arial"/>
                <w:sz w:val="16"/>
                <w:szCs w:val="16"/>
                <w:b w:val="1"/>
                <w:bCs w:val="1"/>
                <w:color w:val="auto"/>
              </w:rPr>
              <w:t>Net other comprehensive income (loss)</w:t>
            </w: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6"/>
              <w:spacing w:after="0" w:line="183" w:lineRule="exact"/>
              <w:rPr>
                <w:sz w:val="20"/>
                <w:szCs w:val="20"/>
                <w:color w:val="auto"/>
              </w:rPr>
            </w:pPr>
            <w:r>
              <w:rPr>
                <w:rFonts w:ascii="Arial" w:cs="Arial" w:eastAsia="Arial" w:hAnsi="Arial"/>
                <w:sz w:val="16"/>
                <w:szCs w:val="16"/>
                <w:b w:val="1"/>
                <w:bCs w:val="1"/>
                <w:color w:val="auto"/>
              </w:rPr>
              <w:t>(7,700)</w:t>
            </w: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4"/>
              <w:spacing w:after="0" w:line="183" w:lineRule="exact"/>
              <w:rPr>
                <w:sz w:val="20"/>
                <w:szCs w:val="20"/>
                <w:color w:val="auto"/>
              </w:rPr>
            </w:pPr>
            <w:r>
              <w:rPr>
                <w:rFonts w:ascii="Arial" w:cs="Arial" w:eastAsia="Arial" w:hAnsi="Arial"/>
                <w:sz w:val="16"/>
                <w:szCs w:val="16"/>
                <w:b w:val="1"/>
                <w:bCs w:val="1"/>
                <w:color w:val="auto"/>
              </w:rPr>
              <w:t>47,770</w:t>
            </w: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
              <w:spacing w:after="0" w:line="183" w:lineRule="exact"/>
              <w:rPr>
                <w:sz w:val="20"/>
                <w:szCs w:val="20"/>
                <w:color w:val="auto"/>
              </w:rPr>
            </w:pPr>
            <w:r>
              <w:rPr>
                <w:rFonts w:ascii="Arial" w:cs="Arial" w:eastAsia="Arial" w:hAnsi="Arial"/>
                <w:sz w:val="16"/>
                <w:szCs w:val="16"/>
                <w:b w:val="1"/>
                <w:bCs w:val="1"/>
                <w:color w:val="auto"/>
              </w:rPr>
              <w:t>17</w:t>
            </w: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3"/>
              <w:spacing w:after="0" w:line="183" w:lineRule="exact"/>
              <w:rPr>
                <w:sz w:val="20"/>
                <w:szCs w:val="20"/>
                <w:color w:val="auto"/>
              </w:rPr>
            </w:pPr>
            <w:r>
              <w:rPr>
                <w:rFonts w:ascii="Arial" w:cs="Arial" w:eastAsia="Arial" w:hAnsi="Arial"/>
                <w:sz w:val="16"/>
                <w:szCs w:val="16"/>
                <w:b w:val="1"/>
                <w:bCs w:val="1"/>
                <w:color w:val="auto"/>
              </w:rPr>
              <w:t>146</w:t>
            </w: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40,233</w:t>
            </w:r>
          </w:p>
        </w:tc>
      </w:tr>
      <w:tr>
        <w:trPr>
          <w:trHeight w:val="183"/>
        </w:trPr>
        <w:tc>
          <w:tcPr>
            <w:tcW w:w="4140" w:type="dxa"/>
            <w:vAlign w:val="bottom"/>
          </w:tcPr>
          <w:p>
            <w:pPr>
              <w:spacing w:after="0" w:line="183" w:lineRule="exact"/>
              <w:rPr>
                <w:sz w:val="20"/>
                <w:szCs w:val="20"/>
                <w:color w:val="auto"/>
              </w:rPr>
            </w:pPr>
            <w:r>
              <w:rPr>
                <w:rFonts w:ascii="Arial" w:cs="Arial" w:eastAsia="Arial" w:hAnsi="Arial"/>
                <w:sz w:val="16"/>
                <w:szCs w:val="16"/>
                <w:b w:val="1"/>
                <w:bCs w:val="1"/>
                <w:color w:val="auto"/>
              </w:rPr>
              <w:t>Balance as of June 30, 2013</w:t>
            </w: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1220" w:type="dxa"/>
            <w:vAlign w:val="bottom"/>
            <w:tcBorders>
              <w:bottom w:val="single" w:sz="8" w:color="auto"/>
            </w:tcBorders>
          </w:tcPr>
          <w:p>
            <w:pPr>
              <w:jc w:val="right"/>
              <w:ind w:right="6"/>
              <w:spacing w:after="0" w:line="183" w:lineRule="exact"/>
              <w:rPr>
                <w:sz w:val="20"/>
                <w:szCs w:val="20"/>
                <w:color w:val="auto"/>
              </w:rPr>
            </w:pPr>
            <w:r>
              <w:rPr>
                <w:rFonts w:ascii="Arial" w:cs="Arial" w:eastAsia="Arial" w:hAnsi="Arial"/>
                <w:sz w:val="16"/>
                <w:szCs w:val="16"/>
                <w:b w:val="1"/>
                <w:bCs w:val="1"/>
                <w:color w:val="auto"/>
              </w:rPr>
              <w:t>18,372</w:t>
            </w:r>
          </w:p>
        </w:tc>
        <w:tc>
          <w:tcPr>
            <w:tcW w:w="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tcPr>
          <w:p>
            <w:pPr>
              <w:jc w:val="right"/>
              <w:ind w:right="4"/>
              <w:spacing w:after="0" w:line="183" w:lineRule="exact"/>
              <w:rPr>
                <w:sz w:val="20"/>
                <w:szCs w:val="20"/>
                <w:color w:val="auto"/>
              </w:rPr>
            </w:pPr>
            <w:r>
              <w:rPr>
                <w:rFonts w:ascii="Arial" w:cs="Arial" w:eastAsia="Arial" w:hAnsi="Arial"/>
                <w:sz w:val="16"/>
                <w:szCs w:val="16"/>
                <w:b w:val="1"/>
                <w:bCs w:val="1"/>
                <w:color w:val="auto"/>
              </w:rPr>
              <w:t>158,323</w:t>
            </w:r>
          </w:p>
        </w:tc>
        <w:tc>
          <w:tcPr>
            <w:tcW w:w="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tcPr>
          <w:p>
            <w:pPr>
              <w:jc w:val="right"/>
              <w:ind w:right="6"/>
              <w:spacing w:after="0" w:line="183" w:lineRule="exact"/>
              <w:rPr>
                <w:sz w:val="20"/>
                <w:szCs w:val="20"/>
                <w:color w:val="auto"/>
              </w:rPr>
            </w:pPr>
            <w:r>
              <w:rPr>
                <w:rFonts w:ascii="Arial" w:cs="Arial" w:eastAsia="Arial" w:hAnsi="Arial"/>
                <w:sz w:val="16"/>
                <w:szCs w:val="16"/>
                <w:b w:val="1"/>
                <w:bCs w:val="1"/>
                <w:color w:val="auto"/>
              </w:rPr>
              <w:t>117,186</w:t>
            </w:r>
          </w:p>
        </w:tc>
        <w:tc>
          <w:tcPr>
            <w:tcW w:w="30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tcPr>
          <w:p>
            <w:pPr>
              <w:jc w:val="right"/>
              <w:ind w:right="3"/>
              <w:spacing w:after="0" w:line="183" w:lineRule="exact"/>
              <w:rPr>
                <w:sz w:val="20"/>
                <w:szCs w:val="20"/>
                <w:color w:val="auto"/>
              </w:rPr>
            </w:pPr>
            <w:r>
              <w:rPr>
                <w:rFonts w:ascii="Arial" w:cs="Arial" w:eastAsia="Arial" w:hAnsi="Arial"/>
                <w:sz w:val="16"/>
                <w:szCs w:val="16"/>
                <w:b w:val="1"/>
                <w:bCs w:val="1"/>
                <w:color w:val="auto"/>
              </w:rPr>
              <w:t>(794)</w:t>
            </w:r>
          </w:p>
        </w:tc>
        <w:tc>
          <w:tcPr>
            <w:tcW w:w="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293,087</w:t>
            </w:r>
          </w:p>
        </w:tc>
      </w:tr>
      <w:tr>
        <w:trPr>
          <w:trHeight w:val="20"/>
        </w:trPr>
        <w:tc>
          <w:tcPr>
            <w:tcW w:w="4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846" w:right="2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color w:val="auto"/>
        </w:rPr>
        <w:t>The amounts and line items of reclassifications out of Accumulated Other Comprehensive Income are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4460" w:type="dxa"/>
            <w:vAlign w:val="bottom"/>
            <w:gridSpan w:val="8"/>
          </w:tcPr>
          <w:p>
            <w:pPr>
              <w:jc w:val="right"/>
              <w:ind w:right="140"/>
              <w:spacing w:after="0"/>
              <w:rPr>
                <w:sz w:val="20"/>
                <w:szCs w:val="20"/>
                <w:color w:val="auto"/>
              </w:rPr>
            </w:pPr>
            <w:r>
              <w:rPr>
                <w:rFonts w:ascii="Arial" w:cs="Arial" w:eastAsia="Arial" w:hAnsi="Arial"/>
                <w:sz w:val="14"/>
                <w:szCs w:val="14"/>
                <w:b w:val="1"/>
                <w:bCs w:val="1"/>
                <w:color w:val="auto"/>
              </w:rPr>
              <w:t>Amount Reclassified from Accumulated Other Comprehensive</w:t>
            </w:r>
          </w:p>
        </w:tc>
        <w:tc>
          <w:tcPr>
            <w:tcW w:w="2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44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4"/>
                <w:szCs w:val="14"/>
                <w:b w:val="1"/>
                <w:bCs w:val="1"/>
                <w:color w:val="auto"/>
              </w:rPr>
              <w:t>Income</w:t>
            </w:r>
          </w:p>
        </w:tc>
        <w:tc>
          <w:tcPr>
            <w:tcW w:w="8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500" w:type="dxa"/>
            <w:vAlign w:val="bottom"/>
            <w:vMerge w:val="restart"/>
          </w:tcPr>
          <w:p>
            <w:pPr>
              <w:jc w:val="center"/>
              <w:ind w:left="24"/>
              <w:spacing w:after="0"/>
              <w:rPr>
                <w:sz w:val="20"/>
                <w:szCs w:val="20"/>
                <w:color w:val="auto"/>
              </w:rPr>
            </w:pPr>
            <w:r>
              <w:rPr>
                <w:rFonts w:ascii="Arial" w:cs="Arial" w:eastAsia="Arial" w:hAnsi="Arial"/>
                <w:sz w:val="14"/>
                <w:szCs w:val="14"/>
                <w:b w:val="1"/>
                <w:bCs w:val="1"/>
                <w:color w:val="auto"/>
                <w:w w:val="95"/>
              </w:rPr>
              <w:t>Affected Line Item in the</w:t>
            </w:r>
          </w:p>
        </w:tc>
        <w:tc>
          <w:tcPr>
            <w:tcW w:w="0" w:type="dxa"/>
            <w:vAlign w:val="bottom"/>
          </w:tcPr>
          <w:p>
            <w:pPr>
              <w:spacing w:after="0"/>
              <w:rPr>
                <w:sz w:val="1"/>
                <w:szCs w:val="1"/>
                <w:color w:val="auto"/>
              </w:rPr>
            </w:pPr>
          </w:p>
        </w:tc>
      </w:tr>
      <w:tr>
        <w:trPr>
          <w:trHeight w:val="125"/>
        </w:trPr>
        <w:tc>
          <w:tcPr>
            <w:tcW w:w="4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40" w:type="dxa"/>
            <w:vAlign w:val="bottom"/>
            <w:gridSpan w:val="3"/>
          </w:tcPr>
          <w:p>
            <w:pPr>
              <w:jc w:val="right"/>
              <w:ind w:right="461"/>
              <w:spacing w:after="0" w:line="125" w:lineRule="exact"/>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0"/>
                <w:szCs w:val="10"/>
                <w:color w:val="auto"/>
              </w:rPr>
            </w:pPr>
          </w:p>
        </w:tc>
        <w:tc>
          <w:tcPr>
            <w:tcW w:w="1820" w:type="dxa"/>
            <w:vAlign w:val="bottom"/>
            <w:gridSpan w:val="3"/>
          </w:tcPr>
          <w:p>
            <w:pPr>
              <w:jc w:val="right"/>
              <w:ind w:right="340"/>
              <w:spacing w:after="0" w:line="125" w:lineRule="exact"/>
              <w:rPr>
                <w:sz w:val="20"/>
                <w:szCs w:val="20"/>
                <w:color w:val="auto"/>
              </w:rPr>
            </w:pPr>
            <w:r>
              <w:rPr>
                <w:rFonts w:ascii="Arial" w:cs="Arial" w:eastAsia="Arial" w:hAnsi="Arial"/>
                <w:sz w:val="14"/>
                <w:szCs w:val="14"/>
                <w:b w:val="1"/>
                <w:bCs w:val="1"/>
                <w:color w:val="auto"/>
              </w:rPr>
              <w:t>Six Months Ended</w:t>
            </w:r>
          </w:p>
        </w:tc>
        <w:tc>
          <w:tcPr>
            <w:tcW w:w="2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44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680" w:type="dxa"/>
            <w:vAlign w:val="bottom"/>
            <w:tcBorders>
              <w:bottom w:val="single" w:sz="8" w:color="auto"/>
            </w:tcBorders>
          </w:tcPr>
          <w:p>
            <w:pPr>
              <w:spacing w:after="0"/>
              <w:rPr>
                <w:sz w:val="14"/>
                <w:szCs w:val="14"/>
                <w:color w:val="auto"/>
              </w:rPr>
            </w:pPr>
          </w:p>
        </w:tc>
        <w:tc>
          <w:tcPr>
            <w:tcW w:w="2500" w:type="dxa"/>
            <w:vAlign w:val="bottom"/>
          </w:tcPr>
          <w:p>
            <w:pPr>
              <w:jc w:val="center"/>
              <w:ind w:left="44"/>
              <w:spacing w:after="0"/>
              <w:rPr>
                <w:sz w:val="20"/>
                <w:szCs w:val="20"/>
                <w:color w:val="auto"/>
              </w:rPr>
            </w:pPr>
            <w:r>
              <w:rPr>
                <w:rFonts w:ascii="Arial" w:cs="Arial" w:eastAsia="Arial" w:hAnsi="Arial"/>
                <w:sz w:val="14"/>
                <w:szCs w:val="14"/>
                <w:b w:val="1"/>
                <w:bCs w:val="1"/>
                <w:color w:val="auto"/>
                <w:w w:val="95"/>
              </w:rPr>
              <w:t>Condensed Consolidated</w:t>
            </w:r>
          </w:p>
        </w:tc>
        <w:tc>
          <w:tcPr>
            <w:tcW w:w="0" w:type="dxa"/>
            <w:vAlign w:val="bottom"/>
          </w:tcPr>
          <w:p>
            <w:pPr>
              <w:spacing w:after="0"/>
              <w:rPr>
                <w:sz w:val="1"/>
                <w:szCs w:val="1"/>
                <w:color w:val="auto"/>
              </w:rPr>
            </w:pPr>
          </w:p>
        </w:tc>
      </w:tr>
      <w:tr>
        <w:trPr>
          <w:trHeight w:val="142"/>
        </w:trPr>
        <w:tc>
          <w:tcPr>
            <w:tcW w:w="44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(in thousands)</w:t>
            </w:r>
          </w:p>
        </w:tc>
        <w:tc>
          <w:tcPr>
            <w:tcW w:w="3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02"/>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61"/>
              <w:spacing w:after="0" w:line="142" w:lineRule="exact"/>
              <w:rPr>
                <w:sz w:val="20"/>
                <w:szCs w:val="20"/>
                <w:color w:val="auto"/>
              </w:rPr>
            </w:pPr>
            <w:r>
              <w:rPr>
                <w:rFonts w:ascii="Arial" w:cs="Arial" w:eastAsia="Arial" w:hAnsi="Arial"/>
                <w:sz w:val="14"/>
                <w:szCs w:val="14"/>
                <w:color w:val="auto"/>
              </w:rPr>
              <w:t>2012</w:t>
            </w:r>
          </w:p>
        </w:tc>
        <w:tc>
          <w:tcPr>
            <w:tcW w:w="2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42"/>
              <w:spacing w:after="0" w:line="142" w:lineRule="exact"/>
              <w:rPr>
                <w:sz w:val="20"/>
                <w:szCs w:val="20"/>
                <w:color w:val="auto"/>
              </w:rPr>
            </w:pPr>
            <w:r>
              <w:rPr>
                <w:rFonts w:ascii="Arial" w:cs="Arial" w:eastAsia="Arial" w:hAnsi="Arial"/>
                <w:sz w:val="14"/>
                <w:szCs w:val="14"/>
                <w:b w:val="1"/>
                <w:bCs w:val="1"/>
                <w:color w:val="auto"/>
              </w:rPr>
              <w:t>2013</w:t>
            </w:r>
          </w:p>
        </w:tc>
        <w:tc>
          <w:tcPr>
            <w:tcW w:w="3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40"/>
              <w:spacing w:after="0" w:line="142" w:lineRule="exact"/>
              <w:rPr>
                <w:sz w:val="20"/>
                <w:szCs w:val="20"/>
                <w:color w:val="auto"/>
              </w:rPr>
            </w:pPr>
            <w:r>
              <w:rPr>
                <w:rFonts w:ascii="Arial" w:cs="Arial" w:eastAsia="Arial" w:hAnsi="Arial"/>
                <w:sz w:val="14"/>
                <w:szCs w:val="14"/>
                <w:color w:val="auto"/>
              </w:rPr>
              <w:t>2012</w:t>
            </w:r>
          </w:p>
        </w:tc>
        <w:tc>
          <w:tcPr>
            <w:tcW w:w="2500" w:type="dxa"/>
            <w:vAlign w:val="bottom"/>
            <w:tcBorders>
              <w:bottom w:val="single" w:sz="8" w:color="auto"/>
            </w:tcBorders>
          </w:tcPr>
          <w:p>
            <w:pPr>
              <w:jc w:val="center"/>
              <w:ind w:left="24"/>
              <w:spacing w:after="0" w:line="142" w:lineRule="exact"/>
              <w:rPr>
                <w:sz w:val="20"/>
                <w:szCs w:val="20"/>
                <w:color w:val="auto"/>
              </w:rPr>
            </w:pPr>
            <w:r>
              <w:rPr>
                <w:rFonts w:ascii="Arial" w:cs="Arial" w:eastAsia="Arial" w:hAnsi="Arial"/>
                <w:sz w:val="14"/>
                <w:szCs w:val="14"/>
                <w:b w:val="1"/>
                <w:bCs w:val="1"/>
                <w:color w:val="auto"/>
                <w:w w:val="95"/>
              </w:rPr>
              <w:t>Statement of Operations</w:t>
            </w:r>
          </w:p>
        </w:tc>
        <w:tc>
          <w:tcPr>
            <w:tcW w:w="0" w:type="dxa"/>
            <w:vAlign w:val="bottom"/>
          </w:tcPr>
          <w:p>
            <w:pPr>
              <w:spacing w:after="0"/>
              <w:rPr>
                <w:sz w:val="1"/>
                <w:szCs w:val="1"/>
                <w:color w:val="auto"/>
              </w:rPr>
            </w:pPr>
          </w:p>
        </w:tc>
      </w:tr>
      <w:tr>
        <w:trPr>
          <w:trHeight w:val="184"/>
        </w:trPr>
        <w:tc>
          <w:tcPr>
            <w:tcW w:w="4460" w:type="dxa"/>
            <w:vAlign w:val="bottom"/>
          </w:tcPr>
          <w:p>
            <w:pPr>
              <w:spacing w:after="0"/>
              <w:rPr>
                <w:sz w:val="20"/>
                <w:szCs w:val="20"/>
                <w:color w:val="auto"/>
              </w:rPr>
            </w:pPr>
            <w:r>
              <w:rPr>
                <w:rFonts w:ascii="Arial" w:cs="Arial" w:eastAsia="Arial" w:hAnsi="Arial"/>
                <w:sz w:val="16"/>
                <w:szCs w:val="16"/>
                <w:color w:val="auto"/>
              </w:rPr>
              <w:t>Unrealized Gains (Losses) on Available-for-sale Securities:</w:t>
            </w:r>
          </w:p>
        </w:tc>
        <w:tc>
          <w:tcPr>
            <w:tcW w:w="320" w:type="dxa"/>
            <w:vAlign w:val="bottom"/>
            <w:vMerge w:val="restart"/>
          </w:tcPr>
          <w:p>
            <w:pPr>
              <w:jc w:val="right"/>
              <w:ind w:right="3"/>
              <w:spacing w:after="0"/>
              <w:rPr>
                <w:sz w:val="20"/>
                <w:szCs w:val="20"/>
                <w:color w:val="auto"/>
              </w:rPr>
            </w:pPr>
            <w:r>
              <w:rPr>
                <w:rFonts w:ascii="Arial" w:cs="Arial" w:eastAsia="Arial" w:hAnsi="Arial"/>
                <w:sz w:val="16"/>
                <w:szCs w:val="16"/>
                <w:b w:val="1"/>
                <w:bCs w:val="1"/>
                <w:color w:val="auto"/>
              </w:rPr>
              <w:t>$</w:t>
            </w:r>
          </w:p>
        </w:tc>
        <w:tc>
          <w:tcPr>
            <w:tcW w:w="880" w:type="dxa"/>
            <w:vAlign w:val="bottom"/>
            <w:vMerge w:val="restart"/>
          </w:tcPr>
          <w:p>
            <w:pPr>
              <w:jc w:val="right"/>
              <w:ind w:right="22"/>
              <w:spacing w:after="0"/>
              <w:rPr>
                <w:sz w:val="20"/>
                <w:szCs w:val="20"/>
                <w:color w:val="auto"/>
              </w:rPr>
            </w:pPr>
            <w:r>
              <w:rPr>
                <w:rFonts w:ascii="Arial" w:cs="Arial" w:eastAsia="Arial" w:hAnsi="Arial"/>
                <w:sz w:val="16"/>
                <w:szCs w:val="16"/>
                <w:b w:val="1"/>
                <w:bCs w:val="1"/>
                <w:color w:val="auto"/>
              </w:rPr>
              <w:t>(333)</w:t>
            </w: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w:t>
            </w:r>
          </w:p>
        </w:tc>
        <w:tc>
          <w:tcPr>
            <w:tcW w:w="800" w:type="dxa"/>
            <w:vAlign w:val="bottom"/>
            <w:vMerge w:val="restart"/>
          </w:tcPr>
          <w:p>
            <w:pPr>
              <w:jc w:val="right"/>
              <w:ind w:right="62"/>
              <w:spacing w:after="0"/>
              <w:rPr>
                <w:sz w:val="20"/>
                <w:szCs w:val="20"/>
                <w:color w:val="auto"/>
              </w:rPr>
            </w:pPr>
            <w:r>
              <w:rPr>
                <w:rFonts w:ascii="Arial" w:cs="Arial" w:eastAsia="Arial" w:hAnsi="Arial"/>
                <w:sz w:val="16"/>
                <w:szCs w:val="16"/>
                <w:b w:val="1"/>
                <w:bCs w:val="1"/>
                <w:color w:val="auto"/>
              </w:rPr>
              <w:t>(884)</w:t>
            </w: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460" w:type="dxa"/>
            <w:vAlign w:val="bottom"/>
          </w:tcPr>
          <w:p>
            <w:pPr>
              <w:ind w:left="240"/>
              <w:spacing w:after="0" w:line="169" w:lineRule="exact"/>
              <w:rPr>
                <w:sz w:val="20"/>
                <w:szCs w:val="20"/>
                <w:color w:val="auto"/>
              </w:rPr>
            </w:pPr>
            <w:r>
              <w:rPr>
                <w:rFonts w:ascii="Arial" w:cs="Arial" w:eastAsia="Arial" w:hAnsi="Arial"/>
                <w:sz w:val="16"/>
                <w:szCs w:val="16"/>
                <w:color w:val="auto"/>
              </w:rPr>
              <w:t>Realized gains for the period</w:t>
            </w:r>
          </w:p>
        </w:tc>
        <w:tc>
          <w:tcPr>
            <w:tcW w:w="3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320" w:type="dxa"/>
            <w:vAlign w:val="bottom"/>
          </w:tcPr>
          <w:p>
            <w:pPr>
              <w:jc w:val="right"/>
              <w:ind w:right="39"/>
              <w:spacing w:after="0" w:line="169" w:lineRule="exact"/>
              <w:rPr>
                <w:sz w:val="20"/>
                <w:szCs w:val="20"/>
                <w:color w:val="auto"/>
              </w:rPr>
            </w:pPr>
            <w:r>
              <w:rPr>
                <w:rFonts w:ascii="Arial" w:cs="Arial" w:eastAsia="Arial" w:hAnsi="Arial"/>
                <w:sz w:val="16"/>
                <w:szCs w:val="16"/>
                <w:color w:val="auto"/>
              </w:rPr>
              <w:t>$</w:t>
            </w:r>
          </w:p>
        </w:tc>
        <w:tc>
          <w:tcPr>
            <w:tcW w:w="840" w:type="dxa"/>
            <w:vAlign w:val="bottom"/>
          </w:tcPr>
          <w:p>
            <w:pPr>
              <w:jc w:val="right"/>
              <w:ind w:right="21"/>
              <w:spacing w:after="0" w:line="169" w:lineRule="exact"/>
              <w:rPr>
                <w:sz w:val="20"/>
                <w:szCs w:val="20"/>
                <w:color w:val="auto"/>
              </w:rPr>
            </w:pPr>
            <w:r>
              <w:rPr>
                <w:rFonts w:ascii="Arial" w:cs="Arial" w:eastAsia="Arial" w:hAnsi="Arial"/>
                <w:sz w:val="16"/>
                <w:szCs w:val="16"/>
                <w:color w:val="auto"/>
              </w:rPr>
              <w:t>(772)</w:t>
            </w:r>
          </w:p>
        </w:tc>
        <w:tc>
          <w:tcPr>
            <w:tcW w:w="2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340" w:type="dxa"/>
            <w:vAlign w:val="bottom"/>
          </w:tcPr>
          <w:p>
            <w:pPr>
              <w:jc w:val="right"/>
              <w:ind w:right="39"/>
              <w:spacing w:after="0" w:line="169" w:lineRule="exact"/>
              <w:rPr>
                <w:sz w:val="20"/>
                <w:szCs w:val="20"/>
                <w:color w:val="auto"/>
              </w:rPr>
            </w:pPr>
            <w:r>
              <w:rPr>
                <w:rFonts w:ascii="Arial" w:cs="Arial" w:eastAsia="Arial" w:hAnsi="Arial"/>
                <w:sz w:val="16"/>
                <w:szCs w:val="16"/>
                <w:color w:val="auto"/>
              </w:rPr>
              <w:t>$</w:t>
            </w:r>
          </w:p>
        </w:tc>
        <w:tc>
          <w:tcPr>
            <w:tcW w:w="680" w:type="dxa"/>
            <w:vAlign w:val="bottom"/>
          </w:tcPr>
          <w:p>
            <w:pPr>
              <w:jc w:val="right"/>
              <w:spacing w:after="0" w:line="169" w:lineRule="exact"/>
              <w:rPr>
                <w:sz w:val="20"/>
                <w:szCs w:val="20"/>
                <w:color w:val="auto"/>
              </w:rPr>
            </w:pPr>
            <w:r>
              <w:rPr>
                <w:rFonts w:ascii="Arial" w:cs="Arial" w:eastAsia="Arial" w:hAnsi="Arial"/>
                <w:sz w:val="16"/>
                <w:szCs w:val="16"/>
                <w:color w:val="auto"/>
              </w:rPr>
              <w:t>(772)</w:t>
            </w:r>
          </w:p>
        </w:tc>
        <w:tc>
          <w:tcPr>
            <w:tcW w:w="2500" w:type="dxa"/>
            <w:vAlign w:val="bottom"/>
          </w:tcPr>
          <w:p>
            <w:pPr>
              <w:ind w:left="100"/>
              <w:spacing w:after="0" w:line="169" w:lineRule="exact"/>
              <w:rPr>
                <w:sz w:val="20"/>
                <w:szCs w:val="20"/>
                <w:color w:val="auto"/>
              </w:rPr>
            </w:pPr>
            <w:r>
              <w:rPr>
                <w:rFonts w:ascii="Arial" w:cs="Arial" w:eastAsia="Arial" w:hAnsi="Arial"/>
                <w:sz w:val="16"/>
                <w:szCs w:val="16"/>
                <w:color w:val="auto"/>
              </w:rPr>
              <w:t>Other (expense) income, net</w:t>
            </w:r>
          </w:p>
        </w:tc>
        <w:tc>
          <w:tcPr>
            <w:tcW w:w="0" w:type="dxa"/>
            <w:vAlign w:val="bottom"/>
          </w:tcPr>
          <w:p>
            <w:pPr>
              <w:spacing w:after="0"/>
              <w:rPr>
                <w:sz w:val="1"/>
                <w:szCs w:val="1"/>
                <w:color w:val="auto"/>
              </w:rPr>
            </w:pPr>
          </w:p>
        </w:tc>
      </w:tr>
      <w:tr>
        <w:trPr>
          <w:trHeight w:val="207"/>
        </w:trPr>
        <w:tc>
          <w:tcPr>
            <w:tcW w:w="44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133</w:t>
            </w: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309</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353</w:t>
            </w:r>
          </w:p>
        </w:tc>
        <w:tc>
          <w:tcPr>
            <w:tcW w:w="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w:t>
            </w:r>
          </w:p>
        </w:tc>
        <w:tc>
          <w:tcPr>
            <w:tcW w:w="2500" w:type="dxa"/>
            <w:vAlign w:val="bottom"/>
          </w:tcPr>
          <w:p>
            <w:pPr>
              <w:ind w:left="100"/>
              <w:spacing w:after="0"/>
              <w:rPr>
                <w:sz w:val="20"/>
                <w:szCs w:val="20"/>
                <w:color w:val="auto"/>
              </w:rPr>
            </w:pPr>
            <w:r>
              <w:rPr>
                <w:rFonts w:ascii="Arial" w:cs="Arial" w:eastAsia="Arial" w:hAnsi="Arial"/>
                <w:sz w:val="16"/>
                <w:szCs w:val="16"/>
                <w:color w:val="auto"/>
              </w:rPr>
              <w:t>Provision for Income Taxes</w:t>
            </w:r>
          </w:p>
        </w:tc>
        <w:tc>
          <w:tcPr>
            <w:tcW w:w="0" w:type="dxa"/>
            <w:vAlign w:val="bottom"/>
          </w:tcPr>
          <w:p>
            <w:pPr>
              <w:spacing w:after="0"/>
              <w:rPr>
                <w:sz w:val="1"/>
                <w:szCs w:val="1"/>
                <w:color w:val="auto"/>
              </w:rPr>
            </w:pPr>
          </w:p>
        </w:tc>
      </w:tr>
      <w:tr>
        <w:trPr>
          <w:trHeight w:val="183"/>
        </w:trPr>
        <w:tc>
          <w:tcPr>
            <w:tcW w:w="44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2"/>
              <w:spacing w:after="0" w:line="183" w:lineRule="exact"/>
              <w:rPr>
                <w:sz w:val="20"/>
                <w:szCs w:val="20"/>
                <w:color w:val="auto"/>
              </w:rPr>
            </w:pPr>
            <w:r>
              <w:rPr>
                <w:rFonts w:ascii="Arial" w:cs="Arial" w:eastAsia="Arial" w:hAnsi="Arial"/>
                <w:sz w:val="16"/>
                <w:szCs w:val="16"/>
                <w:b w:val="1"/>
                <w:bCs w:val="1"/>
                <w:color w:val="auto"/>
              </w:rPr>
              <w:t>(200)</w:t>
            </w: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1"/>
              <w:spacing w:after="0" w:line="183" w:lineRule="exact"/>
              <w:rPr>
                <w:sz w:val="20"/>
                <w:szCs w:val="20"/>
                <w:color w:val="auto"/>
              </w:rPr>
            </w:pPr>
            <w:r>
              <w:rPr>
                <w:rFonts w:ascii="Arial" w:cs="Arial" w:eastAsia="Arial" w:hAnsi="Arial"/>
                <w:sz w:val="16"/>
                <w:szCs w:val="16"/>
                <w:color w:val="auto"/>
              </w:rPr>
              <w:t>(463)</w:t>
            </w:r>
          </w:p>
        </w:tc>
        <w:tc>
          <w:tcPr>
            <w:tcW w:w="2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62"/>
              <w:spacing w:after="0" w:line="183" w:lineRule="exact"/>
              <w:rPr>
                <w:sz w:val="20"/>
                <w:szCs w:val="20"/>
                <w:color w:val="auto"/>
              </w:rPr>
            </w:pPr>
            <w:r>
              <w:rPr>
                <w:rFonts w:ascii="Arial" w:cs="Arial" w:eastAsia="Arial" w:hAnsi="Arial"/>
                <w:sz w:val="16"/>
                <w:szCs w:val="16"/>
                <w:b w:val="1"/>
                <w:bCs w:val="1"/>
                <w:color w:val="auto"/>
              </w:rPr>
              <w:t>(531)</w:t>
            </w:r>
          </w:p>
        </w:tc>
        <w:tc>
          <w:tcPr>
            <w:tcW w:w="3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(463)</w:t>
            </w:r>
          </w:p>
        </w:tc>
        <w:tc>
          <w:tcPr>
            <w:tcW w:w="2500" w:type="dxa"/>
            <w:vAlign w:val="bottom"/>
          </w:tcPr>
          <w:p>
            <w:pPr>
              <w:ind w:left="100"/>
              <w:spacing w:after="0" w:line="183" w:lineRule="exact"/>
              <w:rPr>
                <w:sz w:val="20"/>
                <w:szCs w:val="20"/>
                <w:color w:val="auto"/>
              </w:rPr>
            </w:pPr>
            <w:r>
              <w:rPr>
                <w:rFonts w:ascii="Arial" w:cs="Arial" w:eastAsia="Arial" w:hAnsi="Arial"/>
                <w:sz w:val="16"/>
                <w:szCs w:val="16"/>
                <w:color w:val="auto"/>
              </w:rPr>
              <w:t>Net of Tax</w:t>
            </w:r>
          </w:p>
        </w:tc>
        <w:tc>
          <w:tcPr>
            <w:tcW w:w="0" w:type="dxa"/>
            <w:vAlign w:val="bottom"/>
          </w:tcPr>
          <w:p>
            <w:pPr>
              <w:spacing w:after="0"/>
              <w:rPr>
                <w:sz w:val="1"/>
                <w:szCs w:val="1"/>
                <w:color w:val="auto"/>
              </w:rPr>
            </w:pPr>
          </w:p>
        </w:tc>
      </w:tr>
      <w:tr>
        <w:trPr>
          <w:trHeight w:val="184"/>
        </w:trPr>
        <w:tc>
          <w:tcPr>
            <w:tcW w:w="4460" w:type="dxa"/>
            <w:vAlign w:val="bottom"/>
          </w:tcPr>
          <w:p>
            <w:pPr>
              <w:spacing w:after="0"/>
              <w:rPr>
                <w:sz w:val="20"/>
                <w:szCs w:val="20"/>
                <w:color w:val="auto"/>
              </w:rPr>
            </w:pPr>
            <w:r>
              <w:rPr>
                <w:rFonts w:ascii="Arial" w:cs="Arial" w:eastAsia="Arial" w:hAnsi="Arial"/>
                <w:sz w:val="16"/>
                <w:szCs w:val="16"/>
                <w:color w:val="auto"/>
              </w:rPr>
              <w:t>Pension and Other Postretirement Plans</w:t>
            </w:r>
          </w:p>
        </w:tc>
        <w:tc>
          <w:tcPr>
            <w:tcW w:w="320" w:type="dxa"/>
            <w:vAlign w:val="bottom"/>
          </w:tcPr>
          <w:p>
            <w:pPr>
              <w:spacing w:after="0"/>
              <w:rPr>
                <w:sz w:val="16"/>
                <w:szCs w:val="16"/>
                <w:color w:val="auto"/>
              </w:rPr>
            </w:pPr>
          </w:p>
        </w:tc>
        <w:tc>
          <w:tcPr>
            <w:tcW w:w="880" w:type="dxa"/>
            <w:vAlign w:val="bottom"/>
            <w:vMerge w:val="restart"/>
          </w:tcPr>
          <w:p>
            <w:pPr>
              <w:jc w:val="right"/>
              <w:ind w:right="22"/>
              <w:spacing w:after="0"/>
              <w:rPr>
                <w:sz w:val="20"/>
                <w:szCs w:val="20"/>
                <w:color w:val="auto"/>
              </w:rPr>
            </w:pPr>
            <w:r>
              <w:rPr>
                <w:rFonts w:ascii="Arial" w:cs="Arial" w:eastAsia="Arial" w:hAnsi="Arial"/>
                <w:sz w:val="16"/>
                <w:szCs w:val="16"/>
                <w:b w:val="1"/>
                <w:bCs w:val="1"/>
                <w:color w:val="auto"/>
              </w:rPr>
              <w:t>(384)</w:t>
            </w: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vMerge w:val="restart"/>
          </w:tcPr>
          <w:p>
            <w:pPr>
              <w:jc w:val="right"/>
              <w:ind w:right="62"/>
              <w:spacing w:after="0"/>
              <w:rPr>
                <w:sz w:val="20"/>
                <w:szCs w:val="20"/>
                <w:color w:val="auto"/>
              </w:rPr>
            </w:pPr>
            <w:r>
              <w:rPr>
                <w:rFonts w:ascii="Arial" w:cs="Arial" w:eastAsia="Arial" w:hAnsi="Arial"/>
                <w:sz w:val="16"/>
                <w:szCs w:val="16"/>
                <w:b w:val="1"/>
                <w:bCs w:val="1"/>
                <w:color w:val="auto"/>
              </w:rPr>
              <w:t>(821)</w:t>
            </w: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500" w:type="dxa"/>
            <w:vAlign w:val="bottom"/>
            <w:vMerge w:val="restart"/>
          </w:tcPr>
          <w:p>
            <w:pPr>
              <w:ind w:left="10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9"/>
        </w:trPr>
        <w:tc>
          <w:tcPr>
            <w:tcW w:w="4460" w:type="dxa"/>
            <w:vAlign w:val="bottom"/>
          </w:tcPr>
          <w:p>
            <w:pPr>
              <w:ind w:left="240"/>
              <w:spacing w:after="0" w:line="169" w:lineRule="exact"/>
              <w:rPr>
                <w:sz w:val="20"/>
                <w:szCs w:val="20"/>
                <w:color w:val="auto"/>
              </w:rPr>
            </w:pPr>
            <w:r>
              <w:rPr>
                <w:rFonts w:ascii="Arial" w:cs="Arial" w:eastAsia="Arial" w:hAnsi="Arial"/>
                <w:sz w:val="16"/>
                <w:szCs w:val="16"/>
                <w:color w:val="auto"/>
              </w:rPr>
              <w:t>Amortization of net prior service credit</w:t>
            </w:r>
          </w:p>
        </w:tc>
        <w:tc>
          <w:tcPr>
            <w:tcW w:w="3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jc w:val="right"/>
              <w:ind w:right="21"/>
              <w:spacing w:after="0" w:line="169" w:lineRule="exact"/>
              <w:rPr>
                <w:sz w:val="20"/>
                <w:szCs w:val="20"/>
                <w:color w:val="auto"/>
              </w:rPr>
            </w:pPr>
            <w:r>
              <w:rPr>
                <w:rFonts w:ascii="Arial" w:cs="Arial" w:eastAsia="Arial" w:hAnsi="Arial"/>
                <w:sz w:val="16"/>
                <w:szCs w:val="16"/>
                <w:color w:val="auto"/>
              </w:rPr>
              <w:t>(470)</w:t>
            </w:r>
          </w:p>
        </w:tc>
        <w:tc>
          <w:tcPr>
            <w:tcW w:w="2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jc w:val="right"/>
              <w:spacing w:after="0" w:line="169" w:lineRule="exact"/>
              <w:rPr>
                <w:sz w:val="20"/>
                <w:szCs w:val="20"/>
                <w:color w:val="auto"/>
              </w:rPr>
            </w:pPr>
            <w:r>
              <w:rPr>
                <w:rFonts w:ascii="Arial" w:cs="Arial" w:eastAsia="Arial" w:hAnsi="Arial"/>
                <w:sz w:val="16"/>
                <w:szCs w:val="16"/>
                <w:color w:val="auto"/>
              </w:rPr>
              <w:t>(921)</w:t>
            </w:r>
          </w:p>
        </w:tc>
        <w:tc>
          <w:tcPr>
            <w:tcW w:w="2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60" w:type="dxa"/>
            <w:vAlign w:val="bottom"/>
          </w:tcPr>
          <w:p>
            <w:pPr>
              <w:ind w:left="240"/>
              <w:spacing w:after="0"/>
              <w:rPr>
                <w:sz w:val="20"/>
                <w:szCs w:val="20"/>
                <w:color w:val="auto"/>
              </w:rPr>
            </w:pPr>
            <w:r>
              <w:rPr>
                <w:rFonts w:ascii="Arial" w:cs="Arial" w:eastAsia="Arial" w:hAnsi="Arial"/>
                <w:sz w:val="16"/>
                <w:szCs w:val="16"/>
                <w:color w:val="auto"/>
              </w:rPr>
              <w:t>Amortization of net actuarial loss</w:t>
            </w:r>
          </w:p>
        </w:tc>
        <w:tc>
          <w:tcPr>
            <w:tcW w:w="320" w:type="dxa"/>
            <w:vAlign w:val="bottom"/>
          </w:tcPr>
          <w:p>
            <w:pPr>
              <w:spacing w:after="0"/>
              <w:rPr>
                <w:sz w:val="16"/>
                <w:szCs w:val="16"/>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b w:val="1"/>
                <w:bCs w:val="1"/>
                <w:color w:val="auto"/>
              </w:rPr>
              <w:t>2,004</w:t>
            </w:r>
          </w:p>
        </w:tc>
        <w:tc>
          <w:tcPr>
            <w:tcW w:w="320" w:type="dxa"/>
            <w:vAlign w:val="bottom"/>
          </w:tcPr>
          <w:p>
            <w:pPr>
              <w:spacing w:after="0"/>
              <w:rPr>
                <w:sz w:val="16"/>
                <w:szCs w:val="16"/>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2,590</w:t>
            </w:r>
          </w:p>
        </w:tc>
        <w:tc>
          <w:tcPr>
            <w:tcW w:w="280" w:type="dxa"/>
            <w:vAlign w:val="bottom"/>
          </w:tcPr>
          <w:p>
            <w:pPr>
              <w:spacing w:after="0"/>
              <w:rPr>
                <w:sz w:val="16"/>
                <w:szCs w:val="16"/>
                <w:color w:val="auto"/>
              </w:rPr>
            </w:pPr>
          </w:p>
        </w:tc>
        <w:tc>
          <w:tcPr>
            <w:tcW w:w="800" w:type="dxa"/>
            <w:vAlign w:val="bottom"/>
          </w:tcPr>
          <w:p>
            <w:pPr>
              <w:jc w:val="right"/>
              <w:ind w:right="62"/>
              <w:spacing w:after="0"/>
              <w:rPr>
                <w:sz w:val="20"/>
                <w:szCs w:val="20"/>
                <w:color w:val="auto"/>
              </w:rPr>
            </w:pPr>
            <w:r>
              <w:rPr>
                <w:rFonts w:ascii="Arial" w:cs="Arial" w:eastAsia="Arial" w:hAnsi="Arial"/>
                <w:sz w:val="16"/>
                <w:szCs w:val="16"/>
                <w:b w:val="1"/>
                <w:bCs w:val="1"/>
                <w:color w:val="auto"/>
              </w:rPr>
              <w:t>4,321</w:t>
            </w:r>
          </w:p>
        </w:tc>
        <w:tc>
          <w:tcPr>
            <w:tcW w:w="3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4,247</w:t>
            </w:r>
          </w:p>
        </w:tc>
        <w:tc>
          <w:tcPr>
            <w:tcW w:w="2500" w:type="dxa"/>
            <w:vAlign w:val="bottom"/>
          </w:tcPr>
          <w:p>
            <w:pPr>
              <w:ind w:left="10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7"/>
        </w:trPr>
        <w:tc>
          <w:tcPr>
            <w:tcW w:w="4460" w:type="dxa"/>
            <w:vAlign w:val="bottom"/>
          </w:tcPr>
          <w:p>
            <w:pPr>
              <w:ind w:left="240"/>
              <w:spacing w:after="0"/>
              <w:rPr>
                <w:sz w:val="20"/>
                <w:szCs w:val="20"/>
                <w:color w:val="auto"/>
              </w:rPr>
            </w:pPr>
            <w:r>
              <w:rPr>
                <w:rFonts w:ascii="Arial" w:cs="Arial" w:eastAsia="Arial" w:hAnsi="Arial"/>
                <w:sz w:val="16"/>
                <w:szCs w:val="16"/>
                <w:color w:val="auto"/>
              </w:rPr>
              <w:t>Settlement gain</w:t>
            </w: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(3,471)</w:t>
            </w:r>
          </w:p>
        </w:tc>
        <w:tc>
          <w:tcPr>
            <w:tcW w:w="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500" w:type="dxa"/>
            <w:vAlign w:val="bottom"/>
          </w:tcPr>
          <w:p>
            <w:pPr>
              <w:ind w:left="10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4"/>
        </w:trPr>
        <w:tc>
          <w:tcPr>
            <w:tcW w:w="4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jc w:val="right"/>
              <w:ind w:right="22"/>
              <w:spacing w:after="0" w:line="165" w:lineRule="exact"/>
              <w:rPr>
                <w:sz w:val="20"/>
                <w:szCs w:val="20"/>
                <w:color w:val="auto"/>
              </w:rPr>
            </w:pPr>
            <w:r>
              <w:rPr>
                <w:rFonts w:ascii="Arial" w:cs="Arial" w:eastAsia="Arial" w:hAnsi="Arial"/>
                <w:sz w:val="16"/>
                <w:szCs w:val="16"/>
                <w:b w:val="1"/>
                <w:bCs w:val="1"/>
                <w:color w:val="auto"/>
              </w:rPr>
              <w:t>1,620</w:t>
            </w:r>
          </w:p>
        </w:tc>
        <w:tc>
          <w:tcPr>
            <w:tcW w:w="320" w:type="dxa"/>
            <w:vAlign w:val="bottom"/>
          </w:tcPr>
          <w:p>
            <w:pPr>
              <w:spacing w:after="0"/>
              <w:rPr>
                <w:sz w:val="14"/>
                <w:szCs w:val="14"/>
                <w:color w:val="auto"/>
              </w:rPr>
            </w:pPr>
          </w:p>
        </w:tc>
        <w:tc>
          <w:tcPr>
            <w:tcW w:w="840" w:type="dxa"/>
            <w:vAlign w:val="bottom"/>
          </w:tcPr>
          <w:p>
            <w:pPr>
              <w:jc w:val="right"/>
              <w:ind w:right="21"/>
              <w:spacing w:after="0" w:line="165" w:lineRule="exact"/>
              <w:rPr>
                <w:sz w:val="20"/>
                <w:szCs w:val="20"/>
                <w:color w:val="auto"/>
              </w:rPr>
            </w:pPr>
            <w:r>
              <w:rPr>
                <w:rFonts w:ascii="Arial" w:cs="Arial" w:eastAsia="Arial" w:hAnsi="Arial"/>
                <w:sz w:val="16"/>
                <w:szCs w:val="16"/>
                <w:color w:val="auto"/>
              </w:rPr>
              <w:t>2,120</w:t>
            </w:r>
          </w:p>
        </w:tc>
        <w:tc>
          <w:tcPr>
            <w:tcW w:w="280" w:type="dxa"/>
            <w:vAlign w:val="bottom"/>
          </w:tcPr>
          <w:p>
            <w:pPr>
              <w:spacing w:after="0"/>
              <w:rPr>
                <w:sz w:val="14"/>
                <w:szCs w:val="14"/>
                <w:color w:val="auto"/>
              </w:rPr>
            </w:pPr>
          </w:p>
        </w:tc>
        <w:tc>
          <w:tcPr>
            <w:tcW w:w="800" w:type="dxa"/>
            <w:vAlign w:val="bottom"/>
          </w:tcPr>
          <w:p>
            <w:pPr>
              <w:jc w:val="right"/>
              <w:ind w:right="62"/>
              <w:spacing w:after="0" w:line="165" w:lineRule="exact"/>
              <w:rPr>
                <w:sz w:val="20"/>
                <w:szCs w:val="20"/>
                <w:color w:val="auto"/>
              </w:rPr>
            </w:pPr>
            <w:r>
              <w:rPr>
                <w:rFonts w:ascii="Arial" w:cs="Arial" w:eastAsia="Arial" w:hAnsi="Arial"/>
                <w:sz w:val="16"/>
                <w:szCs w:val="16"/>
                <w:b w:val="1"/>
                <w:bCs w:val="1"/>
                <w:color w:val="auto"/>
              </w:rPr>
              <w:t>29</w:t>
            </w:r>
          </w:p>
        </w:tc>
        <w:tc>
          <w:tcPr>
            <w:tcW w:w="340" w:type="dxa"/>
            <w:vAlign w:val="bottom"/>
          </w:tcPr>
          <w:p>
            <w:pPr>
              <w:spacing w:after="0"/>
              <w:rPr>
                <w:sz w:val="14"/>
                <w:szCs w:val="14"/>
                <w:color w:val="auto"/>
              </w:rPr>
            </w:pPr>
          </w:p>
        </w:tc>
        <w:tc>
          <w:tcPr>
            <w:tcW w:w="680" w:type="dxa"/>
            <w:vAlign w:val="bottom"/>
          </w:tcPr>
          <w:p>
            <w:pPr>
              <w:jc w:val="right"/>
              <w:spacing w:after="0" w:line="165" w:lineRule="exact"/>
              <w:rPr>
                <w:sz w:val="20"/>
                <w:szCs w:val="20"/>
                <w:color w:val="auto"/>
              </w:rPr>
            </w:pPr>
            <w:r>
              <w:rPr>
                <w:rFonts w:ascii="Arial" w:cs="Arial" w:eastAsia="Arial" w:hAnsi="Arial"/>
                <w:sz w:val="16"/>
                <w:szCs w:val="16"/>
                <w:color w:val="auto"/>
              </w:rPr>
              <w:t>3,326</w:t>
            </w:r>
          </w:p>
        </w:tc>
        <w:tc>
          <w:tcPr>
            <w:tcW w:w="2500" w:type="dxa"/>
            <w:vAlign w:val="bottom"/>
          </w:tcPr>
          <w:p>
            <w:pPr>
              <w:ind w:left="100"/>
              <w:spacing w:after="0" w:line="165" w:lineRule="exact"/>
              <w:rPr>
                <w:sz w:val="20"/>
                <w:szCs w:val="20"/>
                <w:color w:val="auto"/>
              </w:rPr>
            </w:pPr>
            <w:r>
              <w:rPr>
                <w:rFonts w:ascii="Arial" w:cs="Arial" w:eastAsia="Arial" w:hAnsi="Arial"/>
                <w:sz w:val="16"/>
                <w:szCs w:val="16"/>
                <w:color w:val="auto"/>
              </w:rPr>
              <w:t>Before tax</w:t>
            </w:r>
          </w:p>
        </w:tc>
        <w:tc>
          <w:tcPr>
            <w:tcW w:w="0" w:type="dxa"/>
            <w:vAlign w:val="bottom"/>
          </w:tcPr>
          <w:p>
            <w:pPr>
              <w:spacing w:after="0"/>
              <w:rPr>
                <w:sz w:val="1"/>
                <w:szCs w:val="1"/>
                <w:color w:val="auto"/>
              </w:rPr>
            </w:pPr>
          </w:p>
        </w:tc>
      </w:tr>
      <w:tr>
        <w:trPr>
          <w:trHeight w:val="207"/>
        </w:trPr>
        <w:tc>
          <w:tcPr>
            <w:tcW w:w="44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(648)</w:t>
            </w: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(848)</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(12)</w:t>
            </w:r>
          </w:p>
        </w:tc>
        <w:tc>
          <w:tcPr>
            <w:tcW w:w="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(1,330)</w:t>
            </w:r>
          </w:p>
        </w:tc>
        <w:tc>
          <w:tcPr>
            <w:tcW w:w="2500" w:type="dxa"/>
            <w:vAlign w:val="bottom"/>
          </w:tcPr>
          <w:p>
            <w:pPr>
              <w:ind w:left="100"/>
              <w:spacing w:after="0"/>
              <w:rPr>
                <w:sz w:val="20"/>
                <w:szCs w:val="20"/>
                <w:color w:val="auto"/>
              </w:rPr>
            </w:pPr>
            <w:r>
              <w:rPr>
                <w:rFonts w:ascii="Arial" w:cs="Arial" w:eastAsia="Arial" w:hAnsi="Arial"/>
                <w:sz w:val="16"/>
                <w:szCs w:val="16"/>
                <w:color w:val="auto"/>
              </w:rPr>
              <w:t>Provision for Income Taxes</w:t>
            </w:r>
          </w:p>
        </w:tc>
        <w:tc>
          <w:tcPr>
            <w:tcW w:w="0" w:type="dxa"/>
            <w:vAlign w:val="bottom"/>
          </w:tcPr>
          <w:p>
            <w:pPr>
              <w:spacing w:after="0"/>
              <w:rPr>
                <w:sz w:val="1"/>
                <w:szCs w:val="1"/>
                <w:color w:val="auto"/>
              </w:rPr>
            </w:pPr>
          </w:p>
        </w:tc>
      </w:tr>
      <w:tr>
        <w:trPr>
          <w:trHeight w:val="183"/>
        </w:trPr>
        <w:tc>
          <w:tcPr>
            <w:tcW w:w="44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2"/>
              <w:spacing w:after="0" w:line="183" w:lineRule="exact"/>
              <w:rPr>
                <w:sz w:val="20"/>
                <w:szCs w:val="20"/>
                <w:color w:val="auto"/>
              </w:rPr>
            </w:pPr>
            <w:r>
              <w:rPr>
                <w:rFonts w:ascii="Arial" w:cs="Arial" w:eastAsia="Arial" w:hAnsi="Arial"/>
                <w:sz w:val="16"/>
                <w:szCs w:val="16"/>
                <w:b w:val="1"/>
                <w:bCs w:val="1"/>
                <w:color w:val="auto"/>
              </w:rPr>
              <w:t>972</w:t>
            </w: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1"/>
              <w:spacing w:after="0" w:line="183" w:lineRule="exact"/>
              <w:rPr>
                <w:sz w:val="20"/>
                <w:szCs w:val="20"/>
                <w:color w:val="auto"/>
              </w:rPr>
            </w:pPr>
            <w:r>
              <w:rPr>
                <w:rFonts w:ascii="Arial" w:cs="Arial" w:eastAsia="Arial" w:hAnsi="Arial"/>
                <w:sz w:val="16"/>
                <w:szCs w:val="16"/>
                <w:color w:val="auto"/>
              </w:rPr>
              <w:t>1,272</w:t>
            </w:r>
          </w:p>
        </w:tc>
        <w:tc>
          <w:tcPr>
            <w:tcW w:w="2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62"/>
              <w:spacing w:after="0" w:line="183" w:lineRule="exact"/>
              <w:rPr>
                <w:sz w:val="20"/>
                <w:szCs w:val="20"/>
                <w:color w:val="auto"/>
              </w:rPr>
            </w:pPr>
            <w:r>
              <w:rPr>
                <w:rFonts w:ascii="Arial" w:cs="Arial" w:eastAsia="Arial" w:hAnsi="Arial"/>
                <w:sz w:val="16"/>
                <w:szCs w:val="16"/>
                <w:b w:val="1"/>
                <w:bCs w:val="1"/>
                <w:color w:val="auto"/>
              </w:rPr>
              <w:t>17</w:t>
            </w:r>
          </w:p>
        </w:tc>
        <w:tc>
          <w:tcPr>
            <w:tcW w:w="3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1,996</w:t>
            </w:r>
          </w:p>
        </w:tc>
        <w:tc>
          <w:tcPr>
            <w:tcW w:w="2500" w:type="dxa"/>
            <w:vAlign w:val="bottom"/>
          </w:tcPr>
          <w:p>
            <w:pPr>
              <w:ind w:left="100"/>
              <w:spacing w:after="0" w:line="183" w:lineRule="exact"/>
              <w:rPr>
                <w:sz w:val="20"/>
                <w:szCs w:val="20"/>
                <w:color w:val="auto"/>
              </w:rPr>
            </w:pPr>
            <w:r>
              <w:rPr>
                <w:rFonts w:ascii="Arial" w:cs="Arial" w:eastAsia="Arial" w:hAnsi="Arial"/>
                <w:sz w:val="16"/>
                <w:szCs w:val="16"/>
                <w:color w:val="auto"/>
              </w:rPr>
              <w:t>Net of Tax</w:t>
            </w:r>
          </w:p>
        </w:tc>
        <w:tc>
          <w:tcPr>
            <w:tcW w:w="0" w:type="dxa"/>
            <w:vAlign w:val="bottom"/>
          </w:tcPr>
          <w:p>
            <w:pPr>
              <w:spacing w:after="0"/>
              <w:rPr>
                <w:sz w:val="1"/>
                <w:szCs w:val="1"/>
                <w:color w:val="auto"/>
              </w:rPr>
            </w:pPr>
          </w:p>
        </w:tc>
      </w:tr>
      <w:tr>
        <w:trPr>
          <w:trHeight w:val="190"/>
        </w:trPr>
        <w:tc>
          <w:tcPr>
            <w:tcW w:w="4460" w:type="dxa"/>
            <w:vAlign w:val="bottom"/>
          </w:tcPr>
          <w:p>
            <w:pPr>
              <w:spacing w:after="0"/>
              <w:rPr>
                <w:sz w:val="20"/>
                <w:szCs w:val="20"/>
                <w:color w:val="auto"/>
              </w:rPr>
            </w:pPr>
            <w:r>
              <w:rPr>
                <w:rFonts w:ascii="Arial" w:cs="Arial" w:eastAsia="Arial" w:hAnsi="Arial"/>
                <w:sz w:val="16"/>
                <w:szCs w:val="16"/>
                <w:color w:val="auto"/>
              </w:rPr>
              <w:t>Cash Flow Hedge</w:t>
            </w:r>
          </w:p>
        </w:tc>
        <w:tc>
          <w:tcPr>
            <w:tcW w:w="320" w:type="dxa"/>
            <w:vAlign w:val="bottom"/>
          </w:tcPr>
          <w:p>
            <w:pPr>
              <w:spacing w:after="0"/>
              <w:rPr>
                <w:sz w:val="16"/>
                <w:szCs w:val="16"/>
                <w:color w:val="auto"/>
              </w:rPr>
            </w:pPr>
          </w:p>
        </w:tc>
        <w:tc>
          <w:tcPr>
            <w:tcW w:w="880" w:type="dxa"/>
            <w:vAlign w:val="bottom"/>
            <w:vMerge w:val="restart"/>
          </w:tcPr>
          <w:p>
            <w:pPr>
              <w:jc w:val="right"/>
              <w:ind w:right="22"/>
              <w:spacing w:after="0"/>
              <w:rPr>
                <w:sz w:val="20"/>
                <w:szCs w:val="20"/>
                <w:color w:val="auto"/>
              </w:rPr>
            </w:pPr>
            <w:r>
              <w:rPr>
                <w:rFonts w:ascii="Arial" w:cs="Arial" w:eastAsia="Arial" w:hAnsi="Arial"/>
                <w:sz w:val="16"/>
                <w:szCs w:val="16"/>
                <w:b w:val="1"/>
                <w:bCs w:val="1"/>
                <w:color w:val="auto"/>
              </w:rPr>
              <w:t>197</w:t>
            </w:r>
          </w:p>
        </w:tc>
        <w:tc>
          <w:tcPr>
            <w:tcW w:w="320" w:type="dxa"/>
            <w:vAlign w:val="bottom"/>
          </w:tcPr>
          <w:p>
            <w:pPr>
              <w:spacing w:after="0"/>
              <w:rPr>
                <w:sz w:val="16"/>
                <w:szCs w:val="16"/>
                <w:color w:val="auto"/>
              </w:rPr>
            </w:pPr>
          </w:p>
        </w:tc>
        <w:tc>
          <w:tcPr>
            <w:tcW w:w="840" w:type="dxa"/>
            <w:vAlign w:val="bottom"/>
            <w:vMerge w:val="restart"/>
          </w:tcPr>
          <w:p>
            <w:pPr>
              <w:jc w:val="right"/>
              <w:ind w:right="21"/>
              <w:spacing w:after="0"/>
              <w:rPr>
                <w:sz w:val="20"/>
                <w:szCs w:val="20"/>
                <w:color w:val="auto"/>
              </w:rPr>
            </w:pPr>
            <w:r>
              <w:rPr>
                <w:rFonts w:ascii="Arial" w:cs="Arial" w:eastAsia="Arial" w:hAnsi="Arial"/>
                <w:sz w:val="16"/>
                <w:szCs w:val="16"/>
                <w:color w:val="auto"/>
              </w:rPr>
              <w:t>35</w:t>
            </w:r>
          </w:p>
        </w:tc>
        <w:tc>
          <w:tcPr>
            <w:tcW w:w="280" w:type="dxa"/>
            <w:vAlign w:val="bottom"/>
          </w:tcPr>
          <w:p>
            <w:pPr>
              <w:spacing w:after="0"/>
              <w:rPr>
                <w:sz w:val="16"/>
                <w:szCs w:val="16"/>
                <w:color w:val="auto"/>
              </w:rPr>
            </w:pPr>
          </w:p>
        </w:tc>
        <w:tc>
          <w:tcPr>
            <w:tcW w:w="800" w:type="dxa"/>
            <w:vAlign w:val="bottom"/>
            <w:vMerge w:val="restart"/>
          </w:tcPr>
          <w:p>
            <w:pPr>
              <w:jc w:val="right"/>
              <w:ind w:right="62"/>
              <w:spacing w:after="0"/>
              <w:rPr>
                <w:sz w:val="20"/>
                <w:szCs w:val="20"/>
                <w:color w:val="auto"/>
              </w:rPr>
            </w:pPr>
            <w:r>
              <w:rPr>
                <w:rFonts w:ascii="Arial" w:cs="Arial" w:eastAsia="Arial" w:hAnsi="Arial"/>
                <w:sz w:val="16"/>
                <w:szCs w:val="16"/>
                <w:b w:val="1"/>
                <w:bCs w:val="1"/>
                <w:color w:val="auto"/>
              </w:rPr>
              <w:t>383</w:t>
            </w:r>
          </w:p>
        </w:tc>
        <w:tc>
          <w:tcPr>
            <w:tcW w:w="34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35</w:t>
            </w:r>
          </w:p>
        </w:tc>
        <w:tc>
          <w:tcPr>
            <w:tcW w:w="2500" w:type="dxa"/>
            <w:vAlign w:val="bottom"/>
            <w:vMerge w:val="restart"/>
          </w:tcPr>
          <w:p>
            <w:pPr>
              <w:ind w:left="100"/>
              <w:spacing w:after="0"/>
              <w:rPr>
                <w:sz w:val="20"/>
                <w:szCs w:val="20"/>
                <w:color w:val="auto"/>
              </w:rPr>
            </w:pPr>
            <w:r>
              <w:rPr>
                <w:rFonts w:ascii="Arial" w:cs="Arial" w:eastAsia="Arial" w:hAnsi="Arial"/>
                <w:sz w:val="16"/>
                <w:szCs w:val="16"/>
                <w:color w:val="auto"/>
              </w:rPr>
              <w:t>Interest expense</w:t>
            </w:r>
          </w:p>
        </w:tc>
        <w:tc>
          <w:tcPr>
            <w:tcW w:w="0" w:type="dxa"/>
            <w:vAlign w:val="bottom"/>
          </w:tcPr>
          <w:p>
            <w:pPr>
              <w:spacing w:after="0"/>
              <w:rPr>
                <w:sz w:val="1"/>
                <w:szCs w:val="1"/>
                <w:color w:val="auto"/>
              </w:rPr>
            </w:pPr>
          </w:p>
        </w:tc>
      </w:tr>
      <w:tr>
        <w:trPr>
          <w:trHeight w:val="163"/>
        </w:trPr>
        <w:tc>
          <w:tcPr>
            <w:tcW w:w="4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44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(79)</w:t>
            </w: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(14)</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(153)</w:t>
            </w:r>
          </w:p>
        </w:tc>
        <w:tc>
          <w:tcPr>
            <w:tcW w:w="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2500" w:type="dxa"/>
            <w:vAlign w:val="bottom"/>
          </w:tcPr>
          <w:p>
            <w:pPr>
              <w:ind w:left="100"/>
              <w:spacing w:after="0"/>
              <w:rPr>
                <w:sz w:val="20"/>
                <w:szCs w:val="20"/>
                <w:color w:val="auto"/>
              </w:rPr>
            </w:pPr>
            <w:r>
              <w:rPr>
                <w:rFonts w:ascii="Arial" w:cs="Arial" w:eastAsia="Arial" w:hAnsi="Arial"/>
                <w:sz w:val="16"/>
                <w:szCs w:val="16"/>
                <w:color w:val="auto"/>
              </w:rPr>
              <w:t>Provision for Income Taxes</w:t>
            </w:r>
          </w:p>
        </w:tc>
        <w:tc>
          <w:tcPr>
            <w:tcW w:w="0" w:type="dxa"/>
            <w:vAlign w:val="bottom"/>
          </w:tcPr>
          <w:p>
            <w:pPr>
              <w:spacing w:after="0"/>
              <w:rPr>
                <w:sz w:val="1"/>
                <w:szCs w:val="1"/>
                <w:color w:val="auto"/>
              </w:rPr>
            </w:pPr>
          </w:p>
        </w:tc>
      </w:tr>
      <w:tr>
        <w:trPr>
          <w:trHeight w:val="183"/>
        </w:trPr>
        <w:tc>
          <w:tcPr>
            <w:tcW w:w="44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2"/>
              <w:spacing w:after="0" w:line="183" w:lineRule="exact"/>
              <w:rPr>
                <w:sz w:val="20"/>
                <w:szCs w:val="20"/>
                <w:color w:val="auto"/>
              </w:rPr>
            </w:pPr>
            <w:r>
              <w:rPr>
                <w:rFonts w:ascii="Arial" w:cs="Arial" w:eastAsia="Arial" w:hAnsi="Arial"/>
                <w:sz w:val="16"/>
                <w:szCs w:val="16"/>
                <w:b w:val="1"/>
                <w:bCs w:val="1"/>
                <w:color w:val="auto"/>
              </w:rPr>
              <w:t>118</w:t>
            </w:r>
          </w:p>
        </w:tc>
        <w:tc>
          <w:tcPr>
            <w:tcW w:w="3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1"/>
              <w:spacing w:after="0" w:line="183" w:lineRule="exact"/>
              <w:rPr>
                <w:sz w:val="20"/>
                <w:szCs w:val="20"/>
                <w:color w:val="auto"/>
              </w:rPr>
            </w:pPr>
            <w:r>
              <w:rPr>
                <w:rFonts w:ascii="Arial" w:cs="Arial" w:eastAsia="Arial" w:hAnsi="Arial"/>
                <w:sz w:val="16"/>
                <w:szCs w:val="16"/>
                <w:color w:val="auto"/>
              </w:rPr>
              <w:t>21</w:t>
            </w:r>
          </w:p>
        </w:tc>
        <w:tc>
          <w:tcPr>
            <w:tcW w:w="2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62"/>
              <w:spacing w:after="0" w:line="183" w:lineRule="exact"/>
              <w:rPr>
                <w:sz w:val="20"/>
                <w:szCs w:val="20"/>
                <w:color w:val="auto"/>
              </w:rPr>
            </w:pPr>
            <w:r>
              <w:rPr>
                <w:rFonts w:ascii="Arial" w:cs="Arial" w:eastAsia="Arial" w:hAnsi="Arial"/>
                <w:sz w:val="16"/>
                <w:szCs w:val="16"/>
                <w:b w:val="1"/>
                <w:bCs w:val="1"/>
                <w:color w:val="auto"/>
              </w:rPr>
              <w:t>230</w:t>
            </w:r>
          </w:p>
        </w:tc>
        <w:tc>
          <w:tcPr>
            <w:tcW w:w="3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21</w:t>
            </w:r>
          </w:p>
        </w:tc>
        <w:tc>
          <w:tcPr>
            <w:tcW w:w="2500" w:type="dxa"/>
            <w:vAlign w:val="bottom"/>
          </w:tcPr>
          <w:p>
            <w:pPr>
              <w:ind w:left="100"/>
              <w:spacing w:after="0" w:line="183" w:lineRule="exact"/>
              <w:rPr>
                <w:sz w:val="20"/>
                <w:szCs w:val="20"/>
                <w:color w:val="auto"/>
              </w:rPr>
            </w:pPr>
            <w:r>
              <w:rPr>
                <w:rFonts w:ascii="Arial" w:cs="Arial" w:eastAsia="Arial" w:hAnsi="Arial"/>
                <w:sz w:val="16"/>
                <w:szCs w:val="16"/>
                <w:color w:val="auto"/>
              </w:rPr>
              <w:t>Net of Tax</w:t>
            </w:r>
          </w:p>
        </w:tc>
        <w:tc>
          <w:tcPr>
            <w:tcW w:w="0" w:type="dxa"/>
            <w:vAlign w:val="bottom"/>
          </w:tcPr>
          <w:p>
            <w:pPr>
              <w:spacing w:after="0"/>
              <w:rPr>
                <w:sz w:val="1"/>
                <w:szCs w:val="1"/>
                <w:color w:val="auto"/>
              </w:rPr>
            </w:pPr>
          </w:p>
        </w:tc>
      </w:tr>
      <w:tr>
        <w:trPr>
          <w:trHeight w:val="183"/>
        </w:trPr>
        <w:tc>
          <w:tcPr>
            <w:tcW w:w="4460" w:type="dxa"/>
            <w:vAlign w:val="bottom"/>
          </w:tcPr>
          <w:p>
            <w:pPr>
              <w:spacing w:after="0" w:line="183" w:lineRule="exact"/>
              <w:rPr>
                <w:sz w:val="20"/>
                <w:szCs w:val="20"/>
                <w:color w:val="auto"/>
              </w:rPr>
            </w:pPr>
            <w:r>
              <w:rPr>
                <w:rFonts w:ascii="Arial" w:cs="Arial" w:eastAsia="Arial" w:hAnsi="Arial"/>
                <w:sz w:val="16"/>
                <w:szCs w:val="16"/>
                <w:color w:val="auto"/>
              </w:rPr>
              <w:t>Total reclassification for the period</w:t>
            </w:r>
          </w:p>
        </w:tc>
        <w:tc>
          <w:tcPr>
            <w:tcW w:w="320" w:type="dxa"/>
            <w:vAlign w:val="bottom"/>
            <w:tcBorders>
              <w:bottom w:val="single" w:sz="8" w:color="auto"/>
            </w:tcBorders>
          </w:tcPr>
          <w:p>
            <w:pPr>
              <w:jc w:val="right"/>
              <w:ind w:right="3"/>
              <w:spacing w:after="0" w:line="183" w:lineRule="exact"/>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22"/>
              <w:spacing w:after="0" w:line="183" w:lineRule="exact"/>
              <w:rPr>
                <w:sz w:val="20"/>
                <w:szCs w:val="20"/>
                <w:color w:val="auto"/>
              </w:rPr>
            </w:pPr>
            <w:r>
              <w:rPr>
                <w:rFonts w:ascii="Arial" w:cs="Arial" w:eastAsia="Arial" w:hAnsi="Arial"/>
                <w:sz w:val="16"/>
                <w:szCs w:val="16"/>
                <w:b w:val="1"/>
                <w:bCs w:val="1"/>
                <w:color w:val="auto"/>
              </w:rPr>
              <w:t>890</w:t>
            </w:r>
          </w:p>
        </w:tc>
        <w:tc>
          <w:tcPr>
            <w:tcW w:w="3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21"/>
              <w:spacing w:after="0" w:line="183" w:lineRule="exact"/>
              <w:rPr>
                <w:sz w:val="20"/>
                <w:szCs w:val="20"/>
                <w:color w:val="auto"/>
              </w:rPr>
            </w:pPr>
            <w:r>
              <w:rPr>
                <w:rFonts w:ascii="Arial" w:cs="Arial" w:eastAsia="Arial" w:hAnsi="Arial"/>
                <w:sz w:val="16"/>
                <w:szCs w:val="16"/>
                <w:color w:val="auto"/>
              </w:rPr>
              <w:t>830</w:t>
            </w:r>
          </w:p>
        </w:tc>
        <w:tc>
          <w:tcPr>
            <w:tcW w:w="28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jc w:val="right"/>
              <w:ind w:right="62"/>
              <w:spacing w:after="0" w:line="183" w:lineRule="exact"/>
              <w:rPr>
                <w:sz w:val="20"/>
                <w:szCs w:val="20"/>
                <w:color w:val="auto"/>
              </w:rPr>
            </w:pPr>
            <w:r>
              <w:rPr>
                <w:rFonts w:ascii="Arial" w:cs="Arial" w:eastAsia="Arial" w:hAnsi="Arial"/>
                <w:sz w:val="16"/>
                <w:szCs w:val="16"/>
                <w:b w:val="1"/>
                <w:bCs w:val="1"/>
                <w:color w:val="auto"/>
              </w:rPr>
              <w:t>(284)</w:t>
            </w:r>
          </w:p>
        </w:tc>
        <w:tc>
          <w:tcPr>
            <w:tcW w:w="34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1,554</w:t>
            </w:r>
          </w:p>
        </w:tc>
        <w:tc>
          <w:tcPr>
            <w:tcW w:w="2500" w:type="dxa"/>
            <w:vAlign w:val="bottom"/>
          </w:tcPr>
          <w:p>
            <w:pPr>
              <w:ind w:left="100"/>
              <w:spacing w:after="0" w:line="183" w:lineRule="exact"/>
              <w:rPr>
                <w:sz w:val="20"/>
                <w:szCs w:val="20"/>
                <w:color w:val="auto"/>
              </w:rPr>
            </w:pPr>
            <w:r>
              <w:rPr>
                <w:rFonts w:ascii="Arial" w:cs="Arial" w:eastAsia="Arial" w:hAnsi="Arial"/>
                <w:sz w:val="16"/>
                <w:szCs w:val="16"/>
                <w:color w:val="auto"/>
              </w:rPr>
              <w:t>Net of Tax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8890</wp:posOffset>
            </wp:positionV>
            <wp:extent cx="283019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1" w:lineRule="exact"/>
        <w:rPr>
          <w:sz w:val="20"/>
          <w:szCs w:val="20"/>
          <w:color w:val="auto"/>
        </w:rPr>
      </w:pPr>
    </w:p>
    <w:p>
      <w:pPr>
        <w:ind w:left="440" w:hanging="433"/>
        <w:spacing w:after="0"/>
        <w:tabs>
          <w:tab w:leader="none" w:pos="44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These accumulated other comprehensive income components are included in the computation of net periodic pension cost (see Note 9).</w:t>
      </w:r>
    </w:p>
    <w:p>
      <w:pPr>
        <w:spacing w:after="0" w:line="167" w:lineRule="exact"/>
        <w:rPr>
          <w:rFonts w:ascii="Arial" w:cs="Arial" w:eastAsia="Arial" w:hAnsi="Arial"/>
          <w:sz w:val="14"/>
          <w:szCs w:val="14"/>
          <w:color w:val="auto"/>
        </w:rPr>
      </w:pPr>
    </w:p>
    <w:p>
      <w:pPr>
        <w:ind w:left="300" w:hanging="292"/>
        <w:spacing w:after="0"/>
        <w:tabs>
          <w:tab w:leader="none" w:pos="300" w:val="left"/>
        </w:tabs>
        <w:numPr>
          <w:ilvl w:val="1"/>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198"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b w:val="1"/>
          <w:bCs w:val="1"/>
          <w:color w:val="auto"/>
        </w:rPr>
        <w:t xml:space="preserve">Litigation and Legal Matters. </w:t>
      </w:r>
      <w:r>
        <w:rPr>
          <w:rFonts w:ascii="Arial" w:cs="Arial" w:eastAsia="Arial" w:hAnsi="Arial"/>
          <w:sz w:val="18"/>
          <w:szCs w:val="18"/>
          <w:color w:val="auto"/>
        </w:rPr>
        <w:t>The Company and its subsidiaries are involved in various legal proceedings that arise in the ordinary course of</w:t>
      </w:r>
      <w:r>
        <w:rPr>
          <w:rFonts w:ascii="Arial" w:cs="Arial" w:eastAsia="Arial" w:hAnsi="Arial"/>
          <w:sz w:val="18"/>
          <w:szCs w:val="18"/>
          <w:b w:val="1"/>
          <w:bCs w:val="1"/>
          <w:color w:val="auto"/>
        </w:rPr>
        <w:t xml:space="preserve"> </w:t>
      </w:r>
      <w:r>
        <w:rPr>
          <w:rFonts w:ascii="Arial" w:cs="Arial" w:eastAsia="Arial" w:hAnsi="Arial"/>
          <w:sz w:val="18"/>
          <w:szCs w:val="18"/>
          <w:color w:val="auto"/>
        </w:rPr>
        <w:t>its business. Although the outcomes of the legal claims and proceedings against the Company cannot be predicted with certainty, based on currently available information, management believes that there are no existing claims or proceedings that are likely to have a material effect on the Company's business, financial condition, results of operations or cash flows. Also, based on currently available information, management is of the opinion that the exposure to future material losses from existing legal proceedings is not reasonably possible, or that future material losses in excess of the amounts accrued are not reasonably possible.</w:t>
      </w:r>
    </w:p>
    <w:p>
      <w:pPr>
        <w:spacing w:after="0" w:line="166"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b w:val="1"/>
          <w:bCs w:val="1"/>
          <w:color w:val="auto"/>
        </w:rPr>
        <w:t xml:space="preserve">DOE Program Reviews. </w:t>
      </w:r>
      <w:r>
        <w:rPr>
          <w:rFonts w:ascii="Arial" w:cs="Arial" w:eastAsia="Arial" w:hAnsi="Arial"/>
          <w:sz w:val="18"/>
          <w:szCs w:val="18"/>
          <w:color w:val="auto"/>
        </w:rPr>
        <w:t>The U.S. Department of Education (DOE) undertakes program reviews at Title IV participating institutions. Currently,</w:t>
      </w:r>
      <w:r>
        <w:rPr>
          <w:rFonts w:ascii="Arial" w:cs="Arial" w:eastAsia="Arial" w:hAnsi="Arial"/>
          <w:sz w:val="18"/>
          <w:szCs w:val="18"/>
          <w:b w:val="1"/>
          <w:bCs w:val="1"/>
          <w:color w:val="auto"/>
        </w:rPr>
        <w:t xml:space="preserve"> </w:t>
      </w:r>
      <w:r>
        <w:rPr>
          <w:rFonts w:ascii="Arial" w:cs="Arial" w:eastAsia="Arial" w:hAnsi="Arial"/>
          <w:sz w:val="18"/>
          <w:szCs w:val="18"/>
          <w:color w:val="auto"/>
        </w:rPr>
        <w:t>there are six open and/or pending program reviews (including Kaplan University and Broomall, PA.) The Company is awaiting the DOE’s final report on the program review at KHE’s Broomall, PA, location. In May 2012, the DOE issued a preliminary report on its 2009 onsite program review at Kaplan University containing several findings that required Kaplan University to conduct additional, detailed file reviews and submit additional data. In January 2013, Kaplan submitted a response to the DOE’s data request and is awaiting a final report on this review. The Company does not expect the final program review reports to have a material impact on KHE; however, the results of these and the other open reviews and their impact on Kaplan’s operations are uncertain.</w:t>
      </w:r>
    </w:p>
    <w:p>
      <w:pPr>
        <w:spacing w:after="0" w:line="166"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b w:val="1"/>
          <w:bCs w:val="1"/>
          <w:color w:val="auto"/>
        </w:rPr>
        <w:t>The 90/10 Rule</w:t>
      </w:r>
      <w:r>
        <w:rPr>
          <w:rFonts w:ascii="Arial" w:cs="Arial" w:eastAsia="Arial" w:hAnsi="Arial"/>
          <w:sz w:val="17"/>
          <w:szCs w:val="17"/>
          <w:color w:val="auto"/>
        </w:rPr>
        <w:t>. Under regulations referred to as the 90/10 rule, a KHE OPEID unit would lose its eligibility to participate in Title IV programs</w:t>
      </w:r>
      <w:r>
        <w:rPr>
          <w:rFonts w:ascii="Arial" w:cs="Arial" w:eastAsia="Arial" w:hAnsi="Arial"/>
          <w:sz w:val="17"/>
          <w:szCs w:val="17"/>
          <w:b w:val="1"/>
          <w:bCs w:val="1"/>
          <w:color w:val="auto"/>
        </w:rPr>
        <w:t xml:space="preserve"> </w:t>
      </w:r>
      <w:r>
        <w:rPr>
          <w:rFonts w:ascii="Arial" w:cs="Arial" w:eastAsia="Arial" w:hAnsi="Arial"/>
          <w:sz w:val="17"/>
          <w:szCs w:val="17"/>
          <w:color w:val="auto"/>
        </w:rPr>
        <w:t>for a period of at least two fiscal years if it derives more than 90% of its receipts from Title IV programs, as calculated on a cash basis in accordance with the Higher Education Act and applicable DOE regulations, in each of two consecutive fiscal years, commencing with the unit’s first fiscal year that ends after August 14, 2008. Any OPEID unit with Title IV receipts exceeding 90% for a single fiscal year ending after August 14, 2008, will be placed on provisional certification and may be subject to other enforcement measures. KHE is taking various measures to reduce the percentage of its receipts attributable to Title IV funds, including modifying student payment options; emphasizing direct-pay and employer-paid education programs; encouraging students to carefully evaluate the amount of their Title IV borrowing; eliminating some programs; cash-matching; and developing and offering additional non-Title IV-eligible certificate preparation, professional development and continuing education programs. Some of the other programs may currently be offered by other Kaplan businesses. Absent the adoption of the changes mentioned above, and if current trends continue, management estimates that in 2013, at least 10 of the KHE Campuses’ OPEID units, representing approximately 11% of KHE’s 2012 revenues, could have a 90/10 ratio over 90%. As noted above, Kaplan is taking steps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071" w:right="239" w:bottom="1440" w:gutter="0" w:footer="0" w:header="0"/>
        </w:sectPr>
      </w:pPr>
    </w:p>
    <w:bookmarkStart w:id="16" w:name="page17"/>
    <w:bookmarkEnd w:id="16"/>
    <w:p>
      <w:pPr>
        <w:ind w:right="60"/>
        <w:spacing w:after="0" w:line="246" w:lineRule="auto"/>
        <w:rPr>
          <w:sz w:val="20"/>
          <w:szCs w:val="20"/>
          <w:color w:val="auto"/>
        </w:rPr>
      </w:pPr>
      <w:r>
        <w:rPr>
          <w:rFonts w:ascii="Arial" w:cs="Arial" w:eastAsia="Arial" w:hAnsi="Arial"/>
          <w:sz w:val="18"/>
          <w:szCs w:val="18"/>
          <w:color w:val="auto"/>
        </w:rPr>
        <w:t>to address compliance with the 90/10 rule; however, there can be no guarantee that these measures will be adequate to prevent the 90/10 rule calculations at some or all of the schools from exceeding 90% in the future.</w:t>
      </w:r>
    </w:p>
    <w:p>
      <w:pPr>
        <w:spacing w:after="0" w:line="161" w:lineRule="exact"/>
        <w:rPr>
          <w:sz w:val="20"/>
          <w:szCs w:val="20"/>
          <w:color w:val="auto"/>
        </w:rPr>
      </w:pPr>
    </w:p>
    <w:p>
      <w:pPr>
        <w:spacing w:after="0" w:line="241" w:lineRule="auto"/>
        <w:rPr>
          <w:sz w:val="20"/>
          <w:szCs w:val="20"/>
          <w:color w:val="auto"/>
        </w:rPr>
      </w:pPr>
      <w:r>
        <w:rPr>
          <w:rFonts w:ascii="Arial" w:cs="Arial" w:eastAsia="Arial" w:hAnsi="Arial"/>
          <w:sz w:val="18"/>
          <w:szCs w:val="18"/>
          <w:b w:val="1"/>
          <w:bCs w:val="1"/>
          <w:color w:val="auto"/>
        </w:rPr>
        <w:t xml:space="preserve">Accreditation. </w:t>
      </w:r>
      <w:r>
        <w:rPr>
          <w:rFonts w:ascii="Arial" w:cs="Arial" w:eastAsia="Arial" w:hAnsi="Arial"/>
          <w:sz w:val="18"/>
          <w:szCs w:val="18"/>
          <w:color w:val="auto"/>
        </w:rPr>
        <w:t>In March 2011, Kaplan University’s institutional accreditor, the Higher Learning Commission of the North Central Association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Colleges and Schools (HLC), sent a request to Kaplan University asking for documents and a report detailing Kaplan University’s admissions practices and describing Kaplan University’s compliance with HLC Care Components and policies. Kaplan University complied with this request on April 29, 2011. Kaplan University provided additional information to the HLC in response to a follow-up request received on January 19, 2012. On June 19, 2013, the HLC notified Kaplan University of their intention to conduct a focused evaluation regarding these matters during the fall of 2013. At this time the Company cannot predict how the HLC will follow-up or what impact their additional inquires may have on Kaplan University.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BUSINESS SEGMENTS</w:t>
      </w:r>
    </w:p>
    <w:p>
      <w:pPr>
        <w:spacing w:after="0" w:line="220" w:lineRule="exact"/>
        <w:rPr>
          <w:sz w:val="20"/>
          <w:szCs w:val="20"/>
          <w:color w:val="auto"/>
        </w:rPr>
      </w:pPr>
    </w:p>
    <w:p>
      <w:pPr>
        <w:ind w:right="500"/>
        <w:spacing w:after="0" w:line="246" w:lineRule="auto"/>
        <w:rPr>
          <w:sz w:val="20"/>
          <w:szCs w:val="20"/>
          <w:color w:val="auto"/>
        </w:rPr>
      </w:pPr>
      <w:r>
        <w:rPr>
          <w:rFonts w:ascii="Arial" w:cs="Arial" w:eastAsia="Arial" w:hAnsi="Arial"/>
          <w:sz w:val="18"/>
          <w:szCs w:val="18"/>
          <w:color w:val="auto"/>
        </w:rPr>
        <w:t>The Company has seven reportable segments: Kaplan Higher Education, Kaplan Test Preparation, Kaplan International, cable television, newspaper publishing, and television broadcasting and other businesses.</w:t>
      </w:r>
    </w:p>
    <w:p>
      <w:pPr>
        <w:spacing w:after="0" w:line="161"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b w:val="1"/>
          <w:bCs w:val="1"/>
          <w:color w:val="auto"/>
        </w:rPr>
        <w:t xml:space="preserve">Education. </w:t>
      </w:r>
      <w:r>
        <w:rPr>
          <w:rFonts w:ascii="Arial" w:cs="Arial" w:eastAsia="Arial" w:hAnsi="Arial"/>
          <w:sz w:val="18"/>
          <w:szCs w:val="18"/>
          <w:color w:val="auto"/>
        </w:rPr>
        <w:t>Kaplan’s Colloquy business moved from Kaplan International to Kaplan Corporate effective January 1, 2013. Segment operating</w:t>
      </w:r>
      <w:r>
        <w:rPr>
          <w:rFonts w:ascii="Arial" w:cs="Arial" w:eastAsia="Arial" w:hAnsi="Arial"/>
          <w:sz w:val="18"/>
          <w:szCs w:val="18"/>
          <w:b w:val="1"/>
          <w:bCs w:val="1"/>
          <w:color w:val="auto"/>
        </w:rPr>
        <w:t xml:space="preserve"> </w:t>
      </w:r>
      <w:r>
        <w:rPr>
          <w:rFonts w:ascii="Arial" w:cs="Arial" w:eastAsia="Arial" w:hAnsi="Arial"/>
          <w:sz w:val="18"/>
          <w:szCs w:val="18"/>
          <w:color w:val="auto"/>
        </w:rPr>
        <w:t>results of the education division have been restated to reflect this change.</w:t>
      </w:r>
    </w:p>
    <w:p>
      <w:pPr>
        <w:spacing w:after="0" w:line="162"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In the second quarter of 2012, Kaplan International results benefitted from a favorable net $ 1.9 million adjustment. This included a $2.0 million adjustment to increase liabilities assumed in a 2011 acquisition and a favorable $3.9 million out of period expense adjustment related to certain items recorded in 2011 and 2010. With respect to the $3.9 million out of period expense adjustment, the Company has concluded that it was not material to the Company’s financial position or results of operations for 2012, 2011 and 2010 and the related interim periods, based on its consideration of quantitative and qualitative factors.</w:t>
      </w:r>
    </w:p>
    <w:p>
      <w:pPr>
        <w:spacing w:after="0" w:line="167" w:lineRule="exact"/>
        <w:rPr>
          <w:sz w:val="20"/>
          <w:szCs w:val="20"/>
          <w:color w:val="auto"/>
        </w:rPr>
      </w:pPr>
    </w:p>
    <w:p>
      <w:pPr>
        <w:ind w:right="360"/>
        <w:spacing w:after="0" w:line="253" w:lineRule="auto"/>
        <w:rPr>
          <w:sz w:val="20"/>
          <w:szCs w:val="20"/>
          <w:color w:val="auto"/>
        </w:rPr>
      </w:pPr>
      <w:r>
        <w:rPr>
          <w:rFonts w:ascii="Arial" w:cs="Arial" w:eastAsia="Arial" w:hAnsi="Arial"/>
          <w:sz w:val="18"/>
          <w:szCs w:val="18"/>
          <w:b w:val="1"/>
          <w:bCs w:val="1"/>
          <w:color w:val="auto"/>
        </w:rPr>
        <w:t xml:space="preserve">Newspaper Publishing. </w:t>
      </w:r>
      <w:r>
        <w:rPr>
          <w:rFonts w:ascii="Arial" w:cs="Arial" w:eastAsia="Arial" w:hAnsi="Arial"/>
          <w:sz w:val="18"/>
          <w:szCs w:val="18"/>
          <w:color w:val="auto"/>
        </w:rPr>
        <w:t>In March 2013, the Company completed the sale of The Herald, a daily and Sunday newspaper headquartered in</w:t>
      </w:r>
      <w:r>
        <w:rPr>
          <w:rFonts w:ascii="Arial" w:cs="Arial" w:eastAsia="Arial" w:hAnsi="Arial"/>
          <w:sz w:val="18"/>
          <w:szCs w:val="18"/>
          <w:b w:val="1"/>
          <w:bCs w:val="1"/>
          <w:color w:val="auto"/>
        </w:rPr>
        <w:t xml:space="preserve"> </w:t>
      </w:r>
      <w:r>
        <w:rPr>
          <w:rFonts w:ascii="Arial" w:cs="Arial" w:eastAsia="Arial" w:hAnsi="Arial"/>
          <w:sz w:val="18"/>
          <w:szCs w:val="18"/>
          <w:color w:val="auto"/>
        </w:rPr>
        <w:t>Everett, WA. As a result, The Herald results are included in discontinued operations, net of tax, for all periods presented. The newspaper publishing segment operating results have been restated to reflect this change.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868" w:right="25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The following table summarizes financial information related to each of the Company’s business segments: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580" w:type="dxa"/>
            <w:vAlign w:val="bottom"/>
            <w:gridSpan w:val="4"/>
          </w:tcPr>
          <w:p>
            <w:pPr>
              <w:jc w:val="right"/>
              <w:ind w:right="743"/>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50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5"/>
        </w:trPr>
        <w:tc>
          <w:tcPr>
            <w:tcW w:w="490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8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2"/>
          </w:tcPr>
          <w:p>
            <w:pPr>
              <w:jc w:val="right"/>
              <w:ind w:right="83"/>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24"/>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00" w:type="dxa"/>
            <w:vAlign w:val="bottom"/>
            <w:tcBorders>
              <w:bottom w:val="single" w:sz="8" w:color="auto"/>
            </w:tcBorders>
            <w:vMerge w:val="continue"/>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64"/>
              <w:spacing w:after="0" w:line="142" w:lineRule="exact"/>
              <w:rPr>
                <w:sz w:val="20"/>
                <w:szCs w:val="20"/>
                <w:color w:val="auto"/>
              </w:rPr>
            </w:pPr>
            <w:r>
              <w:rPr>
                <w:rFonts w:ascii="Arial" w:cs="Arial" w:eastAsia="Arial" w:hAnsi="Arial"/>
                <w:sz w:val="14"/>
                <w:szCs w:val="14"/>
                <w:b w:val="1"/>
                <w:bCs w:val="1"/>
                <w:color w:val="auto"/>
              </w:rPr>
              <w:t>2013</w:t>
            </w:r>
          </w:p>
        </w:tc>
        <w:tc>
          <w:tcPr>
            <w:tcW w:w="4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04"/>
              <w:spacing w:after="0" w:line="142" w:lineRule="exact"/>
              <w:rPr>
                <w:sz w:val="20"/>
                <w:szCs w:val="20"/>
                <w:color w:val="auto"/>
              </w:rPr>
            </w:pPr>
            <w:r>
              <w:rPr>
                <w:rFonts w:ascii="Arial" w:cs="Arial" w:eastAsia="Arial" w:hAnsi="Arial"/>
                <w:sz w:val="14"/>
                <w:szCs w:val="14"/>
                <w:color w:val="auto"/>
              </w:rPr>
              <w:t>2012</w:t>
            </w:r>
          </w:p>
        </w:tc>
        <w:tc>
          <w:tcPr>
            <w:tcW w:w="4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484"/>
              <w:spacing w:after="0" w:line="142" w:lineRule="exact"/>
              <w:rPr>
                <w:sz w:val="20"/>
                <w:szCs w:val="20"/>
                <w:color w:val="auto"/>
              </w:rPr>
            </w:pPr>
            <w:r>
              <w:rPr>
                <w:rFonts w:ascii="Arial" w:cs="Arial" w:eastAsia="Arial" w:hAnsi="Arial"/>
                <w:sz w:val="14"/>
                <w:szCs w:val="14"/>
                <w:b w:val="1"/>
                <w:bCs w:val="1"/>
                <w:color w:val="auto"/>
              </w:rPr>
              <w:t>2013</w:t>
            </w:r>
          </w:p>
        </w:tc>
        <w:tc>
          <w:tcPr>
            <w:tcW w:w="1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04"/>
              <w:spacing w:after="0" w:line="142" w:lineRule="exact"/>
              <w:rPr>
                <w:sz w:val="20"/>
                <w:szCs w:val="20"/>
                <w:color w:val="auto"/>
              </w:rPr>
            </w:pPr>
            <w:r>
              <w:rPr>
                <w:rFonts w:ascii="Arial" w:cs="Arial" w:eastAsia="Arial" w:hAnsi="Arial"/>
                <w:sz w:val="14"/>
                <w:szCs w:val="14"/>
                <w:color w:val="auto"/>
              </w:rPr>
              <w:t>2012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4900" w:type="dxa"/>
            <w:vAlign w:val="bottom"/>
          </w:tcPr>
          <w:p>
            <w:pPr>
              <w:spacing w:after="0" w:line="152" w:lineRule="exact"/>
              <w:rPr>
                <w:sz w:val="20"/>
                <w:szCs w:val="20"/>
                <w:color w:val="auto"/>
              </w:rPr>
            </w:pPr>
            <w:r>
              <w:rPr>
                <w:rFonts w:ascii="Arial" w:cs="Arial" w:eastAsia="Arial" w:hAnsi="Arial"/>
                <w:sz w:val="15"/>
                <w:szCs w:val="15"/>
                <w:b w:val="1"/>
                <w:bCs w:val="1"/>
                <w:color w:val="auto"/>
              </w:rPr>
              <w:t>Operating Revenues</w:t>
            </w:r>
          </w:p>
        </w:tc>
        <w:tc>
          <w:tcPr>
            <w:tcW w:w="1180" w:type="dxa"/>
            <w:vAlign w:val="bottom"/>
            <w:gridSpan w:val="2"/>
            <w:vMerge w:val="restart"/>
          </w:tcPr>
          <w:p>
            <w:pPr>
              <w:jc w:val="right"/>
              <w:ind w:right="103"/>
              <w:spacing w:after="0"/>
              <w:rPr>
                <w:sz w:val="20"/>
                <w:szCs w:val="20"/>
                <w:color w:val="auto"/>
              </w:rPr>
            </w:pPr>
            <w:r>
              <w:rPr>
                <w:rFonts w:ascii="Arial" w:cs="Arial" w:eastAsia="Arial" w:hAnsi="Arial"/>
                <w:sz w:val="15"/>
                <w:szCs w:val="15"/>
                <w:b w:val="1"/>
                <w:bCs w:val="1"/>
                <w:color w:val="auto"/>
              </w:rPr>
              <w:t>$</w:t>
            </w:r>
          </w:p>
        </w:tc>
        <w:tc>
          <w:tcPr>
            <w:tcW w:w="1120" w:type="dxa"/>
            <w:vAlign w:val="bottom"/>
            <w:vMerge w:val="restart"/>
          </w:tcPr>
          <w:p>
            <w:pPr>
              <w:jc w:val="right"/>
              <w:ind w:right="64"/>
              <w:spacing w:after="0"/>
              <w:rPr>
                <w:sz w:val="20"/>
                <w:szCs w:val="20"/>
                <w:color w:val="auto"/>
              </w:rPr>
            </w:pPr>
            <w:r>
              <w:rPr>
                <w:rFonts w:ascii="Arial" w:cs="Arial" w:eastAsia="Arial" w:hAnsi="Arial"/>
                <w:sz w:val="15"/>
                <w:szCs w:val="15"/>
                <w:b w:val="1"/>
                <w:bCs w:val="1"/>
                <w:color w:val="auto"/>
              </w:rPr>
              <w:t>548,230</w:t>
            </w: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vMerge w:val="restart"/>
          </w:tcPr>
          <w:p>
            <w:pPr>
              <w:jc w:val="right"/>
              <w:ind w:right="5"/>
              <w:spacing w:after="0"/>
              <w:rPr>
                <w:sz w:val="20"/>
                <w:szCs w:val="20"/>
                <w:color w:val="auto"/>
              </w:rPr>
            </w:pPr>
            <w:r>
              <w:rPr>
                <w:rFonts w:ascii="Arial" w:cs="Arial" w:eastAsia="Arial" w:hAnsi="Arial"/>
                <w:sz w:val="15"/>
                <w:szCs w:val="15"/>
                <w:b w:val="1"/>
                <w:bCs w:val="1"/>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1,076,045</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900" w:type="dxa"/>
            <w:vAlign w:val="bottom"/>
          </w:tcPr>
          <w:p>
            <w:pPr>
              <w:ind w:left="240"/>
              <w:spacing w:after="0" w:line="144" w:lineRule="exact"/>
              <w:rPr>
                <w:sz w:val="20"/>
                <w:szCs w:val="20"/>
                <w:color w:val="auto"/>
              </w:rPr>
            </w:pPr>
            <w:r>
              <w:rPr>
                <w:rFonts w:ascii="Arial" w:cs="Arial" w:eastAsia="Arial" w:hAnsi="Arial"/>
                <w:sz w:val="15"/>
                <w:szCs w:val="15"/>
                <w:color w:val="auto"/>
              </w:rPr>
              <w:t>Education</w:t>
            </w:r>
          </w:p>
        </w:tc>
        <w:tc>
          <w:tcPr>
            <w:tcW w:w="1180" w:type="dxa"/>
            <w:vAlign w:val="bottom"/>
            <w:gridSpan w:val="2"/>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400" w:type="dxa"/>
            <w:vAlign w:val="bottom"/>
          </w:tcPr>
          <w:p>
            <w:pPr>
              <w:jc w:val="right"/>
              <w:ind w:right="123"/>
              <w:spacing w:after="0" w:line="144" w:lineRule="exact"/>
              <w:rPr>
                <w:sz w:val="20"/>
                <w:szCs w:val="20"/>
                <w:color w:val="auto"/>
              </w:rPr>
            </w:pPr>
            <w:r>
              <w:rPr>
                <w:rFonts w:ascii="Arial" w:cs="Arial" w:eastAsia="Arial" w:hAnsi="Arial"/>
                <w:sz w:val="15"/>
                <w:szCs w:val="15"/>
                <w:color w:val="auto"/>
              </w:rPr>
              <w:t>$</w:t>
            </w:r>
          </w:p>
        </w:tc>
        <w:tc>
          <w:tcPr>
            <w:tcW w:w="1060" w:type="dxa"/>
            <w:vAlign w:val="bottom"/>
            <w:gridSpan w:val="2"/>
          </w:tcPr>
          <w:p>
            <w:pPr>
              <w:jc w:val="right"/>
              <w:ind w:right="23"/>
              <w:spacing w:after="0" w:line="144" w:lineRule="exact"/>
              <w:rPr>
                <w:sz w:val="20"/>
                <w:szCs w:val="20"/>
                <w:color w:val="auto"/>
              </w:rPr>
            </w:pPr>
            <w:r>
              <w:rPr>
                <w:rFonts w:ascii="Arial" w:cs="Arial" w:eastAsia="Arial" w:hAnsi="Arial"/>
                <w:sz w:val="15"/>
                <w:szCs w:val="15"/>
                <w:color w:val="auto"/>
              </w:rPr>
              <w:t>551,774</w:t>
            </w:r>
          </w:p>
        </w:tc>
        <w:tc>
          <w:tcPr>
            <w:tcW w:w="280" w:type="dxa"/>
            <w:vAlign w:val="bottom"/>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jc w:val="right"/>
              <w:ind w:right="44"/>
              <w:spacing w:after="0" w:line="144" w:lineRule="exact"/>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line="144" w:lineRule="exact"/>
              <w:rPr>
                <w:sz w:val="20"/>
                <w:szCs w:val="20"/>
                <w:color w:val="auto"/>
              </w:rPr>
            </w:pPr>
            <w:r>
              <w:rPr>
                <w:rFonts w:ascii="Arial" w:cs="Arial" w:eastAsia="Arial" w:hAnsi="Arial"/>
                <w:sz w:val="15"/>
                <w:szCs w:val="15"/>
                <w:color w:val="auto"/>
              </w:rPr>
              <w:t>1,098,459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900" w:type="dxa"/>
            <w:vAlign w:val="bottom"/>
          </w:tcPr>
          <w:p>
            <w:pPr>
              <w:ind w:left="240"/>
              <w:spacing w:after="0" w:line="162" w:lineRule="exact"/>
              <w:rPr>
                <w:sz w:val="20"/>
                <w:szCs w:val="20"/>
                <w:color w:val="auto"/>
              </w:rPr>
            </w:pPr>
            <w:r>
              <w:rPr>
                <w:rFonts w:ascii="Arial" w:cs="Arial" w:eastAsia="Arial" w:hAnsi="Arial"/>
                <w:sz w:val="15"/>
                <w:szCs w:val="15"/>
                <w:color w:val="auto"/>
              </w:rPr>
              <w:t>Cable television</w:t>
            </w: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64"/>
              <w:spacing w:after="0" w:line="162" w:lineRule="exact"/>
              <w:rPr>
                <w:sz w:val="20"/>
                <w:szCs w:val="20"/>
                <w:color w:val="auto"/>
              </w:rPr>
            </w:pPr>
            <w:r>
              <w:rPr>
                <w:rFonts w:ascii="Arial" w:cs="Arial" w:eastAsia="Arial" w:hAnsi="Arial"/>
                <w:sz w:val="15"/>
                <w:szCs w:val="15"/>
                <w:b w:val="1"/>
                <w:bCs w:val="1"/>
                <w:color w:val="auto"/>
              </w:rPr>
              <w:t>204,550</w:t>
            </w:r>
          </w:p>
        </w:tc>
        <w:tc>
          <w:tcPr>
            <w:tcW w:w="400" w:type="dxa"/>
            <w:vAlign w:val="bottom"/>
          </w:tcPr>
          <w:p>
            <w:pPr>
              <w:spacing w:after="0"/>
              <w:rPr>
                <w:sz w:val="14"/>
                <w:szCs w:val="14"/>
                <w:color w:val="auto"/>
              </w:rPr>
            </w:pPr>
          </w:p>
        </w:tc>
        <w:tc>
          <w:tcPr>
            <w:tcW w:w="1060" w:type="dxa"/>
            <w:vAlign w:val="bottom"/>
            <w:gridSpan w:val="2"/>
          </w:tcPr>
          <w:p>
            <w:pPr>
              <w:jc w:val="right"/>
              <w:ind w:right="23"/>
              <w:spacing w:after="0" w:line="162" w:lineRule="exact"/>
              <w:rPr>
                <w:sz w:val="20"/>
                <w:szCs w:val="20"/>
                <w:color w:val="auto"/>
              </w:rPr>
            </w:pPr>
            <w:r>
              <w:rPr>
                <w:rFonts w:ascii="Arial" w:cs="Arial" w:eastAsia="Arial" w:hAnsi="Arial"/>
                <w:sz w:val="15"/>
                <w:szCs w:val="15"/>
                <w:color w:val="auto"/>
              </w:rPr>
              <w:t>195,579</w:t>
            </w:r>
          </w:p>
        </w:tc>
        <w:tc>
          <w:tcPr>
            <w:tcW w:w="28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b w:val="1"/>
                <w:bCs w:val="1"/>
                <w:color w:val="auto"/>
              </w:rPr>
              <w:t>404,688</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Arial" w:cs="Arial" w:eastAsia="Arial" w:hAnsi="Arial"/>
                <w:sz w:val="15"/>
                <w:szCs w:val="15"/>
                <w:color w:val="auto"/>
              </w:rPr>
              <w:t>385,789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00" w:type="dxa"/>
            <w:vAlign w:val="bottom"/>
          </w:tcPr>
          <w:p>
            <w:pPr>
              <w:ind w:left="240"/>
              <w:spacing w:after="0" w:line="162" w:lineRule="exact"/>
              <w:rPr>
                <w:sz w:val="20"/>
                <w:szCs w:val="20"/>
                <w:color w:val="auto"/>
              </w:rPr>
            </w:pPr>
            <w:r>
              <w:rPr>
                <w:rFonts w:ascii="Arial" w:cs="Arial" w:eastAsia="Arial" w:hAnsi="Arial"/>
                <w:sz w:val="15"/>
                <w:szCs w:val="15"/>
                <w:color w:val="auto"/>
              </w:rPr>
              <w:t>Newspaper publishing</w:t>
            </w: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64"/>
              <w:spacing w:after="0" w:line="162" w:lineRule="exact"/>
              <w:rPr>
                <w:sz w:val="20"/>
                <w:szCs w:val="20"/>
                <w:color w:val="auto"/>
              </w:rPr>
            </w:pPr>
            <w:r>
              <w:rPr>
                <w:rFonts w:ascii="Arial" w:cs="Arial" w:eastAsia="Arial" w:hAnsi="Arial"/>
                <w:sz w:val="15"/>
                <w:szCs w:val="15"/>
                <w:b w:val="1"/>
                <w:bCs w:val="1"/>
                <w:color w:val="auto"/>
              </w:rPr>
              <w:t>138,423</w:t>
            </w:r>
          </w:p>
        </w:tc>
        <w:tc>
          <w:tcPr>
            <w:tcW w:w="400" w:type="dxa"/>
            <w:vAlign w:val="bottom"/>
          </w:tcPr>
          <w:p>
            <w:pPr>
              <w:spacing w:after="0"/>
              <w:rPr>
                <w:sz w:val="14"/>
                <w:szCs w:val="14"/>
                <w:color w:val="auto"/>
              </w:rPr>
            </w:pPr>
          </w:p>
        </w:tc>
        <w:tc>
          <w:tcPr>
            <w:tcW w:w="1060" w:type="dxa"/>
            <w:vAlign w:val="bottom"/>
            <w:gridSpan w:val="2"/>
          </w:tcPr>
          <w:p>
            <w:pPr>
              <w:jc w:val="right"/>
              <w:ind w:right="23"/>
              <w:spacing w:after="0" w:line="162" w:lineRule="exact"/>
              <w:rPr>
                <w:sz w:val="20"/>
                <w:szCs w:val="20"/>
                <w:color w:val="auto"/>
              </w:rPr>
            </w:pPr>
            <w:r>
              <w:rPr>
                <w:rFonts w:ascii="Arial" w:cs="Arial" w:eastAsia="Arial" w:hAnsi="Arial"/>
                <w:sz w:val="15"/>
                <w:szCs w:val="15"/>
                <w:color w:val="auto"/>
              </w:rPr>
              <w:t>139,228</w:t>
            </w:r>
          </w:p>
        </w:tc>
        <w:tc>
          <w:tcPr>
            <w:tcW w:w="28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b w:val="1"/>
                <w:bCs w:val="1"/>
                <w:color w:val="auto"/>
              </w:rPr>
              <w:t>265,687</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Arial" w:cs="Arial" w:eastAsia="Arial" w:hAnsi="Arial"/>
                <w:sz w:val="15"/>
                <w:szCs w:val="15"/>
                <w:color w:val="auto"/>
              </w:rPr>
              <w:t>271,678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00" w:type="dxa"/>
            <w:vAlign w:val="bottom"/>
          </w:tcPr>
          <w:p>
            <w:pPr>
              <w:ind w:left="240"/>
              <w:spacing w:after="0" w:line="162" w:lineRule="exact"/>
              <w:rPr>
                <w:sz w:val="20"/>
                <w:szCs w:val="20"/>
                <w:color w:val="auto"/>
              </w:rPr>
            </w:pPr>
            <w:r>
              <w:rPr>
                <w:rFonts w:ascii="Arial" w:cs="Arial" w:eastAsia="Arial" w:hAnsi="Arial"/>
                <w:sz w:val="15"/>
                <w:szCs w:val="15"/>
                <w:color w:val="auto"/>
              </w:rPr>
              <w:t>Television broadcasting</w:t>
            </w: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64"/>
              <w:spacing w:after="0" w:line="162" w:lineRule="exact"/>
              <w:rPr>
                <w:sz w:val="20"/>
                <w:szCs w:val="20"/>
                <w:color w:val="auto"/>
              </w:rPr>
            </w:pPr>
            <w:r>
              <w:rPr>
                <w:rFonts w:ascii="Arial" w:cs="Arial" w:eastAsia="Arial" w:hAnsi="Arial"/>
                <w:sz w:val="15"/>
                <w:szCs w:val="15"/>
                <w:b w:val="1"/>
                <w:bCs w:val="1"/>
                <w:color w:val="auto"/>
              </w:rPr>
              <w:t>99,320</w:t>
            </w:r>
          </w:p>
        </w:tc>
        <w:tc>
          <w:tcPr>
            <w:tcW w:w="400" w:type="dxa"/>
            <w:vAlign w:val="bottom"/>
          </w:tcPr>
          <w:p>
            <w:pPr>
              <w:spacing w:after="0"/>
              <w:rPr>
                <w:sz w:val="14"/>
                <w:szCs w:val="14"/>
                <w:color w:val="auto"/>
              </w:rPr>
            </w:pPr>
          </w:p>
        </w:tc>
        <w:tc>
          <w:tcPr>
            <w:tcW w:w="1060" w:type="dxa"/>
            <w:vAlign w:val="bottom"/>
            <w:gridSpan w:val="2"/>
          </w:tcPr>
          <w:p>
            <w:pPr>
              <w:jc w:val="right"/>
              <w:ind w:right="23"/>
              <w:spacing w:after="0" w:line="162" w:lineRule="exact"/>
              <w:rPr>
                <w:sz w:val="20"/>
                <w:szCs w:val="20"/>
                <w:color w:val="auto"/>
              </w:rPr>
            </w:pPr>
            <w:r>
              <w:rPr>
                <w:rFonts w:ascii="Arial" w:cs="Arial" w:eastAsia="Arial" w:hAnsi="Arial"/>
                <w:sz w:val="15"/>
                <w:szCs w:val="15"/>
                <w:color w:val="auto"/>
              </w:rPr>
              <w:t>95,591</w:t>
            </w:r>
          </w:p>
        </w:tc>
        <w:tc>
          <w:tcPr>
            <w:tcW w:w="28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b w:val="1"/>
                <w:bCs w:val="1"/>
                <w:color w:val="auto"/>
              </w:rPr>
              <w:t>184,590</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Arial" w:cs="Arial" w:eastAsia="Arial" w:hAnsi="Arial"/>
                <w:sz w:val="15"/>
                <w:szCs w:val="15"/>
                <w:color w:val="auto"/>
              </w:rPr>
              <w:t>177,088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00" w:type="dxa"/>
            <w:vAlign w:val="bottom"/>
          </w:tcPr>
          <w:p>
            <w:pPr>
              <w:ind w:left="240"/>
              <w:spacing w:after="0" w:line="162" w:lineRule="exact"/>
              <w:rPr>
                <w:sz w:val="20"/>
                <w:szCs w:val="20"/>
                <w:color w:val="auto"/>
              </w:rPr>
            </w:pPr>
            <w:r>
              <w:rPr>
                <w:rFonts w:ascii="Arial" w:cs="Arial" w:eastAsia="Arial" w:hAnsi="Arial"/>
                <w:sz w:val="15"/>
                <w:szCs w:val="15"/>
                <w:color w:val="auto"/>
              </w:rPr>
              <w:t>Other businesses</w:t>
            </w: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64"/>
              <w:spacing w:after="0" w:line="162" w:lineRule="exact"/>
              <w:rPr>
                <w:sz w:val="20"/>
                <w:szCs w:val="20"/>
                <w:color w:val="auto"/>
              </w:rPr>
            </w:pPr>
            <w:r>
              <w:rPr>
                <w:rFonts w:ascii="Arial" w:cs="Arial" w:eastAsia="Arial" w:hAnsi="Arial"/>
                <w:sz w:val="15"/>
                <w:szCs w:val="15"/>
                <w:b w:val="1"/>
                <w:bCs w:val="1"/>
                <w:color w:val="auto"/>
              </w:rPr>
              <w:t>31,419</w:t>
            </w:r>
          </w:p>
        </w:tc>
        <w:tc>
          <w:tcPr>
            <w:tcW w:w="400" w:type="dxa"/>
            <w:vAlign w:val="bottom"/>
          </w:tcPr>
          <w:p>
            <w:pPr>
              <w:spacing w:after="0"/>
              <w:rPr>
                <w:sz w:val="14"/>
                <w:szCs w:val="14"/>
                <w:color w:val="auto"/>
              </w:rPr>
            </w:pPr>
          </w:p>
        </w:tc>
        <w:tc>
          <w:tcPr>
            <w:tcW w:w="1060" w:type="dxa"/>
            <w:vAlign w:val="bottom"/>
            <w:gridSpan w:val="2"/>
          </w:tcPr>
          <w:p>
            <w:pPr>
              <w:jc w:val="right"/>
              <w:ind w:right="23"/>
              <w:spacing w:after="0" w:line="162" w:lineRule="exact"/>
              <w:rPr>
                <w:sz w:val="20"/>
                <w:szCs w:val="20"/>
                <w:color w:val="auto"/>
              </w:rPr>
            </w:pPr>
            <w:r>
              <w:rPr>
                <w:rFonts w:ascii="Arial" w:cs="Arial" w:eastAsia="Arial" w:hAnsi="Arial"/>
                <w:sz w:val="15"/>
                <w:szCs w:val="15"/>
                <w:color w:val="auto"/>
              </w:rPr>
              <w:t>7,177</w:t>
            </w:r>
          </w:p>
        </w:tc>
        <w:tc>
          <w:tcPr>
            <w:tcW w:w="28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b w:val="1"/>
                <w:bCs w:val="1"/>
                <w:color w:val="auto"/>
              </w:rPr>
              <w:t>50,310</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Arial" w:cs="Arial" w:eastAsia="Arial" w:hAnsi="Arial"/>
                <w:sz w:val="15"/>
                <w:szCs w:val="15"/>
                <w:color w:val="auto"/>
              </w:rPr>
              <w:t>11,945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00" w:type="dxa"/>
            <w:vAlign w:val="bottom"/>
          </w:tcPr>
          <w:p>
            <w:pPr>
              <w:ind w:left="240"/>
              <w:spacing w:after="0" w:line="162" w:lineRule="exact"/>
              <w:rPr>
                <w:sz w:val="20"/>
                <w:szCs w:val="20"/>
                <w:color w:val="auto"/>
              </w:rPr>
            </w:pPr>
            <w:r>
              <w:rPr>
                <w:rFonts w:ascii="Arial" w:cs="Arial" w:eastAsia="Arial" w:hAnsi="Arial"/>
                <w:sz w:val="15"/>
                <w:szCs w:val="15"/>
                <w:color w:val="auto"/>
              </w:rPr>
              <w:t>Corporate office</w:t>
            </w: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64"/>
              <w:spacing w:after="0" w:line="162" w:lineRule="exact"/>
              <w:rPr>
                <w:sz w:val="20"/>
                <w:szCs w:val="20"/>
                <w:color w:val="auto"/>
              </w:rPr>
            </w:pPr>
            <w:r>
              <w:rPr>
                <w:rFonts w:ascii="Arial" w:cs="Arial" w:eastAsia="Arial" w:hAnsi="Arial"/>
                <w:sz w:val="15"/>
                <w:szCs w:val="15"/>
                <w:b w:val="1"/>
                <w:bCs w:val="1"/>
                <w:color w:val="auto"/>
              </w:rPr>
              <w:t>―</w:t>
            </w: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jc w:val="right"/>
              <w:ind w:right="23"/>
              <w:spacing w:after="0" w:line="162" w:lineRule="exact"/>
              <w:rPr>
                <w:sz w:val="20"/>
                <w:szCs w:val="20"/>
                <w:color w:val="auto"/>
              </w:rPr>
            </w:pPr>
            <w:r>
              <w:rPr>
                <w:rFonts w:ascii="Arial" w:cs="Arial" w:eastAsia="Arial" w:hAnsi="Arial"/>
                <w:sz w:val="15"/>
                <w:szCs w:val="15"/>
                <w:color w:val="auto"/>
              </w:rPr>
              <w:t>―</w:t>
            </w:r>
          </w:p>
        </w:tc>
        <w:tc>
          <w:tcPr>
            <w:tcW w:w="28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3"/>
        </w:trPr>
        <w:tc>
          <w:tcPr>
            <w:tcW w:w="4900" w:type="dxa"/>
            <w:vAlign w:val="bottom"/>
          </w:tcPr>
          <w:p>
            <w:pPr>
              <w:ind w:left="240"/>
              <w:spacing w:after="0"/>
              <w:rPr>
                <w:sz w:val="20"/>
                <w:szCs w:val="20"/>
                <w:color w:val="auto"/>
              </w:rPr>
            </w:pPr>
            <w:r>
              <w:rPr>
                <w:rFonts w:ascii="Arial" w:cs="Arial" w:eastAsia="Arial" w:hAnsi="Arial"/>
                <w:sz w:val="15"/>
                <w:szCs w:val="15"/>
                <w:color w:val="auto"/>
              </w:rPr>
              <w:t>Intersegment elimination</w:t>
            </w: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4"/>
              <w:spacing w:after="0"/>
              <w:rPr>
                <w:sz w:val="20"/>
                <w:szCs w:val="20"/>
                <w:color w:val="auto"/>
              </w:rPr>
            </w:pPr>
            <w:r>
              <w:rPr>
                <w:rFonts w:ascii="Arial" w:cs="Arial" w:eastAsia="Arial" w:hAnsi="Arial"/>
                <w:sz w:val="15"/>
                <w:szCs w:val="15"/>
                <w:b w:val="1"/>
                <w:bCs w:val="1"/>
                <w:color w:val="auto"/>
              </w:rPr>
              <w:t>(91)</w:t>
            </w:r>
          </w:p>
        </w:tc>
        <w:tc>
          <w:tcPr>
            <w:tcW w:w="400" w:type="dxa"/>
            <w:vAlign w:val="bottom"/>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Arial" w:cs="Arial" w:eastAsia="Arial" w:hAnsi="Arial"/>
                <w:sz w:val="15"/>
                <w:szCs w:val="15"/>
                <w:color w:val="auto"/>
              </w:rPr>
              <w:t>(246)</w:t>
            </w:r>
          </w:p>
        </w:tc>
        <w:tc>
          <w:tcPr>
            <w:tcW w:w="2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b w:val="1"/>
                <w:bCs w:val="1"/>
                <w:color w:val="auto"/>
              </w:rPr>
              <w:t>(364)</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5"/>
                <w:szCs w:val="15"/>
                <w:color w:val="auto"/>
              </w:rPr>
              <w:t>(355)</w:t>
            </w:r>
          </w:p>
        </w:tc>
        <w:tc>
          <w:tcPr>
            <w:tcW w:w="0" w:type="dxa"/>
            <w:vAlign w:val="bottom"/>
          </w:tcPr>
          <w:p>
            <w:pPr>
              <w:spacing w:after="0"/>
              <w:rPr>
                <w:sz w:val="1"/>
                <w:szCs w:val="1"/>
                <w:color w:val="auto"/>
              </w:rPr>
            </w:pPr>
          </w:p>
        </w:tc>
      </w:tr>
      <w:tr>
        <w:trPr>
          <w:trHeight w:val="156"/>
        </w:trPr>
        <w:tc>
          <w:tcPr>
            <w:tcW w:w="4900" w:type="dxa"/>
            <w:vAlign w:val="bottom"/>
            <w:vMerge w:val="restart"/>
          </w:tcPr>
          <w:p>
            <w:pPr>
              <w:spacing w:after="0"/>
              <w:rPr>
                <w:sz w:val="20"/>
                <w:szCs w:val="20"/>
                <w:color w:val="auto"/>
              </w:rPr>
            </w:pPr>
            <w:r>
              <w:rPr>
                <w:rFonts w:ascii="Arial" w:cs="Arial" w:eastAsia="Arial" w:hAnsi="Arial"/>
                <w:sz w:val="15"/>
                <w:szCs w:val="15"/>
                <w:b w:val="1"/>
                <w:bCs w:val="1"/>
                <w:color w:val="auto"/>
              </w:rPr>
              <w:t>Income (Loss) from Operations</w:t>
            </w:r>
          </w:p>
        </w:tc>
        <w:tc>
          <w:tcPr>
            <w:tcW w:w="840" w:type="dxa"/>
            <w:vAlign w:val="bottom"/>
          </w:tcPr>
          <w:p>
            <w:pPr>
              <w:spacing w:after="0"/>
              <w:rPr>
                <w:sz w:val="13"/>
                <w:szCs w:val="13"/>
                <w:color w:val="auto"/>
              </w:rPr>
            </w:pPr>
          </w:p>
        </w:tc>
        <w:tc>
          <w:tcPr>
            <w:tcW w:w="340" w:type="dxa"/>
            <w:vAlign w:val="bottom"/>
            <w:tcBorders>
              <w:top w:val="single" w:sz="8" w:color="auto"/>
              <w:bottom w:val="single" w:sz="8" w:color="auto"/>
            </w:tcBorders>
          </w:tcPr>
          <w:p>
            <w:pPr>
              <w:jc w:val="right"/>
              <w:ind w:right="103"/>
              <w:spacing w:after="0" w:line="156" w:lineRule="exact"/>
              <w:rPr>
                <w:sz w:val="20"/>
                <w:szCs w:val="20"/>
                <w:color w:val="auto"/>
              </w:rPr>
            </w:pPr>
            <w:r>
              <w:rPr>
                <w:rFonts w:ascii="Arial" w:cs="Arial" w:eastAsia="Arial" w:hAnsi="Arial"/>
                <w:sz w:val="15"/>
                <w:szCs w:val="15"/>
                <w:b w:val="1"/>
                <w:bCs w:val="1"/>
                <w:color w:val="auto"/>
              </w:rPr>
              <w:t>$</w:t>
            </w:r>
          </w:p>
        </w:tc>
        <w:tc>
          <w:tcPr>
            <w:tcW w:w="1120" w:type="dxa"/>
            <w:vAlign w:val="bottom"/>
            <w:tcBorders>
              <w:top w:val="single" w:sz="8" w:color="auto"/>
              <w:bottom w:val="single" w:sz="8" w:color="auto"/>
            </w:tcBorders>
          </w:tcPr>
          <w:p>
            <w:pPr>
              <w:jc w:val="right"/>
              <w:ind w:right="64"/>
              <w:spacing w:after="0" w:line="156" w:lineRule="exact"/>
              <w:rPr>
                <w:sz w:val="20"/>
                <w:szCs w:val="20"/>
                <w:color w:val="auto"/>
              </w:rPr>
            </w:pPr>
            <w:r>
              <w:rPr>
                <w:rFonts w:ascii="Arial" w:cs="Arial" w:eastAsia="Arial" w:hAnsi="Arial"/>
                <w:sz w:val="15"/>
                <w:szCs w:val="15"/>
                <w:b w:val="1"/>
                <w:bCs w:val="1"/>
                <w:color w:val="auto"/>
              </w:rPr>
              <w:t>1,021,851</w:t>
            </w:r>
          </w:p>
        </w:tc>
        <w:tc>
          <w:tcPr>
            <w:tcW w:w="400" w:type="dxa"/>
            <w:vAlign w:val="bottom"/>
            <w:tcBorders>
              <w:top w:val="single" w:sz="8" w:color="auto"/>
              <w:bottom w:val="single" w:sz="8" w:color="auto"/>
            </w:tcBorders>
          </w:tcPr>
          <w:p>
            <w:pPr>
              <w:jc w:val="right"/>
              <w:ind w:right="123"/>
              <w:spacing w:after="0" w:line="156" w:lineRule="exact"/>
              <w:rPr>
                <w:sz w:val="20"/>
                <w:szCs w:val="20"/>
                <w:color w:val="auto"/>
              </w:rPr>
            </w:pPr>
            <w:r>
              <w:rPr>
                <w:rFonts w:ascii="Arial" w:cs="Arial" w:eastAsia="Arial" w:hAnsi="Arial"/>
                <w:sz w:val="15"/>
                <w:szCs w:val="15"/>
                <w:color w:val="auto"/>
              </w:rPr>
              <w:t>$</w:t>
            </w:r>
          </w:p>
        </w:tc>
        <w:tc>
          <w:tcPr>
            <w:tcW w:w="1060" w:type="dxa"/>
            <w:vAlign w:val="bottom"/>
            <w:tcBorders>
              <w:top w:val="single" w:sz="8" w:color="auto"/>
              <w:bottom w:val="single" w:sz="8" w:color="auto"/>
            </w:tcBorders>
            <w:gridSpan w:val="2"/>
          </w:tcPr>
          <w:p>
            <w:pPr>
              <w:jc w:val="right"/>
              <w:ind w:right="23"/>
              <w:spacing w:after="0" w:line="156" w:lineRule="exact"/>
              <w:rPr>
                <w:sz w:val="20"/>
                <w:szCs w:val="20"/>
                <w:color w:val="auto"/>
              </w:rPr>
            </w:pPr>
            <w:r>
              <w:rPr>
                <w:rFonts w:ascii="Arial" w:cs="Arial" w:eastAsia="Arial" w:hAnsi="Arial"/>
                <w:sz w:val="15"/>
                <w:szCs w:val="15"/>
                <w:color w:val="auto"/>
              </w:rPr>
              <w:t>989,103</w:t>
            </w:r>
          </w:p>
        </w:tc>
        <w:tc>
          <w:tcPr>
            <w:tcW w:w="280" w:type="dxa"/>
            <w:vAlign w:val="bottom"/>
            <w:tcBorders>
              <w:top w:val="single" w:sz="8" w:color="auto"/>
              <w:bottom w:val="single" w:sz="8" w:color="auto"/>
            </w:tcBorders>
          </w:tcPr>
          <w:p>
            <w:pPr>
              <w:jc w:val="right"/>
              <w:ind w:right="5"/>
              <w:spacing w:after="0" w:line="156" w:lineRule="exact"/>
              <w:rPr>
                <w:sz w:val="20"/>
                <w:szCs w:val="20"/>
                <w:color w:val="auto"/>
              </w:rPr>
            </w:pPr>
            <w:r>
              <w:rPr>
                <w:rFonts w:ascii="Arial" w:cs="Arial" w:eastAsia="Arial" w:hAnsi="Arial"/>
                <w:sz w:val="15"/>
                <w:szCs w:val="15"/>
                <w:b w:val="1"/>
                <w:bCs w:val="1"/>
                <w:color w:val="auto"/>
              </w:rPr>
              <w:t>$</w:t>
            </w:r>
          </w:p>
        </w:tc>
        <w:tc>
          <w:tcPr>
            <w:tcW w:w="114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b w:val="1"/>
                <w:bCs w:val="1"/>
                <w:color w:val="auto"/>
              </w:rPr>
              <w:t>1,980,956</w:t>
            </w:r>
          </w:p>
        </w:tc>
        <w:tc>
          <w:tcPr>
            <w:tcW w:w="14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jc w:val="right"/>
              <w:ind w:right="44"/>
              <w:spacing w:after="0" w:line="156" w:lineRule="exact"/>
              <w:rPr>
                <w:sz w:val="20"/>
                <w:szCs w:val="20"/>
                <w:color w:val="auto"/>
              </w:rPr>
            </w:pPr>
            <w:r>
              <w:rPr>
                <w:rFonts w:ascii="Arial" w:cs="Arial" w:eastAsia="Arial" w:hAnsi="Arial"/>
                <w:sz w:val="15"/>
                <w:szCs w:val="15"/>
                <w:color w:val="auto"/>
                <w:w w:val="95"/>
              </w:rPr>
              <w:t>$</w:t>
            </w:r>
          </w:p>
        </w:tc>
        <w:tc>
          <w:tcPr>
            <w:tcW w:w="98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1,944,604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900" w:type="dxa"/>
            <w:vAlign w:val="bottom"/>
            <w:vMerge w:val="continue"/>
          </w:tcPr>
          <w:p>
            <w:pPr>
              <w:spacing w:after="0"/>
              <w:rPr>
                <w:sz w:val="13"/>
                <w:szCs w:val="13"/>
                <w:color w:val="auto"/>
              </w:rPr>
            </w:pPr>
          </w:p>
        </w:tc>
        <w:tc>
          <w:tcPr>
            <w:tcW w:w="1180" w:type="dxa"/>
            <w:vAlign w:val="bottom"/>
            <w:gridSpan w:val="2"/>
            <w:vMerge w:val="restart"/>
          </w:tcPr>
          <w:p>
            <w:pPr>
              <w:jc w:val="right"/>
              <w:ind w:right="103"/>
              <w:spacing w:after="0"/>
              <w:rPr>
                <w:sz w:val="20"/>
                <w:szCs w:val="20"/>
                <w:color w:val="auto"/>
              </w:rPr>
            </w:pPr>
            <w:r>
              <w:rPr>
                <w:rFonts w:ascii="Arial" w:cs="Arial" w:eastAsia="Arial" w:hAnsi="Arial"/>
                <w:sz w:val="15"/>
                <w:szCs w:val="15"/>
                <w:b w:val="1"/>
                <w:bCs w:val="1"/>
                <w:color w:val="auto"/>
              </w:rPr>
              <w:t>$</w:t>
            </w:r>
          </w:p>
        </w:tc>
        <w:tc>
          <w:tcPr>
            <w:tcW w:w="1120" w:type="dxa"/>
            <w:vAlign w:val="bottom"/>
            <w:vMerge w:val="restart"/>
          </w:tcPr>
          <w:p>
            <w:pPr>
              <w:jc w:val="right"/>
              <w:ind w:right="64"/>
              <w:spacing w:after="0"/>
              <w:rPr>
                <w:sz w:val="20"/>
                <w:szCs w:val="20"/>
                <w:color w:val="auto"/>
              </w:rPr>
            </w:pPr>
            <w:r>
              <w:rPr>
                <w:rFonts w:ascii="Arial" w:cs="Arial" w:eastAsia="Arial" w:hAnsi="Arial"/>
                <w:sz w:val="15"/>
                <w:szCs w:val="15"/>
                <w:b w:val="1"/>
                <w:bCs w:val="1"/>
                <w:color w:val="auto"/>
              </w:rPr>
              <w:t>23,726</w:t>
            </w: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vMerge w:val="restart"/>
          </w:tcPr>
          <w:p>
            <w:pPr>
              <w:jc w:val="right"/>
              <w:ind w:right="5"/>
              <w:spacing w:after="0"/>
              <w:rPr>
                <w:sz w:val="20"/>
                <w:szCs w:val="20"/>
                <w:color w:val="auto"/>
              </w:rPr>
            </w:pPr>
            <w:r>
              <w:rPr>
                <w:rFonts w:ascii="Arial" w:cs="Arial" w:eastAsia="Arial" w:hAnsi="Arial"/>
                <w:sz w:val="15"/>
                <w:szCs w:val="15"/>
                <w:b w:val="1"/>
                <w:bCs w:val="1"/>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19,670</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900" w:type="dxa"/>
            <w:vAlign w:val="bottom"/>
          </w:tcPr>
          <w:p>
            <w:pPr>
              <w:ind w:left="240"/>
              <w:spacing w:after="0" w:line="144" w:lineRule="exact"/>
              <w:rPr>
                <w:sz w:val="20"/>
                <w:szCs w:val="20"/>
                <w:color w:val="auto"/>
              </w:rPr>
            </w:pPr>
            <w:r>
              <w:rPr>
                <w:rFonts w:ascii="Arial" w:cs="Arial" w:eastAsia="Arial" w:hAnsi="Arial"/>
                <w:sz w:val="15"/>
                <w:szCs w:val="15"/>
                <w:color w:val="auto"/>
              </w:rPr>
              <w:t>Education</w:t>
            </w:r>
          </w:p>
        </w:tc>
        <w:tc>
          <w:tcPr>
            <w:tcW w:w="1180" w:type="dxa"/>
            <w:vAlign w:val="bottom"/>
            <w:gridSpan w:val="2"/>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400" w:type="dxa"/>
            <w:vAlign w:val="bottom"/>
          </w:tcPr>
          <w:p>
            <w:pPr>
              <w:jc w:val="right"/>
              <w:ind w:right="123"/>
              <w:spacing w:after="0" w:line="144" w:lineRule="exact"/>
              <w:rPr>
                <w:sz w:val="20"/>
                <w:szCs w:val="20"/>
                <w:color w:val="auto"/>
              </w:rPr>
            </w:pPr>
            <w:r>
              <w:rPr>
                <w:rFonts w:ascii="Arial" w:cs="Arial" w:eastAsia="Arial" w:hAnsi="Arial"/>
                <w:sz w:val="15"/>
                <w:szCs w:val="15"/>
                <w:color w:val="auto"/>
              </w:rPr>
              <w:t>$</w:t>
            </w:r>
          </w:p>
        </w:tc>
        <w:tc>
          <w:tcPr>
            <w:tcW w:w="1060" w:type="dxa"/>
            <w:vAlign w:val="bottom"/>
            <w:gridSpan w:val="2"/>
          </w:tcPr>
          <w:p>
            <w:pPr>
              <w:jc w:val="right"/>
              <w:ind w:right="23"/>
              <w:spacing w:after="0" w:line="144" w:lineRule="exact"/>
              <w:rPr>
                <w:sz w:val="20"/>
                <w:szCs w:val="20"/>
                <w:color w:val="auto"/>
              </w:rPr>
            </w:pPr>
            <w:r>
              <w:rPr>
                <w:rFonts w:ascii="Arial" w:cs="Arial" w:eastAsia="Arial" w:hAnsi="Arial"/>
                <w:sz w:val="15"/>
                <w:szCs w:val="15"/>
                <w:color w:val="auto"/>
              </w:rPr>
              <w:t>3,728</w:t>
            </w:r>
          </w:p>
        </w:tc>
        <w:tc>
          <w:tcPr>
            <w:tcW w:w="280" w:type="dxa"/>
            <w:vAlign w:val="bottom"/>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jc w:val="right"/>
              <w:ind w:right="44"/>
              <w:spacing w:after="0" w:line="144" w:lineRule="exact"/>
              <w:rPr>
                <w:sz w:val="20"/>
                <w:szCs w:val="20"/>
                <w:color w:val="auto"/>
              </w:rPr>
            </w:pPr>
            <w:r>
              <w:rPr>
                <w:rFonts w:ascii="Arial" w:cs="Arial" w:eastAsia="Arial" w:hAnsi="Arial"/>
                <w:sz w:val="15"/>
                <w:szCs w:val="15"/>
                <w:color w:val="auto"/>
                <w:w w:val="95"/>
              </w:rPr>
              <w:t>$</w:t>
            </w:r>
          </w:p>
        </w:tc>
        <w:tc>
          <w:tcPr>
            <w:tcW w:w="1000" w:type="dxa"/>
            <w:vAlign w:val="bottom"/>
            <w:gridSpan w:val="2"/>
          </w:tcPr>
          <w:p>
            <w:pPr>
              <w:jc w:val="right"/>
              <w:ind w:right="20"/>
              <w:spacing w:after="0" w:line="144" w:lineRule="exact"/>
              <w:rPr>
                <w:sz w:val="20"/>
                <w:szCs w:val="20"/>
                <w:color w:val="auto"/>
              </w:rPr>
            </w:pPr>
            <w:r>
              <w:rPr>
                <w:rFonts w:ascii="Arial" w:cs="Arial" w:eastAsia="Arial" w:hAnsi="Arial"/>
                <w:sz w:val="15"/>
                <w:szCs w:val="15"/>
                <w:color w:val="auto"/>
              </w:rPr>
              <w:t>(8,187)</w:t>
            </w:r>
          </w:p>
        </w:tc>
        <w:tc>
          <w:tcPr>
            <w:tcW w:w="0" w:type="dxa"/>
            <w:vAlign w:val="bottom"/>
          </w:tcPr>
          <w:p>
            <w:pPr>
              <w:spacing w:after="0"/>
              <w:rPr>
                <w:sz w:val="1"/>
                <w:szCs w:val="1"/>
                <w:color w:val="auto"/>
              </w:rPr>
            </w:pPr>
          </w:p>
        </w:tc>
      </w:tr>
      <w:tr>
        <w:trPr>
          <w:trHeight w:val="162"/>
        </w:trPr>
        <w:tc>
          <w:tcPr>
            <w:tcW w:w="4900" w:type="dxa"/>
            <w:vAlign w:val="bottom"/>
          </w:tcPr>
          <w:p>
            <w:pPr>
              <w:ind w:left="240"/>
              <w:spacing w:after="0" w:line="162" w:lineRule="exact"/>
              <w:rPr>
                <w:sz w:val="20"/>
                <w:szCs w:val="20"/>
                <w:color w:val="auto"/>
              </w:rPr>
            </w:pPr>
            <w:r>
              <w:rPr>
                <w:rFonts w:ascii="Arial" w:cs="Arial" w:eastAsia="Arial" w:hAnsi="Arial"/>
                <w:sz w:val="15"/>
                <w:szCs w:val="15"/>
                <w:color w:val="auto"/>
              </w:rPr>
              <w:t>Cable television</w:t>
            </w: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64"/>
              <w:spacing w:after="0" w:line="162" w:lineRule="exact"/>
              <w:rPr>
                <w:sz w:val="20"/>
                <w:szCs w:val="20"/>
                <w:color w:val="auto"/>
              </w:rPr>
            </w:pPr>
            <w:r>
              <w:rPr>
                <w:rFonts w:ascii="Arial" w:cs="Arial" w:eastAsia="Arial" w:hAnsi="Arial"/>
                <w:sz w:val="15"/>
                <w:szCs w:val="15"/>
                <w:b w:val="1"/>
                <w:bCs w:val="1"/>
                <w:color w:val="auto"/>
              </w:rPr>
              <w:t>44,710</w:t>
            </w:r>
          </w:p>
        </w:tc>
        <w:tc>
          <w:tcPr>
            <w:tcW w:w="400" w:type="dxa"/>
            <w:vAlign w:val="bottom"/>
          </w:tcPr>
          <w:p>
            <w:pPr>
              <w:spacing w:after="0"/>
              <w:rPr>
                <w:sz w:val="14"/>
                <w:szCs w:val="14"/>
                <w:color w:val="auto"/>
              </w:rPr>
            </w:pPr>
          </w:p>
        </w:tc>
        <w:tc>
          <w:tcPr>
            <w:tcW w:w="1060" w:type="dxa"/>
            <w:vAlign w:val="bottom"/>
            <w:gridSpan w:val="2"/>
          </w:tcPr>
          <w:p>
            <w:pPr>
              <w:jc w:val="right"/>
              <w:ind w:right="23"/>
              <w:spacing w:after="0" w:line="162" w:lineRule="exact"/>
              <w:rPr>
                <w:sz w:val="20"/>
                <w:szCs w:val="20"/>
                <w:color w:val="auto"/>
              </w:rPr>
            </w:pPr>
            <w:r>
              <w:rPr>
                <w:rFonts w:ascii="Arial" w:cs="Arial" w:eastAsia="Arial" w:hAnsi="Arial"/>
                <w:sz w:val="15"/>
                <w:szCs w:val="15"/>
                <w:color w:val="auto"/>
              </w:rPr>
              <w:t>38,446</w:t>
            </w:r>
          </w:p>
        </w:tc>
        <w:tc>
          <w:tcPr>
            <w:tcW w:w="28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b w:val="1"/>
                <w:bCs w:val="1"/>
                <w:color w:val="auto"/>
              </w:rPr>
              <w:t>81,323</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Arial" w:cs="Arial" w:eastAsia="Arial" w:hAnsi="Arial"/>
                <w:sz w:val="15"/>
                <w:szCs w:val="15"/>
                <w:color w:val="auto"/>
              </w:rPr>
              <w:t>71,223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00" w:type="dxa"/>
            <w:vAlign w:val="bottom"/>
          </w:tcPr>
          <w:p>
            <w:pPr>
              <w:ind w:left="240"/>
              <w:spacing w:after="0" w:line="162" w:lineRule="exact"/>
              <w:rPr>
                <w:sz w:val="20"/>
                <w:szCs w:val="20"/>
                <w:color w:val="auto"/>
              </w:rPr>
            </w:pPr>
            <w:r>
              <w:rPr>
                <w:rFonts w:ascii="Arial" w:cs="Arial" w:eastAsia="Arial" w:hAnsi="Arial"/>
                <w:sz w:val="15"/>
                <w:szCs w:val="15"/>
                <w:color w:val="auto"/>
              </w:rPr>
              <w:t>Newspaper publishing</w:t>
            </w: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4"/>
              <w:spacing w:after="0" w:line="162" w:lineRule="exact"/>
              <w:rPr>
                <w:sz w:val="20"/>
                <w:szCs w:val="20"/>
                <w:color w:val="auto"/>
              </w:rPr>
            </w:pPr>
            <w:r>
              <w:rPr>
                <w:rFonts w:ascii="Arial" w:cs="Arial" w:eastAsia="Arial" w:hAnsi="Arial"/>
                <w:sz w:val="15"/>
                <w:szCs w:val="15"/>
                <w:b w:val="1"/>
                <w:bCs w:val="1"/>
                <w:color w:val="auto"/>
              </w:rPr>
              <w:t>(14,827)</w:t>
            </w:r>
          </w:p>
        </w:tc>
        <w:tc>
          <w:tcPr>
            <w:tcW w:w="400" w:type="dxa"/>
            <w:vAlign w:val="bottom"/>
          </w:tcPr>
          <w:p>
            <w:pPr>
              <w:spacing w:after="0"/>
              <w:rPr>
                <w:sz w:val="14"/>
                <w:szCs w:val="14"/>
                <w:color w:val="auto"/>
              </w:rPr>
            </w:pPr>
          </w:p>
        </w:tc>
        <w:tc>
          <w:tcPr>
            <w:tcW w:w="10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(12,614)</w:t>
            </w:r>
          </w:p>
        </w:tc>
        <w:tc>
          <w:tcPr>
            <w:tcW w:w="28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b w:val="1"/>
                <w:bCs w:val="1"/>
                <w:color w:val="auto"/>
              </w:rPr>
              <w:t>(49,299)</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right"/>
              <w:ind w:right="20"/>
              <w:spacing w:after="0" w:line="162" w:lineRule="exact"/>
              <w:rPr>
                <w:sz w:val="20"/>
                <w:szCs w:val="20"/>
                <w:color w:val="auto"/>
              </w:rPr>
            </w:pPr>
            <w:r>
              <w:rPr>
                <w:rFonts w:ascii="Arial" w:cs="Arial" w:eastAsia="Arial" w:hAnsi="Arial"/>
                <w:sz w:val="15"/>
                <w:szCs w:val="15"/>
                <w:color w:val="auto"/>
              </w:rPr>
              <w:t>(33,226)</w:t>
            </w:r>
          </w:p>
        </w:tc>
        <w:tc>
          <w:tcPr>
            <w:tcW w:w="0" w:type="dxa"/>
            <w:vAlign w:val="bottom"/>
          </w:tcPr>
          <w:p>
            <w:pPr>
              <w:spacing w:after="0"/>
              <w:rPr>
                <w:sz w:val="1"/>
                <w:szCs w:val="1"/>
                <w:color w:val="auto"/>
              </w:rPr>
            </w:pPr>
          </w:p>
        </w:tc>
      </w:tr>
      <w:tr>
        <w:trPr>
          <w:trHeight w:val="162"/>
        </w:trPr>
        <w:tc>
          <w:tcPr>
            <w:tcW w:w="4900" w:type="dxa"/>
            <w:vAlign w:val="bottom"/>
          </w:tcPr>
          <w:p>
            <w:pPr>
              <w:ind w:left="240"/>
              <w:spacing w:after="0" w:line="162" w:lineRule="exact"/>
              <w:rPr>
                <w:sz w:val="20"/>
                <w:szCs w:val="20"/>
                <w:color w:val="auto"/>
              </w:rPr>
            </w:pPr>
            <w:r>
              <w:rPr>
                <w:rFonts w:ascii="Arial" w:cs="Arial" w:eastAsia="Arial" w:hAnsi="Arial"/>
                <w:sz w:val="15"/>
                <w:szCs w:val="15"/>
                <w:color w:val="auto"/>
              </w:rPr>
              <w:t>Television broadcasting</w:t>
            </w: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64"/>
              <w:spacing w:after="0" w:line="162" w:lineRule="exact"/>
              <w:rPr>
                <w:sz w:val="20"/>
                <w:szCs w:val="20"/>
                <w:color w:val="auto"/>
              </w:rPr>
            </w:pPr>
            <w:r>
              <w:rPr>
                <w:rFonts w:ascii="Arial" w:cs="Arial" w:eastAsia="Arial" w:hAnsi="Arial"/>
                <w:sz w:val="15"/>
                <w:szCs w:val="15"/>
                <w:b w:val="1"/>
                <w:bCs w:val="1"/>
                <w:color w:val="auto"/>
              </w:rPr>
              <w:t>47,704</w:t>
            </w:r>
          </w:p>
        </w:tc>
        <w:tc>
          <w:tcPr>
            <w:tcW w:w="400" w:type="dxa"/>
            <w:vAlign w:val="bottom"/>
          </w:tcPr>
          <w:p>
            <w:pPr>
              <w:spacing w:after="0"/>
              <w:rPr>
                <w:sz w:val="14"/>
                <w:szCs w:val="14"/>
                <w:color w:val="auto"/>
              </w:rPr>
            </w:pPr>
          </w:p>
        </w:tc>
        <w:tc>
          <w:tcPr>
            <w:tcW w:w="1060" w:type="dxa"/>
            <w:vAlign w:val="bottom"/>
            <w:gridSpan w:val="2"/>
          </w:tcPr>
          <w:p>
            <w:pPr>
              <w:jc w:val="right"/>
              <w:ind w:right="23"/>
              <w:spacing w:after="0" w:line="162" w:lineRule="exact"/>
              <w:rPr>
                <w:sz w:val="20"/>
                <w:szCs w:val="20"/>
                <w:color w:val="auto"/>
              </w:rPr>
            </w:pPr>
            <w:r>
              <w:rPr>
                <w:rFonts w:ascii="Arial" w:cs="Arial" w:eastAsia="Arial" w:hAnsi="Arial"/>
                <w:sz w:val="15"/>
                <w:szCs w:val="15"/>
                <w:color w:val="auto"/>
              </w:rPr>
              <w:t>43,728</w:t>
            </w:r>
          </w:p>
        </w:tc>
        <w:tc>
          <w:tcPr>
            <w:tcW w:w="28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b w:val="1"/>
                <w:bCs w:val="1"/>
                <w:color w:val="auto"/>
              </w:rPr>
              <w:t>83,066</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Arial" w:cs="Arial" w:eastAsia="Arial" w:hAnsi="Arial"/>
                <w:sz w:val="15"/>
                <w:szCs w:val="15"/>
                <w:color w:val="auto"/>
              </w:rPr>
              <w:t>74,727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00" w:type="dxa"/>
            <w:vAlign w:val="bottom"/>
          </w:tcPr>
          <w:p>
            <w:pPr>
              <w:ind w:left="240"/>
              <w:spacing w:after="0" w:line="162" w:lineRule="exact"/>
              <w:rPr>
                <w:sz w:val="20"/>
                <w:szCs w:val="20"/>
                <w:color w:val="auto"/>
              </w:rPr>
            </w:pPr>
            <w:r>
              <w:rPr>
                <w:rFonts w:ascii="Arial" w:cs="Arial" w:eastAsia="Arial" w:hAnsi="Arial"/>
                <w:sz w:val="15"/>
                <w:szCs w:val="15"/>
                <w:color w:val="auto"/>
              </w:rPr>
              <w:t>Other businesses</w:t>
            </w: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4"/>
              <w:spacing w:after="0" w:line="162" w:lineRule="exact"/>
              <w:rPr>
                <w:sz w:val="20"/>
                <w:szCs w:val="20"/>
                <w:color w:val="auto"/>
              </w:rPr>
            </w:pPr>
            <w:r>
              <w:rPr>
                <w:rFonts w:ascii="Arial" w:cs="Arial" w:eastAsia="Arial" w:hAnsi="Arial"/>
                <w:sz w:val="15"/>
                <w:szCs w:val="15"/>
                <w:b w:val="1"/>
                <w:bCs w:val="1"/>
                <w:color w:val="auto"/>
              </w:rPr>
              <w:t>(4,510)</w:t>
            </w:r>
          </w:p>
        </w:tc>
        <w:tc>
          <w:tcPr>
            <w:tcW w:w="400" w:type="dxa"/>
            <w:vAlign w:val="bottom"/>
          </w:tcPr>
          <w:p>
            <w:pPr>
              <w:spacing w:after="0"/>
              <w:rPr>
                <w:sz w:val="14"/>
                <w:szCs w:val="14"/>
                <w:color w:val="auto"/>
              </w:rPr>
            </w:pPr>
          </w:p>
        </w:tc>
        <w:tc>
          <w:tcPr>
            <w:tcW w:w="10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(6,775)</w:t>
            </w:r>
          </w:p>
        </w:tc>
        <w:tc>
          <w:tcPr>
            <w:tcW w:w="28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b w:val="1"/>
                <w:bCs w:val="1"/>
                <w:color w:val="auto"/>
              </w:rPr>
              <w:t>(10,623)</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right"/>
              <w:ind w:right="20"/>
              <w:spacing w:after="0" w:line="162" w:lineRule="exact"/>
              <w:rPr>
                <w:sz w:val="20"/>
                <w:szCs w:val="20"/>
                <w:color w:val="auto"/>
              </w:rPr>
            </w:pPr>
            <w:r>
              <w:rPr>
                <w:rFonts w:ascii="Arial" w:cs="Arial" w:eastAsia="Arial" w:hAnsi="Arial"/>
                <w:sz w:val="15"/>
                <w:szCs w:val="15"/>
                <w:color w:val="auto"/>
              </w:rPr>
              <w:t>(11,418)</w:t>
            </w:r>
          </w:p>
        </w:tc>
        <w:tc>
          <w:tcPr>
            <w:tcW w:w="0" w:type="dxa"/>
            <w:vAlign w:val="bottom"/>
          </w:tcPr>
          <w:p>
            <w:pPr>
              <w:spacing w:after="0"/>
              <w:rPr>
                <w:sz w:val="1"/>
                <w:szCs w:val="1"/>
                <w:color w:val="auto"/>
              </w:rPr>
            </w:pPr>
          </w:p>
        </w:tc>
      </w:tr>
      <w:tr>
        <w:trPr>
          <w:trHeight w:val="183"/>
        </w:trPr>
        <w:tc>
          <w:tcPr>
            <w:tcW w:w="4900" w:type="dxa"/>
            <w:vAlign w:val="bottom"/>
          </w:tcPr>
          <w:p>
            <w:pPr>
              <w:ind w:left="240"/>
              <w:spacing w:after="0"/>
              <w:rPr>
                <w:sz w:val="20"/>
                <w:szCs w:val="20"/>
                <w:color w:val="auto"/>
              </w:rPr>
            </w:pPr>
            <w:r>
              <w:rPr>
                <w:rFonts w:ascii="Arial" w:cs="Arial" w:eastAsia="Arial" w:hAnsi="Arial"/>
                <w:sz w:val="15"/>
                <w:szCs w:val="15"/>
                <w:color w:val="auto"/>
              </w:rPr>
              <w:t>Corporate office</w:t>
            </w: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4"/>
              <w:spacing w:after="0"/>
              <w:rPr>
                <w:sz w:val="20"/>
                <w:szCs w:val="20"/>
                <w:color w:val="auto"/>
              </w:rPr>
            </w:pPr>
            <w:r>
              <w:rPr>
                <w:rFonts w:ascii="Arial" w:cs="Arial" w:eastAsia="Arial" w:hAnsi="Arial"/>
                <w:sz w:val="15"/>
                <w:szCs w:val="15"/>
                <w:b w:val="1"/>
                <w:bCs w:val="1"/>
                <w:color w:val="auto"/>
              </w:rPr>
              <w:t>(3,753)</w:t>
            </w:r>
          </w:p>
        </w:tc>
        <w:tc>
          <w:tcPr>
            <w:tcW w:w="400" w:type="dxa"/>
            <w:vAlign w:val="bottom"/>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Arial" w:cs="Arial" w:eastAsia="Arial" w:hAnsi="Arial"/>
                <w:sz w:val="15"/>
                <w:szCs w:val="15"/>
                <w:color w:val="auto"/>
              </w:rPr>
              <w:t>(3,492)</w:t>
            </w:r>
          </w:p>
        </w:tc>
        <w:tc>
          <w:tcPr>
            <w:tcW w:w="2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b w:val="1"/>
                <w:bCs w:val="1"/>
                <w:color w:val="auto"/>
              </w:rPr>
              <w:t>(8,027)</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5"/>
                <w:szCs w:val="15"/>
                <w:color w:val="auto"/>
              </w:rPr>
              <w:t>(8,800)</w:t>
            </w:r>
          </w:p>
        </w:tc>
        <w:tc>
          <w:tcPr>
            <w:tcW w:w="0" w:type="dxa"/>
            <w:vAlign w:val="bottom"/>
          </w:tcPr>
          <w:p>
            <w:pPr>
              <w:spacing w:after="0"/>
              <w:rPr>
                <w:sz w:val="1"/>
                <w:szCs w:val="1"/>
                <w:color w:val="auto"/>
              </w:rPr>
            </w:pPr>
          </w:p>
        </w:tc>
      </w:tr>
      <w:tr>
        <w:trPr>
          <w:trHeight w:val="156"/>
        </w:trPr>
        <w:tc>
          <w:tcPr>
            <w:tcW w:w="4900" w:type="dxa"/>
            <w:vAlign w:val="bottom"/>
            <w:vMerge w:val="restart"/>
          </w:tcPr>
          <w:p>
            <w:pPr>
              <w:spacing w:after="0"/>
              <w:rPr>
                <w:sz w:val="20"/>
                <w:szCs w:val="20"/>
                <w:color w:val="auto"/>
              </w:rPr>
            </w:pPr>
            <w:r>
              <w:rPr>
                <w:rFonts w:ascii="Arial" w:cs="Arial" w:eastAsia="Arial" w:hAnsi="Arial"/>
                <w:sz w:val="15"/>
                <w:szCs w:val="15"/>
                <w:b w:val="1"/>
                <w:bCs w:val="1"/>
                <w:color w:val="auto"/>
              </w:rPr>
              <w:t>Equity in Earnings of Affiliates, Net</w:t>
            </w:r>
          </w:p>
        </w:tc>
        <w:tc>
          <w:tcPr>
            <w:tcW w:w="840" w:type="dxa"/>
            <w:vAlign w:val="bottom"/>
          </w:tcPr>
          <w:p>
            <w:pPr>
              <w:spacing w:after="0"/>
              <w:rPr>
                <w:sz w:val="13"/>
                <w:szCs w:val="13"/>
                <w:color w:val="auto"/>
              </w:rPr>
            </w:pPr>
          </w:p>
        </w:tc>
        <w:tc>
          <w:tcPr>
            <w:tcW w:w="340" w:type="dxa"/>
            <w:vAlign w:val="bottom"/>
            <w:tcBorders>
              <w:top w:val="single" w:sz="8" w:color="auto"/>
              <w:bottom w:val="single" w:sz="8" w:color="auto"/>
            </w:tcBorders>
          </w:tcPr>
          <w:p>
            <w:pPr>
              <w:jc w:val="right"/>
              <w:ind w:right="103"/>
              <w:spacing w:after="0" w:line="156" w:lineRule="exact"/>
              <w:rPr>
                <w:sz w:val="20"/>
                <w:szCs w:val="20"/>
                <w:color w:val="auto"/>
              </w:rPr>
            </w:pPr>
            <w:r>
              <w:rPr>
                <w:rFonts w:ascii="Arial" w:cs="Arial" w:eastAsia="Arial" w:hAnsi="Arial"/>
                <w:sz w:val="15"/>
                <w:szCs w:val="15"/>
                <w:b w:val="1"/>
                <w:bCs w:val="1"/>
                <w:color w:val="auto"/>
              </w:rPr>
              <w:t>$</w:t>
            </w:r>
          </w:p>
        </w:tc>
        <w:tc>
          <w:tcPr>
            <w:tcW w:w="1120" w:type="dxa"/>
            <w:vAlign w:val="bottom"/>
            <w:tcBorders>
              <w:top w:val="single" w:sz="8" w:color="auto"/>
              <w:bottom w:val="single" w:sz="8" w:color="auto"/>
            </w:tcBorders>
          </w:tcPr>
          <w:p>
            <w:pPr>
              <w:jc w:val="right"/>
              <w:ind w:right="64"/>
              <w:spacing w:after="0" w:line="156" w:lineRule="exact"/>
              <w:rPr>
                <w:sz w:val="20"/>
                <w:szCs w:val="20"/>
                <w:color w:val="auto"/>
              </w:rPr>
            </w:pPr>
            <w:r>
              <w:rPr>
                <w:rFonts w:ascii="Arial" w:cs="Arial" w:eastAsia="Arial" w:hAnsi="Arial"/>
                <w:sz w:val="15"/>
                <w:szCs w:val="15"/>
                <w:b w:val="1"/>
                <w:bCs w:val="1"/>
                <w:color w:val="auto"/>
              </w:rPr>
              <w:t>93,050</w:t>
            </w:r>
          </w:p>
        </w:tc>
        <w:tc>
          <w:tcPr>
            <w:tcW w:w="400" w:type="dxa"/>
            <w:vAlign w:val="bottom"/>
            <w:tcBorders>
              <w:top w:val="single" w:sz="8" w:color="auto"/>
              <w:bottom w:val="single" w:sz="8" w:color="auto"/>
            </w:tcBorders>
          </w:tcPr>
          <w:p>
            <w:pPr>
              <w:jc w:val="right"/>
              <w:ind w:right="123"/>
              <w:spacing w:after="0" w:line="156" w:lineRule="exact"/>
              <w:rPr>
                <w:sz w:val="20"/>
                <w:szCs w:val="20"/>
                <w:color w:val="auto"/>
              </w:rPr>
            </w:pPr>
            <w:r>
              <w:rPr>
                <w:rFonts w:ascii="Arial" w:cs="Arial" w:eastAsia="Arial" w:hAnsi="Arial"/>
                <w:sz w:val="15"/>
                <w:szCs w:val="15"/>
                <w:color w:val="auto"/>
              </w:rPr>
              <w:t>$</w:t>
            </w:r>
          </w:p>
        </w:tc>
        <w:tc>
          <w:tcPr>
            <w:tcW w:w="1060" w:type="dxa"/>
            <w:vAlign w:val="bottom"/>
            <w:tcBorders>
              <w:top w:val="single" w:sz="8" w:color="auto"/>
              <w:bottom w:val="single" w:sz="8" w:color="auto"/>
            </w:tcBorders>
            <w:gridSpan w:val="2"/>
          </w:tcPr>
          <w:p>
            <w:pPr>
              <w:jc w:val="right"/>
              <w:ind w:right="23"/>
              <w:spacing w:after="0" w:line="156" w:lineRule="exact"/>
              <w:rPr>
                <w:sz w:val="20"/>
                <w:szCs w:val="20"/>
                <w:color w:val="auto"/>
              </w:rPr>
            </w:pPr>
            <w:r>
              <w:rPr>
                <w:rFonts w:ascii="Arial" w:cs="Arial" w:eastAsia="Arial" w:hAnsi="Arial"/>
                <w:sz w:val="15"/>
                <w:szCs w:val="15"/>
                <w:color w:val="auto"/>
              </w:rPr>
              <w:t>63,021</w:t>
            </w:r>
          </w:p>
        </w:tc>
        <w:tc>
          <w:tcPr>
            <w:tcW w:w="280" w:type="dxa"/>
            <w:vAlign w:val="bottom"/>
            <w:tcBorders>
              <w:top w:val="single" w:sz="8" w:color="auto"/>
              <w:bottom w:val="single" w:sz="8" w:color="auto"/>
            </w:tcBorders>
          </w:tcPr>
          <w:p>
            <w:pPr>
              <w:jc w:val="right"/>
              <w:ind w:right="5"/>
              <w:spacing w:after="0" w:line="156" w:lineRule="exact"/>
              <w:rPr>
                <w:sz w:val="20"/>
                <w:szCs w:val="20"/>
                <w:color w:val="auto"/>
              </w:rPr>
            </w:pPr>
            <w:r>
              <w:rPr>
                <w:rFonts w:ascii="Arial" w:cs="Arial" w:eastAsia="Arial" w:hAnsi="Arial"/>
                <w:sz w:val="15"/>
                <w:szCs w:val="15"/>
                <w:b w:val="1"/>
                <w:bCs w:val="1"/>
                <w:color w:val="auto"/>
              </w:rPr>
              <w:t>$</w:t>
            </w:r>
          </w:p>
        </w:tc>
        <w:tc>
          <w:tcPr>
            <w:tcW w:w="114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b w:val="1"/>
                <w:bCs w:val="1"/>
                <w:color w:val="auto"/>
              </w:rPr>
              <w:t>116,110</w:t>
            </w:r>
          </w:p>
        </w:tc>
        <w:tc>
          <w:tcPr>
            <w:tcW w:w="14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jc w:val="right"/>
              <w:ind w:right="44"/>
              <w:spacing w:after="0" w:line="156" w:lineRule="exact"/>
              <w:rPr>
                <w:sz w:val="20"/>
                <w:szCs w:val="20"/>
                <w:color w:val="auto"/>
              </w:rPr>
            </w:pPr>
            <w:r>
              <w:rPr>
                <w:rFonts w:ascii="Arial" w:cs="Arial" w:eastAsia="Arial" w:hAnsi="Arial"/>
                <w:sz w:val="15"/>
                <w:szCs w:val="15"/>
                <w:color w:val="auto"/>
                <w:w w:val="95"/>
              </w:rPr>
              <w:t>$</w:t>
            </w:r>
          </w:p>
        </w:tc>
        <w:tc>
          <w:tcPr>
            <w:tcW w:w="98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84,319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4900" w:type="dxa"/>
            <w:vAlign w:val="bottom"/>
            <w:vMerge w:val="continue"/>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jc w:val="right"/>
              <w:ind w:right="64"/>
              <w:spacing w:after="0" w:line="134" w:lineRule="exact"/>
              <w:rPr>
                <w:sz w:val="20"/>
                <w:szCs w:val="20"/>
                <w:color w:val="auto"/>
              </w:rPr>
            </w:pPr>
            <w:r>
              <w:rPr>
                <w:rFonts w:ascii="Arial" w:cs="Arial" w:eastAsia="Arial" w:hAnsi="Arial"/>
                <w:sz w:val="15"/>
                <w:szCs w:val="15"/>
                <w:b w:val="1"/>
                <w:bCs w:val="1"/>
                <w:color w:val="auto"/>
              </w:rPr>
              <w:t>3,868</w:t>
            </w:r>
          </w:p>
        </w:tc>
        <w:tc>
          <w:tcPr>
            <w:tcW w:w="400" w:type="dxa"/>
            <w:vAlign w:val="bottom"/>
          </w:tcPr>
          <w:p>
            <w:pPr>
              <w:spacing w:after="0"/>
              <w:rPr>
                <w:sz w:val="11"/>
                <w:szCs w:val="11"/>
                <w:color w:val="auto"/>
              </w:rPr>
            </w:pPr>
          </w:p>
        </w:tc>
        <w:tc>
          <w:tcPr>
            <w:tcW w:w="1060" w:type="dxa"/>
            <w:vAlign w:val="bottom"/>
            <w:gridSpan w:val="2"/>
          </w:tcPr>
          <w:p>
            <w:pPr>
              <w:jc w:val="right"/>
              <w:ind w:right="23"/>
              <w:spacing w:after="0" w:line="134" w:lineRule="exact"/>
              <w:rPr>
                <w:sz w:val="20"/>
                <w:szCs w:val="20"/>
                <w:color w:val="auto"/>
              </w:rPr>
            </w:pPr>
            <w:r>
              <w:rPr>
                <w:rFonts w:ascii="Arial" w:cs="Arial" w:eastAsia="Arial" w:hAnsi="Arial"/>
                <w:sz w:val="15"/>
                <w:szCs w:val="15"/>
                <w:color w:val="auto"/>
              </w:rPr>
              <w:t>3,314</w:t>
            </w:r>
          </w:p>
        </w:tc>
        <w:tc>
          <w:tcPr>
            <w:tcW w:w="280" w:type="dxa"/>
            <w:vAlign w:val="bottom"/>
          </w:tcPr>
          <w:p>
            <w:pPr>
              <w:spacing w:after="0"/>
              <w:rPr>
                <w:sz w:val="11"/>
                <w:szCs w:val="11"/>
                <w:color w:val="auto"/>
              </w:rPr>
            </w:pPr>
          </w:p>
        </w:tc>
        <w:tc>
          <w:tcPr>
            <w:tcW w:w="1140" w:type="dxa"/>
            <w:vAlign w:val="bottom"/>
          </w:tcPr>
          <w:p>
            <w:pPr>
              <w:jc w:val="right"/>
              <w:spacing w:after="0" w:line="134" w:lineRule="exact"/>
              <w:rPr>
                <w:sz w:val="20"/>
                <w:szCs w:val="20"/>
                <w:color w:val="auto"/>
              </w:rPr>
            </w:pPr>
            <w:r>
              <w:rPr>
                <w:rFonts w:ascii="Arial" w:cs="Arial" w:eastAsia="Arial" w:hAnsi="Arial"/>
                <w:sz w:val="15"/>
                <w:szCs w:val="15"/>
                <w:b w:val="1"/>
                <w:bCs w:val="1"/>
                <w:color w:val="auto"/>
              </w:rPr>
              <w:t>7,286</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jc w:val="right"/>
              <w:spacing w:after="0" w:line="134" w:lineRule="exact"/>
              <w:rPr>
                <w:sz w:val="20"/>
                <w:szCs w:val="20"/>
                <w:color w:val="auto"/>
              </w:rPr>
            </w:pPr>
            <w:r>
              <w:rPr>
                <w:rFonts w:ascii="Arial" w:cs="Arial" w:eastAsia="Arial" w:hAnsi="Arial"/>
                <w:sz w:val="15"/>
                <w:szCs w:val="15"/>
                <w:color w:val="auto"/>
              </w:rPr>
              <w:t>7,202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900" w:type="dxa"/>
            <w:vAlign w:val="bottom"/>
          </w:tcPr>
          <w:p>
            <w:pPr>
              <w:spacing w:after="0" w:line="162" w:lineRule="exact"/>
              <w:rPr>
                <w:sz w:val="20"/>
                <w:szCs w:val="20"/>
                <w:color w:val="auto"/>
              </w:rPr>
            </w:pPr>
            <w:r>
              <w:rPr>
                <w:rFonts w:ascii="Arial" w:cs="Arial" w:eastAsia="Arial" w:hAnsi="Arial"/>
                <w:sz w:val="15"/>
                <w:szCs w:val="15"/>
                <w:b w:val="1"/>
                <w:bCs w:val="1"/>
                <w:color w:val="auto"/>
              </w:rPr>
              <w:t>Interest Expense, Net</w:t>
            </w: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4"/>
              <w:spacing w:after="0" w:line="162" w:lineRule="exact"/>
              <w:rPr>
                <w:sz w:val="20"/>
                <w:szCs w:val="20"/>
                <w:color w:val="auto"/>
              </w:rPr>
            </w:pPr>
            <w:r>
              <w:rPr>
                <w:rFonts w:ascii="Arial" w:cs="Arial" w:eastAsia="Arial" w:hAnsi="Arial"/>
                <w:sz w:val="15"/>
                <w:szCs w:val="15"/>
                <w:b w:val="1"/>
                <w:bCs w:val="1"/>
                <w:color w:val="auto"/>
              </w:rPr>
              <w:t>(8,526)</w:t>
            </w:r>
          </w:p>
        </w:tc>
        <w:tc>
          <w:tcPr>
            <w:tcW w:w="400" w:type="dxa"/>
            <w:vAlign w:val="bottom"/>
          </w:tcPr>
          <w:p>
            <w:pPr>
              <w:spacing w:after="0"/>
              <w:rPr>
                <w:sz w:val="14"/>
                <w:szCs w:val="14"/>
                <w:color w:val="auto"/>
              </w:rPr>
            </w:pPr>
          </w:p>
        </w:tc>
        <w:tc>
          <w:tcPr>
            <w:tcW w:w="106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(8,204)</w:t>
            </w:r>
          </w:p>
        </w:tc>
        <w:tc>
          <w:tcPr>
            <w:tcW w:w="28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b w:val="1"/>
                <w:bCs w:val="1"/>
                <w:color w:val="auto"/>
              </w:rPr>
              <w:t>(16,976)</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right"/>
              <w:ind w:right="20"/>
              <w:spacing w:after="0" w:line="162" w:lineRule="exact"/>
              <w:rPr>
                <w:sz w:val="20"/>
                <w:szCs w:val="20"/>
                <w:color w:val="auto"/>
              </w:rPr>
            </w:pPr>
            <w:r>
              <w:rPr>
                <w:rFonts w:ascii="Arial" w:cs="Arial" w:eastAsia="Arial" w:hAnsi="Arial"/>
                <w:sz w:val="15"/>
                <w:szCs w:val="15"/>
                <w:color w:val="auto"/>
              </w:rPr>
              <w:t>(16,298)</w:t>
            </w:r>
          </w:p>
        </w:tc>
        <w:tc>
          <w:tcPr>
            <w:tcW w:w="0" w:type="dxa"/>
            <w:vAlign w:val="bottom"/>
          </w:tcPr>
          <w:p>
            <w:pPr>
              <w:spacing w:after="0"/>
              <w:rPr>
                <w:sz w:val="1"/>
                <w:szCs w:val="1"/>
                <w:color w:val="auto"/>
              </w:rPr>
            </w:pPr>
          </w:p>
        </w:tc>
      </w:tr>
      <w:tr>
        <w:trPr>
          <w:trHeight w:val="183"/>
        </w:trPr>
        <w:tc>
          <w:tcPr>
            <w:tcW w:w="4900" w:type="dxa"/>
            <w:vAlign w:val="bottom"/>
          </w:tcPr>
          <w:p>
            <w:pPr>
              <w:spacing w:after="0"/>
              <w:rPr>
                <w:sz w:val="20"/>
                <w:szCs w:val="20"/>
                <w:color w:val="auto"/>
              </w:rPr>
            </w:pPr>
            <w:r>
              <w:rPr>
                <w:rFonts w:ascii="Arial" w:cs="Arial" w:eastAsia="Arial" w:hAnsi="Arial"/>
                <w:sz w:val="15"/>
                <w:szCs w:val="15"/>
                <w:b w:val="1"/>
                <w:bCs w:val="1"/>
                <w:color w:val="auto"/>
              </w:rPr>
              <w:t>Other (Expense) Income, Net</w:t>
            </w:r>
          </w:p>
        </w:tc>
        <w:tc>
          <w:tcPr>
            <w:tcW w:w="8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(12,858)</w:t>
            </w:r>
          </w:p>
        </w:tc>
        <w:tc>
          <w:tcPr>
            <w:tcW w:w="4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(635)</w:t>
            </w: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(16,941)</w:t>
            </w:r>
          </w:p>
        </w:tc>
        <w:tc>
          <w:tcPr>
            <w:tcW w:w="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7,953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900" w:type="dxa"/>
            <w:vAlign w:val="bottom"/>
          </w:tcPr>
          <w:p>
            <w:pPr>
              <w:spacing w:after="0" w:line="156" w:lineRule="exact"/>
              <w:rPr>
                <w:sz w:val="20"/>
                <w:szCs w:val="20"/>
                <w:color w:val="auto"/>
              </w:rPr>
            </w:pPr>
            <w:r>
              <w:rPr>
                <w:rFonts w:ascii="Arial" w:cs="Arial" w:eastAsia="Arial" w:hAnsi="Arial"/>
                <w:sz w:val="15"/>
                <w:szCs w:val="15"/>
                <w:b w:val="1"/>
                <w:bCs w:val="1"/>
                <w:color w:val="auto"/>
              </w:rPr>
              <w:t>Income from Continuing Operations Before Income Taxes</w:t>
            </w:r>
          </w:p>
        </w:tc>
        <w:tc>
          <w:tcPr>
            <w:tcW w:w="840" w:type="dxa"/>
            <w:vAlign w:val="bottom"/>
          </w:tcPr>
          <w:p>
            <w:pPr>
              <w:spacing w:after="0"/>
              <w:rPr>
                <w:sz w:val="13"/>
                <w:szCs w:val="13"/>
                <w:color w:val="auto"/>
              </w:rPr>
            </w:pPr>
          </w:p>
        </w:tc>
        <w:tc>
          <w:tcPr>
            <w:tcW w:w="340" w:type="dxa"/>
            <w:vAlign w:val="bottom"/>
            <w:tcBorders>
              <w:bottom w:val="single" w:sz="8" w:color="auto"/>
            </w:tcBorders>
          </w:tcPr>
          <w:p>
            <w:pPr>
              <w:jc w:val="right"/>
              <w:ind w:right="103"/>
              <w:spacing w:after="0" w:line="156" w:lineRule="exact"/>
              <w:rPr>
                <w:sz w:val="20"/>
                <w:szCs w:val="20"/>
                <w:color w:val="auto"/>
              </w:rPr>
            </w:pPr>
            <w:r>
              <w:rPr>
                <w:rFonts w:ascii="Arial" w:cs="Arial" w:eastAsia="Arial" w:hAnsi="Arial"/>
                <w:sz w:val="15"/>
                <w:szCs w:val="15"/>
                <w:b w:val="1"/>
                <w:bCs w:val="1"/>
                <w:color w:val="auto"/>
              </w:rPr>
              <w:t>$</w:t>
            </w:r>
          </w:p>
        </w:tc>
        <w:tc>
          <w:tcPr>
            <w:tcW w:w="1120" w:type="dxa"/>
            <w:vAlign w:val="bottom"/>
            <w:tcBorders>
              <w:bottom w:val="single" w:sz="8" w:color="auto"/>
            </w:tcBorders>
          </w:tcPr>
          <w:p>
            <w:pPr>
              <w:jc w:val="right"/>
              <w:ind w:right="64"/>
              <w:spacing w:after="0" w:line="156" w:lineRule="exact"/>
              <w:rPr>
                <w:sz w:val="20"/>
                <w:szCs w:val="20"/>
                <w:color w:val="auto"/>
              </w:rPr>
            </w:pPr>
            <w:r>
              <w:rPr>
                <w:rFonts w:ascii="Arial" w:cs="Arial" w:eastAsia="Arial" w:hAnsi="Arial"/>
                <w:sz w:val="15"/>
                <w:szCs w:val="15"/>
                <w:b w:val="1"/>
                <w:bCs w:val="1"/>
                <w:color w:val="auto"/>
              </w:rPr>
              <w:t>75,534</w:t>
            </w:r>
          </w:p>
        </w:tc>
        <w:tc>
          <w:tcPr>
            <w:tcW w:w="400" w:type="dxa"/>
            <w:vAlign w:val="bottom"/>
            <w:tcBorders>
              <w:bottom w:val="single" w:sz="8" w:color="auto"/>
            </w:tcBorders>
          </w:tcPr>
          <w:p>
            <w:pPr>
              <w:jc w:val="right"/>
              <w:ind w:right="123"/>
              <w:spacing w:after="0" w:line="156"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tcBorders>
            <w:gridSpan w:val="2"/>
          </w:tcPr>
          <w:p>
            <w:pPr>
              <w:jc w:val="right"/>
              <w:ind w:right="23"/>
              <w:spacing w:after="0" w:line="156" w:lineRule="exact"/>
              <w:rPr>
                <w:sz w:val="20"/>
                <w:szCs w:val="20"/>
                <w:color w:val="auto"/>
              </w:rPr>
            </w:pPr>
            <w:r>
              <w:rPr>
                <w:rFonts w:ascii="Arial" w:cs="Arial" w:eastAsia="Arial" w:hAnsi="Arial"/>
                <w:sz w:val="15"/>
                <w:szCs w:val="15"/>
                <w:color w:val="auto"/>
              </w:rPr>
              <w:t>57,496</w:t>
            </w:r>
          </w:p>
        </w:tc>
        <w:tc>
          <w:tcPr>
            <w:tcW w:w="280" w:type="dxa"/>
            <w:vAlign w:val="bottom"/>
            <w:tcBorders>
              <w:bottom w:val="single" w:sz="8" w:color="auto"/>
            </w:tcBorders>
          </w:tcPr>
          <w:p>
            <w:pPr>
              <w:jc w:val="right"/>
              <w:ind w:right="5"/>
              <w:spacing w:after="0" w:line="156" w:lineRule="exact"/>
              <w:rPr>
                <w:sz w:val="20"/>
                <w:szCs w:val="20"/>
                <w:color w:val="auto"/>
              </w:rPr>
            </w:pPr>
            <w:r>
              <w:rPr>
                <w:rFonts w:ascii="Arial" w:cs="Arial" w:eastAsia="Arial" w:hAnsi="Arial"/>
                <w:sz w:val="15"/>
                <w:szCs w:val="15"/>
                <w:b w:val="1"/>
                <w:bCs w:val="1"/>
                <w:color w:val="auto"/>
              </w:rPr>
              <w:t>$</w:t>
            </w:r>
          </w:p>
        </w:tc>
        <w:tc>
          <w:tcPr>
            <w:tcW w:w="11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b w:val="1"/>
                <w:bCs w:val="1"/>
                <w:color w:val="auto"/>
              </w:rPr>
              <w:t>89,479</w:t>
            </w:r>
          </w:p>
        </w:tc>
        <w:tc>
          <w:tcPr>
            <w:tcW w:w="1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jc w:val="right"/>
              <w:ind w:right="44"/>
              <w:spacing w:after="0" w:line="156" w:lineRule="exact"/>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83,176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Arial" w:cs="Arial" w:eastAsia="Arial" w:hAnsi="Arial"/>
                <w:sz w:val="15"/>
                <w:szCs w:val="15"/>
                <w:b w:val="1"/>
                <w:bCs w:val="1"/>
                <w:color w:val="auto"/>
              </w:rPr>
              <w:t>Depreciation of Property, Plant and Equipment</w:t>
            </w:r>
          </w:p>
        </w:tc>
        <w:tc>
          <w:tcPr>
            <w:tcW w:w="8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4900" w:type="dxa"/>
            <w:vAlign w:val="bottom"/>
            <w:vMerge w:val="continue"/>
          </w:tcPr>
          <w:p>
            <w:pPr>
              <w:spacing w:after="0"/>
              <w:rPr>
                <w:sz w:val="12"/>
                <w:szCs w:val="12"/>
                <w:color w:val="auto"/>
              </w:rPr>
            </w:pPr>
          </w:p>
        </w:tc>
        <w:tc>
          <w:tcPr>
            <w:tcW w:w="1180" w:type="dxa"/>
            <w:vAlign w:val="bottom"/>
            <w:gridSpan w:val="2"/>
            <w:vMerge w:val="restart"/>
          </w:tcPr>
          <w:p>
            <w:pPr>
              <w:jc w:val="right"/>
              <w:ind w:right="103"/>
              <w:spacing w:after="0"/>
              <w:rPr>
                <w:sz w:val="20"/>
                <w:szCs w:val="20"/>
                <w:color w:val="auto"/>
              </w:rPr>
            </w:pPr>
            <w:r>
              <w:rPr>
                <w:rFonts w:ascii="Arial" w:cs="Arial" w:eastAsia="Arial" w:hAnsi="Arial"/>
                <w:sz w:val="15"/>
                <w:szCs w:val="15"/>
                <w:b w:val="1"/>
                <w:bCs w:val="1"/>
                <w:color w:val="auto"/>
              </w:rPr>
              <w:t>$</w:t>
            </w:r>
          </w:p>
        </w:tc>
        <w:tc>
          <w:tcPr>
            <w:tcW w:w="1120" w:type="dxa"/>
            <w:vAlign w:val="bottom"/>
            <w:vMerge w:val="restart"/>
          </w:tcPr>
          <w:p>
            <w:pPr>
              <w:jc w:val="right"/>
              <w:ind w:right="64"/>
              <w:spacing w:after="0"/>
              <w:rPr>
                <w:sz w:val="20"/>
                <w:szCs w:val="20"/>
                <w:color w:val="auto"/>
              </w:rPr>
            </w:pPr>
            <w:r>
              <w:rPr>
                <w:rFonts w:ascii="Arial" w:cs="Arial" w:eastAsia="Arial" w:hAnsi="Arial"/>
                <w:sz w:val="15"/>
                <w:szCs w:val="15"/>
                <w:b w:val="1"/>
                <w:bCs w:val="1"/>
                <w:color w:val="auto"/>
              </w:rPr>
              <w:t>20,064</w:t>
            </w: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vMerge w:val="restart"/>
          </w:tcPr>
          <w:p>
            <w:pPr>
              <w:jc w:val="right"/>
              <w:ind w:right="5"/>
              <w:spacing w:after="0"/>
              <w:rPr>
                <w:sz w:val="20"/>
                <w:szCs w:val="20"/>
                <w:color w:val="auto"/>
              </w:rPr>
            </w:pPr>
            <w:r>
              <w:rPr>
                <w:rFonts w:ascii="Arial" w:cs="Arial" w:eastAsia="Arial" w:hAnsi="Arial"/>
                <w:sz w:val="15"/>
                <w:szCs w:val="15"/>
                <w:b w:val="1"/>
                <w:bCs w:val="1"/>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42,652</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900" w:type="dxa"/>
            <w:vAlign w:val="bottom"/>
          </w:tcPr>
          <w:p>
            <w:pPr>
              <w:ind w:left="240"/>
              <w:spacing w:after="0" w:line="144" w:lineRule="exact"/>
              <w:rPr>
                <w:sz w:val="20"/>
                <w:szCs w:val="20"/>
                <w:color w:val="auto"/>
              </w:rPr>
            </w:pPr>
            <w:r>
              <w:rPr>
                <w:rFonts w:ascii="Arial" w:cs="Arial" w:eastAsia="Arial" w:hAnsi="Arial"/>
                <w:sz w:val="15"/>
                <w:szCs w:val="15"/>
                <w:color w:val="auto"/>
              </w:rPr>
              <w:t>Education</w:t>
            </w:r>
          </w:p>
        </w:tc>
        <w:tc>
          <w:tcPr>
            <w:tcW w:w="1180" w:type="dxa"/>
            <w:vAlign w:val="bottom"/>
            <w:gridSpan w:val="2"/>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400" w:type="dxa"/>
            <w:vAlign w:val="bottom"/>
          </w:tcPr>
          <w:p>
            <w:pPr>
              <w:jc w:val="right"/>
              <w:ind w:right="123"/>
              <w:spacing w:after="0" w:line="144" w:lineRule="exact"/>
              <w:rPr>
                <w:sz w:val="20"/>
                <w:szCs w:val="20"/>
                <w:color w:val="auto"/>
              </w:rPr>
            </w:pPr>
            <w:r>
              <w:rPr>
                <w:rFonts w:ascii="Arial" w:cs="Arial" w:eastAsia="Arial" w:hAnsi="Arial"/>
                <w:sz w:val="15"/>
                <w:szCs w:val="15"/>
                <w:color w:val="auto"/>
              </w:rPr>
              <w:t>$</w:t>
            </w:r>
          </w:p>
        </w:tc>
        <w:tc>
          <w:tcPr>
            <w:tcW w:w="1060" w:type="dxa"/>
            <w:vAlign w:val="bottom"/>
            <w:gridSpan w:val="2"/>
          </w:tcPr>
          <w:p>
            <w:pPr>
              <w:jc w:val="right"/>
              <w:ind w:right="23"/>
              <w:spacing w:after="0" w:line="144" w:lineRule="exact"/>
              <w:rPr>
                <w:sz w:val="20"/>
                <w:szCs w:val="20"/>
                <w:color w:val="auto"/>
              </w:rPr>
            </w:pPr>
            <w:r>
              <w:rPr>
                <w:rFonts w:ascii="Arial" w:cs="Arial" w:eastAsia="Arial" w:hAnsi="Arial"/>
                <w:sz w:val="15"/>
                <w:szCs w:val="15"/>
                <w:color w:val="auto"/>
              </w:rPr>
              <w:t>21,011</w:t>
            </w:r>
          </w:p>
        </w:tc>
        <w:tc>
          <w:tcPr>
            <w:tcW w:w="280" w:type="dxa"/>
            <w:vAlign w:val="bottom"/>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jc w:val="right"/>
              <w:ind w:right="44"/>
              <w:spacing w:after="0" w:line="144" w:lineRule="exact"/>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line="144" w:lineRule="exact"/>
              <w:rPr>
                <w:sz w:val="20"/>
                <w:szCs w:val="20"/>
                <w:color w:val="auto"/>
              </w:rPr>
            </w:pPr>
            <w:r>
              <w:rPr>
                <w:rFonts w:ascii="Arial" w:cs="Arial" w:eastAsia="Arial" w:hAnsi="Arial"/>
                <w:sz w:val="15"/>
                <w:szCs w:val="15"/>
                <w:color w:val="auto"/>
              </w:rPr>
              <w:t>41,728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900" w:type="dxa"/>
            <w:vAlign w:val="bottom"/>
          </w:tcPr>
          <w:p>
            <w:pPr>
              <w:ind w:left="240"/>
              <w:spacing w:after="0" w:line="162" w:lineRule="exact"/>
              <w:rPr>
                <w:sz w:val="20"/>
                <w:szCs w:val="20"/>
                <w:color w:val="auto"/>
              </w:rPr>
            </w:pPr>
            <w:r>
              <w:rPr>
                <w:rFonts w:ascii="Arial" w:cs="Arial" w:eastAsia="Arial" w:hAnsi="Arial"/>
                <w:sz w:val="15"/>
                <w:szCs w:val="15"/>
                <w:color w:val="auto"/>
              </w:rPr>
              <w:t>Cable television</w:t>
            </w: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64"/>
              <w:spacing w:after="0" w:line="162" w:lineRule="exact"/>
              <w:rPr>
                <w:sz w:val="20"/>
                <w:szCs w:val="20"/>
                <w:color w:val="auto"/>
              </w:rPr>
            </w:pPr>
            <w:r>
              <w:rPr>
                <w:rFonts w:ascii="Arial" w:cs="Arial" w:eastAsia="Arial" w:hAnsi="Arial"/>
                <w:sz w:val="15"/>
                <w:szCs w:val="15"/>
                <w:b w:val="1"/>
                <w:bCs w:val="1"/>
                <w:color w:val="auto"/>
              </w:rPr>
              <w:t>33,964</w:t>
            </w:r>
          </w:p>
        </w:tc>
        <w:tc>
          <w:tcPr>
            <w:tcW w:w="400" w:type="dxa"/>
            <w:vAlign w:val="bottom"/>
          </w:tcPr>
          <w:p>
            <w:pPr>
              <w:spacing w:after="0"/>
              <w:rPr>
                <w:sz w:val="14"/>
                <w:szCs w:val="14"/>
                <w:color w:val="auto"/>
              </w:rPr>
            </w:pPr>
          </w:p>
        </w:tc>
        <w:tc>
          <w:tcPr>
            <w:tcW w:w="1060" w:type="dxa"/>
            <w:vAlign w:val="bottom"/>
            <w:gridSpan w:val="2"/>
          </w:tcPr>
          <w:p>
            <w:pPr>
              <w:jc w:val="right"/>
              <w:ind w:right="23"/>
              <w:spacing w:after="0" w:line="162" w:lineRule="exact"/>
              <w:rPr>
                <w:sz w:val="20"/>
                <w:szCs w:val="20"/>
                <w:color w:val="auto"/>
              </w:rPr>
            </w:pPr>
            <w:r>
              <w:rPr>
                <w:rFonts w:ascii="Arial" w:cs="Arial" w:eastAsia="Arial" w:hAnsi="Arial"/>
                <w:sz w:val="15"/>
                <w:szCs w:val="15"/>
                <w:color w:val="auto"/>
              </w:rPr>
              <w:t>32,234</w:t>
            </w:r>
          </w:p>
        </w:tc>
        <w:tc>
          <w:tcPr>
            <w:tcW w:w="28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b w:val="1"/>
                <w:bCs w:val="1"/>
                <w:color w:val="auto"/>
              </w:rPr>
              <w:t>67,697</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Arial" w:cs="Arial" w:eastAsia="Arial" w:hAnsi="Arial"/>
                <w:sz w:val="15"/>
                <w:szCs w:val="15"/>
                <w:color w:val="auto"/>
              </w:rPr>
              <w:t>64,431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00" w:type="dxa"/>
            <w:vAlign w:val="bottom"/>
          </w:tcPr>
          <w:p>
            <w:pPr>
              <w:ind w:left="240"/>
              <w:spacing w:after="0" w:line="162" w:lineRule="exact"/>
              <w:rPr>
                <w:sz w:val="20"/>
                <w:szCs w:val="20"/>
                <w:color w:val="auto"/>
              </w:rPr>
            </w:pPr>
            <w:r>
              <w:rPr>
                <w:rFonts w:ascii="Arial" w:cs="Arial" w:eastAsia="Arial" w:hAnsi="Arial"/>
                <w:sz w:val="15"/>
                <w:szCs w:val="15"/>
                <w:color w:val="auto"/>
              </w:rPr>
              <w:t>Newspaper publishing</w:t>
            </w: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64"/>
              <w:spacing w:after="0" w:line="162" w:lineRule="exact"/>
              <w:rPr>
                <w:sz w:val="20"/>
                <w:szCs w:val="20"/>
                <w:color w:val="auto"/>
              </w:rPr>
            </w:pPr>
            <w:r>
              <w:rPr>
                <w:rFonts w:ascii="Arial" w:cs="Arial" w:eastAsia="Arial" w:hAnsi="Arial"/>
                <w:sz w:val="15"/>
                <w:szCs w:val="15"/>
                <w:b w:val="1"/>
                <w:bCs w:val="1"/>
                <w:color w:val="auto"/>
              </w:rPr>
              <w:t>6,201</w:t>
            </w:r>
          </w:p>
        </w:tc>
        <w:tc>
          <w:tcPr>
            <w:tcW w:w="400" w:type="dxa"/>
            <w:vAlign w:val="bottom"/>
          </w:tcPr>
          <w:p>
            <w:pPr>
              <w:spacing w:after="0"/>
              <w:rPr>
                <w:sz w:val="14"/>
                <w:szCs w:val="14"/>
                <w:color w:val="auto"/>
              </w:rPr>
            </w:pPr>
          </w:p>
        </w:tc>
        <w:tc>
          <w:tcPr>
            <w:tcW w:w="1060" w:type="dxa"/>
            <w:vAlign w:val="bottom"/>
            <w:gridSpan w:val="2"/>
          </w:tcPr>
          <w:p>
            <w:pPr>
              <w:jc w:val="right"/>
              <w:ind w:right="23"/>
              <w:spacing w:after="0" w:line="162" w:lineRule="exact"/>
              <w:rPr>
                <w:sz w:val="20"/>
                <w:szCs w:val="20"/>
                <w:color w:val="auto"/>
              </w:rPr>
            </w:pPr>
            <w:r>
              <w:rPr>
                <w:rFonts w:ascii="Arial" w:cs="Arial" w:eastAsia="Arial" w:hAnsi="Arial"/>
                <w:sz w:val="15"/>
                <w:szCs w:val="15"/>
                <w:color w:val="auto"/>
              </w:rPr>
              <w:t>5,934</w:t>
            </w:r>
          </w:p>
        </w:tc>
        <w:tc>
          <w:tcPr>
            <w:tcW w:w="28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b w:val="1"/>
                <w:bCs w:val="1"/>
                <w:color w:val="auto"/>
              </w:rPr>
              <w:t>12,216</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Arial" w:cs="Arial" w:eastAsia="Arial" w:hAnsi="Arial"/>
                <w:sz w:val="15"/>
                <w:szCs w:val="15"/>
                <w:color w:val="auto"/>
              </w:rPr>
              <w:t>11,819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00" w:type="dxa"/>
            <w:vAlign w:val="bottom"/>
          </w:tcPr>
          <w:p>
            <w:pPr>
              <w:ind w:left="240"/>
              <w:spacing w:after="0" w:line="162" w:lineRule="exact"/>
              <w:rPr>
                <w:sz w:val="20"/>
                <w:szCs w:val="20"/>
                <w:color w:val="auto"/>
              </w:rPr>
            </w:pPr>
            <w:r>
              <w:rPr>
                <w:rFonts w:ascii="Arial" w:cs="Arial" w:eastAsia="Arial" w:hAnsi="Arial"/>
                <w:sz w:val="15"/>
                <w:szCs w:val="15"/>
                <w:color w:val="auto"/>
              </w:rPr>
              <w:t>Television broadcasting</w:t>
            </w: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64"/>
              <w:spacing w:after="0" w:line="162" w:lineRule="exact"/>
              <w:rPr>
                <w:sz w:val="20"/>
                <w:szCs w:val="20"/>
                <w:color w:val="auto"/>
              </w:rPr>
            </w:pPr>
            <w:r>
              <w:rPr>
                <w:rFonts w:ascii="Arial" w:cs="Arial" w:eastAsia="Arial" w:hAnsi="Arial"/>
                <w:sz w:val="15"/>
                <w:szCs w:val="15"/>
                <w:b w:val="1"/>
                <w:bCs w:val="1"/>
                <w:color w:val="auto"/>
              </w:rPr>
              <w:t>3,151</w:t>
            </w:r>
          </w:p>
        </w:tc>
        <w:tc>
          <w:tcPr>
            <w:tcW w:w="400" w:type="dxa"/>
            <w:vAlign w:val="bottom"/>
          </w:tcPr>
          <w:p>
            <w:pPr>
              <w:spacing w:after="0"/>
              <w:rPr>
                <w:sz w:val="14"/>
                <w:szCs w:val="14"/>
                <w:color w:val="auto"/>
              </w:rPr>
            </w:pPr>
          </w:p>
        </w:tc>
        <w:tc>
          <w:tcPr>
            <w:tcW w:w="1060" w:type="dxa"/>
            <w:vAlign w:val="bottom"/>
            <w:gridSpan w:val="2"/>
          </w:tcPr>
          <w:p>
            <w:pPr>
              <w:jc w:val="right"/>
              <w:ind w:right="23"/>
              <w:spacing w:after="0" w:line="162" w:lineRule="exact"/>
              <w:rPr>
                <w:sz w:val="20"/>
                <w:szCs w:val="20"/>
                <w:color w:val="auto"/>
              </w:rPr>
            </w:pPr>
            <w:r>
              <w:rPr>
                <w:rFonts w:ascii="Arial" w:cs="Arial" w:eastAsia="Arial" w:hAnsi="Arial"/>
                <w:sz w:val="15"/>
                <w:szCs w:val="15"/>
                <w:color w:val="auto"/>
              </w:rPr>
              <w:t>3,222</w:t>
            </w:r>
          </w:p>
        </w:tc>
        <w:tc>
          <w:tcPr>
            <w:tcW w:w="28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b w:val="1"/>
                <w:bCs w:val="1"/>
                <w:color w:val="auto"/>
              </w:rPr>
              <w:t>6,296</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Arial" w:cs="Arial" w:eastAsia="Arial" w:hAnsi="Arial"/>
                <w:sz w:val="15"/>
                <w:szCs w:val="15"/>
                <w:color w:val="auto"/>
              </w:rPr>
              <w:t>6,347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00" w:type="dxa"/>
            <w:vAlign w:val="bottom"/>
          </w:tcPr>
          <w:p>
            <w:pPr>
              <w:ind w:left="240"/>
              <w:spacing w:after="0" w:line="162" w:lineRule="exact"/>
              <w:rPr>
                <w:sz w:val="20"/>
                <w:szCs w:val="20"/>
                <w:color w:val="auto"/>
              </w:rPr>
            </w:pPr>
            <w:r>
              <w:rPr>
                <w:rFonts w:ascii="Arial" w:cs="Arial" w:eastAsia="Arial" w:hAnsi="Arial"/>
                <w:sz w:val="15"/>
                <w:szCs w:val="15"/>
                <w:color w:val="auto"/>
              </w:rPr>
              <w:t>Other businesses</w:t>
            </w: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64"/>
              <w:spacing w:after="0" w:line="162" w:lineRule="exact"/>
              <w:rPr>
                <w:sz w:val="20"/>
                <w:szCs w:val="20"/>
                <w:color w:val="auto"/>
              </w:rPr>
            </w:pPr>
            <w:r>
              <w:rPr>
                <w:rFonts w:ascii="Arial" w:cs="Arial" w:eastAsia="Arial" w:hAnsi="Arial"/>
                <w:sz w:val="15"/>
                <w:szCs w:val="15"/>
                <w:b w:val="1"/>
                <w:bCs w:val="1"/>
                <w:color w:val="auto"/>
              </w:rPr>
              <w:t>435</w:t>
            </w: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jc w:val="right"/>
              <w:ind w:right="23"/>
              <w:spacing w:after="0" w:line="162" w:lineRule="exact"/>
              <w:rPr>
                <w:sz w:val="20"/>
                <w:szCs w:val="20"/>
                <w:color w:val="auto"/>
              </w:rPr>
            </w:pPr>
            <w:r>
              <w:rPr>
                <w:rFonts w:ascii="Arial" w:cs="Arial" w:eastAsia="Arial" w:hAnsi="Arial"/>
                <w:sz w:val="15"/>
                <w:szCs w:val="15"/>
                <w:color w:val="auto"/>
              </w:rPr>
              <w:t>―</w:t>
            </w:r>
          </w:p>
        </w:tc>
        <w:tc>
          <w:tcPr>
            <w:tcW w:w="28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b w:val="1"/>
                <w:bCs w:val="1"/>
                <w:color w:val="auto"/>
              </w:rPr>
              <w:t>745</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3"/>
        </w:trPr>
        <w:tc>
          <w:tcPr>
            <w:tcW w:w="4900" w:type="dxa"/>
            <w:vAlign w:val="bottom"/>
          </w:tcPr>
          <w:p>
            <w:pPr>
              <w:ind w:left="240"/>
              <w:spacing w:after="0"/>
              <w:rPr>
                <w:sz w:val="20"/>
                <w:szCs w:val="20"/>
                <w:color w:val="auto"/>
              </w:rPr>
            </w:pPr>
            <w:r>
              <w:rPr>
                <w:rFonts w:ascii="Arial" w:cs="Arial" w:eastAsia="Arial" w:hAnsi="Arial"/>
                <w:sz w:val="15"/>
                <w:szCs w:val="15"/>
                <w:color w:val="auto"/>
              </w:rPr>
              <w:t>Corporate office</w:t>
            </w: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64"/>
              <w:spacing w:after="0"/>
              <w:rPr>
                <w:sz w:val="20"/>
                <w:szCs w:val="20"/>
                <w:color w:val="auto"/>
              </w:rPr>
            </w:pPr>
            <w:r>
              <w:rPr>
                <w:rFonts w:ascii="Arial" w:cs="Arial" w:eastAsia="Arial" w:hAnsi="Arial"/>
                <w:sz w:val="15"/>
                <w:szCs w:val="15"/>
                <w:b w:val="1"/>
                <w:bCs w:val="1"/>
                <w:color w:val="auto"/>
              </w:rPr>
              <w:t>60</w:t>
            </w:r>
          </w:p>
        </w:tc>
        <w:tc>
          <w:tcPr>
            <w:tcW w:w="4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2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b w:val="1"/>
                <w:bCs w:val="1"/>
                <w:color w:val="auto"/>
              </w:rPr>
              <w:t>60</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6"/>
        </w:trPr>
        <w:tc>
          <w:tcPr>
            <w:tcW w:w="4900" w:type="dxa"/>
            <w:vAlign w:val="bottom"/>
            <w:vMerge w:val="restart"/>
          </w:tcPr>
          <w:p>
            <w:pPr>
              <w:spacing w:after="0"/>
              <w:rPr>
                <w:sz w:val="20"/>
                <w:szCs w:val="20"/>
                <w:color w:val="auto"/>
              </w:rPr>
            </w:pPr>
            <w:r>
              <w:rPr>
                <w:rFonts w:ascii="Arial" w:cs="Arial" w:eastAsia="Arial" w:hAnsi="Arial"/>
                <w:sz w:val="15"/>
                <w:szCs w:val="15"/>
                <w:b w:val="1"/>
                <w:bCs w:val="1"/>
                <w:color w:val="auto"/>
              </w:rPr>
              <w:t>Amortization of Intangible Assets</w:t>
            </w:r>
          </w:p>
        </w:tc>
        <w:tc>
          <w:tcPr>
            <w:tcW w:w="840" w:type="dxa"/>
            <w:vAlign w:val="bottom"/>
          </w:tcPr>
          <w:p>
            <w:pPr>
              <w:spacing w:after="0"/>
              <w:rPr>
                <w:sz w:val="13"/>
                <w:szCs w:val="13"/>
                <w:color w:val="auto"/>
              </w:rPr>
            </w:pPr>
          </w:p>
        </w:tc>
        <w:tc>
          <w:tcPr>
            <w:tcW w:w="340" w:type="dxa"/>
            <w:vAlign w:val="bottom"/>
            <w:tcBorders>
              <w:top w:val="single" w:sz="8" w:color="auto"/>
              <w:bottom w:val="single" w:sz="8" w:color="auto"/>
            </w:tcBorders>
          </w:tcPr>
          <w:p>
            <w:pPr>
              <w:jc w:val="right"/>
              <w:ind w:right="103"/>
              <w:spacing w:after="0" w:line="156" w:lineRule="exact"/>
              <w:rPr>
                <w:sz w:val="20"/>
                <w:szCs w:val="20"/>
                <w:color w:val="auto"/>
              </w:rPr>
            </w:pPr>
            <w:r>
              <w:rPr>
                <w:rFonts w:ascii="Arial" w:cs="Arial" w:eastAsia="Arial" w:hAnsi="Arial"/>
                <w:sz w:val="15"/>
                <w:szCs w:val="15"/>
                <w:b w:val="1"/>
                <w:bCs w:val="1"/>
                <w:color w:val="auto"/>
              </w:rPr>
              <w:t>$</w:t>
            </w:r>
          </w:p>
        </w:tc>
        <w:tc>
          <w:tcPr>
            <w:tcW w:w="1120" w:type="dxa"/>
            <w:vAlign w:val="bottom"/>
            <w:tcBorders>
              <w:top w:val="single" w:sz="8" w:color="auto"/>
              <w:bottom w:val="single" w:sz="8" w:color="auto"/>
            </w:tcBorders>
          </w:tcPr>
          <w:p>
            <w:pPr>
              <w:jc w:val="right"/>
              <w:ind w:right="64"/>
              <w:spacing w:after="0" w:line="156" w:lineRule="exact"/>
              <w:rPr>
                <w:sz w:val="20"/>
                <w:szCs w:val="20"/>
                <w:color w:val="auto"/>
              </w:rPr>
            </w:pPr>
            <w:r>
              <w:rPr>
                <w:rFonts w:ascii="Arial" w:cs="Arial" w:eastAsia="Arial" w:hAnsi="Arial"/>
                <w:sz w:val="15"/>
                <w:szCs w:val="15"/>
                <w:b w:val="1"/>
                <w:bCs w:val="1"/>
                <w:color w:val="auto"/>
              </w:rPr>
              <w:t>63,875</w:t>
            </w:r>
          </w:p>
        </w:tc>
        <w:tc>
          <w:tcPr>
            <w:tcW w:w="400" w:type="dxa"/>
            <w:vAlign w:val="bottom"/>
            <w:tcBorders>
              <w:top w:val="single" w:sz="8" w:color="auto"/>
              <w:bottom w:val="single" w:sz="8" w:color="auto"/>
            </w:tcBorders>
          </w:tcPr>
          <w:p>
            <w:pPr>
              <w:jc w:val="right"/>
              <w:ind w:right="123"/>
              <w:spacing w:after="0" w:line="156" w:lineRule="exact"/>
              <w:rPr>
                <w:sz w:val="20"/>
                <w:szCs w:val="20"/>
                <w:color w:val="auto"/>
              </w:rPr>
            </w:pPr>
            <w:r>
              <w:rPr>
                <w:rFonts w:ascii="Arial" w:cs="Arial" w:eastAsia="Arial" w:hAnsi="Arial"/>
                <w:sz w:val="15"/>
                <w:szCs w:val="15"/>
                <w:color w:val="auto"/>
              </w:rPr>
              <w:t>$</w:t>
            </w:r>
          </w:p>
        </w:tc>
        <w:tc>
          <w:tcPr>
            <w:tcW w:w="1060" w:type="dxa"/>
            <w:vAlign w:val="bottom"/>
            <w:tcBorders>
              <w:top w:val="single" w:sz="8" w:color="auto"/>
              <w:bottom w:val="single" w:sz="8" w:color="auto"/>
            </w:tcBorders>
            <w:gridSpan w:val="2"/>
          </w:tcPr>
          <w:p>
            <w:pPr>
              <w:jc w:val="right"/>
              <w:ind w:right="23"/>
              <w:spacing w:after="0" w:line="156" w:lineRule="exact"/>
              <w:rPr>
                <w:sz w:val="20"/>
                <w:szCs w:val="20"/>
                <w:color w:val="auto"/>
              </w:rPr>
            </w:pPr>
            <w:r>
              <w:rPr>
                <w:rFonts w:ascii="Arial" w:cs="Arial" w:eastAsia="Arial" w:hAnsi="Arial"/>
                <w:sz w:val="15"/>
                <w:szCs w:val="15"/>
                <w:color w:val="auto"/>
              </w:rPr>
              <w:t>62,401</w:t>
            </w:r>
          </w:p>
        </w:tc>
        <w:tc>
          <w:tcPr>
            <w:tcW w:w="280" w:type="dxa"/>
            <w:vAlign w:val="bottom"/>
            <w:tcBorders>
              <w:top w:val="single" w:sz="8" w:color="auto"/>
              <w:bottom w:val="single" w:sz="8" w:color="auto"/>
            </w:tcBorders>
          </w:tcPr>
          <w:p>
            <w:pPr>
              <w:jc w:val="right"/>
              <w:ind w:right="5"/>
              <w:spacing w:after="0" w:line="156" w:lineRule="exact"/>
              <w:rPr>
                <w:sz w:val="20"/>
                <w:szCs w:val="20"/>
                <w:color w:val="auto"/>
              </w:rPr>
            </w:pPr>
            <w:r>
              <w:rPr>
                <w:rFonts w:ascii="Arial" w:cs="Arial" w:eastAsia="Arial" w:hAnsi="Arial"/>
                <w:sz w:val="15"/>
                <w:szCs w:val="15"/>
                <w:b w:val="1"/>
                <w:bCs w:val="1"/>
                <w:color w:val="auto"/>
              </w:rPr>
              <w:t>$</w:t>
            </w:r>
          </w:p>
        </w:tc>
        <w:tc>
          <w:tcPr>
            <w:tcW w:w="114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b w:val="1"/>
                <w:bCs w:val="1"/>
                <w:color w:val="auto"/>
              </w:rPr>
              <w:t>129,666</w:t>
            </w:r>
          </w:p>
        </w:tc>
        <w:tc>
          <w:tcPr>
            <w:tcW w:w="14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jc w:val="right"/>
              <w:ind w:right="44"/>
              <w:spacing w:after="0" w:line="156" w:lineRule="exact"/>
              <w:rPr>
                <w:sz w:val="20"/>
                <w:szCs w:val="20"/>
                <w:color w:val="auto"/>
              </w:rPr>
            </w:pPr>
            <w:r>
              <w:rPr>
                <w:rFonts w:ascii="Arial" w:cs="Arial" w:eastAsia="Arial" w:hAnsi="Arial"/>
                <w:sz w:val="15"/>
                <w:szCs w:val="15"/>
                <w:color w:val="auto"/>
                <w:w w:val="95"/>
              </w:rPr>
              <w:t>$</w:t>
            </w:r>
          </w:p>
        </w:tc>
        <w:tc>
          <w:tcPr>
            <w:tcW w:w="98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124,325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900" w:type="dxa"/>
            <w:vAlign w:val="bottom"/>
            <w:vMerge w:val="continue"/>
          </w:tcPr>
          <w:p>
            <w:pPr>
              <w:spacing w:after="0"/>
              <w:rPr>
                <w:sz w:val="13"/>
                <w:szCs w:val="13"/>
                <w:color w:val="auto"/>
              </w:rPr>
            </w:pPr>
          </w:p>
        </w:tc>
        <w:tc>
          <w:tcPr>
            <w:tcW w:w="1180" w:type="dxa"/>
            <w:vAlign w:val="bottom"/>
            <w:gridSpan w:val="2"/>
            <w:vMerge w:val="restart"/>
          </w:tcPr>
          <w:p>
            <w:pPr>
              <w:jc w:val="right"/>
              <w:ind w:right="103"/>
              <w:spacing w:after="0"/>
              <w:rPr>
                <w:sz w:val="20"/>
                <w:szCs w:val="20"/>
                <w:color w:val="auto"/>
              </w:rPr>
            </w:pPr>
            <w:r>
              <w:rPr>
                <w:rFonts w:ascii="Arial" w:cs="Arial" w:eastAsia="Arial" w:hAnsi="Arial"/>
                <w:sz w:val="15"/>
                <w:szCs w:val="15"/>
                <w:b w:val="1"/>
                <w:bCs w:val="1"/>
                <w:color w:val="auto"/>
              </w:rPr>
              <w:t>$</w:t>
            </w:r>
          </w:p>
        </w:tc>
        <w:tc>
          <w:tcPr>
            <w:tcW w:w="1120" w:type="dxa"/>
            <w:vAlign w:val="bottom"/>
            <w:vMerge w:val="restart"/>
          </w:tcPr>
          <w:p>
            <w:pPr>
              <w:jc w:val="right"/>
              <w:ind w:right="64"/>
              <w:spacing w:after="0"/>
              <w:rPr>
                <w:sz w:val="20"/>
                <w:szCs w:val="20"/>
                <w:color w:val="auto"/>
              </w:rPr>
            </w:pPr>
            <w:r>
              <w:rPr>
                <w:rFonts w:ascii="Arial" w:cs="Arial" w:eastAsia="Arial" w:hAnsi="Arial"/>
                <w:sz w:val="15"/>
                <w:szCs w:val="15"/>
                <w:b w:val="1"/>
                <w:bCs w:val="1"/>
                <w:color w:val="auto"/>
              </w:rPr>
              <w:t>2,363</w:t>
            </w: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vMerge w:val="restart"/>
          </w:tcPr>
          <w:p>
            <w:pPr>
              <w:jc w:val="right"/>
              <w:ind w:right="5"/>
              <w:spacing w:after="0"/>
              <w:rPr>
                <w:sz w:val="20"/>
                <w:szCs w:val="20"/>
                <w:color w:val="auto"/>
              </w:rPr>
            </w:pPr>
            <w:r>
              <w:rPr>
                <w:rFonts w:ascii="Arial" w:cs="Arial" w:eastAsia="Arial" w:hAnsi="Arial"/>
                <w:sz w:val="15"/>
                <w:szCs w:val="15"/>
                <w:b w:val="1"/>
                <w:bCs w:val="1"/>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4,881</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900" w:type="dxa"/>
            <w:vAlign w:val="bottom"/>
          </w:tcPr>
          <w:p>
            <w:pPr>
              <w:ind w:left="240"/>
              <w:spacing w:after="0" w:line="144" w:lineRule="exact"/>
              <w:rPr>
                <w:sz w:val="20"/>
                <w:szCs w:val="20"/>
                <w:color w:val="auto"/>
              </w:rPr>
            </w:pPr>
            <w:r>
              <w:rPr>
                <w:rFonts w:ascii="Arial" w:cs="Arial" w:eastAsia="Arial" w:hAnsi="Arial"/>
                <w:sz w:val="15"/>
                <w:szCs w:val="15"/>
                <w:color w:val="auto"/>
              </w:rPr>
              <w:t>Education</w:t>
            </w:r>
          </w:p>
        </w:tc>
        <w:tc>
          <w:tcPr>
            <w:tcW w:w="1180" w:type="dxa"/>
            <w:vAlign w:val="bottom"/>
            <w:gridSpan w:val="2"/>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400" w:type="dxa"/>
            <w:vAlign w:val="bottom"/>
          </w:tcPr>
          <w:p>
            <w:pPr>
              <w:jc w:val="right"/>
              <w:ind w:right="123"/>
              <w:spacing w:after="0" w:line="144" w:lineRule="exact"/>
              <w:rPr>
                <w:sz w:val="20"/>
                <w:szCs w:val="20"/>
                <w:color w:val="auto"/>
              </w:rPr>
            </w:pPr>
            <w:r>
              <w:rPr>
                <w:rFonts w:ascii="Arial" w:cs="Arial" w:eastAsia="Arial" w:hAnsi="Arial"/>
                <w:sz w:val="15"/>
                <w:szCs w:val="15"/>
                <w:color w:val="auto"/>
              </w:rPr>
              <w:t>$</w:t>
            </w:r>
          </w:p>
        </w:tc>
        <w:tc>
          <w:tcPr>
            <w:tcW w:w="1060" w:type="dxa"/>
            <w:vAlign w:val="bottom"/>
            <w:gridSpan w:val="2"/>
          </w:tcPr>
          <w:p>
            <w:pPr>
              <w:jc w:val="right"/>
              <w:ind w:right="23"/>
              <w:spacing w:after="0" w:line="144" w:lineRule="exact"/>
              <w:rPr>
                <w:sz w:val="20"/>
                <w:szCs w:val="20"/>
                <w:color w:val="auto"/>
              </w:rPr>
            </w:pPr>
            <w:r>
              <w:rPr>
                <w:rFonts w:ascii="Arial" w:cs="Arial" w:eastAsia="Arial" w:hAnsi="Arial"/>
                <w:sz w:val="15"/>
                <w:szCs w:val="15"/>
                <w:color w:val="auto"/>
              </w:rPr>
              <w:t>3,803</w:t>
            </w:r>
          </w:p>
        </w:tc>
        <w:tc>
          <w:tcPr>
            <w:tcW w:w="280" w:type="dxa"/>
            <w:vAlign w:val="bottom"/>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jc w:val="right"/>
              <w:ind w:right="44"/>
              <w:spacing w:after="0" w:line="144" w:lineRule="exact"/>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line="144" w:lineRule="exact"/>
              <w:rPr>
                <w:sz w:val="20"/>
                <w:szCs w:val="20"/>
                <w:color w:val="auto"/>
              </w:rPr>
            </w:pPr>
            <w:r>
              <w:rPr>
                <w:rFonts w:ascii="Arial" w:cs="Arial" w:eastAsia="Arial" w:hAnsi="Arial"/>
                <w:sz w:val="15"/>
                <w:szCs w:val="15"/>
                <w:color w:val="auto"/>
              </w:rPr>
              <w:t>7,039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900" w:type="dxa"/>
            <w:vAlign w:val="bottom"/>
          </w:tcPr>
          <w:p>
            <w:pPr>
              <w:ind w:left="240"/>
              <w:spacing w:after="0" w:line="162" w:lineRule="exact"/>
              <w:rPr>
                <w:sz w:val="20"/>
                <w:szCs w:val="20"/>
                <w:color w:val="auto"/>
              </w:rPr>
            </w:pPr>
            <w:r>
              <w:rPr>
                <w:rFonts w:ascii="Arial" w:cs="Arial" w:eastAsia="Arial" w:hAnsi="Arial"/>
                <w:sz w:val="15"/>
                <w:szCs w:val="15"/>
                <w:color w:val="auto"/>
              </w:rPr>
              <w:t>Cable television</w:t>
            </w: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64"/>
              <w:spacing w:after="0" w:line="162" w:lineRule="exact"/>
              <w:rPr>
                <w:sz w:val="20"/>
                <w:szCs w:val="20"/>
                <w:color w:val="auto"/>
              </w:rPr>
            </w:pPr>
            <w:r>
              <w:rPr>
                <w:rFonts w:ascii="Arial" w:cs="Arial" w:eastAsia="Arial" w:hAnsi="Arial"/>
                <w:sz w:val="15"/>
                <w:szCs w:val="15"/>
                <w:b w:val="1"/>
                <w:bCs w:val="1"/>
                <w:color w:val="auto"/>
              </w:rPr>
              <w:t>57</w:t>
            </w:r>
          </w:p>
        </w:tc>
        <w:tc>
          <w:tcPr>
            <w:tcW w:w="400" w:type="dxa"/>
            <w:vAlign w:val="bottom"/>
          </w:tcPr>
          <w:p>
            <w:pPr>
              <w:spacing w:after="0"/>
              <w:rPr>
                <w:sz w:val="14"/>
                <w:szCs w:val="14"/>
                <w:color w:val="auto"/>
              </w:rPr>
            </w:pPr>
          </w:p>
        </w:tc>
        <w:tc>
          <w:tcPr>
            <w:tcW w:w="1060" w:type="dxa"/>
            <w:vAlign w:val="bottom"/>
            <w:gridSpan w:val="2"/>
          </w:tcPr>
          <w:p>
            <w:pPr>
              <w:jc w:val="right"/>
              <w:ind w:right="23"/>
              <w:spacing w:after="0" w:line="162" w:lineRule="exact"/>
              <w:rPr>
                <w:sz w:val="20"/>
                <w:szCs w:val="20"/>
                <w:color w:val="auto"/>
              </w:rPr>
            </w:pPr>
            <w:r>
              <w:rPr>
                <w:rFonts w:ascii="Arial" w:cs="Arial" w:eastAsia="Arial" w:hAnsi="Arial"/>
                <w:sz w:val="15"/>
                <w:szCs w:val="15"/>
                <w:color w:val="auto"/>
              </w:rPr>
              <w:t>53</w:t>
            </w:r>
          </w:p>
        </w:tc>
        <w:tc>
          <w:tcPr>
            <w:tcW w:w="28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b w:val="1"/>
                <w:bCs w:val="1"/>
                <w:color w:val="auto"/>
              </w:rPr>
              <w:t>107</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Arial" w:cs="Arial" w:eastAsia="Arial" w:hAnsi="Arial"/>
                <w:sz w:val="15"/>
                <w:szCs w:val="15"/>
                <w:color w:val="auto"/>
              </w:rPr>
              <w:t>107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00" w:type="dxa"/>
            <w:vAlign w:val="bottom"/>
          </w:tcPr>
          <w:p>
            <w:pPr>
              <w:ind w:left="240"/>
              <w:spacing w:after="0" w:line="162" w:lineRule="exact"/>
              <w:rPr>
                <w:sz w:val="20"/>
                <w:szCs w:val="20"/>
                <w:color w:val="auto"/>
              </w:rPr>
            </w:pPr>
            <w:r>
              <w:rPr>
                <w:rFonts w:ascii="Arial" w:cs="Arial" w:eastAsia="Arial" w:hAnsi="Arial"/>
                <w:sz w:val="15"/>
                <w:szCs w:val="15"/>
                <w:color w:val="auto"/>
              </w:rPr>
              <w:t>Newspaper publishing</w:t>
            </w: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64"/>
              <w:spacing w:after="0" w:line="162" w:lineRule="exact"/>
              <w:rPr>
                <w:sz w:val="20"/>
                <w:szCs w:val="20"/>
                <w:color w:val="auto"/>
              </w:rPr>
            </w:pPr>
            <w:r>
              <w:rPr>
                <w:rFonts w:ascii="Arial" w:cs="Arial" w:eastAsia="Arial" w:hAnsi="Arial"/>
                <w:sz w:val="15"/>
                <w:szCs w:val="15"/>
                <w:b w:val="1"/>
                <w:bCs w:val="1"/>
                <w:color w:val="auto"/>
              </w:rPr>
              <w:t>150</w:t>
            </w:r>
          </w:p>
        </w:tc>
        <w:tc>
          <w:tcPr>
            <w:tcW w:w="400" w:type="dxa"/>
            <w:vAlign w:val="bottom"/>
          </w:tcPr>
          <w:p>
            <w:pPr>
              <w:spacing w:after="0"/>
              <w:rPr>
                <w:sz w:val="14"/>
                <w:szCs w:val="14"/>
                <w:color w:val="auto"/>
              </w:rPr>
            </w:pPr>
          </w:p>
        </w:tc>
        <w:tc>
          <w:tcPr>
            <w:tcW w:w="1060" w:type="dxa"/>
            <w:vAlign w:val="bottom"/>
            <w:gridSpan w:val="2"/>
          </w:tcPr>
          <w:p>
            <w:pPr>
              <w:jc w:val="right"/>
              <w:ind w:right="23"/>
              <w:spacing w:after="0" w:line="162" w:lineRule="exact"/>
              <w:rPr>
                <w:sz w:val="20"/>
                <w:szCs w:val="20"/>
                <w:color w:val="auto"/>
              </w:rPr>
            </w:pPr>
            <w:r>
              <w:rPr>
                <w:rFonts w:ascii="Arial" w:cs="Arial" w:eastAsia="Arial" w:hAnsi="Arial"/>
                <w:sz w:val="15"/>
                <w:szCs w:val="15"/>
                <w:color w:val="auto"/>
              </w:rPr>
              <w:t>172</w:t>
            </w:r>
          </w:p>
        </w:tc>
        <w:tc>
          <w:tcPr>
            <w:tcW w:w="28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b w:val="1"/>
                <w:bCs w:val="1"/>
                <w:color w:val="auto"/>
              </w:rPr>
              <w:t>300</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Arial" w:cs="Arial" w:eastAsia="Arial" w:hAnsi="Arial"/>
                <w:sz w:val="15"/>
                <w:szCs w:val="15"/>
                <w:color w:val="auto"/>
              </w:rPr>
              <w:t>355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00" w:type="dxa"/>
            <w:vAlign w:val="bottom"/>
          </w:tcPr>
          <w:p>
            <w:pPr>
              <w:ind w:left="240"/>
              <w:spacing w:after="0" w:line="162" w:lineRule="exact"/>
              <w:rPr>
                <w:sz w:val="20"/>
                <w:szCs w:val="20"/>
                <w:color w:val="auto"/>
              </w:rPr>
            </w:pPr>
            <w:r>
              <w:rPr>
                <w:rFonts w:ascii="Arial" w:cs="Arial" w:eastAsia="Arial" w:hAnsi="Arial"/>
                <w:sz w:val="15"/>
                <w:szCs w:val="15"/>
                <w:color w:val="auto"/>
              </w:rPr>
              <w:t>Television broadcasting</w:t>
            </w: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64"/>
              <w:spacing w:after="0" w:line="162" w:lineRule="exact"/>
              <w:rPr>
                <w:sz w:val="20"/>
                <w:szCs w:val="20"/>
                <w:color w:val="auto"/>
              </w:rPr>
            </w:pPr>
            <w:r>
              <w:rPr>
                <w:rFonts w:ascii="Arial" w:cs="Arial" w:eastAsia="Arial" w:hAnsi="Arial"/>
                <w:sz w:val="15"/>
                <w:szCs w:val="15"/>
                <w:b w:val="1"/>
                <w:bCs w:val="1"/>
                <w:color w:val="auto"/>
              </w:rPr>
              <w:t>―</w:t>
            </w: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jc w:val="right"/>
              <w:ind w:right="23"/>
              <w:spacing w:after="0" w:line="162" w:lineRule="exact"/>
              <w:rPr>
                <w:sz w:val="20"/>
                <w:szCs w:val="20"/>
                <w:color w:val="auto"/>
              </w:rPr>
            </w:pPr>
            <w:r>
              <w:rPr>
                <w:rFonts w:ascii="Arial" w:cs="Arial" w:eastAsia="Arial" w:hAnsi="Arial"/>
                <w:sz w:val="15"/>
                <w:szCs w:val="15"/>
                <w:color w:val="auto"/>
              </w:rPr>
              <w:t>―</w:t>
            </w:r>
          </w:p>
        </w:tc>
        <w:tc>
          <w:tcPr>
            <w:tcW w:w="28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4900" w:type="dxa"/>
            <w:vAlign w:val="bottom"/>
          </w:tcPr>
          <w:p>
            <w:pPr>
              <w:ind w:left="240"/>
              <w:spacing w:after="0" w:line="162" w:lineRule="exact"/>
              <w:rPr>
                <w:sz w:val="20"/>
                <w:szCs w:val="20"/>
                <w:color w:val="auto"/>
              </w:rPr>
            </w:pPr>
            <w:r>
              <w:rPr>
                <w:rFonts w:ascii="Arial" w:cs="Arial" w:eastAsia="Arial" w:hAnsi="Arial"/>
                <w:sz w:val="15"/>
                <w:szCs w:val="15"/>
                <w:color w:val="auto"/>
              </w:rPr>
              <w:t>Other businesses</w:t>
            </w: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64"/>
              <w:spacing w:after="0" w:line="162" w:lineRule="exact"/>
              <w:rPr>
                <w:sz w:val="20"/>
                <w:szCs w:val="20"/>
                <w:color w:val="auto"/>
              </w:rPr>
            </w:pPr>
            <w:r>
              <w:rPr>
                <w:rFonts w:ascii="Arial" w:cs="Arial" w:eastAsia="Arial" w:hAnsi="Arial"/>
                <w:sz w:val="15"/>
                <w:szCs w:val="15"/>
                <w:b w:val="1"/>
                <w:bCs w:val="1"/>
                <w:color w:val="auto"/>
              </w:rPr>
              <w:t>743</w:t>
            </w:r>
          </w:p>
        </w:tc>
        <w:tc>
          <w:tcPr>
            <w:tcW w:w="400" w:type="dxa"/>
            <w:vAlign w:val="bottom"/>
          </w:tcPr>
          <w:p>
            <w:pPr>
              <w:spacing w:after="0"/>
              <w:rPr>
                <w:sz w:val="14"/>
                <w:szCs w:val="14"/>
                <w:color w:val="auto"/>
              </w:rPr>
            </w:pPr>
          </w:p>
        </w:tc>
        <w:tc>
          <w:tcPr>
            <w:tcW w:w="1060" w:type="dxa"/>
            <w:vAlign w:val="bottom"/>
            <w:gridSpan w:val="2"/>
          </w:tcPr>
          <w:p>
            <w:pPr>
              <w:jc w:val="right"/>
              <w:ind w:right="23"/>
              <w:spacing w:after="0" w:line="162" w:lineRule="exact"/>
              <w:rPr>
                <w:sz w:val="20"/>
                <w:szCs w:val="20"/>
                <w:color w:val="auto"/>
              </w:rPr>
            </w:pPr>
            <w:r>
              <w:rPr>
                <w:rFonts w:ascii="Arial" w:cs="Arial" w:eastAsia="Arial" w:hAnsi="Arial"/>
                <w:sz w:val="15"/>
                <w:szCs w:val="15"/>
                <w:color w:val="auto"/>
              </w:rPr>
              <w:t>400</w:t>
            </w:r>
          </w:p>
        </w:tc>
        <w:tc>
          <w:tcPr>
            <w:tcW w:w="28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b w:val="1"/>
                <w:bCs w:val="1"/>
                <w:color w:val="auto"/>
              </w:rPr>
              <w:t>1,742</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Arial" w:cs="Arial" w:eastAsia="Arial" w:hAnsi="Arial"/>
                <w:sz w:val="15"/>
                <w:szCs w:val="15"/>
                <w:color w:val="auto"/>
              </w:rPr>
              <w:t>800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900" w:type="dxa"/>
            <w:vAlign w:val="bottom"/>
          </w:tcPr>
          <w:p>
            <w:pPr>
              <w:ind w:left="240"/>
              <w:spacing w:after="0"/>
              <w:rPr>
                <w:sz w:val="20"/>
                <w:szCs w:val="20"/>
                <w:color w:val="auto"/>
              </w:rPr>
            </w:pPr>
            <w:r>
              <w:rPr>
                <w:rFonts w:ascii="Arial" w:cs="Arial" w:eastAsia="Arial" w:hAnsi="Arial"/>
                <w:sz w:val="15"/>
                <w:szCs w:val="15"/>
                <w:color w:val="auto"/>
              </w:rPr>
              <w:t>Corporate office</w:t>
            </w: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64"/>
              <w:spacing w:after="0"/>
              <w:rPr>
                <w:sz w:val="20"/>
                <w:szCs w:val="20"/>
                <w:color w:val="auto"/>
              </w:rPr>
            </w:pPr>
            <w:r>
              <w:rPr>
                <w:rFonts w:ascii="Arial" w:cs="Arial" w:eastAsia="Arial" w:hAnsi="Arial"/>
                <w:sz w:val="15"/>
                <w:szCs w:val="15"/>
                <w:b w:val="1"/>
                <w:bCs w:val="1"/>
                <w:color w:val="auto"/>
              </w:rPr>
              <w:t>―</w:t>
            </w:r>
          </w:p>
        </w:tc>
        <w:tc>
          <w:tcPr>
            <w:tcW w:w="4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2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6"/>
        </w:trPr>
        <w:tc>
          <w:tcPr>
            <w:tcW w:w="4900" w:type="dxa"/>
            <w:vAlign w:val="bottom"/>
            <w:vMerge w:val="restart"/>
          </w:tcPr>
          <w:p>
            <w:pPr>
              <w:spacing w:after="0"/>
              <w:rPr>
                <w:sz w:val="20"/>
                <w:szCs w:val="20"/>
                <w:color w:val="auto"/>
              </w:rPr>
            </w:pPr>
            <w:r>
              <w:rPr>
                <w:rFonts w:ascii="Arial" w:cs="Arial" w:eastAsia="Arial" w:hAnsi="Arial"/>
                <w:sz w:val="15"/>
                <w:szCs w:val="15"/>
                <w:b w:val="1"/>
                <w:bCs w:val="1"/>
                <w:color w:val="auto"/>
              </w:rPr>
              <w:t>Net Pension Expense (Credit)</w:t>
            </w:r>
          </w:p>
        </w:tc>
        <w:tc>
          <w:tcPr>
            <w:tcW w:w="840" w:type="dxa"/>
            <w:vAlign w:val="bottom"/>
          </w:tcPr>
          <w:p>
            <w:pPr>
              <w:spacing w:after="0"/>
              <w:rPr>
                <w:sz w:val="13"/>
                <w:szCs w:val="13"/>
                <w:color w:val="auto"/>
              </w:rPr>
            </w:pPr>
          </w:p>
        </w:tc>
        <w:tc>
          <w:tcPr>
            <w:tcW w:w="340" w:type="dxa"/>
            <w:vAlign w:val="bottom"/>
            <w:tcBorders>
              <w:top w:val="single" w:sz="8" w:color="auto"/>
              <w:bottom w:val="single" w:sz="8" w:color="auto"/>
            </w:tcBorders>
          </w:tcPr>
          <w:p>
            <w:pPr>
              <w:jc w:val="right"/>
              <w:ind w:right="103"/>
              <w:spacing w:after="0" w:line="156" w:lineRule="exact"/>
              <w:rPr>
                <w:sz w:val="20"/>
                <w:szCs w:val="20"/>
                <w:color w:val="auto"/>
              </w:rPr>
            </w:pPr>
            <w:r>
              <w:rPr>
                <w:rFonts w:ascii="Arial" w:cs="Arial" w:eastAsia="Arial" w:hAnsi="Arial"/>
                <w:sz w:val="15"/>
                <w:szCs w:val="15"/>
                <w:b w:val="1"/>
                <w:bCs w:val="1"/>
                <w:color w:val="auto"/>
              </w:rPr>
              <w:t>$</w:t>
            </w:r>
          </w:p>
        </w:tc>
        <w:tc>
          <w:tcPr>
            <w:tcW w:w="1120" w:type="dxa"/>
            <w:vAlign w:val="bottom"/>
            <w:tcBorders>
              <w:top w:val="single" w:sz="8" w:color="auto"/>
              <w:bottom w:val="single" w:sz="8" w:color="auto"/>
            </w:tcBorders>
          </w:tcPr>
          <w:p>
            <w:pPr>
              <w:jc w:val="right"/>
              <w:ind w:right="64"/>
              <w:spacing w:after="0" w:line="156" w:lineRule="exact"/>
              <w:rPr>
                <w:sz w:val="20"/>
                <w:szCs w:val="20"/>
                <w:color w:val="auto"/>
              </w:rPr>
            </w:pPr>
            <w:r>
              <w:rPr>
                <w:rFonts w:ascii="Arial" w:cs="Arial" w:eastAsia="Arial" w:hAnsi="Arial"/>
                <w:sz w:val="15"/>
                <w:szCs w:val="15"/>
                <w:b w:val="1"/>
                <w:bCs w:val="1"/>
                <w:color w:val="auto"/>
              </w:rPr>
              <w:t>3,313</w:t>
            </w:r>
          </w:p>
        </w:tc>
        <w:tc>
          <w:tcPr>
            <w:tcW w:w="400" w:type="dxa"/>
            <w:vAlign w:val="bottom"/>
            <w:tcBorders>
              <w:top w:val="single" w:sz="8" w:color="auto"/>
              <w:bottom w:val="single" w:sz="8" w:color="auto"/>
            </w:tcBorders>
          </w:tcPr>
          <w:p>
            <w:pPr>
              <w:jc w:val="right"/>
              <w:ind w:right="123"/>
              <w:spacing w:after="0" w:line="156" w:lineRule="exact"/>
              <w:rPr>
                <w:sz w:val="20"/>
                <w:szCs w:val="20"/>
                <w:color w:val="auto"/>
              </w:rPr>
            </w:pPr>
            <w:r>
              <w:rPr>
                <w:rFonts w:ascii="Arial" w:cs="Arial" w:eastAsia="Arial" w:hAnsi="Arial"/>
                <w:sz w:val="15"/>
                <w:szCs w:val="15"/>
                <w:color w:val="auto"/>
              </w:rPr>
              <w:t>$</w:t>
            </w:r>
          </w:p>
        </w:tc>
        <w:tc>
          <w:tcPr>
            <w:tcW w:w="1060" w:type="dxa"/>
            <w:vAlign w:val="bottom"/>
            <w:tcBorders>
              <w:top w:val="single" w:sz="8" w:color="auto"/>
              <w:bottom w:val="single" w:sz="8" w:color="auto"/>
            </w:tcBorders>
            <w:gridSpan w:val="2"/>
          </w:tcPr>
          <w:p>
            <w:pPr>
              <w:jc w:val="right"/>
              <w:ind w:right="23"/>
              <w:spacing w:after="0" w:line="156" w:lineRule="exact"/>
              <w:rPr>
                <w:sz w:val="20"/>
                <w:szCs w:val="20"/>
                <w:color w:val="auto"/>
              </w:rPr>
            </w:pPr>
            <w:r>
              <w:rPr>
                <w:rFonts w:ascii="Arial" w:cs="Arial" w:eastAsia="Arial" w:hAnsi="Arial"/>
                <w:sz w:val="15"/>
                <w:szCs w:val="15"/>
                <w:color w:val="auto"/>
              </w:rPr>
              <w:t>4,428</w:t>
            </w:r>
          </w:p>
        </w:tc>
        <w:tc>
          <w:tcPr>
            <w:tcW w:w="280" w:type="dxa"/>
            <w:vAlign w:val="bottom"/>
            <w:tcBorders>
              <w:top w:val="single" w:sz="8" w:color="auto"/>
              <w:bottom w:val="single" w:sz="8" w:color="auto"/>
            </w:tcBorders>
          </w:tcPr>
          <w:p>
            <w:pPr>
              <w:jc w:val="right"/>
              <w:ind w:right="5"/>
              <w:spacing w:after="0" w:line="156" w:lineRule="exact"/>
              <w:rPr>
                <w:sz w:val="20"/>
                <w:szCs w:val="20"/>
                <w:color w:val="auto"/>
              </w:rPr>
            </w:pPr>
            <w:r>
              <w:rPr>
                <w:rFonts w:ascii="Arial" w:cs="Arial" w:eastAsia="Arial" w:hAnsi="Arial"/>
                <w:sz w:val="15"/>
                <w:szCs w:val="15"/>
                <w:b w:val="1"/>
                <w:bCs w:val="1"/>
                <w:color w:val="auto"/>
              </w:rPr>
              <w:t>$</w:t>
            </w:r>
          </w:p>
        </w:tc>
        <w:tc>
          <w:tcPr>
            <w:tcW w:w="114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b w:val="1"/>
                <w:bCs w:val="1"/>
                <w:color w:val="auto"/>
              </w:rPr>
              <w:t>7,030</w:t>
            </w:r>
          </w:p>
        </w:tc>
        <w:tc>
          <w:tcPr>
            <w:tcW w:w="14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jc w:val="right"/>
              <w:ind w:right="44"/>
              <w:spacing w:after="0" w:line="156" w:lineRule="exact"/>
              <w:rPr>
                <w:sz w:val="20"/>
                <w:szCs w:val="20"/>
                <w:color w:val="auto"/>
              </w:rPr>
            </w:pPr>
            <w:r>
              <w:rPr>
                <w:rFonts w:ascii="Arial" w:cs="Arial" w:eastAsia="Arial" w:hAnsi="Arial"/>
                <w:sz w:val="15"/>
                <w:szCs w:val="15"/>
                <w:color w:val="auto"/>
                <w:w w:val="95"/>
              </w:rPr>
              <w:t>$</w:t>
            </w:r>
          </w:p>
        </w:tc>
        <w:tc>
          <w:tcPr>
            <w:tcW w:w="98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8,301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900" w:type="dxa"/>
            <w:vAlign w:val="bottom"/>
            <w:vMerge w:val="continue"/>
          </w:tcPr>
          <w:p>
            <w:pPr>
              <w:spacing w:after="0"/>
              <w:rPr>
                <w:sz w:val="13"/>
                <w:szCs w:val="13"/>
                <w:color w:val="auto"/>
              </w:rPr>
            </w:pPr>
          </w:p>
        </w:tc>
        <w:tc>
          <w:tcPr>
            <w:tcW w:w="1180" w:type="dxa"/>
            <w:vAlign w:val="bottom"/>
            <w:gridSpan w:val="2"/>
            <w:vMerge w:val="restart"/>
          </w:tcPr>
          <w:p>
            <w:pPr>
              <w:jc w:val="right"/>
              <w:ind w:right="103"/>
              <w:spacing w:after="0"/>
              <w:rPr>
                <w:sz w:val="20"/>
                <w:szCs w:val="20"/>
                <w:color w:val="auto"/>
              </w:rPr>
            </w:pPr>
            <w:r>
              <w:rPr>
                <w:rFonts w:ascii="Arial" w:cs="Arial" w:eastAsia="Arial" w:hAnsi="Arial"/>
                <w:sz w:val="15"/>
                <w:szCs w:val="15"/>
                <w:b w:val="1"/>
                <w:bCs w:val="1"/>
                <w:color w:val="auto"/>
              </w:rPr>
              <w:t>$</w:t>
            </w:r>
          </w:p>
        </w:tc>
        <w:tc>
          <w:tcPr>
            <w:tcW w:w="1120" w:type="dxa"/>
            <w:vAlign w:val="bottom"/>
            <w:vMerge w:val="restart"/>
          </w:tcPr>
          <w:p>
            <w:pPr>
              <w:jc w:val="right"/>
              <w:ind w:right="64"/>
              <w:spacing w:after="0"/>
              <w:rPr>
                <w:sz w:val="20"/>
                <w:szCs w:val="20"/>
                <w:color w:val="auto"/>
              </w:rPr>
            </w:pPr>
            <w:r>
              <w:rPr>
                <w:rFonts w:ascii="Arial" w:cs="Arial" w:eastAsia="Arial" w:hAnsi="Arial"/>
                <w:sz w:val="15"/>
                <w:szCs w:val="15"/>
                <w:b w:val="1"/>
                <w:bCs w:val="1"/>
                <w:color w:val="auto"/>
              </w:rPr>
              <w:t>4,231</w:t>
            </w: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vMerge w:val="restart"/>
          </w:tcPr>
          <w:p>
            <w:pPr>
              <w:jc w:val="right"/>
              <w:ind w:right="5"/>
              <w:spacing w:after="0"/>
              <w:rPr>
                <w:sz w:val="20"/>
                <w:szCs w:val="20"/>
                <w:color w:val="auto"/>
              </w:rPr>
            </w:pPr>
            <w:r>
              <w:rPr>
                <w:rFonts w:ascii="Arial" w:cs="Arial" w:eastAsia="Arial" w:hAnsi="Arial"/>
                <w:sz w:val="15"/>
                <w:szCs w:val="15"/>
                <w:b w:val="1"/>
                <w:bCs w:val="1"/>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8,337</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900" w:type="dxa"/>
            <w:vAlign w:val="bottom"/>
          </w:tcPr>
          <w:p>
            <w:pPr>
              <w:ind w:left="240"/>
              <w:spacing w:after="0" w:line="144" w:lineRule="exact"/>
              <w:rPr>
                <w:sz w:val="20"/>
                <w:szCs w:val="20"/>
                <w:color w:val="auto"/>
              </w:rPr>
            </w:pPr>
            <w:r>
              <w:rPr>
                <w:rFonts w:ascii="Arial" w:cs="Arial" w:eastAsia="Arial" w:hAnsi="Arial"/>
                <w:sz w:val="15"/>
                <w:szCs w:val="15"/>
                <w:color w:val="auto"/>
              </w:rPr>
              <w:t>Education</w:t>
            </w:r>
          </w:p>
        </w:tc>
        <w:tc>
          <w:tcPr>
            <w:tcW w:w="1180" w:type="dxa"/>
            <w:vAlign w:val="bottom"/>
            <w:gridSpan w:val="2"/>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400" w:type="dxa"/>
            <w:vAlign w:val="bottom"/>
          </w:tcPr>
          <w:p>
            <w:pPr>
              <w:jc w:val="right"/>
              <w:ind w:right="123"/>
              <w:spacing w:after="0" w:line="144" w:lineRule="exact"/>
              <w:rPr>
                <w:sz w:val="20"/>
                <w:szCs w:val="20"/>
                <w:color w:val="auto"/>
              </w:rPr>
            </w:pPr>
            <w:r>
              <w:rPr>
                <w:rFonts w:ascii="Arial" w:cs="Arial" w:eastAsia="Arial" w:hAnsi="Arial"/>
                <w:sz w:val="15"/>
                <w:szCs w:val="15"/>
                <w:color w:val="auto"/>
              </w:rPr>
              <w:t>$</w:t>
            </w:r>
          </w:p>
        </w:tc>
        <w:tc>
          <w:tcPr>
            <w:tcW w:w="1060" w:type="dxa"/>
            <w:vAlign w:val="bottom"/>
            <w:gridSpan w:val="2"/>
          </w:tcPr>
          <w:p>
            <w:pPr>
              <w:jc w:val="right"/>
              <w:ind w:right="23"/>
              <w:spacing w:after="0" w:line="144" w:lineRule="exact"/>
              <w:rPr>
                <w:sz w:val="20"/>
                <w:szCs w:val="20"/>
                <w:color w:val="auto"/>
              </w:rPr>
            </w:pPr>
            <w:r>
              <w:rPr>
                <w:rFonts w:ascii="Arial" w:cs="Arial" w:eastAsia="Arial" w:hAnsi="Arial"/>
                <w:sz w:val="15"/>
                <w:szCs w:val="15"/>
                <w:color w:val="auto"/>
              </w:rPr>
              <w:t>1,969</w:t>
            </w:r>
          </w:p>
        </w:tc>
        <w:tc>
          <w:tcPr>
            <w:tcW w:w="280" w:type="dxa"/>
            <w:vAlign w:val="bottom"/>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jc w:val="right"/>
              <w:ind w:right="44"/>
              <w:spacing w:after="0" w:line="144" w:lineRule="exact"/>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line="144" w:lineRule="exact"/>
              <w:rPr>
                <w:sz w:val="20"/>
                <w:szCs w:val="20"/>
                <w:color w:val="auto"/>
              </w:rPr>
            </w:pPr>
            <w:r>
              <w:rPr>
                <w:rFonts w:ascii="Arial" w:cs="Arial" w:eastAsia="Arial" w:hAnsi="Arial"/>
                <w:sz w:val="15"/>
                <w:szCs w:val="15"/>
                <w:color w:val="auto"/>
              </w:rPr>
              <w:t>4,361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900" w:type="dxa"/>
            <w:vAlign w:val="bottom"/>
          </w:tcPr>
          <w:p>
            <w:pPr>
              <w:ind w:left="240"/>
              <w:spacing w:after="0" w:line="162" w:lineRule="exact"/>
              <w:rPr>
                <w:sz w:val="20"/>
                <w:szCs w:val="20"/>
                <w:color w:val="auto"/>
              </w:rPr>
            </w:pPr>
            <w:r>
              <w:rPr>
                <w:rFonts w:ascii="Arial" w:cs="Arial" w:eastAsia="Arial" w:hAnsi="Arial"/>
                <w:sz w:val="15"/>
                <w:szCs w:val="15"/>
                <w:color w:val="auto"/>
              </w:rPr>
              <w:t>Cable television</w:t>
            </w: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64"/>
              <w:spacing w:after="0" w:line="162" w:lineRule="exact"/>
              <w:rPr>
                <w:sz w:val="20"/>
                <w:szCs w:val="20"/>
                <w:color w:val="auto"/>
              </w:rPr>
            </w:pPr>
            <w:r>
              <w:rPr>
                <w:rFonts w:ascii="Arial" w:cs="Arial" w:eastAsia="Arial" w:hAnsi="Arial"/>
                <w:sz w:val="15"/>
                <w:szCs w:val="15"/>
                <w:b w:val="1"/>
                <w:bCs w:val="1"/>
                <w:color w:val="auto"/>
              </w:rPr>
              <w:t>913</w:t>
            </w:r>
          </w:p>
        </w:tc>
        <w:tc>
          <w:tcPr>
            <w:tcW w:w="400" w:type="dxa"/>
            <w:vAlign w:val="bottom"/>
          </w:tcPr>
          <w:p>
            <w:pPr>
              <w:spacing w:after="0"/>
              <w:rPr>
                <w:sz w:val="14"/>
                <w:szCs w:val="14"/>
                <w:color w:val="auto"/>
              </w:rPr>
            </w:pPr>
          </w:p>
        </w:tc>
        <w:tc>
          <w:tcPr>
            <w:tcW w:w="1060" w:type="dxa"/>
            <w:vAlign w:val="bottom"/>
            <w:gridSpan w:val="2"/>
          </w:tcPr>
          <w:p>
            <w:pPr>
              <w:jc w:val="right"/>
              <w:ind w:right="23"/>
              <w:spacing w:after="0" w:line="162" w:lineRule="exact"/>
              <w:rPr>
                <w:sz w:val="20"/>
                <w:szCs w:val="20"/>
                <w:color w:val="auto"/>
              </w:rPr>
            </w:pPr>
            <w:r>
              <w:rPr>
                <w:rFonts w:ascii="Arial" w:cs="Arial" w:eastAsia="Arial" w:hAnsi="Arial"/>
                <w:sz w:val="15"/>
                <w:szCs w:val="15"/>
                <w:color w:val="auto"/>
              </w:rPr>
              <w:t>514</w:t>
            </w:r>
          </w:p>
        </w:tc>
        <w:tc>
          <w:tcPr>
            <w:tcW w:w="28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b w:val="1"/>
                <w:bCs w:val="1"/>
                <w:color w:val="auto"/>
              </w:rPr>
              <w:t>1,795</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Arial" w:cs="Arial" w:eastAsia="Arial" w:hAnsi="Arial"/>
                <w:sz w:val="15"/>
                <w:szCs w:val="15"/>
                <w:color w:val="auto"/>
              </w:rPr>
              <w:t>1,044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00" w:type="dxa"/>
            <w:vAlign w:val="bottom"/>
          </w:tcPr>
          <w:p>
            <w:pPr>
              <w:ind w:left="240"/>
              <w:spacing w:after="0" w:line="162" w:lineRule="exact"/>
              <w:rPr>
                <w:sz w:val="20"/>
                <w:szCs w:val="20"/>
                <w:color w:val="auto"/>
              </w:rPr>
            </w:pPr>
            <w:r>
              <w:rPr>
                <w:rFonts w:ascii="Arial" w:cs="Arial" w:eastAsia="Arial" w:hAnsi="Arial"/>
                <w:sz w:val="15"/>
                <w:szCs w:val="15"/>
                <w:color w:val="auto"/>
              </w:rPr>
              <w:t>Newspaper publishing</w:t>
            </w: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64"/>
              <w:spacing w:after="0" w:line="162" w:lineRule="exact"/>
              <w:rPr>
                <w:sz w:val="20"/>
                <w:szCs w:val="20"/>
                <w:color w:val="auto"/>
              </w:rPr>
            </w:pPr>
            <w:r>
              <w:rPr>
                <w:rFonts w:ascii="Arial" w:cs="Arial" w:eastAsia="Arial" w:hAnsi="Arial"/>
                <w:sz w:val="15"/>
                <w:szCs w:val="15"/>
                <w:b w:val="1"/>
                <w:bCs w:val="1"/>
                <w:color w:val="auto"/>
              </w:rPr>
              <w:t>16,811</w:t>
            </w:r>
          </w:p>
        </w:tc>
        <w:tc>
          <w:tcPr>
            <w:tcW w:w="400" w:type="dxa"/>
            <w:vAlign w:val="bottom"/>
          </w:tcPr>
          <w:p>
            <w:pPr>
              <w:spacing w:after="0"/>
              <w:rPr>
                <w:sz w:val="14"/>
                <w:szCs w:val="14"/>
                <w:color w:val="auto"/>
              </w:rPr>
            </w:pPr>
          </w:p>
        </w:tc>
        <w:tc>
          <w:tcPr>
            <w:tcW w:w="1060" w:type="dxa"/>
            <w:vAlign w:val="bottom"/>
            <w:gridSpan w:val="2"/>
          </w:tcPr>
          <w:p>
            <w:pPr>
              <w:jc w:val="right"/>
              <w:ind w:right="23"/>
              <w:spacing w:after="0" w:line="162" w:lineRule="exact"/>
              <w:rPr>
                <w:sz w:val="20"/>
                <w:szCs w:val="20"/>
                <w:color w:val="auto"/>
              </w:rPr>
            </w:pPr>
            <w:r>
              <w:rPr>
                <w:rFonts w:ascii="Arial" w:cs="Arial" w:eastAsia="Arial" w:hAnsi="Arial"/>
                <w:sz w:val="15"/>
                <w:szCs w:val="15"/>
                <w:color w:val="auto"/>
              </w:rPr>
              <w:t>7,717</w:t>
            </w:r>
          </w:p>
        </w:tc>
        <w:tc>
          <w:tcPr>
            <w:tcW w:w="28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b w:val="1"/>
                <w:bCs w:val="1"/>
                <w:color w:val="auto"/>
              </w:rPr>
              <w:t>39,740</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Arial" w:cs="Arial" w:eastAsia="Arial" w:hAnsi="Arial"/>
                <w:sz w:val="15"/>
                <w:szCs w:val="15"/>
                <w:color w:val="auto"/>
              </w:rPr>
              <w:t>16,257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00" w:type="dxa"/>
            <w:vAlign w:val="bottom"/>
          </w:tcPr>
          <w:p>
            <w:pPr>
              <w:ind w:left="240"/>
              <w:spacing w:after="0" w:line="162" w:lineRule="exact"/>
              <w:rPr>
                <w:sz w:val="20"/>
                <w:szCs w:val="20"/>
                <w:color w:val="auto"/>
              </w:rPr>
            </w:pPr>
            <w:r>
              <w:rPr>
                <w:rFonts w:ascii="Arial" w:cs="Arial" w:eastAsia="Arial" w:hAnsi="Arial"/>
                <w:sz w:val="15"/>
                <w:szCs w:val="15"/>
                <w:color w:val="auto"/>
              </w:rPr>
              <w:t>Television broadcasting</w:t>
            </w: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64"/>
              <w:spacing w:after="0" w:line="162" w:lineRule="exact"/>
              <w:rPr>
                <w:sz w:val="20"/>
                <w:szCs w:val="20"/>
                <w:color w:val="auto"/>
              </w:rPr>
            </w:pPr>
            <w:r>
              <w:rPr>
                <w:rFonts w:ascii="Arial" w:cs="Arial" w:eastAsia="Arial" w:hAnsi="Arial"/>
                <w:sz w:val="15"/>
                <w:szCs w:val="15"/>
                <w:b w:val="1"/>
                <w:bCs w:val="1"/>
                <w:color w:val="auto"/>
              </w:rPr>
              <w:t>1,213</w:t>
            </w:r>
          </w:p>
        </w:tc>
        <w:tc>
          <w:tcPr>
            <w:tcW w:w="400" w:type="dxa"/>
            <w:vAlign w:val="bottom"/>
          </w:tcPr>
          <w:p>
            <w:pPr>
              <w:spacing w:after="0"/>
              <w:rPr>
                <w:sz w:val="14"/>
                <w:szCs w:val="14"/>
                <w:color w:val="auto"/>
              </w:rPr>
            </w:pPr>
          </w:p>
        </w:tc>
        <w:tc>
          <w:tcPr>
            <w:tcW w:w="1060" w:type="dxa"/>
            <w:vAlign w:val="bottom"/>
            <w:gridSpan w:val="2"/>
          </w:tcPr>
          <w:p>
            <w:pPr>
              <w:jc w:val="right"/>
              <w:ind w:right="23"/>
              <w:spacing w:after="0" w:line="162" w:lineRule="exact"/>
              <w:rPr>
                <w:sz w:val="20"/>
                <w:szCs w:val="20"/>
                <w:color w:val="auto"/>
              </w:rPr>
            </w:pPr>
            <w:r>
              <w:rPr>
                <w:rFonts w:ascii="Arial" w:cs="Arial" w:eastAsia="Arial" w:hAnsi="Arial"/>
                <w:sz w:val="15"/>
                <w:szCs w:val="15"/>
                <w:color w:val="auto"/>
              </w:rPr>
              <w:t>1,055</w:t>
            </w:r>
          </w:p>
        </w:tc>
        <w:tc>
          <w:tcPr>
            <w:tcW w:w="28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b w:val="1"/>
                <w:bCs w:val="1"/>
                <w:color w:val="auto"/>
              </w:rPr>
              <w:t>2,501</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Arial" w:cs="Arial" w:eastAsia="Arial" w:hAnsi="Arial"/>
                <w:sz w:val="15"/>
                <w:szCs w:val="15"/>
                <w:color w:val="auto"/>
              </w:rPr>
              <w:t>2,015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00" w:type="dxa"/>
            <w:vAlign w:val="bottom"/>
          </w:tcPr>
          <w:p>
            <w:pPr>
              <w:ind w:left="240"/>
              <w:spacing w:after="0" w:line="162" w:lineRule="exact"/>
              <w:rPr>
                <w:sz w:val="20"/>
                <w:szCs w:val="20"/>
                <w:color w:val="auto"/>
              </w:rPr>
            </w:pPr>
            <w:r>
              <w:rPr>
                <w:rFonts w:ascii="Arial" w:cs="Arial" w:eastAsia="Arial" w:hAnsi="Arial"/>
                <w:sz w:val="15"/>
                <w:szCs w:val="15"/>
                <w:color w:val="auto"/>
              </w:rPr>
              <w:t>Other businesses</w:t>
            </w: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64"/>
              <w:spacing w:after="0" w:line="162" w:lineRule="exact"/>
              <w:rPr>
                <w:sz w:val="20"/>
                <w:szCs w:val="20"/>
                <w:color w:val="auto"/>
              </w:rPr>
            </w:pPr>
            <w:r>
              <w:rPr>
                <w:rFonts w:ascii="Arial" w:cs="Arial" w:eastAsia="Arial" w:hAnsi="Arial"/>
                <w:sz w:val="15"/>
                <w:szCs w:val="15"/>
                <w:b w:val="1"/>
                <w:bCs w:val="1"/>
                <w:color w:val="auto"/>
              </w:rPr>
              <w:t>83</w:t>
            </w:r>
          </w:p>
        </w:tc>
        <w:tc>
          <w:tcPr>
            <w:tcW w:w="400" w:type="dxa"/>
            <w:vAlign w:val="bottom"/>
          </w:tcPr>
          <w:p>
            <w:pPr>
              <w:spacing w:after="0"/>
              <w:rPr>
                <w:sz w:val="14"/>
                <w:szCs w:val="14"/>
                <w:color w:val="auto"/>
              </w:rPr>
            </w:pPr>
          </w:p>
        </w:tc>
        <w:tc>
          <w:tcPr>
            <w:tcW w:w="1060" w:type="dxa"/>
            <w:vAlign w:val="bottom"/>
            <w:gridSpan w:val="2"/>
          </w:tcPr>
          <w:p>
            <w:pPr>
              <w:jc w:val="right"/>
              <w:ind w:right="23"/>
              <w:spacing w:after="0" w:line="162" w:lineRule="exact"/>
              <w:rPr>
                <w:sz w:val="20"/>
                <w:szCs w:val="20"/>
                <w:color w:val="auto"/>
              </w:rPr>
            </w:pPr>
            <w:r>
              <w:rPr>
                <w:rFonts w:ascii="Arial" w:cs="Arial" w:eastAsia="Arial" w:hAnsi="Arial"/>
                <w:sz w:val="15"/>
                <w:szCs w:val="15"/>
                <w:color w:val="auto"/>
              </w:rPr>
              <w:t>10</w:t>
            </w:r>
          </w:p>
        </w:tc>
        <w:tc>
          <w:tcPr>
            <w:tcW w:w="280" w:type="dxa"/>
            <w:vAlign w:val="bottom"/>
          </w:tcPr>
          <w:p>
            <w:pPr>
              <w:spacing w:after="0"/>
              <w:rPr>
                <w:sz w:val="14"/>
                <w:szCs w:val="14"/>
                <w:color w:val="auto"/>
              </w:rPr>
            </w:pPr>
          </w:p>
        </w:tc>
        <w:tc>
          <w:tcPr>
            <w:tcW w:w="1140" w:type="dxa"/>
            <w:vAlign w:val="bottom"/>
          </w:tcPr>
          <w:p>
            <w:pPr>
              <w:jc w:val="right"/>
              <w:spacing w:after="0" w:line="162" w:lineRule="exact"/>
              <w:rPr>
                <w:sz w:val="20"/>
                <w:szCs w:val="20"/>
                <w:color w:val="auto"/>
              </w:rPr>
            </w:pPr>
            <w:r>
              <w:rPr>
                <w:rFonts w:ascii="Arial" w:cs="Arial" w:eastAsia="Arial" w:hAnsi="Arial"/>
                <w:sz w:val="15"/>
                <w:szCs w:val="15"/>
                <w:b w:val="1"/>
                <w:bCs w:val="1"/>
                <w:color w:val="auto"/>
              </w:rPr>
              <w:t>159</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Arial" w:cs="Arial" w:eastAsia="Arial" w:hAnsi="Arial"/>
                <w:sz w:val="15"/>
                <w:szCs w:val="15"/>
                <w:color w:val="auto"/>
              </w:rPr>
              <w:t>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900" w:type="dxa"/>
            <w:vAlign w:val="bottom"/>
          </w:tcPr>
          <w:p>
            <w:pPr>
              <w:ind w:left="240"/>
              <w:spacing w:after="0"/>
              <w:rPr>
                <w:sz w:val="20"/>
                <w:szCs w:val="20"/>
                <w:color w:val="auto"/>
              </w:rPr>
            </w:pPr>
            <w:r>
              <w:rPr>
                <w:rFonts w:ascii="Arial" w:cs="Arial" w:eastAsia="Arial" w:hAnsi="Arial"/>
                <w:sz w:val="15"/>
                <w:szCs w:val="15"/>
                <w:color w:val="auto"/>
              </w:rPr>
              <w:t>Corporate office</w:t>
            </w: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4"/>
              <w:spacing w:after="0"/>
              <w:rPr>
                <w:sz w:val="20"/>
                <w:szCs w:val="20"/>
                <w:color w:val="auto"/>
              </w:rPr>
            </w:pPr>
            <w:r>
              <w:rPr>
                <w:rFonts w:ascii="Arial" w:cs="Arial" w:eastAsia="Arial" w:hAnsi="Arial"/>
                <w:sz w:val="15"/>
                <w:szCs w:val="15"/>
                <w:b w:val="1"/>
                <w:bCs w:val="1"/>
                <w:color w:val="auto"/>
              </w:rPr>
              <w:t>(10,617)</w:t>
            </w:r>
          </w:p>
        </w:tc>
        <w:tc>
          <w:tcPr>
            <w:tcW w:w="400" w:type="dxa"/>
            <w:vAlign w:val="bottom"/>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Arial" w:cs="Arial" w:eastAsia="Arial" w:hAnsi="Arial"/>
                <w:sz w:val="15"/>
                <w:szCs w:val="15"/>
                <w:color w:val="auto"/>
              </w:rPr>
              <w:t>(8,896)</w:t>
            </w:r>
          </w:p>
        </w:tc>
        <w:tc>
          <w:tcPr>
            <w:tcW w:w="2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5"/>
                <w:szCs w:val="15"/>
                <w:b w:val="1"/>
                <w:bCs w:val="1"/>
                <w:color w:val="auto"/>
              </w:rPr>
              <w:t>(21,283)</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5"/>
                <w:szCs w:val="15"/>
                <w:color w:val="auto"/>
              </w:rPr>
              <w:t>(18,194)</w:t>
            </w:r>
          </w:p>
        </w:tc>
        <w:tc>
          <w:tcPr>
            <w:tcW w:w="0" w:type="dxa"/>
            <w:vAlign w:val="bottom"/>
          </w:tcPr>
          <w:p>
            <w:pPr>
              <w:spacing w:after="0"/>
              <w:rPr>
                <w:sz w:val="1"/>
                <w:szCs w:val="1"/>
                <w:color w:val="auto"/>
              </w:rPr>
            </w:pPr>
          </w:p>
        </w:tc>
      </w:tr>
      <w:tr>
        <w:trPr>
          <w:trHeight w:val="156"/>
        </w:trPr>
        <w:tc>
          <w:tcPr>
            <w:tcW w:w="49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Borders>
              <w:top w:val="single" w:sz="8" w:color="auto"/>
              <w:bottom w:val="single" w:sz="8" w:color="auto"/>
            </w:tcBorders>
          </w:tcPr>
          <w:p>
            <w:pPr>
              <w:jc w:val="right"/>
              <w:ind w:right="103"/>
              <w:spacing w:after="0" w:line="156" w:lineRule="exact"/>
              <w:rPr>
                <w:sz w:val="20"/>
                <w:szCs w:val="20"/>
                <w:color w:val="auto"/>
              </w:rPr>
            </w:pPr>
            <w:r>
              <w:rPr>
                <w:rFonts w:ascii="Arial" w:cs="Arial" w:eastAsia="Arial" w:hAnsi="Arial"/>
                <w:sz w:val="15"/>
                <w:szCs w:val="15"/>
                <w:b w:val="1"/>
                <w:bCs w:val="1"/>
                <w:color w:val="auto"/>
              </w:rPr>
              <w:t>$</w:t>
            </w:r>
          </w:p>
        </w:tc>
        <w:tc>
          <w:tcPr>
            <w:tcW w:w="1120" w:type="dxa"/>
            <w:vAlign w:val="bottom"/>
            <w:tcBorders>
              <w:top w:val="single" w:sz="8" w:color="auto"/>
              <w:bottom w:val="single" w:sz="8" w:color="auto"/>
            </w:tcBorders>
          </w:tcPr>
          <w:p>
            <w:pPr>
              <w:jc w:val="right"/>
              <w:ind w:right="64"/>
              <w:spacing w:after="0" w:line="156" w:lineRule="exact"/>
              <w:rPr>
                <w:sz w:val="20"/>
                <w:szCs w:val="20"/>
                <w:color w:val="auto"/>
              </w:rPr>
            </w:pPr>
            <w:r>
              <w:rPr>
                <w:rFonts w:ascii="Arial" w:cs="Arial" w:eastAsia="Arial" w:hAnsi="Arial"/>
                <w:sz w:val="15"/>
                <w:szCs w:val="15"/>
                <w:b w:val="1"/>
                <w:bCs w:val="1"/>
                <w:color w:val="auto"/>
              </w:rPr>
              <w:t>12,634</w:t>
            </w:r>
          </w:p>
        </w:tc>
        <w:tc>
          <w:tcPr>
            <w:tcW w:w="400" w:type="dxa"/>
            <w:vAlign w:val="bottom"/>
            <w:tcBorders>
              <w:top w:val="single" w:sz="8" w:color="auto"/>
              <w:bottom w:val="single" w:sz="8" w:color="auto"/>
            </w:tcBorders>
          </w:tcPr>
          <w:p>
            <w:pPr>
              <w:jc w:val="right"/>
              <w:ind w:right="123"/>
              <w:spacing w:after="0" w:line="156" w:lineRule="exact"/>
              <w:rPr>
                <w:sz w:val="20"/>
                <w:szCs w:val="20"/>
                <w:color w:val="auto"/>
              </w:rPr>
            </w:pPr>
            <w:r>
              <w:rPr>
                <w:rFonts w:ascii="Arial" w:cs="Arial" w:eastAsia="Arial" w:hAnsi="Arial"/>
                <w:sz w:val="15"/>
                <w:szCs w:val="15"/>
                <w:color w:val="auto"/>
              </w:rPr>
              <w:t>$</w:t>
            </w:r>
          </w:p>
        </w:tc>
        <w:tc>
          <w:tcPr>
            <w:tcW w:w="1060" w:type="dxa"/>
            <w:vAlign w:val="bottom"/>
            <w:tcBorders>
              <w:top w:val="single" w:sz="8" w:color="auto"/>
              <w:bottom w:val="single" w:sz="8" w:color="auto"/>
            </w:tcBorders>
            <w:gridSpan w:val="2"/>
          </w:tcPr>
          <w:p>
            <w:pPr>
              <w:jc w:val="right"/>
              <w:ind w:right="23"/>
              <w:spacing w:after="0" w:line="156" w:lineRule="exact"/>
              <w:rPr>
                <w:sz w:val="20"/>
                <w:szCs w:val="20"/>
                <w:color w:val="auto"/>
              </w:rPr>
            </w:pPr>
            <w:r>
              <w:rPr>
                <w:rFonts w:ascii="Arial" w:cs="Arial" w:eastAsia="Arial" w:hAnsi="Arial"/>
                <w:sz w:val="15"/>
                <w:szCs w:val="15"/>
                <w:color w:val="auto"/>
              </w:rPr>
              <w:t>2,369</w:t>
            </w:r>
          </w:p>
        </w:tc>
        <w:tc>
          <w:tcPr>
            <w:tcW w:w="280" w:type="dxa"/>
            <w:vAlign w:val="bottom"/>
            <w:tcBorders>
              <w:top w:val="single" w:sz="8" w:color="auto"/>
              <w:bottom w:val="single" w:sz="8" w:color="auto"/>
            </w:tcBorders>
          </w:tcPr>
          <w:p>
            <w:pPr>
              <w:jc w:val="right"/>
              <w:ind w:right="5"/>
              <w:spacing w:after="0" w:line="156" w:lineRule="exact"/>
              <w:rPr>
                <w:sz w:val="20"/>
                <w:szCs w:val="20"/>
                <w:color w:val="auto"/>
              </w:rPr>
            </w:pPr>
            <w:r>
              <w:rPr>
                <w:rFonts w:ascii="Arial" w:cs="Arial" w:eastAsia="Arial" w:hAnsi="Arial"/>
                <w:sz w:val="15"/>
                <w:szCs w:val="15"/>
                <w:b w:val="1"/>
                <w:bCs w:val="1"/>
                <w:color w:val="auto"/>
              </w:rPr>
              <w:t>$</w:t>
            </w:r>
          </w:p>
        </w:tc>
        <w:tc>
          <w:tcPr>
            <w:tcW w:w="114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b w:val="1"/>
                <w:bCs w:val="1"/>
                <w:color w:val="auto"/>
              </w:rPr>
              <w:t>31,249</w:t>
            </w:r>
          </w:p>
        </w:tc>
        <w:tc>
          <w:tcPr>
            <w:tcW w:w="14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jc w:val="right"/>
              <w:ind w:right="44"/>
              <w:spacing w:after="0" w:line="156" w:lineRule="exact"/>
              <w:rPr>
                <w:sz w:val="20"/>
                <w:szCs w:val="20"/>
                <w:color w:val="auto"/>
              </w:rPr>
            </w:pPr>
            <w:r>
              <w:rPr>
                <w:rFonts w:ascii="Arial" w:cs="Arial" w:eastAsia="Arial" w:hAnsi="Arial"/>
                <w:sz w:val="15"/>
                <w:szCs w:val="15"/>
                <w:color w:val="auto"/>
                <w:w w:val="95"/>
              </w:rPr>
              <w:t>$</w:t>
            </w:r>
          </w:p>
        </w:tc>
        <w:tc>
          <w:tcPr>
            <w:tcW w:w="98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5,503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2"/>
        </w:trPr>
        <w:tc>
          <w:tcPr>
            <w:tcW w:w="7200" w:type="dxa"/>
            <w:vAlign w:val="bottom"/>
            <w:gridSpan w:val="4"/>
          </w:tcPr>
          <w:p>
            <w:pPr>
              <w:spacing w:after="0"/>
              <w:rPr>
                <w:sz w:val="20"/>
                <w:szCs w:val="20"/>
                <w:color w:val="auto"/>
              </w:rPr>
            </w:pPr>
            <w:r>
              <w:rPr>
                <w:rFonts w:ascii="Arial" w:cs="Arial" w:eastAsia="Arial" w:hAnsi="Arial"/>
                <w:sz w:val="18"/>
                <w:szCs w:val="18"/>
                <w:color w:val="auto"/>
              </w:rPr>
              <w:t>Identifiable assets for the Company’s business segments consist of the following:</w:t>
            </w: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4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
              <w:spacing w:after="0"/>
              <w:rPr>
                <w:sz w:val="20"/>
                <w:szCs w:val="20"/>
                <w:color w:val="auto"/>
              </w:rPr>
            </w:pPr>
            <w:r>
              <w:rPr>
                <w:rFonts w:ascii="Arial" w:cs="Arial" w:eastAsia="Arial" w:hAnsi="Arial"/>
                <w:sz w:val="14"/>
                <w:szCs w:val="14"/>
                <w:b w:val="1"/>
                <w:bCs w:val="1"/>
                <w:color w:val="auto"/>
              </w:rPr>
              <w:t>As of</w:t>
            </w: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49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20" w:type="dxa"/>
            <w:vAlign w:val="bottom"/>
            <w:gridSpan w:val="2"/>
          </w:tcPr>
          <w:p>
            <w:pPr>
              <w:jc w:val="right"/>
              <w:ind w:right="744"/>
              <w:spacing w:after="0" w:line="125" w:lineRule="exact"/>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0"/>
                <w:szCs w:val="10"/>
                <w:color w:val="auto"/>
              </w:rPr>
            </w:pPr>
          </w:p>
        </w:tc>
        <w:tc>
          <w:tcPr>
            <w:tcW w:w="1200" w:type="dxa"/>
            <w:vAlign w:val="bottom"/>
            <w:gridSpan w:val="2"/>
          </w:tcPr>
          <w:p>
            <w:pPr>
              <w:jc w:val="right"/>
              <w:ind w:right="224"/>
              <w:spacing w:after="0" w:line="125" w:lineRule="exact"/>
              <w:rPr>
                <w:sz w:val="20"/>
                <w:szCs w:val="20"/>
                <w:color w:val="auto"/>
              </w:rPr>
            </w:pPr>
            <w:r>
              <w:rPr>
                <w:rFonts w:ascii="Arial" w:cs="Arial" w:eastAsia="Arial" w:hAnsi="Arial"/>
                <w:sz w:val="14"/>
                <w:szCs w:val="14"/>
                <w:color w:val="auto"/>
              </w:rPr>
              <w:t>December 31,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49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thousands)</w:t>
            </w:r>
          </w:p>
        </w:tc>
        <w:tc>
          <w:tcPr>
            <w:tcW w:w="8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right"/>
              <w:ind w:right="884"/>
              <w:spacing w:after="0"/>
              <w:rPr>
                <w:sz w:val="20"/>
                <w:szCs w:val="20"/>
                <w:color w:val="auto"/>
              </w:rPr>
            </w:pPr>
            <w:r>
              <w:rPr>
                <w:rFonts w:ascii="Arial" w:cs="Arial" w:eastAsia="Arial" w:hAnsi="Arial"/>
                <w:sz w:val="14"/>
                <w:szCs w:val="14"/>
                <w:b w:val="1"/>
                <w:bCs w:val="1"/>
                <w:color w:val="auto"/>
              </w:rPr>
              <w:t>2013</w:t>
            </w: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24"/>
              <w:spacing w:after="0"/>
              <w:rPr>
                <w:sz w:val="20"/>
                <w:szCs w:val="20"/>
                <w:color w:val="auto"/>
              </w:rPr>
            </w:pPr>
            <w:r>
              <w:rPr>
                <w:rFonts w:ascii="Arial" w:cs="Arial" w:eastAsia="Arial" w:hAnsi="Arial"/>
                <w:sz w:val="14"/>
                <w:szCs w:val="14"/>
                <w:color w:val="auto"/>
              </w:rPr>
              <w:t>2012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4900" w:type="dxa"/>
            <w:vAlign w:val="bottom"/>
          </w:tcPr>
          <w:p>
            <w:pPr>
              <w:spacing w:after="0" w:line="152" w:lineRule="exact"/>
              <w:rPr>
                <w:sz w:val="20"/>
                <w:szCs w:val="20"/>
                <w:color w:val="auto"/>
              </w:rPr>
            </w:pPr>
            <w:r>
              <w:rPr>
                <w:rFonts w:ascii="Arial" w:cs="Arial" w:eastAsia="Arial" w:hAnsi="Arial"/>
                <w:sz w:val="15"/>
                <w:szCs w:val="15"/>
                <w:b w:val="1"/>
                <w:bCs w:val="1"/>
                <w:color w:val="auto"/>
              </w:rPr>
              <w:t>Identifiable Assets</w:t>
            </w: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60" w:type="dxa"/>
            <w:vAlign w:val="bottom"/>
            <w:gridSpan w:val="2"/>
            <w:vMerge w:val="restart"/>
          </w:tcPr>
          <w:p>
            <w:pPr>
              <w:jc w:val="right"/>
              <w:ind w:right="103"/>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3"/>
                <w:szCs w:val="13"/>
                <w:color w:val="auto"/>
              </w:rPr>
            </w:pPr>
          </w:p>
        </w:tc>
        <w:tc>
          <w:tcPr>
            <w:tcW w:w="1140" w:type="dxa"/>
            <w:vAlign w:val="bottom"/>
            <w:vMerge w:val="restart"/>
          </w:tcPr>
          <w:p>
            <w:pPr>
              <w:jc w:val="right"/>
              <w:ind w:right="324"/>
              <w:spacing w:after="0"/>
              <w:rPr>
                <w:sz w:val="20"/>
                <w:szCs w:val="20"/>
                <w:color w:val="auto"/>
              </w:rPr>
            </w:pPr>
            <w:r>
              <w:rPr>
                <w:rFonts w:ascii="Arial" w:cs="Arial" w:eastAsia="Arial" w:hAnsi="Arial"/>
                <w:sz w:val="15"/>
                <w:szCs w:val="15"/>
                <w:b w:val="1"/>
                <w:bCs w:val="1"/>
                <w:color w:val="auto"/>
              </w:rPr>
              <w:t>1,624,982</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900" w:type="dxa"/>
            <w:vAlign w:val="bottom"/>
          </w:tcPr>
          <w:p>
            <w:pPr>
              <w:ind w:left="240"/>
              <w:spacing w:after="0" w:line="144" w:lineRule="exact"/>
              <w:rPr>
                <w:sz w:val="20"/>
                <w:szCs w:val="20"/>
                <w:color w:val="auto"/>
              </w:rPr>
            </w:pPr>
            <w:r>
              <w:rPr>
                <w:rFonts w:ascii="Arial" w:cs="Arial" w:eastAsia="Arial" w:hAnsi="Arial"/>
                <w:sz w:val="15"/>
                <w:szCs w:val="15"/>
                <w:color w:val="auto"/>
              </w:rPr>
              <w:t>Education</w:t>
            </w: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40" w:type="dxa"/>
            <w:vAlign w:val="bottom"/>
          </w:tcPr>
          <w:p>
            <w:pPr>
              <w:jc w:val="right"/>
              <w:spacing w:after="0" w:line="144" w:lineRule="exact"/>
              <w:rPr>
                <w:sz w:val="20"/>
                <w:szCs w:val="20"/>
                <w:color w:val="auto"/>
              </w:rPr>
            </w:pPr>
            <w:r>
              <w:rPr>
                <w:rFonts w:ascii="Arial" w:cs="Arial" w:eastAsia="Arial" w:hAnsi="Arial"/>
                <w:sz w:val="15"/>
                <w:szCs w:val="15"/>
                <w:color w:val="auto"/>
                <w:w w:val="95"/>
              </w:rPr>
              <w:t>$</w:t>
            </w:r>
          </w:p>
        </w:tc>
        <w:tc>
          <w:tcPr>
            <w:tcW w:w="220" w:type="dxa"/>
            <w:vAlign w:val="bottom"/>
          </w:tcPr>
          <w:p>
            <w:pPr>
              <w:spacing w:after="0"/>
              <w:rPr>
                <w:sz w:val="12"/>
                <w:szCs w:val="12"/>
                <w:color w:val="auto"/>
              </w:rPr>
            </w:pPr>
          </w:p>
        </w:tc>
        <w:tc>
          <w:tcPr>
            <w:tcW w:w="980" w:type="dxa"/>
            <w:vAlign w:val="bottom"/>
          </w:tcPr>
          <w:p>
            <w:pPr>
              <w:jc w:val="right"/>
              <w:spacing w:after="0" w:line="144" w:lineRule="exact"/>
              <w:rPr>
                <w:sz w:val="20"/>
                <w:szCs w:val="20"/>
                <w:color w:val="auto"/>
              </w:rPr>
            </w:pPr>
            <w:r>
              <w:rPr>
                <w:rFonts w:ascii="Arial" w:cs="Arial" w:eastAsia="Arial" w:hAnsi="Arial"/>
                <w:sz w:val="15"/>
                <w:szCs w:val="15"/>
                <w:color w:val="auto"/>
              </w:rPr>
              <w:t>1,988,015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900" w:type="dxa"/>
            <w:vAlign w:val="bottom"/>
          </w:tcPr>
          <w:p>
            <w:pPr>
              <w:ind w:left="240"/>
              <w:spacing w:after="0" w:line="162" w:lineRule="exact"/>
              <w:rPr>
                <w:sz w:val="20"/>
                <w:szCs w:val="20"/>
                <w:color w:val="auto"/>
              </w:rPr>
            </w:pPr>
            <w:r>
              <w:rPr>
                <w:rFonts w:ascii="Arial" w:cs="Arial" w:eastAsia="Arial" w:hAnsi="Arial"/>
                <w:sz w:val="15"/>
                <w:szCs w:val="15"/>
                <w:color w:val="auto"/>
              </w:rPr>
              <w:t>Cable television</w:t>
            </w: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ind w:right="324"/>
              <w:spacing w:after="0" w:line="162" w:lineRule="exact"/>
              <w:rPr>
                <w:sz w:val="20"/>
                <w:szCs w:val="20"/>
                <w:color w:val="auto"/>
              </w:rPr>
            </w:pPr>
            <w:r>
              <w:rPr>
                <w:rFonts w:ascii="Arial" w:cs="Arial" w:eastAsia="Arial" w:hAnsi="Arial"/>
                <w:sz w:val="15"/>
                <w:szCs w:val="15"/>
                <w:b w:val="1"/>
                <w:bCs w:val="1"/>
                <w:color w:val="auto"/>
              </w:rPr>
              <w:t>1,192,679</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Arial" w:cs="Arial" w:eastAsia="Arial" w:hAnsi="Arial"/>
                <w:sz w:val="15"/>
                <w:szCs w:val="15"/>
                <w:color w:val="auto"/>
              </w:rPr>
              <w:t>1,187,603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00" w:type="dxa"/>
            <w:vAlign w:val="bottom"/>
          </w:tcPr>
          <w:p>
            <w:pPr>
              <w:ind w:left="240"/>
              <w:spacing w:after="0" w:line="162" w:lineRule="exact"/>
              <w:rPr>
                <w:sz w:val="20"/>
                <w:szCs w:val="20"/>
                <w:color w:val="auto"/>
              </w:rPr>
            </w:pPr>
            <w:r>
              <w:rPr>
                <w:rFonts w:ascii="Arial" w:cs="Arial" w:eastAsia="Arial" w:hAnsi="Arial"/>
                <w:sz w:val="15"/>
                <w:szCs w:val="15"/>
                <w:color w:val="auto"/>
              </w:rPr>
              <w:t>Newspaper publishing</w:t>
            </w: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ind w:right="324"/>
              <w:spacing w:after="0" w:line="162" w:lineRule="exact"/>
              <w:rPr>
                <w:sz w:val="20"/>
                <w:szCs w:val="20"/>
                <w:color w:val="auto"/>
              </w:rPr>
            </w:pPr>
            <w:r>
              <w:rPr>
                <w:rFonts w:ascii="Arial" w:cs="Arial" w:eastAsia="Arial" w:hAnsi="Arial"/>
                <w:sz w:val="15"/>
                <w:szCs w:val="15"/>
                <w:b w:val="1"/>
                <w:bCs w:val="1"/>
                <w:color w:val="auto"/>
              </w:rPr>
              <w:t>255,196</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Arial" w:cs="Arial" w:eastAsia="Arial" w:hAnsi="Arial"/>
                <w:sz w:val="15"/>
                <w:szCs w:val="15"/>
                <w:color w:val="auto"/>
              </w:rPr>
              <w:t>280,323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00" w:type="dxa"/>
            <w:vAlign w:val="bottom"/>
          </w:tcPr>
          <w:p>
            <w:pPr>
              <w:ind w:left="240"/>
              <w:spacing w:after="0" w:line="162" w:lineRule="exact"/>
              <w:rPr>
                <w:sz w:val="20"/>
                <w:szCs w:val="20"/>
                <w:color w:val="auto"/>
              </w:rPr>
            </w:pPr>
            <w:r>
              <w:rPr>
                <w:rFonts w:ascii="Arial" w:cs="Arial" w:eastAsia="Arial" w:hAnsi="Arial"/>
                <w:sz w:val="15"/>
                <w:szCs w:val="15"/>
                <w:color w:val="auto"/>
              </w:rPr>
              <w:t>Television broadcasting</w:t>
            </w: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ind w:right="324"/>
              <w:spacing w:after="0" w:line="162" w:lineRule="exact"/>
              <w:rPr>
                <w:sz w:val="20"/>
                <w:szCs w:val="20"/>
                <w:color w:val="auto"/>
              </w:rPr>
            </w:pPr>
            <w:r>
              <w:rPr>
                <w:rFonts w:ascii="Arial" w:cs="Arial" w:eastAsia="Arial" w:hAnsi="Arial"/>
                <w:sz w:val="15"/>
                <w:szCs w:val="15"/>
                <w:b w:val="1"/>
                <w:bCs w:val="1"/>
                <w:color w:val="auto"/>
              </w:rPr>
              <w:t>379,727</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Arial" w:cs="Arial" w:eastAsia="Arial" w:hAnsi="Arial"/>
                <w:sz w:val="15"/>
                <w:szCs w:val="15"/>
                <w:color w:val="auto"/>
              </w:rPr>
              <w:t>374,075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00" w:type="dxa"/>
            <w:vAlign w:val="bottom"/>
          </w:tcPr>
          <w:p>
            <w:pPr>
              <w:ind w:left="240"/>
              <w:spacing w:after="0" w:line="162" w:lineRule="exact"/>
              <w:rPr>
                <w:sz w:val="20"/>
                <w:szCs w:val="20"/>
                <w:color w:val="auto"/>
              </w:rPr>
            </w:pPr>
            <w:r>
              <w:rPr>
                <w:rFonts w:ascii="Arial" w:cs="Arial" w:eastAsia="Arial" w:hAnsi="Arial"/>
                <w:sz w:val="15"/>
                <w:szCs w:val="15"/>
                <w:color w:val="auto"/>
              </w:rPr>
              <w:t>Other businesses</w:t>
            </w: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ind w:right="324"/>
              <w:spacing w:after="0" w:line="162" w:lineRule="exact"/>
              <w:rPr>
                <w:sz w:val="20"/>
                <w:szCs w:val="20"/>
                <w:color w:val="auto"/>
              </w:rPr>
            </w:pPr>
            <w:r>
              <w:rPr>
                <w:rFonts w:ascii="Arial" w:cs="Arial" w:eastAsia="Arial" w:hAnsi="Arial"/>
                <w:sz w:val="15"/>
                <w:szCs w:val="15"/>
                <w:b w:val="1"/>
                <w:bCs w:val="1"/>
                <w:color w:val="auto"/>
              </w:rPr>
              <w:t>72,388</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Arial" w:cs="Arial" w:eastAsia="Arial" w:hAnsi="Arial"/>
                <w:sz w:val="15"/>
                <w:szCs w:val="15"/>
                <w:color w:val="auto"/>
              </w:rPr>
              <w:t>81,211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900" w:type="dxa"/>
            <w:vAlign w:val="bottom"/>
          </w:tcPr>
          <w:p>
            <w:pPr>
              <w:ind w:left="240"/>
              <w:spacing w:after="0"/>
              <w:rPr>
                <w:sz w:val="20"/>
                <w:szCs w:val="20"/>
                <w:color w:val="auto"/>
              </w:rPr>
            </w:pPr>
            <w:r>
              <w:rPr>
                <w:rFonts w:ascii="Arial" w:cs="Arial" w:eastAsia="Arial" w:hAnsi="Arial"/>
                <w:sz w:val="15"/>
                <w:szCs w:val="15"/>
                <w:color w:val="auto"/>
              </w:rPr>
              <w:t>Corporate office</w:t>
            </w: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24"/>
              <w:spacing w:after="0"/>
              <w:rPr>
                <w:sz w:val="20"/>
                <w:szCs w:val="20"/>
                <w:color w:val="auto"/>
              </w:rPr>
            </w:pPr>
            <w:r>
              <w:rPr>
                <w:rFonts w:ascii="Arial" w:cs="Arial" w:eastAsia="Arial" w:hAnsi="Arial"/>
                <w:sz w:val="15"/>
                <w:szCs w:val="15"/>
                <w:b w:val="1"/>
                <w:bCs w:val="1"/>
                <w:color w:val="auto"/>
              </w:rPr>
              <w:t>335,328</w:t>
            </w:r>
          </w:p>
        </w:tc>
        <w:tc>
          <w:tcPr>
            <w:tcW w:w="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193,397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900" w:type="dxa"/>
            <w:vAlign w:val="bottom"/>
            <w:vMerge w:val="restart"/>
          </w:tcPr>
          <w:p>
            <w:pPr>
              <w:spacing w:after="0"/>
              <w:rPr>
                <w:sz w:val="20"/>
                <w:szCs w:val="20"/>
                <w:color w:val="auto"/>
              </w:rPr>
            </w:pPr>
            <w:r>
              <w:rPr>
                <w:rFonts w:ascii="Arial" w:cs="Arial" w:eastAsia="Arial" w:hAnsi="Arial"/>
                <w:sz w:val="15"/>
                <w:szCs w:val="15"/>
                <w:b w:val="1"/>
                <w:bCs w:val="1"/>
                <w:color w:val="auto"/>
              </w:rPr>
              <w:t>Investments in Marketable Equity Securities</w:t>
            </w: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Borders>
              <w:bottom w:val="single" w:sz="8" w:color="auto"/>
            </w:tcBorders>
          </w:tcPr>
          <w:p>
            <w:pPr>
              <w:jc w:val="right"/>
              <w:ind w:right="103"/>
              <w:spacing w:after="0" w:line="156" w:lineRule="exact"/>
              <w:rPr>
                <w:sz w:val="20"/>
                <w:szCs w:val="20"/>
                <w:color w:val="auto"/>
              </w:rPr>
            </w:pPr>
            <w:r>
              <w:rPr>
                <w:rFonts w:ascii="Arial" w:cs="Arial" w:eastAsia="Arial" w:hAnsi="Arial"/>
                <w:sz w:val="15"/>
                <w:szCs w:val="15"/>
                <w:b w:val="1"/>
                <w:bCs w:val="1"/>
                <w:color w:val="auto"/>
              </w:rPr>
              <w:t>$</w:t>
            </w:r>
          </w:p>
        </w:tc>
        <w:tc>
          <w:tcPr>
            <w:tcW w:w="2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324"/>
              <w:spacing w:after="0" w:line="156" w:lineRule="exact"/>
              <w:rPr>
                <w:sz w:val="20"/>
                <w:szCs w:val="20"/>
                <w:color w:val="auto"/>
              </w:rPr>
            </w:pPr>
            <w:r>
              <w:rPr>
                <w:rFonts w:ascii="Arial" w:cs="Arial" w:eastAsia="Arial" w:hAnsi="Arial"/>
                <w:sz w:val="15"/>
                <w:szCs w:val="15"/>
                <w:b w:val="1"/>
                <w:bCs w:val="1"/>
                <w:color w:val="auto"/>
              </w:rPr>
              <w:t>3,860,300</w:t>
            </w:r>
          </w:p>
        </w:tc>
        <w:tc>
          <w:tcPr>
            <w:tcW w:w="1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95"/>
              </w:rPr>
              <w:t>$</w:t>
            </w: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4,104,624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4900" w:type="dxa"/>
            <w:vAlign w:val="bottom"/>
            <w:vMerge w:val="continue"/>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tcPr>
          <w:p>
            <w:pPr>
              <w:jc w:val="right"/>
              <w:ind w:right="324"/>
              <w:spacing w:after="0" w:line="134" w:lineRule="exact"/>
              <w:rPr>
                <w:sz w:val="20"/>
                <w:szCs w:val="20"/>
                <w:color w:val="auto"/>
              </w:rPr>
            </w:pPr>
            <w:r>
              <w:rPr>
                <w:rFonts w:ascii="Arial" w:cs="Arial" w:eastAsia="Arial" w:hAnsi="Arial"/>
                <w:sz w:val="15"/>
                <w:szCs w:val="15"/>
                <w:b w:val="1"/>
                <w:bCs w:val="1"/>
                <w:color w:val="auto"/>
              </w:rPr>
              <w:t>457,031</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jc w:val="right"/>
              <w:spacing w:after="0" w:line="134" w:lineRule="exact"/>
              <w:rPr>
                <w:sz w:val="20"/>
                <w:szCs w:val="20"/>
                <w:color w:val="auto"/>
              </w:rPr>
            </w:pPr>
            <w:r>
              <w:rPr>
                <w:rFonts w:ascii="Arial" w:cs="Arial" w:eastAsia="Arial" w:hAnsi="Arial"/>
                <w:sz w:val="15"/>
                <w:szCs w:val="15"/>
                <w:color w:val="auto"/>
              </w:rPr>
              <w:t>380,087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900" w:type="dxa"/>
            <w:vAlign w:val="bottom"/>
          </w:tcPr>
          <w:p>
            <w:pPr>
              <w:spacing w:after="0" w:line="162" w:lineRule="exact"/>
              <w:rPr>
                <w:sz w:val="20"/>
                <w:szCs w:val="20"/>
                <w:color w:val="auto"/>
              </w:rPr>
            </w:pPr>
            <w:r>
              <w:rPr>
                <w:rFonts w:ascii="Arial" w:cs="Arial" w:eastAsia="Arial" w:hAnsi="Arial"/>
                <w:sz w:val="15"/>
                <w:szCs w:val="15"/>
                <w:b w:val="1"/>
                <w:bCs w:val="1"/>
                <w:color w:val="auto"/>
              </w:rPr>
              <w:t>Investments in Affiliates</w:t>
            </w: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ind w:right="324"/>
              <w:spacing w:after="0" w:line="162" w:lineRule="exact"/>
              <w:rPr>
                <w:sz w:val="20"/>
                <w:szCs w:val="20"/>
                <w:color w:val="auto"/>
              </w:rPr>
            </w:pPr>
            <w:r>
              <w:rPr>
                <w:rFonts w:ascii="Arial" w:cs="Arial" w:eastAsia="Arial" w:hAnsi="Arial"/>
                <w:sz w:val="15"/>
                <w:szCs w:val="15"/>
                <w:b w:val="1"/>
                <w:bCs w:val="1"/>
                <w:color w:val="auto"/>
              </w:rPr>
              <w:t>27,386</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spacing w:after="0" w:line="162" w:lineRule="exact"/>
              <w:rPr>
                <w:sz w:val="20"/>
                <w:szCs w:val="20"/>
                <w:color w:val="auto"/>
              </w:rPr>
            </w:pPr>
            <w:r>
              <w:rPr>
                <w:rFonts w:ascii="Arial" w:cs="Arial" w:eastAsia="Arial" w:hAnsi="Arial"/>
                <w:sz w:val="15"/>
                <w:szCs w:val="15"/>
                <w:color w:val="auto"/>
              </w:rPr>
              <w:t>15,535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900" w:type="dxa"/>
            <w:vAlign w:val="bottom"/>
          </w:tcPr>
          <w:p>
            <w:pPr>
              <w:spacing w:after="0"/>
              <w:rPr>
                <w:sz w:val="20"/>
                <w:szCs w:val="20"/>
                <w:color w:val="auto"/>
              </w:rPr>
            </w:pPr>
            <w:r>
              <w:rPr>
                <w:rFonts w:ascii="Arial" w:cs="Arial" w:eastAsia="Arial" w:hAnsi="Arial"/>
                <w:sz w:val="15"/>
                <w:szCs w:val="15"/>
                <w:b w:val="1"/>
                <w:bCs w:val="1"/>
                <w:color w:val="auto"/>
              </w:rPr>
              <w:t>Prepaid Pension Cost</w:t>
            </w: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24"/>
              <w:spacing w:after="0"/>
              <w:rPr>
                <w:sz w:val="20"/>
                <w:szCs w:val="20"/>
                <w:color w:val="auto"/>
              </w:rPr>
            </w:pPr>
            <w:r>
              <w:rPr>
                <w:rFonts w:ascii="Arial" w:cs="Arial" w:eastAsia="Arial" w:hAnsi="Arial"/>
                <w:sz w:val="15"/>
                <w:szCs w:val="15"/>
                <w:b w:val="1"/>
                <w:bCs w:val="1"/>
                <w:color w:val="auto"/>
              </w:rPr>
              <w:t>579,303</w:t>
            </w:r>
          </w:p>
        </w:tc>
        <w:tc>
          <w:tcPr>
            <w:tcW w:w="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604,823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900" w:type="dxa"/>
            <w:vAlign w:val="bottom"/>
          </w:tcPr>
          <w:p>
            <w:pPr>
              <w:spacing w:after="0" w:line="156" w:lineRule="exact"/>
              <w:rPr>
                <w:sz w:val="20"/>
                <w:szCs w:val="20"/>
                <w:color w:val="auto"/>
              </w:rPr>
            </w:pPr>
            <w:r>
              <w:rPr>
                <w:rFonts w:ascii="Arial" w:cs="Arial" w:eastAsia="Arial" w:hAnsi="Arial"/>
                <w:sz w:val="15"/>
                <w:szCs w:val="15"/>
                <w:b w:val="1"/>
                <w:bCs w:val="1"/>
                <w:color w:val="auto"/>
              </w:rPr>
              <w:t>Total Assets</w:t>
            </w: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Borders>
              <w:bottom w:val="single" w:sz="8" w:color="auto"/>
            </w:tcBorders>
          </w:tcPr>
          <w:p>
            <w:pPr>
              <w:jc w:val="right"/>
              <w:ind w:right="103"/>
              <w:spacing w:after="0" w:line="156" w:lineRule="exact"/>
              <w:rPr>
                <w:sz w:val="20"/>
                <w:szCs w:val="20"/>
                <w:color w:val="auto"/>
              </w:rPr>
            </w:pPr>
            <w:r>
              <w:rPr>
                <w:rFonts w:ascii="Arial" w:cs="Arial" w:eastAsia="Arial" w:hAnsi="Arial"/>
                <w:sz w:val="15"/>
                <w:szCs w:val="15"/>
                <w:b w:val="1"/>
                <w:bCs w:val="1"/>
                <w:color w:val="auto"/>
              </w:rPr>
              <w:t>$</w:t>
            </w:r>
          </w:p>
        </w:tc>
        <w:tc>
          <w:tcPr>
            <w:tcW w:w="2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324"/>
              <w:spacing w:after="0" w:line="156" w:lineRule="exact"/>
              <w:rPr>
                <w:sz w:val="20"/>
                <w:szCs w:val="20"/>
                <w:color w:val="auto"/>
              </w:rPr>
            </w:pPr>
            <w:r>
              <w:rPr>
                <w:rFonts w:ascii="Arial" w:cs="Arial" w:eastAsia="Arial" w:hAnsi="Arial"/>
                <w:sz w:val="15"/>
                <w:szCs w:val="15"/>
                <w:b w:val="1"/>
                <w:bCs w:val="1"/>
                <w:color w:val="auto"/>
              </w:rPr>
              <w:t>4,924,020</w:t>
            </w:r>
          </w:p>
        </w:tc>
        <w:tc>
          <w:tcPr>
            <w:tcW w:w="1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w w:val="95"/>
              </w:rPr>
              <w:t>$</w:t>
            </w: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5,105,069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180" w:type="dxa"/>
            <w:vAlign w:val="bottom"/>
            <w:gridSpan w:val="2"/>
            <w:vMerge w:val="restart"/>
          </w:tcPr>
          <w:p>
            <w:pPr>
              <w:jc w:val="right"/>
              <w:ind w:right="183"/>
              <w:spacing w:after="0"/>
              <w:rPr>
                <w:sz w:val="20"/>
                <w:szCs w:val="20"/>
                <w:color w:val="auto"/>
              </w:rPr>
            </w:pPr>
            <w:r>
              <w:rPr>
                <w:rFonts w:ascii="Arial" w:cs="Arial" w:eastAsia="Arial" w:hAnsi="Arial"/>
                <w:sz w:val="18"/>
                <w:szCs w:val="18"/>
                <w:color w:val="auto"/>
              </w:rPr>
              <w:t>16</w:t>
            </w:r>
          </w:p>
        </w:tc>
        <w:tc>
          <w:tcPr>
            <w:tcW w:w="1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900" w:type="dxa"/>
            <w:vAlign w:val="bottom"/>
          </w:tcPr>
          <w:p>
            <w:pPr>
              <w:spacing w:after="0"/>
              <w:rPr>
                <w:sz w:val="24"/>
                <w:szCs w:val="24"/>
                <w:color w:val="auto"/>
              </w:rPr>
            </w:pPr>
          </w:p>
        </w:tc>
        <w:tc>
          <w:tcPr>
            <w:tcW w:w="1180" w:type="dxa"/>
            <w:vAlign w:val="bottom"/>
            <w:gridSpan w:val="2"/>
            <w:vMerge w:val="continue"/>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5"/>
        </w:trPr>
        <w:tc>
          <w:tcPr>
            <w:tcW w:w="4900" w:type="dxa"/>
            <w:vAlign w:val="bottom"/>
            <w:tcBorders>
              <w:bottom w:val="single" w:sz="8" w:color="808080"/>
            </w:tcBorders>
          </w:tcPr>
          <w:p>
            <w:pPr>
              <w:spacing w:after="0"/>
              <w:rPr>
                <w:sz w:val="12"/>
                <w:szCs w:val="12"/>
                <w:color w:val="auto"/>
              </w:rPr>
            </w:pPr>
          </w:p>
        </w:tc>
        <w:tc>
          <w:tcPr>
            <w:tcW w:w="840" w:type="dxa"/>
            <w:vAlign w:val="bottom"/>
            <w:tcBorders>
              <w:bottom w:val="single" w:sz="8" w:color="808080"/>
            </w:tcBorders>
          </w:tcPr>
          <w:p>
            <w:pPr>
              <w:spacing w:after="0"/>
              <w:rPr>
                <w:sz w:val="12"/>
                <w:szCs w:val="12"/>
                <w:color w:val="auto"/>
              </w:rPr>
            </w:pPr>
          </w:p>
        </w:tc>
        <w:tc>
          <w:tcPr>
            <w:tcW w:w="340" w:type="dxa"/>
            <w:vAlign w:val="bottom"/>
            <w:tcBorders>
              <w:bottom w:val="single" w:sz="8" w:color="808080"/>
            </w:tcBorders>
          </w:tcPr>
          <w:p>
            <w:pPr>
              <w:spacing w:after="0"/>
              <w:rPr>
                <w:sz w:val="12"/>
                <w:szCs w:val="12"/>
                <w:color w:val="auto"/>
              </w:rPr>
            </w:pPr>
          </w:p>
        </w:tc>
        <w:tc>
          <w:tcPr>
            <w:tcW w:w="1120" w:type="dxa"/>
            <w:vAlign w:val="bottom"/>
            <w:tcBorders>
              <w:bottom w:val="single" w:sz="8" w:color="808080"/>
            </w:tcBorders>
          </w:tcPr>
          <w:p>
            <w:pPr>
              <w:spacing w:after="0"/>
              <w:rPr>
                <w:sz w:val="12"/>
                <w:szCs w:val="12"/>
                <w:color w:val="auto"/>
              </w:rPr>
            </w:pPr>
          </w:p>
        </w:tc>
        <w:tc>
          <w:tcPr>
            <w:tcW w:w="400" w:type="dxa"/>
            <w:vAlign w:val="bottom"/>
            <w:tcBorders>
              <w:bottom w:val="single" w:sz="8" w:color="808080"/>
            </w:tcBorders>
          </w:tcPr>
          <w:p>
            <w:pPr>
              <w:spacing w:after="0"/>
              <w:rPr>
                <w:sz w:val="12"/>
                <w:szCs w:val="12"/>
                <w:color w:val="auto"/>
              </w:rPr>
            </w:pPr>
          </w:p>
        </w:tc>
        <w:tc>
          <w:tcPr>
            <w:tcW w:w="640" w:type="dxa"/>
            <w:vAlign w:val="bottom"/>
            <w:tcBorders>
              <w:bottom w:val="single" w:sz="8" w:color="808080"/>
            </w:tcBorders>
          </w:tcPr>
          <w:p>
            <w:pPr>
              <w:spacing w:after="0"/>
              <w:rPr>
                <w:sz w:val="12"/>
                <w:szCs w:val="12"/>
                <w:color w:val="auto"/>
              </w:rPr>
            </w:pPr>
          </w:p>
        </w:tc>
        <w:tc>
          <w:tcPr>
            <w:tcW w:w="420" w:type="dxa"/>
            <w:vAlign w:val="bottom"/>
            <w:tcBorders>
              <w:bottom w:val="single" w:sz="8" w:color="808080"/>
            </w:tcBorders>
          </w:tcPr>
          <w:p>
            <w:pPr>
              <w:spacing w:after="0"/>
              <w:rPr>
                <w:sz w:val="12"/>
                <w:szCs w:val="12"/>
                <w:color w:val="auto"/>
              </w:rPr>
            </w:pPr>
          </w:p>
        </w:tc>
        <w:tc>
          <w:tcPr>
            <w:tcW w:w="280" w:type="dxa"/>
            <w:vAlign w:val="bottom"/>
            <w:tcBorders>
              <w:bottom w:val="single" w:sz="8" w:color="808080"/>
            </w:tcBorders>
          </w:tcPr>
          <w:p>
            <w:pPr>
              <w:spacing w:after="0"/>
              <w:rPr>
                <w:sz w:val="12"/>
                <w:szCs w:val="12"/>
                <w:color w:val="auto"/>
              </w:rPr>
            </w:pPr>
          </w:p>
        </w:tc>
        <w:tc>
          <w:tcPr>
            <w:tcW w:w="1140" w:type="dxa"/>
            <w:vAlign w:val="bottom"/>
            <w:tcBorders>
              <w:bottom w:val="single" w:sz="8" w:color="808080"/>
            </w:tcBorders>
          </w:tcPr>
          <w:p>
            <w:pPr>
              <w:spacing w:after="0"/>
              <w:rPr>
                <w:sz w:val="12"/>
                <w:szCs w:val="12"/>
                <w:color w:val="auto"/>
              </w:rPr>
            </w:pPr>
          </w:p>
        </w:tc>
        <w:tc>
          <w:tcPr>
            <w:tcW w:w="140" w:type="dxa"/>
            <w:vAlign w:val="bottom"/>
            <w:tcBorders>
              <w:bottom w:val="single" w:sz="8" w:color="808080"/>
            </w:tcBorders>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98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935" w:right="21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The Company’s education division comprises the following operating segments: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760" w:type="dxa"/>
            <w:vAlign w:val="bottom"/>
            <w:gridSpan w:val="3"/>
          </w:tcPr>
          <w:p>
            <w:pPr>
              <w:jc w:val="right"/>
              <w:ind w:right="900"/>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236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5"/>
        </w:trPr>
        <w:tc>
          <w:tcPr>
            <w:tcW w:w="550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3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2"/>
          </w:tcPr>
          <w:p>
            <w:pPr>
              <w:jc w:val="right"/>
              <w:ind w:right="139"/>
              <w:spacing w:after="0"/>
              <w:rPr>
                <w:sz w:val="20"/>
                <w:szCs w:val="20"/>
                <w:color w:val="auto"/>
              </w:rPr>
            </w:pPr>
            <w:r>
              <w:rPr>
                <w:rFonts w:ascii="Arial" w:cs="Arial" w:eastAsia="Arial" w:hAnsi="Arial"/>
                <w:sz w:val="14"/>
                <w:szCs w:val="14"/>
                <w:b w:val="1"/>
                <w:bCs w:val="1"/>
                <w:color w:val="auto"/>
              </w:rPr>
              <w:t>June 30,</w:t>
            </w:r>
          </w:p>
        </w:tc>
        <w:tc>
          <w:tcPr>
            <w:tcW w:w="11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00" w:type="dxa"/>
            <w:vAlign w:val="bottom"/>
            <w:tcBorders>
              <w:bottom w:val="single" w:sz="8" w:color="auto"/>
            </w:tcBorders>
            <w:vMerge w:val="continue"/>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641"/>
              <w:spacing w:after="0" w:line="142" w:lineRule="exact"/>
              <w:rPr>
                <w:sz w:val="20"/>
                <w:szCs w:val="20"/>
                <w:color w:val="auto"/>
              </w:rPr>
            </w:pPr>
            <w:r>
              <w:rPr>
                <w:rFonts w:ascii="Arial" w:cs="Arial" w:eastAsia="Arial" w:hAnsi="Arial"/>
                <w:sz w:val="14"/>
                <w:szCs w:val="14"/>
                <w:b w:val="1"/>
                <w:bCs w:val="1"/>
                <w:color w:val="auto"/>
              </w:rPr>
              <w:t>2013</w:t>
            </w:r>
          </w:p>
        </w:tc>
        <w:tc>
          <w:tcPr>
            <w:tcW w:w="4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620"/>
              <w:spacing w:after="0" w:line="142" w:lineRule="exact"/>
              <w:rPr>
                <w:sz w:val="20"/>
                <w:szCs w:val="20"/>
                <w:color w:val="auto"/>
              </w:rPr>
            </w:pPr>
            <w:r>
              <w:rPr>
                <w:rFonts w:ascii="Arial" w:cs="Arial" w:eastAsia="Arial" w:hAnsi="Arial"/>
                <w:sz w:val="14"/>
                <w:szCs w:val="14"/>
                <w:color w:val="auto"/>
              </w:rPr>
              <w:t>2012</w:t>
            </w:r>
          </w:p>
        </w:tc>
        <w:tc>
          <w:tcPr>
            <w:tcW w:w="4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541"/>
              <w:spacing w:after="0" w:line="142" w:lineRule="exact"/>
              <w:rPr>
                <w:sz w:val="20"/>
                <w:szCs w:val="20"/>
                <w:color w:val="auto"/>
              </w:rPr>
            </w:pPr>
            <w:r>
              <w:rPr>
                <w:rFonts w:ascii="Arial" w:cs="Arial" w:eastAsia="Arial" w:hAnsi="Arial"/>
                <w:sz w:val="14"/>
                <w:szCs w:val="14"/>
                <w:b w:val="1"/>
                <w:bCs w:val="1"/>
                <w:color w:val="auto"/>
              </w:rPr>
              <w:t>2013</w:t>
            </w:r>
          </w:p>
        </w:tc>
        <w:tc>
          <w:tcPr>
            <w:tcW w:w="4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00"/>
              <w:spacing w:after="0" w:line="142" w:lineRule="exact"/>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184"/>
        </w:trPr>
        <w:tc>
          <w:tcPr>
            <w:tcW w:w="5500" w:type="dxa"/>
            <w:vAlign w:val="bottom"/>
          </w:tcPr>
          <w:p>
            <w:pPr>
              <w:spacing w:after="0"/>
              <w:rPr>
                <w:sz w:val="20"/>
                <w:szCs w:val="20"/>
                <w:color w:val="auto"/>
              </w:rPr>
            </w:pPr>
            <w:r>
              <w:rPr>
                <w:rFonts w:ascii="Arial" w:cs="Arial" w:eastAsia="Arial" w:hAnsi="Arial"/>
                <w:sz w:val="16"/>
                <w:szCs w:val="16"/>
                <w:b w:val="1"/>
                <w:bCs w:val="1"/>
                <w:color w:val="auto"/>
              </w:rPr>
              <w:t>Operating Revenues</w:t>
            </w:r>
          </w:p>
        </w:tc>
        <w:tc>
          <w:tcPr>
            <w:tcW w:w="38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w:t>
            </w:r>
          </w:p>
        </w:tc>
        <w:tc>
          <w:tcPr>
            <w:tcW w:w="1160" w:type="dxa"/>
            <w:vAlign w:val="bottom"/>
            <w:vMerge w:val="restart"/>
          </w:tcPr>
          <w:p>
            <w:pPr>
              <w:jc w:val="right"/>
              <w:ind w:right="121"/>
              <w:spacing w:after="0"/>
              <w:rPr>
                <w:sz w:val="20"/>
                <w:szCs w:val="20"/>
                <w:color w:val="auto"/>
              </w:rPr>
            </w:pPr>
            <w:r>
              <w:rPr>
                <w:rFonts w:ascii="Arial" w:cs="Arial" w:eastAsia="Arial" w:hAnsi="Arial"/>
                <w:sz w:val="16"/>
                <w:szCs w:val="16"/>
                <w:b w:val="1"/>
                <w:bCs w:val="1"/>
                <w:color w:val="auto"/>
              </w:rPr>
              <w:t>273,092</w:t>
            </w:r>
          </w:p>
        </w:tc>
        <w:tc>
          <w:tcPr>
            <w:tcW w:w="4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2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w:t>
            </w:r>
          </w:p>
        </w:tc>
        <w:tc>
          <w:tcPr>
            <w:tcW w:w="1040" w:type="dxa"/>
            <w:vAlign w:val="bottom"/>
            <w:vMerge w:val="restart"/>
          </w:tcPr>
          <w:p>
            <w:pPr>
              <w:jc w:val="right"/>
              <w:ind w:right="101"/>
              <w:spacing w:after="0"/>
              <w:rPr>
                <w:sz w:val="20"/>
                <w:szCs w:val="20"/>
                <w:color w:val="auto"/>
              </w:rPr>
            </w:pPr>
            <w:r>
              <w:rPr>
                <w:rFonts w:ascii="Arial" w:cs="Arial" w:eastAsia="Arial" w:hAnsi="Arial"/>
                <w:sz w:val="16"/>
                <w:szCs w:val="16"/>
                <w:b w:val="1"/>
                <w:bCs w:val="1"/>
                <w:color w:val="auto"/>
              </w:rPr>
              <w:t>544,952</w:t>
            </w: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500" w:type="dxa"/>
            <w:vAlign w:val="bottom"/>
          </w:tcPr>
          <w:p>
            <w:pPr>
              <w:ind w:left="240"/>
              <w:spacing w:after="0" w:line="169" w:lineRule="exact"/>
              <w:rPr>
                <w:sz w:val="20"/>
                <w:szCs w:val="20"/>
                <w:color w:val="auto"/>
              </w:rPr>
            </w:pPr>
            <w:r>
              <w:rPr>
                <w:rFonts w:ascii="Arial" w:cs="Arial" w:eastAsia="Arial" w:hAnsi="Arial"/>
                <w:sz w:val="16"/>
                <w:szCs w:val="16"/>
                <w:color w:val="auto"/>
              </w:rPr>
              <w:t>Higher education</w:t>
            </w:r>
          </w:p>
        </w:tc>
        <w:tc>
          <w:tcPr>
            <w:tcW w:w="3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440" w:type="dxa"/>
            <w:vAlign w:val="bottom"/>
          </w:tcPr>
          <w:p>
            <w:pPr>
              <w:jc w:val="right"/>
              <w:ind w:right="59"/>
              <w:spacing w:after="0" w:line="169" w:lineRule="exact"/>
              <w:rPr>
                <w:sz w:val="20"/>
                <w:szCs w:val="20"/>
                <w:color w:val="auto"/>
              </w:rPr>
            </w:pPr>
            <w:r>
              <w:rPr>
                <w:rFonts w:ascii="Arial" w:cs="Arial" w:eastAsia="Arial" w:hAnsi="Arial"/>
                <w:sz w:val="16"/>
                <w:szCs w:val="16"/>
                <w:color w:val="auto"/>
              </w:rPr>
              <w:t>$</w:t>
            </w:r>
          </w:p>
        </w:tc>
        <w:tc>
          <w:tcPr>
            <w:tcW w:w="1160" w:type="dxa"/>
            <w:vAlign w:val="bottom"/>
          </w:tcPr>
          <w:p>
            <w:pPr>
              <w:jc w:val="right"/>
              <w:ind w:right="120"/>
              <w:spacing w:after="0" w:line="169" w:lineRule="exact"/>
              <w:rPr>
                <w:sz w:val="20"/>
                <w:szCs w:val="20"/>
                <w:color w:val="auto"/>
              </w:rPr>
            </w:pPr>
            <w:r>
              <w:rPr>
                <w:rFonts w:ascii="Arial" w:cs="Arial" w:eastAsia="Arial" w:hAnsi="Arial"/>
                <w:sz w:val="16"/>
                <w:szCs w:val="16"/>
                <w:color w:val="auto"/>
              </w:rPr>
              <w:t>290,861</w:t>
            </w:r>
          </w:p>
        </w:tc>
        <w:tc>
          <w:tcPr>
            <w:tcW w:w="42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420" w:type="dxa"/>
            <w:vAlign w:val="bottom"/>
          </w:tcPr>
          <w:p>
            <w:pPr>
              <w:jc w:val="right"/>
              <w:ind w:right="39"/>
              <w:spacing w:after="0" w:line="169" w:lineRule="exact"/>
              <w:rPr>
                <w:sz w:val="20"/>
                <w:szCs w:val="20"/>
                <w:color w:val="auto"/>
              </w:rPr>
            </w:pPr>
            <w:r>
              <w:rPr>
                <w:rFonts w:ascii="Arial" w:cs="Arial" w:eastAsia="Arial" w:hAnsi="Arial"/>
                <w:sz w:val="16"/>
                <w:szCs w:val="16"/>
                <w:color w:val="auto"/>
              </w:rPr>
              <w:t>$</w:t>
            </w:r>
          </w:p>
        </w:tc>
        <w:tc>
          <w:tcPr>
            <w:tcW w:w="900" w:type="dxa"/>
            <w:vAlign w:val="bottom"/>
          </w:tcPr>
          <w:p>
            <w:pPr>
              <w:jc w:val="right"/>
              <w:spacing w:after="0" w:line="169" w:lineRule="exact"/>
              <w:rPr>
                <w:sz w:val="20"/>
                <w:szCs w:val="20"/>
                <w:color w:val="auto"/>
              </w:rPr>
            </w:pPr>
            <w:r>
              <w:rPr>
                <w:rFonts w:ascii="Arial" w:cs="Arial" w:eastAsia="Arial" w:hAnsi="Arial"/>
                <w:sz w:val="16"/>
                <w:szCs w:val="16"/>
                <w:color w:val="auto"/>
              </w:rPr>
              <w:t>599,245</w:t>
            </w:r>
          </w:p>
        </w:tc>
        <w:tc>
          <w:tcPr>
            <w:tcW w:w="0" w:type="dxa"/>
            <w:vAlign w:val="bottom"/>
          </w:tcPr>
          <w:p>
            <w:pPr>
              <w:spacing w:after="0"/>
              <w:rPr>
                <w:sz w:val="1"/>
                <w:szCs w:val="1"/>
                <w:color w:val="auto"/>
              </w:rPr>
            </w:pPr>
          </w:p>
        </w:tc>
      </w:tr>
      <w:tr>
        <w:trPr>
          <w:trHeight w:val="189"/>
        </w:trPr>
        <w:tc>
          <w:tcPr>
            <w:tcW w:w="5500" w:type="dxa"/>
            <w:vAlign w:val="bottom"/>
          </w:tcPr>
          <w:p>
            <w:pPr>
              <w:ind w:left="240"/>
              <w:spacing w:after="0"/>
              <w:rPr>
                <w:sz w:val="20"/>
                <w:szCs w:val="20"/>
                <w:color w:val="auto"/>
              </w:rPr>
            </w:pPr>
            <w:r>
              <w:rPr>
                <w:rFonts w:ascii="Arial" w:cs="Arial" w:eastAsia="Arial" w:hAnsi="Arial"/>
                <w:sz w:val="16"/>
                <w:szCs w:val="16"/>
                <w:color w:val="auto"/>
              </w:rPr>
              <w:t>Test preparation</w:t>
            </w:r>
          </w:p>
        </w:tc>
        <w:tc>
          <w:tcPr>
            <w:tcW w:w="380" w:type="dxa"/>
            <w:vAlign w:val="bottom"/>
          </w:tcPr>
          <w:p>
            <w:pPr>
              <w:spacing w:after="0"/>
              <w:rPr>
                <w:sz w:val="16"/>
                <w:szCs w:val="16"/>
                <w:color w:val="auto"/>
              </w:rPr>
            </w:pPr>
          </w:p>
        </w:tc>
        <w:tc>
          <w:tcPr>
            <w:tcW w:w="1160" w:type="dxa"/>
            <w:vAlign w:val="bottom"/>
          </w:tcPr>
          <w:p>
            <w:pPr>
              <w:jc w:val="right"/>
              <w:ind w:right="121"/>
              <w:spacing w:after="0"/>
              <w:rPr>
                <w:sz w:val="20"/>
                <w:szCs w:val="20"/>
                <w:color w:val="auto"/>
              </w:rPr>
            </w:pPr>
            <w:r>
              <w:rPr>
                <w:rFonts w:ascii="Arial" w:cs="Arial" w:eastAsia="Arial" w:hAnsi="Arial"/>
                <w:sz w:val="16"/>
                <w:szCs w:val="16"/>
                <w:b w:val="1"/>
                <w:bCs w:val="1"/>
                <w:color w:val="auto"/>
              </w:rPr>
              <w:t>85,690</w:t>
            </w:r>
          </w:p>
        </w:tc>
        <w:tc>
          <w:tcPr>
            <w:tcW w:w="440" w:type="dxa"/>
            <w:vAlign w:val="bottom"/>
          </w:tcPr>
          <w:p>
            <w:pPr>
              <w:spacing w:after="0"/>
              <w:rPr>
                <w:sz w:val="16"/>
                <w:szCs w:val="16"/>
                <w:color w:val="auto"/>
              </w:rPr>
            </w:pPr>
          </w:p>
        </w:tc>
        <w:tc>
          <w:tcPr>
            <w:tcW w:w="1160" w:type="dxa"/>
            <w:vAlign w:val="bottom"/>
          </w:tcPr>
          <w:p>
            <w:pPr>
              <w:jc w:val="right"/>
              <w:ind w:right="120"/>
              <w:spacing w:after="0"/>
              <w:rPr>
                <w:sz w:val="20"/>
                <w:szCs w:val="20"/>
                <w:color w:val="auto"/>
              </w:rPr>
            </w:pPr>
            <w:r>
              <w:rPr>
                <w:rFonts w:ascii="Arial" w:cs="Arial" w:eastAsia="Arial" w:hAnsi="Arial"/>
                <w:sz w:val="16"/>
                <w:szCs w:val="16"/>
                <w:color w:val="auto"/>
              </w:rPr>
              <w:t>79,787</w:t>
            </w:r>
          </w:p>
        </w:tc>
        <w:tc>
          <w:tcPr>
            <w:tcW w:w="420" w:type="dxa"/>
            <w:vAlign w:val="bottom"/>
          </w:tcPr>
          <w:p>
            <w:pPr>
              <w:spacing w:after="0"/>
              <w:rPr>
                <w:sz w:val="16"/>
                <w:szCs w:val="16"/>
                <w:color w:val="auto"/>
              </w:rPr>
            </w:pPr>
          </w:p>
        </w:tc>
        <w:tc>
          <w:tcPr>
            <w:tcW w:w="1040" w:type="dxa"/>
            <w:vAlign w:val="bottom"/>
          </w:tcPr>
          <w:p>
            <w:pPr>
              <w:jc w:val="right"/>
              <w:ind w:right="101"/>
              <w:spacing w:after="0"/>
              <w:rPr>
                <w:sz w:val="20"/>
                <w:szCs w:val="20"/>
                <w:color w:val="auto"/>
              </w:rPr>
            </w:pPr>
            <w:r>
              <w:rPr>
                <w:rFonts w:ascii="Arial" w:cs="Arial" w:eastAsia="Arial" w:hAnsi="Arial"/>
                <w:sz w:val="16"/>
                <w:szCs w:val="16"/>
                <w:b w:val="1"/>
                <w:bCs w:val="1"/>
                <w:color w:val="auto"/>
              </w:rPr>
              <w:t>154,633</w:t>
            </w:r>
          </w:p>
        </w:tc>
        <w:tc>
          <w:tcPr>
            <w:tcW w:w="4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142,616</w:t>
            </w:r>
          </w:p>
        </w:tc>
        <w:tc>
          <w:tcPr>
            <w:tcW w:w="0" w:type="dxa"/>
            <w:vAlign w:val="bottom"/>
          </w:tcPr>
          <w:p>
            <w:pPr>
              <w:spacing w:after="0"/>
              <w:rPr>
                <w:sz w:val="1"/>
                <w:szCs w:val="1"/>
                <w:color w:val="auto"/>
              </w:rPr>
            </w:pPr>
          </w:p>
        </w:tc>
      </w:tr>
      <w:tr>
        <w:trPr>
          <w:trHeight w:val="189"/>
        </w:trPr>
        <w:tc>
          <w:tcPr>
            <w:tcW w:w="5500" w:type="dxa"/>
            <w:vAlign w:val="bottom"/>
          </w:tcPr>
          <w:p>
            <w:pPr>
              <w:ind w:left="240"/>
              <w:spacing w:after="0"/>
              <w:rPr>
                <w:sz w:val="20"/>
                <w:szCs w:val="20"/>
                <w:color w:val="auto"/>
              </w:rPr>
            </w:pPr>
            <w:r>
              <w:rPr>
                <w:rFonts w:ascii="Arial" w:cs="Arial" w:eastAsia="Arial" w:hAnsi="Arial"/>
                <w:sz w:val="16"/>
                <w:szCs w:val="16"/>
                <w:color w:val="auto"/>
              </w:rPr>
              <w:t>Kaplan international</w:t>
            </w:r>
          </w:p>
        </w:tc>
        <w:tc>
          <w:tcPr>
            <w:tcW w:w="380" w:type="dxa"/>
            <w:vAlign w:val="bottom"/>
          </w:tcPr>
          <w:p>
            <w:pPr>
              <w:spacing w:after="0"/>
              <w:rPr>
                <w:sz w:val="16"/>
                <w:szCs w:val="16"/>
                <w:color w:val="auto"/>
              </w:rPr>
            </w:pPr>
          </w:p>
        </w:tc>
        <w:tc>
          <w:tcPr>
            <w:tcW w:w="1160" w:type="dxa"/>
            <w:vAlign w:val="bottom"/>
          </w:tcPr>
          <w:p>
            <w:pPr>
              <w:jc w:val="right"/>
              <w:ind w:right="121"/>
              <w:spacing w:after="0"/>
              <w:rPr>
                <w:sz w:val="20"/>
                <w:szCs w:val="20"/>
                <w:color w:val="auto"/>
              </w:rPr>
            </w:pPr>
            <w:r>
              <w:rPr>
                <w:rFonts w:ascii="Arial" w:cs="Arial" w:eastAsia="Arial" w:hAnsi="Arial"/>
                <w:sz w:val="16"/>
                <w:szCs w:val="16"/>
                <w:b w:val="1"/>
                <w:bCs w:val="1"/>
                <w:color w:val="auto"/>
              </w:rPr>
              <w:t>187,968</w:t>
            </w:r>
          </w:p>
        </w:tc>
        <w:tc>
          <w:tcPr>
            <w:tcW w:w="440" w:type="dxa"/>
            <w:vAlign w:val="bottom"/>
          </w:tcPr>
          <w:p>
            <w:pPr>
              <w:spacing w:after="0"/>
              <w:rPr>
                <w:sz w:val="16"/>
                <w:szCs w:val="16"/>
                <w:color w:val="auto"/>
              </w:rPr>
            </w:pPr>
          </w:p>
        </w:tc>
        <w:tc>
          <w:tcPr>
            <w:tcW w:w="1160" w:type="dxa"/>
            <w:vAlign w:val="bottom"/>
          </w:tcPr>
          <w:p>
            <w:pPr>
              <w:jc w:val="right"/>
              <w:ind w:right="120"/>
              <w:spacing w:after="0"/>
              <w:rPr>
                <w:sz w:val="20"/>
                <w:szCs w:val="20"/>
                <w:color w:val="auto"/>
              </w:rPr>
            </w:pPr>
            <w:r>
              <w:rPr>
                <w:rFonts w:ascii="Arial" w:cs="Arial" w:eastAsia="Arial" w:hAnsi="Arial"/>
                <w:sz w:val="16"/>
                <w:szCs w:val="16"/>
                <w:color w:val="auto"/>
              </w:rPr>
              <w:t>179,141</w:t>
            </w:r>
          </w:p>
        </w:tc>
        <w:tc>
          <w:tcPr>
            <w:tcW w:w="420" w:type="dxa"/>
            <w:vAlign w:val="bottom"/>
          </w:tcPr>
          <w:p>
            <w:pPr>
              <w:spacing w:after="0"/>
              <w:rPr>
                <w:sz w:val="16"/>
                <w:szCs w:val="16"/>
                <w:color w:val="auto"/>
              </w:rPr>
            </w:pPr>
          </w:p>
        </w:tc>
        <w:tc>
          <w:tcPr>
            <w:tcW w:w="1040" w:type="dxa"/>
            <w:vAlign w:val="bottom"/>
          </w:tcPr>
          <w:p>
            <w:pPr>
              <w:jc w:val="right"/>
              <w:ind w:right="101"/>
              <w:spacing w:after="0"/>
              <w:rPr>
                <w:sz w:val="20"/>
                <w:szCs w:val="20"/>
                <w:color w:val="auto"/>
              </w:rPr>
            </w:pPr>
            <w:r>
              <w:rPr>
                <w:rFonts w:ascii="Arial" w:cs="Arial" w:eastAsia="Arial" w:hAnsi="Arial"/>
                <w:sz w:val="16"/>
                <w:szCs w:val="16"/>
                <w:b w:val="1"/>
                <w:bCs w:val="1"/>
                <w:color w:val="auto"/>
              </w:rPr>
              <w:t>372,781</w:t>
            </w:r>
          </w:p>
        </w:tc>
        <w:tc>
          <w:tcPr>
            <w:tcW w:w="4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352,704</w:t>
            </w:r>
          </w:p>
        </w:tc>
        <w:tc>
          <w:tcPr>
            <w:tcW w:w="0" w:type="dxa"/>
            <w:vAlign w:val="bottom"/>
          </w:tcPr>
          <w:p>
            <w:pPr>
              <w:spacing w:after="0"/>
              <w:rPr>
                <w:sz w:val="1"/>
                <w:szCs w:val="1"/>
                <w:color w:val="auto"/>
              </w:rPr>
            </w:pPr>
          </w:p>
        </w:tc>
      </w:tr>
      <w:tr>
        <w:trPr>
          <w:trHeight w:val="189"/>
        </w:trPr>
        <w:tc>
          <w:tcPr>
            <w:tcW w:w="5500" w:type="dxa"/>
            <w:vAlign w:val="bottom"/>
          </w:tcPr>
          <w:p>
            <w:pPr>
              <w:ind w:left="240"/>
              <w:spacing w:after="0"/>
              <w:rPr>
                <w:sz w:val="20"/>
                <w:szCs w:val="20"/>
                <w:color w:val="auto"/>
              </w:rPr>
            </w:pPr>
            <w:r>
              <w:rPr>
                <w:rFonts w:ascii="Arial" w:cs="Arial" w:eastAsia="Arial" w:hAnsi="Arial"/>
                <w:sz w:val="16"/>
                <w:szCs w:val="16"/>
                <w:color w:val="auto"/>
              </w:rPr>
              <w:t>Kaplan corporate and other</w:t>
            </w:r>
          </w:p>
        </w:tc>
        <w:tc>
          <w:tcPr>
            <w:tcW w:w="380" w:type="dxa"/>
            <w:vAlign w:val="bottom"/>
          </w:tcPr>
          <w:p>
            <w:pPr>
              <w:spacing w:after="0"/>
              <w:rPr>
                <w:sz w:val="16"/>
                <w:szCs w:val="16"/>
                <w:color w:val="auto"/>
              </w:rPr>
            </w:pPr>
          </w:p>
        </w:tc>
        <w:tc>
          <w:tcPr>
            <w:tcW w:w="1160" w:type="dxa"/>
            <w:vAlign w:val="bottom"/>
          </w:tcPr>
          <w:p>
            <w:pPr>
              <w:jc w:val="right"/>
              <w:ind w:right="121"/>
              <w:spacing w:after="0"/>
              <w:rPr>
                <w:sz w:val="20"/>
                <w:szCs w:val="20"/>
                <w:color w:val="auto"/>
              </w:rPr>
            </w:pPr>
            <w:r>
              <w:rPr>
                <w:rFonts w:ascii="Arial" w:cs="Arial" w:eastAsia="Arial" w:hAnsi="Arial"/>
                <w:sz w:val="16"/>
                <w:szCs w:val="16"/>
                <w:b w:val="1"/>
                <w:bCs w:val="1"/>
                <w:color w:val="auto"/>
              </w:rPr>
              <w:t>1,669</w:t>
            </w:r>
          </w:p>
        </w:tc>
        <w:tc>
          <w:tcPr>
            <w:tcW w:w="440" w:type="dxa"/>
            <w:vAlign w:val="bottom"/>
          </w:tcPr>
          <w:p>
            <w:pPr>
              <w:spacing w:after="0"/>
              <w:rPr>
                <w:sz w:val="16"/>
                <w:szCs w:val="16"/>
                <w:color w:val="auto"/>
              </w:rPr>
            </w:pPr>
          </w:p>
        </w:tc>
        <w:tc>
          <w:tcPr>
            <w:tcW w:w="1160" w:type="dxa"/>
            <w:vAlign w:val="bottom"/>
          </w:tcPr>
          <w:p>
            <w:pPr>
              <w:jc w:val="right"/>
              <w:ind w:right="120"/>
              <w:spacing w:after="0"/>
              <w:rPr>
                <w:sz w:val="20"/>
                <w:szCs w:val="20"/>
                <w:color w:val="auto"/>
              </w:rPr>
            </w:pPr>
            <w:r>
              <w:rPr>
                <w:rFonts w:ascii="Arial" w:cs="Arial" w:eastAsia="Arial" w:hAnsi="Arial"/>
                <w:sz w:val="16"/>
                <w:szCs w:val="16"/>
                <w:color w:val="auto"/>
              </w:rPr>
              <w:t>3,090</w:t>
            </w:r>
          </w:p>
        </w:tc>
        <w:tc>
          <w:tcPr>
            <w:tcW w:w="420" w:type="dxa"/>
            <w:vAlign w:val="bottom"/>
          </w:tcPr>
          <w:p>
            <w:pPr>
              <w:spacing w:after="0"/>
              <w:rPr>
                <w:sz w:val="16"/>
                <w:szCs w:val="16"/>
                <w:color w:val="auto"/>
              </w:rPr>
            </w:pPr>
          </w:p>
        </w:tc>
        <w:tc>
          <w:tcPr>
            <w:tcW w:w="1040" w:type="dxa"/>
            <w:vAlign w:val="bottom"/>
          </w:tcPr>
          <w:p>
            <w:pPr>
              <w:jc w:val="right"/>
              <w:ind w:right="101"/>
              <w:spacing w:after="0"/>
              <w:rPr>
                <w:sz w:val="20"/>
                <w:szCs w:val="20"/>
                <w:color w:val="auto"/>
              </w:rPr>
            </w:pPr>
            <w:r>
              <w:rPr>
                <w:rFonts w:ascii="Arial" w:cs="Arial" w:eastAsia="Arial" w:hAnsi="Arial"/>
                <w:sz w:val="16"/>
                <w:szCs w:val="16"/>
                <w:b w:val="1"/>
                <w:bCs w:val="1"/>
                <w:color w:val="auto"/>
              </w:rPr>
              <w:t>4,273</w:t>
            </w:r>
          </w:p>
        </w:tc>
        <w:tc>
          <w:tcPr>
            <w:tcW w:w="4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6,474</w:t>
            </w:r>
          </w:p>
        </w:tc>
        <w:tc>
          <w:tcPr>
            <w:tcW w:w="0" w:type="dxa"/>
            <w:vAlign w:val="bottom"/>
          </w:tcPr>
          <w:p>
            <w:pPr>
              <w:spacing w:after="0"/>
              <w:rPr>
                <w:sz w:val="1"/>
                <w:szCs w:val="1"/>
                <w:color w:val="auto"/>
              </w:rPr>
            </w:pPr>
          </w:p>
        </w:tc>
      </w:tr>
      <w:tr>
        <w:trPr>
          <w:trHeight w:val="207"/>
        </w:trPr>
        <w:tc>
          <w:tcPr>
            <w:tcW w:w="5500" w:type="dxa"/>
            <w:vAlign w:val="bottom"/>
          </w:tcPr>
          <w:p>
            <w:pPr>
              <w:ind w:left="240"/>
              <w:spacing w:after="0"/>
              <w:rPr>
                <w:sz w:val="20"/>
                <w:szCs w:val="20"/>
                <w:color w:val="auto"/>
              </w:rPr>
            </w:pPr>
            <w:r>
              <w:rPr>
                <w:rFonts w:ascii="Arial" w:cs="Arial" w:eastAsia="Arial" w:hAnsi="Arial"/>
                <w:sz w:val="16"/>
                <w:szCs w:val="16"/>
                <w:color w:val="auto"/>
              </w:rPr>
              <w:t>Intersegment elimination</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(189)</w:t>
            </w:r>
          </w:p>
        </w:tc>
        <w:tc>
          <w:tcPr>
            <w:tcW w:w="4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(1,105)</w:t>
            </w: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(594)</w:t>
            </w: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(2,580)</w:t>
            </w:r>
          </w:p>
        </w:tc>
        <w:tc>
          <w:tcPr>
            <w:tcW w:w="0" w:type="dxa"/>
            <w:vAlign w:val="bottom"/>
          </w:tcPr>
          <w:p>
            <w:pPr>
              <w:spacing w:after="0"/>
              <w:rPr>
                <w:sz w:val="1"/>
                <w:szCs w:val="1"/>
                <w:color w:val="auto"/>
              </w:rPr>
            </w:pPr>
          </w:p>
        </w:tc>
      </w:tr>
      <w:tr>
        <w:trPr>
          <w:trHeight w:val="183"/>
        </w:trPr>
        <w:tc>
          <w:tcPr>
            <w:tcW w:w="5500" w:type="dxa"/>
            <w:vAlign w:val="bottom"/>
            <w:vMerge w:val="restart"/>
          </w:tcPr>
          <w:p>
            <w:pPr>
              <w:spacing w:after="0"/>
              <w:rPr>
                <w:sz w:val="20"/>
                <w:szCs w:val="20"/>
                <w:color w:val="auto"/>
              </w:rPr>
            </w:pPr>
            <w:r>
              <w:rPr>
                <w:rFonts w:ascii="Arial" w:cs="Arial" w:eastAsia="Arial" w:hAnsi="Arial"/>
                <w:sz w:val="16"/>
                <w:szCs w:val="16"/>
                <w:b w:val="1"/>
                <w:bCs w:val="1"/>
                <w:color w:val="auto"/>
              </w:rPr>
              <w:t>Income (Loss) from Operations</w:t>
            </w:r>
          </w:p>
        </w:tc>
        <w:tc>
          <w:tcPr>
            <w:tcW w:w="38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tcPr>
          <w:p>
            <w:pPr>
              <w:jc w:val="right"/>
              <w:ind w:right="121"/>
              <w:spacing w:after="0" w:line="183" w:lineRule="exact"/>
              <w:rPr>
                <w:sz w:val="20"/>
                <w:szCs w:val="20"/>
                <w:color w:val="auto"/>
              </w:rPr>
            </w:pPr>
            <w:r>
              <w:rPr>
                <w:rFonts w:ascii="Arial" w:cs="Arial" w:eastAsia="Arial" w:hAnsi="Arial"/>
                <w:sz w:val="16"/>
                <w:szCs w:val="16"/>
                <w:b w:val="1"/>
                <w:bCs w:val="1"/>
                <w:color w:val="auto"/>
              </w:rPr>
              <w:t>548,230</w:t>
            </w:r>
          </w:p>
        </w:tc>
        <w:tc>
          <w:tcPr>
            <w:tcW w:w="44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120"/>
              <w:spacing w:after="0" w:line="183" w:lineRule="exact"/>
              <w:rPr>
                <w:sz w:val="20"/>
                <w:szCs w:val="20"/>
                <w:color w:val="auto"/>
              </w:rPr>
            </w:pPr>
            <w:r>
              <w:rPr>
                <w:rFonts w:ascii="Arial" w:cs="Arial" w:eastAsia="Arial" w:hAnsi="Arial"/>
                <w:sz w:val="16"/>
                <w:szCs w:val="16"/>
                <w:color w:val="auto"/>
              </w:rPr>
              <w:t>551,774</w:t>
            </w:r>
          </w:p>
        </w:tc>
        <w:tc>
          <w:tcPr>
            <w:tcW w:w="4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101"/>
              <w:spacing w:after="0" w:line="183" w:lineRule="exact"/>
              <w:rPr>
                <w:sz w:val="20"/>
                <w:szCs w:val="20"/>
                <w:color w:val="auto"/>
              </w:rPr>
            </w:pPr>
            <w:r>
              <w:rPr>
                <w:rFonts w:ascii="Arial" w:cs="Arial" w:eastAsia="Arial" w:hAnsi="Arial"/>
                <w:sz w:val="16"/>
                <w:szCs w:val="16"/>
                <w:b w:val="1"/>
                <w:bCs w:val="1"/>
                <w:color w:val="auto"/>
              </w:rPr>
              <w:t>1,076,045</w:t>
            </w:r>
          </w:p>
        </w:tc>
        <w:tc>
          <w:tcPr>
            <w:tcW w:w="4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1,098,459</w:t>
            </w:r>
          </w:p>
        </w:tc>
        <w:tc>
          <w:tcPr>
            <w:tcW w:w="0" w:type="dxa"/>
            <w:vAlign w:val="bottom"/>
          </w:tcPr>
          <w:p>
            <w:pPr>
              <w:spacing w:after="0"/>
              <w:rPr>
                <w:sz w:val="1"/>
                <w:szCs w:val="1"/>
                <w:color w:val="auto"/>
              </w:rPr>
            </w:pPr>
          </w:p>
        </w:tc>
      </w:tr>
      <w:tr>
        <w:trPr>
          <w:trHeight w:val="184"/>
        </w:trPr>
        <w:tc>
          <w:tcPr>
            <w:tcW w:w="5500" w:type="dxa"/>
            <w:vAlign w:val="bottom"/>
            <w:vMerge w:val="continue"/>
          </w:tcPr>
          <w:p>
            <w:pPr>
              <w:spacing w:after="0"/>
              <w:rPr>
                <w:sz w:val="16"/>
                <w:szCs w:val="16"/>
                <w:color w:val="auto"/>
              </w:rPr>
            </w:pPr>
          </w:p>
        </w:tc>
        <w:tc>
          <w:tcPr>
            <w:tcW w:w="38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w:t>
            </w:r>
          </w:p>
        </w:tc>
        <w:tc>
          <w:tcPr>
            <w:tcW w:w="1160" w:type="dxa"/>
            <w:vAlign w:val="bottom"/>
            <w:vMerge w:val="restart"/>
          </w:tcPr>
          <w:p>
            <w:pPr>
              <w:jc w:val="right"/>
              <w:ind w:right="121"/>
              <w:spacing w:after="0"/>
              <w:rPr>
                <w:sz w:val="20"/>
                <w:szCs w:val="20"/>
                <w:color w:val="auto"/>
              </w:rPr>
            </w:pPr>
            <w:r>
              <w:rPr>
                <w:rFonts w:ascii="Arial" w:cs="Arial" w:eastAsia="Arial" w:hAnsi="Arial"/>
                <w:sz w:val="16"/>
                <w:szCs w:val="16"/>
                <w:b w:val="1"/>
                <w:bCs w:val="1"/>
                <w:color w:val="auto"/>
              </w:rPr>
              <w:t>22,534</w:t>
            </w:r>
          </w:p>
        </w:tc>
        <w:tc>
          <w:tcPr>
            <w:tcW w:w="4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2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w:t>
            </w:r>
          </w:p>
        </w:tc>
        <w:tc>
          <w:tcPr>
            <w:tcW w:w="1040" w:type="dxa"/>
            <w:vAlign w:val="bottom"/>
            <w:vMerge w:val="restart"/>
          </w:tcPr>
          <w:p>
            <w:pPr>
              <w:jc w:val="right"/>
              <w:ind w:right="101"/>
              <w:spacing w:after="0"/>
              <w:rPr>
                <w:sz w:val="20"/>
                <w:szCs w:val="20"/>
                <w:color w:val="auto"/>
              </w:rPr>
            </w:pPr>
            <w:r>
              <w:rPr>
                <w:rFonts w:ascii="Arial" w:cs="Arial" w:eastAsia="Arial" w:hAnsi="Arial"/>
                <w:sz w:val="16"/>
                <w:szCs w:val="16"/>
                <w:b w:val="1"/>
                <w:bCs w:val="1"/>
                <w:color w:val="auto"/>
              </w:rPr>
              <w:t>27,635</w:t>
            </w: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500" w:type="dxa"/>
            <w:vAlign w:val="bottom"/>
          </w:tcPr>
          <w:p>
            <w:pPr>
              <w:ind w:left="240"/>
              <w:spacing w:after="0" w:line="169" w:lineRule="exact"/>
              <w:rPr>
                <w:sz w:val="20"/>
                <w:szCs w:val="20"/>
                <w:color w:val="auto"/>
              </w:rPr>
            </w:pPr>
            <w:r>
              <w:rPr>
                <w:rFonts w:ascii="Arial" w:cs="Arial" w:eastAsia="Arial" w:hAnsi="Arial"/>
                <w:sz w:val="16"/>
                <w:szCs w:val="16"/>
                <w:color w:val="auto"/>
              </w:rPr>
              <w:t>Higher education</w:t>
            </w:r>
          </w:p>
        </w:tc>
        <w:tc>
          <w:tcPr>
            <w:tcW w:w="3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440" w:type="dxa"/>
            <w:vAlign w:val="bottom"/>
          </w:tcPr>
          <w:p>
            <w:pPr>
              <w:jc w:val="right"/>
              <w:ind w:right="59"/>
              <w:spacing w:after="0" w:line="169" w:lineRule="exact"/>
              <w:rPr>
                <w:sz w:val="20"/>
                <w:szCs w:val="20"/>
                <w:color w:val="auto"/>
              </w:rPr>
            </w:pPr>
            <w:r>
              <w:rPr>
                <w:rFonts w:ascii="Arial" w:cs="Arial" w:eastAsia="Arial" w:hAnsi="Arial"/>
                <w:sz w:val="16"/>
                <w:szCs w:val="16"/>
                <w:color w:val="auto"/>
              </w:rPr>
              <w:t>$</w:t>
            </w:r>
          </w:p>
        </w:tc>
        <w:tc>
          <w:tcPr>
            <w:tcW w:w="1160" w:type="dxa"/>
            <w:vAlign w:val="bottom"/>
          </w:tcPr>
          <w:p>
            <w:pPr>
              <w:jc w:val="right"/>
              <w:ind w:right="120"/>
              <w:spacing w:after="0" w:line="169" w:lineRule="exact"/>
              <w:rPr>
                <w:sz w:val="20"/>
                <w:szCs w:val="20"/>
                <w:color w:val="auto"/>
              </w:rPr>
            </w:pPr>
            <w:r>
              <w:rPr>
                <w:rFonts w:ascii="Arial" w:cs="Arial" w:eastAsia="Arial" w:hAnsi="Arial"/>
                <w:sz w:val="16"/>
                <w:szCs w:val="16"/>
                <w:color w:val="auto"/>
              </w:rPr>
              <w:t>5,860</w:t>
            </w:r>
          </w:p>
        </w:tc>
        <w:tc>
          <w:tcPr>
            <w:tcW w:w="42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420" w:type="dxa"/>
            <w:vAlign w:val="bottom"/>
          </w:tcPr>
          <w:p>
            <w:pPr>
              <w:jc w:val="right"/>
              <w:ind w:right="39"/>
              <w:spacing w:after="0" w:line="169" w:lineRule="exact"/>
              <w:rPr>
                <w:sz w:val="20"/>
                <w:szCs w:val="20"/>
                <w:color w:val="auto"/>
              </w:rPr>
            </w:pPr>
            <w:r>
              <w:rPr>
                <w:rFonts w:ascii="Arial" w:cs="Arial" w:eastAsia="Arial" w:hAnsi="Arial"/>
                <w:sz w:val="16"/>
                <w:szCs w:val="16"/>
                <w:color w:val="auto"/>
              </w:rPr>
              <w:t>$</w:t>
            </w:r>
          </w:p>
        </w:tc>
        <w:tc>
          <w:tcPr>
            <w:tcW w:w="900" w:type="dxa"/>
            <w:vAlign w:val="bottom"/>
          </w:tcPr>
          <w:p>
            <w:pPr>
              <w:jc w:val="right"/>
              <w:spacing w:after="0" w:line="169" w:lineRule="exact"/>
              <w:rPr>
                <w:sz w:val="20"/>
                <w:szCs w:val="20"/>
                <w:color w:val="auto"/>
              </w:rPr>
            </w:pPr>
            <w:r>
              <w:rPr>
                <w:rFonts w:ascii="Arial" w:cs="Arial" w:eastAsia="Arial" w:hAnsi="Arial"/>
                <w:sz w:val="16"/>
                <w:szCs w:val="16"/>
                <w:color w:val="auto"/>
              </w:rPr>
              <w:t>14,819</w:t>
            </w:r>
          </w:p>
        </w:tc>
        <w:tc>
          <w:tcPr>
            <w:tcW w:w="0" w:type="dxa"/>
            <w:vAlign w:val="bottom"/>
          </w:tcPr>
          <w:p>
            <w:pPr>
              <w:spacing w:after="0"/>
              <w:rPr>
                <w:sz w:val="1"/>
                <w:szCs w:val="1"/>
                <w:color w:val="auto"/>
              </w:rPr>
            </w:pPr>
          </w:p>
        </w:tc>
      </w:tr>
      <w:tr>
        <w:trPr>
          <w:trHeight w:val="189"/>
        </w:trPr>
        <w:tc>
          <w:tcPr>
            <w:tcW w:w="5500" w:type="dxa"/>
            <w:vAlign w:val="bottom"/>
          </w:tcPr>
          <w:p>
            <w:pPr>
              <w:ind w:left="240"/>
              <w:spacing w:after="0"/>
              <w:rPr>
                <w:sz w:val="20"/>
                <w:szCs w:val="20"/>
                <w:color w:val="auto"/>
              </w:rPr>
            </w:pPr>
            <w:r>
              <w:rPr>
                <w:rFonts w:ascii="Arial" w:cs="Arial" w:eastAsia="Arial" w:hAnsi="Arial"/>
                <w:sz w:val="16"/>
                <w:szCs w:val="16"/>
                <w:color w:val="auto"/>
              </w:rPr>
              <w:t>Test preparation</w:t>
            </w:r>
          </w:p>
        </w:tc>
        <w:tc>
          <w:tcPr>
            <w:tcW w:w="380" w:type="dxa"/>
            <w:vAlign w:val="bottom"/>
          </w:tcPr>
          <w:p>
            <w:pPr>
              <w:spacing w:after="0"/>
              <w:rPr>
                <w:sz w:val="16"/>
                <w:szCs w:val="16"/>
                <w:color w:val="auto"/>
              </w:rPr>
            </w:pPr>
          </w:p>
        </w:tc>
        <w:tc>
          <w:tcPr>
            <w:tcW w:w="1160" w:type="dxa"/>
            <w:vAlign w:val="bottom"/>
          </w:tcPr>
          <w:p>
            <w:pPr>
              <w:jc w:val="right"/>
              <w:ind w:right="121"/>
              <w:spacing w:after="0"/>
              <w:rPr>
                <w:sz w:val="20"/>
                <w:szCs w:val="20"/>
                <w:color w:val="auto"/>
              </w:rPr>
            </w:pPr>
            <w:r>
              <w:rPr>
                <w:rFonts w:ascii="Arial" w:cs="Arial" w:eastAsia="Arial" w:hAnsi="Arial"/>
                <w:sz w:val="16"/>
                <w:szCs w:val="16"/>
                <w:b w:val="1"/>
                <w:bCs w:val="1"/>
                <w:color w:val="auto"/>
              </w:rPr>
              <w:t>7,831</w:t>
            </w:r>
          </w:p>
        </w:tc>
        <w:tc>
          <w:tcPr>
            <w:tcW w:w="440" w:type="dxa"/>
            <w:vAlign w:val="bottom"/>
          </w:tcPr>
          <w:p>
            <w:pPr>
              <w:spacing w:after="0"/>
              <w:rPr>
                <w:sz w:val="16"/>
                <w:szCs w:val="16"/>
                <w:color w:val="auto"/>
              </w:rPr>
            </w:pPr>
          </w:p>
        </w:tc>
        <w:tc>
          <w:tcPr>
            <w:tcW w:w="1160" w:type="dxa"/>
            <w:vAlign w:val="bottom"/>
          </w:tcPr>
          <w:p>
            <w:pPr>
              <w:jc w:val="right"/>
              <w:ind w:right="120"/>
              <w:spacing w:after="0"/>
              <w:rPr>
                <w:sz w:val="20"/>
                <w:szCs w:val="20"/>
                <w:color w:val="auto"/>
              </w:rPr>
            </w:pPr>
            <w:r>
              <w:rPr>
                <w:rFonts w:ascii="Arial" w:cs="Arial" w:eastAsia="Arial" w:hAnsi="Arial"/>
                <w:sz w:val="16"/>
                <w:szCs w:val="16"/>
                <w:color w:val="auto"/>
              </w:rPr>
              <w:t>2,706</w:t>
            </w:r>
          </w:p>
        </w:tc>
        <w:tc>
          <w:tcPr>
            <w:tcW w:w="420" w:type="dxa"/>
            <w:vAlign w:val="bottom"/>
          </w:tcPr>
          <w:p>
            <w:pPr>
              <w:spacing w:after="0"/>
              <w:rPr>
                <w:sz w:val="16"/>
                <w:szCs w:val="16"/>
                <w:color w:val="auto"/>
              </w:rPr>
            </w:pPr>
          </w:p>
        </w:tc>
        <w:tc>
          <w:tcPr>
            <w:tcW w:w="1040" w:type="dxa"/>
            <w:vAlign w:val="bottom"/>
          </w:tcPr>
          <w:p>
            <w:pPr>
              <w:jc w:val="right"/>
              <w:ind w:right="101"/>
              <w:spacing w:after="0"/>
              <w:rPr>
                <w:sz w:val="20"/>
                <w:szCs w:val="20"/>
                <w:color w:val="auto"/>
              </w:rPr>
            </w:pPr>
            <w:r>
              <w:rPr>
                <w:rFonts w:ascii="Arial" w:cs="Arial" w:eastAsia="Arial" w:hAnsi="Arial"/>
                <w:sz w:val="16"/>
                <w:szCs w:val="16"/>
                <w:b w:val="1"/>
                <w:bCs w:val="1"/>
                <w:color w:val="auto"/>
              </w:rPr>
              <w:t>3,486</w:t>
            </w:r>
          </w:p>
        </w:tc>
        <w:tc>
          <w:tcPr>
            <w:tcW w:w="4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(7,513)</w:t>
            </w:r>
          </w:p>
        </w:tc>
        <w:tc>
          <w:tcPr>
            <w:tcW w:w="0" w:type="dxa"/>
            <w:vAlign w:val="bottom"/>
          </w:tcPr>
          <w:p>
            <w:pPr>
              <w:spacing w:after="0"/>
              <w:rPr>
                <w:sz w:val="1"/>
                <w:szCs w:val="1"/>
                <w:color w:val="auto"/>
              </w:rPr>
            </w:pPr>
          </w:p>
        </w:tc>
      </w:tr>
      <w:tr>
        <w:trPr>
          <w:trHeight w:val="189"/>
        </w:trPr>
        <w:tc>
          <w:tcPr>
            <w:tcW w:w="5500" w:type="dxa"/>
            <w:vAlign w:val="bottom"/>
          </w:tcPr>
          <w:p>
            <w:pPr>
              <w:ind w:left="240"/>
              <w:spacing w:after="0"/>
              <w:rPr>
                <w:sz w:val="20"/>
                <w:szCs w:val="20"/>
                <w:color w:val="auto"/>
              </w:rPr>
            </w:pPr>
            <w:r>
              <w:rPr>
                <w:rFonts w:ascii="Arial" w:cs="Arial" w:eastAsia="Arial" w:hAnsi="Arial"/>
                <w:sz w:val="16"/>
                <w:szCs w:val="16"/>
                <w:color w:val="auto"/>
              </w:rPr>
              <w:t>Kaplan international</w:t>
            </w:r>
          </w:p>
        </w:tc>
        <w:tc>
          <w:tcPr>
            <w:tcW w:w="380" w:type="dxa"/>
            <w:vAlign w:val="bottom"/>
          </w:tcPr>
          <w:p>
            <w:pPr>
              <w:spacing w:after="0"/>
              <w:rPr>
                <w:sz w:val="16"/>
                <w:szCs w:val="16"/>
                <w:color w:val="auto"/>
              </w:rPr>
            </w:pPr>
          </w:p>
        </w:tc>
        <w:tc>
          <w:tcPr>
            <w:tcW w:w="1160" w:type="dxa"/>
            <w:vAlign w:val="bottom"/>
          </w:tcPr>
          <w:p>
            <w:pPr>
              <w:jc w:val="right"/>
              <w:ind w:right="121"/>
              <w:spacing w:after="0"/>
              <w:rPr>
                <w:sz w:val="20"/>
                <w:szCs w:val="20"/>
                <w:color w:val="auto"/>
              </w:rPr>
            </w:pPr>
            <w:r>
              <w:rPr>
                <w:rFonts w:ascii="Arial" w:cs="Arial" w:eastAsia="Arial" w:hAnsi="Arial"/>
                <w:sz w:val="16"/>
                <w:szCs w:val="16"/>
                <w:b w:val="1"/>
                <w:bCs w:val="1"/>
                <w:color w:val="auto"/>
              </w:rPr>
              <w:t>6,490</w:t>
            </w:r>
          </w:p>
        </w:tc>
        <w:tc>
          <w:tcPr>
            <w:tcW w:w="440" w:type="dxa"/>
            <w:vAlign w:val="bottom"/>
          </w:tcPr>
          <w:p>
            <w:pPr>
              <w:spacing w:after="0"/>
              <w:rPr>
                <w:sz w:val="16"/>
                <w:szCs w:val="16"/>
                <w:color w:val="auto"/>
              </w:rPr>
            </w:pPr>
          </w:p>
        </w:tc>
        <w:tc>
          <w:tcPr>
            <w:tcW w:w="1160" w:type="dxa"/>
            <w:vAlign w:val="bottom"/>
          </w:tcPr>
          <w:p>
            <w:pPr>
              <w:jc w:val="right"/>
              <w:ind w:right="120"/>
              <w:spacing w:after="0"/>
              <w:rPr>
                <w:sz w:val="20"/>
                <w:szCs w:val="20"/>
                <w:color w:val="auto"/>
              </w:rPr>
            </w:pPr>
            <w:r>
              <w:rPr>
                <w:rFonts w:ascii="Arial" w:cs="Arial" w:eastAsia="Arial" w:hAnsi="Arial"/>
                <w:sz w:val="16"/>
                <w:szCs w:val="16"/>
                <w:color w:val="auto"/>
              </w:rPr>
              <w:t>9,788</w:t>
            </w:r>
          </w:p>
        </w:tc>
        <w:tc>
          <w:tcPr>
            <w:tcW w:w="420" w:type="dxa"/>
            <w:vAlign w:val="bottom"/>
          </w:tcPr>
          <w:p>
            <w:pPr>
              <w:spacing w:after="0"/>
              <w:rPr>
                <w:sz w:val="16"/>
                <w:szCs w:val="16"/>
                <w:color w:val="auto"/>
              </w:rPr>
            </w:pPr>
          </w:p>
        </w:tc>
        <w:tc>
          <w:tcPr>
            <w:tcW w:w="1040" w:type="dxa"/>
            <w:vAlign w:val="bottom"/>
          </w:tcPr>
          <w:p>
            <w:pPr>
              <w:jc w:val="right"/>
              <w:ind w:right="101"/>
              <w:spacing w:after="0"/>
              <w:rPr>
                <w:sz w:val="20"/>
                <w:szCs w:val="20"/>
                <w:color w:val="auto"/>
              </w:rPr>
            </w:pPr>
            <w:r>
              <w:rPr>
                <w:rFonts w:ascii="Arial" w:cs="Arial" w:eastAsia="Arial" w:hAnsi="Arial"/>
                <w:sz w:val="16"/>
                <w:szCs w:val="16"/>
                <w:b w:val="1"/>
                <w:bCs w:val="1"/>
                <w:color w:val="auto"/>
              </w:rPr>
              <w:t>12,887</w:t>
            </w:r>
          </w:p>
        </w:tc>
        <w:tc>
          <w:tcPr>
            <w:tcW w:w="4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13,928</w:t>
            </w:r>
          </w:p>
        </w:tc>
        <w:tc>
          <w:tcPr>
            <w:tcW w:w="0" w:type="dxa"/>
            <w:vAlign w:val="bottom"/>
          </w:tcPr>
          <w:p>
            <w:pPr>
              <w:spacing w:after="0"/>
              <w:rPr>
                <w:sz w:val="1"/>
                <w:szCs w:val="1"/>
                <w:color w:val="auto"/>
              </w:rPr>
            </w:pPr>
          </w:p>
        </w:tc>
      </w:tr>
      <w:tr>
        <w:trPr>
          <w:trHeight w:val="189"/>
        </w:trPr>
        <w:tc>
          <w:tcPr>
            <w:tcW w:w="5500" w:type="dxa"/>
            <w:vAlign w:val="bottom"/>
          </w:tcPr>
          <w:p>
            <w:pPr>
              <w:ind w:left="240"/>
              <w:spacing w:after="0"/>
              <w:rPr>
                <w:sz w:val="20"/>
                <w:szCs w:val="20"/>
                <w:color w:val="auto"/>
              </w:rPr>
            </w:pPr>
            <w:r>
              <w:rPr>
                <w:rFonts w:ascii="Arial" w:cs="Arial" w:eastAsia="Arial" w:hAnsi="Arial"/>
                <w:sz w:val="16"/>
                <w:szCs w:val="16"/>
                <w:color w:val="auto"/>
              </w:rPr>
              <w:t>Kaplan corporate and other</w:t>
            </w:r>
          </w:p>
        </w:tc>
        <w:tc>
          <w:tcPr>
            <w:tcW w:w="380" w:type="dxa"/>
            <w:vAlign w:val="bottom"/>
          </w:tcPr>
          <w:p>
            <w:pPr>
              <w:spacing w:after="0"/>
              <w:rPr>
                <w:sz w:val="16"/>
                <w:szCs w:val="16"/>
                <w:color w:val="auto"/>
              </w:rPr>
            </w:pPr>
          </w:p>
        </w:tc>
        <w:tc>
          <w:tcPr>
            <w:tcW w:w="1160" w:type="dxa"/>
            <w:vAlign w:val="bottom"/>
          </w:tcPr>
          <w:p>
            <w:pPr>
              <w:jc w:val="right"/>
              <w:ind w:right="121"/>
              <w:spacing w:after="0"/>
              <w:rPr>
                <w:sz w:val="20"/>
                <w:szCs w:val="20"/>
                <w:color w:val="auto"/>
              </w:rPr>
            </w:pPr>
            <w:r>
              <w:rPr>
                <w:rFonts w:ascii="Arial" w:cs="Arial" w:eastAsia="Arial" w:hAnsi="Arial"/>
                <w:sz w:val="16"/>
                <w:szCs w:val="16"/>
                <w:b w:val="1"/>
                <w:bCs w:val="1"/>
                <w:color w:val="auto"/>
              </w:rPr>
              <w:t>(13,223)</w:t>
            </w:r>
          </w:p>
        </w:tc>
        <w:tc>
          <w:tcPr>
            <w:tcW w:w="440" w:type="dxa"/>
            <w:vAlign w:val="bottom"/>
          </w:tcPr>
          <w:p>
            <w:pPr>
              <w:spacing w:after="0"/>
              <w:rPr>
                <w:sz w:val="16"/>
                <w:szCs w:val="16"/>
                <w:color w:val="auto"/>
              </w:rPr>
            </w:pPr>
          </w:p>
        </w:tc>
        <w:tc>
          <w:tcPr>
            <w:tcW w:w="1160" w:type="dxa"/>
            <w:vAlign w:val="bottom"/>
          </w:tcPr>
          <w:p>
            <w:pPr>
              <w:jc w:val="right"/>
              <w:ind w:right="120"/>
              <w:spacing w:after="0"/>
              <w:rPr>
                <w:sz w:val="20"/>
                <w:szCs w:val="20"/>
                <w:color w:val="auto"/>
              </w:rPr>
            </w:pPr>
            <w:r>
              <w:rPr>
                <w:rFonts w:ascii="Arial" w:cs="Arial" w:eastAsia="Arial" w:hAnsi="Arial"/>
                <w:sz w:val="16"/>
                <w:szCs w:val="16"/>
                <w:color w:val="auto"/>
              </w:rPr>
              <w:t>(14,787)</w:t>
            </w:r>
          </w:p>
        </w:tc>
        <w:tc>
          <w:tcPr>
            <w:tcW w:w="420" w:type="dxa"/>
            <w:vAlign w:val="bottom"/>
          </w:tcPr>
          <w:p>
            <w:pPr>
              <w:spacing w:after="0"/>
              <w:rPr>
                <w:sz w:val="16"/>
                <w:szCs w:val="16"/>
                <w:color w:val="auto"/>
              </w:rPr>
            </w:pPr>
          </w:p>
        </w:tc>
        <w:tc>
          <w:tcPr>
            <w:tcW w:w="1040" w:type="dxa"/>
            <w:vAlign w:val="bottom"/>
          </w:tcPr>
          <w:p>
            <w:pPr>
              <w:jc w:val="right"/>
              <w:ind w:right="101"/>
              <w:spacing w:after="0"/>
              <w:rPr>
                <w:sz w:val="20"/>
                <w:szCs w:val="20"/>
                <w:color w:val="auto"/>
              </w:rPr>
            </w:pPr>
            <w:r>
              <w:rPr>
                <w:rFonts w:ascii="Arial" w:cs="Arial" w:eastAsia="Arial" w:hAnsi="Arial"/>
                <w:sz w:val="16"/>
                <w:szCs w:val="16"/>
                <w:b w:val="1"/>
                <w:bCs w:val="1"/>
                <w:color w:val="auto"/>
              </w:rPr>
              <w:t>(24,563)</w:t>
            </w:r>
          </w:p>
        </w:tc>
        <w:tc>
          <w:tcPr>
            <w:tcW w:w="4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(29,776)</w:t>
            </w:r>
          </w:p>
        </w:tc>
        <w:tc>
          <w:tcPr>
            <w:tcW w:w="0" w:type="dxa"/>
            <w:vAlign w:val="bottom"/>
          </w:tcPr>
          <w:p>
            <w:pPr>
              <w:spacing w:after="0"/>
              <w:rPr>
                <w:sz w:val="1"/>
                <w:szCs w:val="1"/>
                <w:color w:val="auto"/>
              </w:rPr>
            </w:pPr>
          </w:p>
        </w:tc>
      </w:tr>
      <w:tr>
        <w:trPr>
          <w:trHeight w:val="207"/>
        </w:trPr>
        <w:tc>
          <w:tcPr>
            <w:tcW w:w="5500" w:type="dxa"/>
            <w:vAlign w:val="bottom"/>
          </w:tcPr>
          <w:p>
            <w:pPr>
              <w:ind w:left="240"/>
              <w:spacing w:after="0"/>
              <w:rPr>
                <w:sz w:val="20"/>
                <w:szCs w:val="20"/>
                <w:color w:val="auto"/>
              </w:rPr>
            </w:pPr>
            <w:r>
              <w:rPr>
                <w:rFonts w:ascii="Arial" w:cs="Arial" w:eastAsia="Arial" w:hAnsi="Arial"/>
                <w:sz w:val="16"/>
                <w:szCs w:val="16"/>
                <w:color w:val="auto"/>
              </w:rPr>
              <w:t>Intersegment elimination</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94</w:t>
            </w:r>
          </w:p>
        </w:tc>
        <w:tc>
          <w:tcPr>
            <w:tcW w:w="4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161</w:t>
            </w: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225</w:t>
            </w: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355</w:t>
            </w:r>
          </w:p>
        </w:tc>
        <w:tc>
          <w:tcPr>
            <w:tcW w:w="0" w:type="dxa"/>
            <w:vAlign w:val="bottom"/>
          </w:tcPr>
          <w:p>
            <w:pPr>
              <w:spacing w:after="0"/>
              <w:rPr>
                <w:sz w:val="1"/>
                <w:szCs w:val="1"/>
                <w:color w:val="auto"/>
              </w:rPr>
            </w:pPr>
          </w:p>
        </w:tc>
      </w:tr>
      <w:tr>
        <w:trPr>
          <w:trHeight w:val="183"/>
        </w:trPr>
        <w:tc>
          <w:tcPr>
            <w:tcW w:w="5500" w:type="dxa"/>
            <w:vAlign w:val="bottom"/>
            <w:vMerge w:val="restart"/>
          </w:tcPr>
          <w:p>
            <w:pPr>
              <w:spacing w:after="0"/>
              <w:rPr>
                <w:sz w:val="20"/>
                <w:szCs w:val="20"/>
                <w:color w:val="auto"/>
              </w:rPr>
            </w:pPr>
            <w:r>
              <w:rPr>
                <w:rFonts w:ascii="Arial" w:cs="Arial" w:eastAsia="Arial" w:hAnsi="Arial"/>
                <w:sz w:val="16"/>
                <w:szCs w:val="16"/>
                <w:b w:val="1"/>
                <w:bCs w:val="1"/>
                <w:color w:val="auto"/>
              </w:rPr>
              <w:t>Depreciation of Property, Plant and Equipment</w:t>
            </w:r>
          </w:p>
        </w:tc>
        <w:tc>
          <w:tcPr>
            <w:tcW w:w="38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tcPr>
          <w:p>
            <w:pPr>
              <w:jc w:val="right"/>
              <w:ind w:right="121"/>
              <w:spacing w:after="0" w:line="183" w:lineRule="exact"/>
              <w:rPr>
                <w:sz w:val="20"/>
                <w:szCs w:val="20"/>
                <w:color w:val="auto"/>
              </w:rPr>
            </w:pPr>
            <w:r>
              <w:rPr>
                <w:rFonts w:ascii="Arial" w:cs="Arial" w:eastAsia="Arial" w:hAnsi="Arial"/>
                <w:sz w:val="16"/>
                <w:szCs w:val="16"/>
                <w:b w:val="1"/>
                <w:bCs w:val="1"/>
                <w:color w:val="auto"/>
              </w:rPr>
              <w:t>23,726</w:t>
            </w:r>
          </w:p>
        </w:tc>
        <w:tc>
          <w:tcPr>
            <w:tcW w:w="44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120"/>
              <w:spacing w:after="0" w:line="183" w:lineRule="exact"/>
              <w:rPr>
                <w:sz w:val="20"/>
                <w:szCs w:val="20"/>
                <w:color w:val="auto"/>
              </w:rPr>
            </w:pPr>
            <w:r>
              <w:rPr>
                <w:rFonts w:ascii="Arial" w:cs="Arial" w:eastAsia="Arial" w:hAnsi="Arial"/>
                <w:sz w:val="16"/>
                <w:szCs w:val="16"/>
                <w:color w:val="auto"/>
              </w:rPr>
              <w:t>3,728</w:t>
            </w:r>
          </w:p>
        </w:tc>
        <w:tc>
          <w:tcPr>
            <w:tcW w:w="4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101"/>
              <w:spacing w:after="0" w:line="183" w:lineRule="exact"/>
              <w:rPr>
                <w:sz w:val="20"/>
                <w:szCs w:val="20"/>
                <w:color w:val="auto"/>
              </w:rPr>
            </w:pPr>
            <w:r>
              <w:rPr>
                <w:rFonts w:ascii="Arial" w:cs="Arial" w:eastAsia="Arial" w:hAnsi="Arial"/>
                <w:sz w:val="16"/>
                <w:szCs w:val="16"/>
                <w:b w:val="1"/>
                <w:bCs w:val="1"/>
                <w:color w:val="auto"/>
              </w:rPr>
              <w:t>19,670</w:t>
            </w:r>
          </w:p>
        </w:tc>
        <w:tc>
          <w:tcPr>
            <w:tcW w:w="4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(8,187)</w:t>
            </w:r>
          </w:p>
        </w:tc>
        <w:tc>
          <w:tcPr>
            <w:tcW w:w="0" w:type="dxa"/>
            <w:vAlign w:val="bottom"/>
          </w:tcPr>
          <w:p>
            <w:pPr>
              <w:spacing w:after="0"/>
              <w:rPr>
                <w:sz w:val="1"/>
                <w:szCs w:val="1"/>
                <w:color w:val="auto"/>
              </w:rPr>
            </w:pPr>
          </w:p>
        </w:tc>
      </w:tr>
      <w:tr>
        <w:trPr>
          <w:trHeight w:val="184"/>
        </w:trPr>
        <w:tc>
          <w:tcPr>
            <w:tcW w:w="5500" w:type="dxa"/>
            <w:vAlign w:val="bottom"/>
            <w:vMerge w:val="continue"/>
          </w:tcPr>
          <w:p>
            <w:pPr>
              <w:spacing w:after="0"/>
              <w:rPr>
                <w:sz w:val="16"/>
                <w:szCs w:val="16"/>
                <w:color w:val="auto"/>
              </w:rPr>
            </w:pPr>
          </w:p>
        </w:tc>
        <w:tc>
          <w:tcPr>
            <w:tcW w:w="38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w:t>
            </w:r>
          </w:p>
        </w:tc>
        <w:tc>
          <w:tcPr>
            <w:tcW w:w="1160" w:type="dxa"/>
            <w:vAlign w:val="bottom"/>
            <w:vMerge w:val="restart"/>
          </w:tcPr>
          <w:p>
            <w:pPr>
              <w:jc w:val="right"/>
              <w:ind w:right="121"/>
              <w:spacing w:after="0"/>
              <w:rPr>
                <w:sz w:val="20"/>
                <w:szCs w:val="20"/>
                <w:color w:val="auto"/>
              </w:rPr>
            </w:pPr>
            <w:r>
              <w:rPr>
                <w:rFonts w:ascii="Arial" w:cs="Arial" w:eastAsia="Arial" w:hAnsi="Arial"/>
                <w:sz w:val="16"/>
                <w:szCs w:val="16"/>
                <w:b w:val="1"/>
                <w:bCs w:val="1"/>
                <w:color w:val="auto"/>
              </w:rPr>
              <w:t>10,741</w:t>
            </w:r>
          </w:p>
        </w:tc>
        <w:tc>
          <w:tcPr>
            <w:tcW w:w="4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2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w:t>
            </w:r>
          </w:p>
        </w:tc>
        <w:tc>
          <w:tcPr>
            <w:tcW w:w="1040" w:type="dxa"/>
            <w:vAlign w:val="bottom"/>
            <w:vMerge w:val="restart"/>
          </w:tcPr>
          <w:p>
            <w:pPr>
              <w:jc w:val="right"/>
              <w:ind w:right="101"/>
              <w:spacing w:after="0"/>
              <w:rPr>
                <w:sz w:val="20"/>
                <w:szCs w:val="20"/>
                <w:color w:val="auto"/>
              </w:rPr>
            </w:pPr>
            <w:r>
              <w:rPr>
                <w:rFonts w:ascii="Arial" w:cs="Arial" w:eastAsia="Arial" w:hAnsi="Arial"/>
                <w:sz w:val="16"/>
                <w:szCs w:val="16"/>
                <w:b w:val="1"/>
                <w:bCs w:val="1"/>
                <w:color w:val="auto"/>
              </w:rPr>
              <w:t>24,180</w:t>
            </w: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500" w:type="dxa"/>
            <w:vAlign w:val="bottom"/>
          </w:tcPr>
          <w:p>
            <w:pPr>
              <w:ind w:left="240"/>
              <w:spacing w:after="0" w:line="169" w:lineRule="exact"/>
              <w:rPr>
                <w:sz w:val="20"/>
                <w:szCs w:val="20"/>
                <w:color w:val="auto"/>
              </w:rPr>
            </w:pPr>
            <w:r>
              <w:rPr>
                <w:rFonts w:ascii="Arial" w:cs="Arial" w:eastAsia="Arial" w:hAnsi="Arial"/>
                <w:sz w:val="16"/>
                <w:szCs w:val="16"/>
                <w:color w:val="auto"/>
              </w:rPr>
              <w:t>Higher education</w:t>
            </w:r>
          </w:p>
        </w:tc>
        <w:tc>
          <w:tcPr>
            <w:tcW w:w="3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440" w:type="dxa"/>
            <w:vAlign w:val="bottom"/>
          </w:tcPr>
          <w:p>
            <w:pPr>
              <w:jc w:val="right"/>
              <w:ind w:right="59"/>
              <w:spacing w:after="0" w:line="169" w:lineRule="exact"/>
              <w:rPr>
                <w:sz w:val="20"/>
                <w:szCs w:val="20"/>
                <w:color w:val="auto"/>
              </w:rPr>
            </w:pPr>
            <w:r>
              <w:rPr>
                <w:rFonts w:ascii="Arial" w:cs="Arial" w:eastAsia="Arial" w:hAnsi="Arial"/>
                <w:sz w:val="16"/>
                <w:szCs w:val="16"/>
                <w:color w:val="auto"/>
              </w:rPr>
              <w:t>$</w:t>
            </w:r>
          </w:p>
        </w:tc>
        <w:tc>
          <w:tcPr>
            <w:tcW w:w="1160" w:type="dxa"/>
            <w:vAlign w:val="bottom"/>
          </w:tcPr>
          <w:p>
            <w:pPr>
              <w:jc w:val="right"/>
              <w:ind w:right="120"/>
              <w:spacing w:after="0" w:line="169" w:lineRule="exact"/>
              <w:rPr>
                <w:sz w:val="20"/>
                <w:szCs w:val="20"/>
                <w:color w:val="auto"/>
              </w:rPr>
            </w:pPr>
            <w:r>
              <w:rPr>
                <w:rFonts w:ascii="Arial" w:cs="Arial" w:eastAsia="Arial" w:hAnsi="Arial"/>
                <w:sz w:val="16"/>
                <w:szCs w:val="16"/>
                <w:color w:val="auto"/>
              </w:rPr>
              <w:t>11,673</w:t>
            </w:r>
          </w:p>
        </w:tc>
        <w:tc>
          <w:tcPr>
            <w:tcW w:w="42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420" w:type="dxa"/>
            <w:vAlign w:val="bottom"/>
          </w:tcPr>
          <w:p>
            <w:pPr>
              <w:jc w:val="right"/>
              <w:ind w:right="39"/>
              <w:spacing w:after="0" w:line="169" w:lineRule="exact"/>
              <w:rPr>
                <w:sz w:val="20"/>
                <w:szCs w:val="20"/>
                <w:color w:val="auto"/>
              </w:rPr>
            </w:pPr>
            <w:r>
              <w:rPr>
                <w:rFonts w:ascii="Arial" w:cs="Arial" w:eastAsia="Arial" w:hAnsi="Arial"/>
                <w:sz w:val="16"/>
                <w:szCs w:val="16"/>
                <w:color w:val="auto"/>
              </w:rPr>
              <w:t>$</w:t>
            </w:r>
          </w:p>
        </w:tc>
        <w:tc>
          <w:tcPr>
            <w:tcW w:w="900" w:type="dxa"/>
            <w:vAlign w:val="bottom"/>
          </w:tcPr>
          <w:p>
            <w:pPr>
              <w:jc w:val="right"/>
              <w:spacing w:after="0" w:line="169" w:lineRule="exact"/>
              <w:rPr>
                <w:sz w:val="20"/>
                <w:szCs w:val="20"/>
                <w:color w:val="auto"/>
              </w:rPr>
            </w:pPr>
            <w:r>
              <w:rPr>
                <w:rFonts w:ascii="Arial" w:cs="Arial" w:eastAsia="Arial" w:hAnsi="Arial"/>
                <w:sz w:val="16"/>
                <w:szCs w:val="16"/>
                <w:color w:val="auto"/>
              </w:rPr>
              <w:t>23,430</w:t>
            </w:r>
          </w:p>
        </w:tc>
        <w:tc>
          <w:tcPr>
            <w:tcW w:w="0" w:type="dxa"/>
            <w:vAlign w:val="bottom"/>
          </w:tcPr>
          <w:p>
            <w:pPr>
              <w:spacing w:after="0"/>
              <w:rPr>
                <w:sz w:val="1"/>
                <w:szCs w:val="1"/>
                <w:color w:val="auto"/>
              </w:rPr>
            </w:pPr>
          </w:p>
        </w:tc>
      </w:tr>
      <w:tr>
        <w:trPr>
          <w:trHeight w:val="189"/>
        </w:trPr>
        <w:tc>
          <w:tcPr>
            <w:tcW w:w="5500" w:type="dxa"/>
            <w:vAlign w:val="bottom"/>
          </w:tcPr>
          <w:p>
            <w:pPr>
              <w:ind w:left="240"/>
              <w:spacing w:after="0"/>
              <w:rPr>
                <w:sz w:val="20"/>
                <w:szCs w:val="20"/>
                <w:color w:val="auto"/>
              </w:rPr>
            </w:pPr>
            <w:r>
              <w:rPr>
                <w:rFonts w:ascii="Arial" w:cs="Arial" w:eastAsia="Arial" w:hAnsi="Arial"/>
                <w:sz w:val="16"/>
                <w:szCs w:val="16"/>
                <w:color w:val="auto"/>
              </w:rPr>
              <w:t>Test preparation</w:t>
            </w:r>
          </w:p>
        </w:tc>
        <w:tc>
          <w:tcPr>
            <w:tcW w:w="380" w:type="dxa"/>
            <w:vAlign w:val="bottom"/>
          </w:tcPr>
          <w:p>
            <w:pPr>
              <w:spacing w:after="0"/>
              <w:rPr>
                <w:sz w:val="16"/>
                <w:szCs w:val="16"/>
                <w:color w:val="auto"/>
              </w:rPr>
            </w:pPr>
          </w:p>
        </w:tc>
        <w:tc>
          <w:tcPr>
            <w:tcW w:w="1160" w:type="dxa"/>
            <w:vAlign w:val="bottom"/>
          </w:tcPr>
          <w:p>
            <w:pPr>
              <w:jc w:val="right"/>
              <w:ind w:right="121"/>
              <w:spacing w:after="0"/>
              <w:rPr>
                <w:sz w:val="20"/>
                <w:szCs w:val="20"/>
                <w:color w:val="auto"/>
              </w:rPr>
            </w:pPr>
            <w:r>
              <w:rPr>
                <w:rFonts w:ascii="Arial" w:cs="Arial" w:eastAsia="Arial" w:hAnsi="Arial"/>
                <w:sz w:val="16"/>
                <w:szCs w:val="16"/>
                <w:b w:val="1"/>
                <w:bCs w:val="1"/>
                <w:color w:val="auto"/>
              </w:rPr>
              <w:t>4,866</w:t>
            </w:r>
          </w:p>
        </w:tc>
        <w:tc>
          <w:tcPr>
            <w:tcW w:w="440" w:type="dxa"/>
            <w:vAlign w:val="bottom"/>
          </w:tcPr>
          <w:p>
            <w:pPr>
              <w:spacing w:after="0"/>
              <w:rPr>
                <w:sz w:val="16"/>
                <w:szCs w:val="16"/>
                <w:color w:val="auto"/>
              </w:rPr>
            </w:pPr>
          </w:p>
        </w:tc>
        <w:tc>
          <w:tcPr>
            <w:tcW w:w="1160" w:type="dxa"/>
            <w:vAlign w:val="bottom"/>
          </w:tcPr>
          <w:p>
            <w:pPr>
              <w:jc w:val="right"/>
              <w:ind w:right="120"/>
              <w:spacing w:after="0"/>
              <w:rPr>
                <w:sz w:val="20"/>
                <w:szCs w:val="20"/>
                <w:color w:val="auto"/>
              </w:rPr>
            </w:pPr>
            <w:r>
              <w:rPr>
                <w:rFonts w:ascii="Arial" w:cs="Arial" w:eastAsia="Arial" w:hAnsi="Arial"/>
                <w:sz w:val="16"/>
                <w:szCs w:val="16"/>
                <w:color w:val="auto"/>
              </w:rPr>
              <w:t>4,449</w:t>
            </w:r>
          </w:p>
        </w:tc>
        <w:tc>
          <w:tcPr>
            <w:tcW w:w="420" w:type="dxa"/>
            <w:vAlign w:val="bottom"/>
          </w:tcPr>
          <w:p>
            <w:pPr>
              <w:spacing w:after="0"/>
              <w:rPr>
                <w:sz w:val="16"/>
                <w:szCs w:val="16"/>
                <w:color w:val="auto"/>
              </w:rPr>
            </w:pPr>
          </w:p>
        </w:tc>
        <w:tc>
          <w:tcPr>
            <w:tcW w:w="1040" w:type="dxa"/>
            <w:vAlign w:val="bottom"/>
          </w:tcPr>
          <w:p>
            <w:pPr>
              <w:jc w:val="right"/>
              <w:ind w:right="101"/>
              <w:spacing w:after="0"/>
              <w:rPr>
                <w:sz w:val="20"/>
                <w:szCs w:val="20"/>
                <w:color w:val="auto"/>
              </w:rPr>
            </w:pPr>
            <w:r>
              <w:rPr>
                <w:rFonts w:ascii="Arial" w:cs="Arial" w:eastAsia="Arial" w:hAnsi="Arial"/>
                <w:sz w:val="16"/>
                <w:szCs w:val="16"/>
                <w:b w:val="1"/>
                <w:bCs w:val="1"/>
                <w:color w:val="auto"/>
              </w:rPr>
              <w:t>9,624</w:t>
            </w:r>
          </w:p>
        </w:tc>
        <w:tc>
          <w:tcPr>
            <w:tcW w:w="4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8,764</w:t>
            </w:r>
          </w:p>
        </w:tc>
        <w:tc>
          <w:tcPr>
            <w:tcW w:w="0" w:type="dxa"/>
            <w:vAlign w:val="bottom"/>
          </w:tcPr>
          <w:p>
            <w:pPr>
              <w:spacing w:after="0"/>
              <w:rPr>
                <w:sz w:val="1"/>
                <w:szCs w:val="1"/>
                <w:color w:val="auto"/>
              </w:rPr>
            </w:pPr>
          </w:p>
        </w:tc>
      </w:tr>
      <w:tr>
        <w:trPr>
          <w:trHeight w:val="189"/>
        </w:trPr>
        <w:tc>
          <w:tcPr>
            <w:tcW w:w="5500" w:type="dxa"/>
            <w:vAlign w:val="bottom"/>
          </w:tcPr>
          <w:p>
            <w:pPr>
              <w:ind w:left="240"/>
              <w:spacing w:after="0"/>
              <w:rPr>
                <w:sz w:val="20"/>
                <w:szCs w:val="20"/>
                <w:color w:val="auto"/>
              </w:rPr>
            </w:pPr>
            <w:r>
              <w:rPr>
                <w:rFonts w:ascii="Arial" w:cs="Arial" w:eastAsia="Arial" w:hAnsi="Arial"/>
                <w:sz w:val="16"/>
                <w:szCs w:val="16"/>
                <w:color w:val="auto"/>
              </w:rPr>
              <w:t>Kaplan international</w:t>
            </w:r>
          </w:p>
        </w:tc>
        <w:tc>
          <w:tcPr>
            <w:tcW w:w="380" w:type="dxa"/>
            <w:vAlign w:val="bottom"/>
          </w:tcPr>
          <w:p>
            <w:pPr>
              <w:spacing w:after="0"/>
              <w:rPr>
                <w:sz w:val="16"/>
                <w:szCs w:val="16"/>
                <w:color w:val="auto"/>
              </w:rPr>
            </w:pPr>
          </w:p>
        </w:tc>
        <w:tc>
          <w:tcPr>
            <w:tcW w:w="1160" w:type="dxa"/>
            <w:vAlign w:val="bottom"/>
          </w:tcPr>
          <w:p>
            <w:pPr>
              <w:jc w:val="right"/>
              <w:ind w:right="121"/>
              <w:spacing w:after="0"/>
              <w:rPr>
                <w:sz w:val="20"/>
                <w:szCs w:val="20"/>
                <w:color w:val="auto"/>
              </w:rPr>
            </w:pPr>
            <w:r>
              <w:rPr>
                <w:rFonts w:ascii="Arial" w:cs="Arial" w:eastAsia="Arial" w:hAnsi="Arial"/>
                <w:sz w:val="16"/>
                <w:szCs w:val="16"/>
                <w:b w:val="1"/>
                <w:bCs w:val="1"/>
                <w:color w:val="auto"/>
              </w:rPr>
              <w:t>4,116</w:t>
            </w:r>
          </w:p>
        </w:tc>
        <w:tc>
          <w:tcPr>
            <w:tcW w:w="440" w:type="dxa"/>
            <w:vAlign w:val="bottom"/>
          </w:tcPr>
          <w:p>
            <w:pPr>
              <w:spacing w:after="0"/>
              <w:rPr>
                <w:sz w:val="16"/>
                <w:szCs w:val="16"/>
                <w:color w:val="auto"/>
              </w:rPr>
            </w:pPr>
          </w:p>
        </w:tc>
        <w:tc>
          <w:tcPr>
            <w:tcW w:w="1160" w:type="dxa"/>
            <w:vAlign w:val="bottom"/>
          </w:tcPr>
          <w:p>
            <w:pPr>
              <w:jc w:val="right"/>
              <w:ind w:right="120"/>
              <w:spacing w:after="0"/>
              <w:rPr>
                <w:sz w:val="20"/>
                <w:szCs w:val="20"/>
                <w:color w:val="auto"/>
              </w:rPr>
            </w:pPr>
            <w:r>
              <w:rPr>
                <w:rFonts w:ascii="Arial" w:cs="Arial" w:eastAsia="Arial" w:hAnsi="Arial"/>
                <w:sz w:val="16"/>
                <w:szCs w:val="16"/>
                <w:color w:val="auto"/>
              </w:rPr>
              <w:t>4,471</w:t>
            </w:r>
          </w:p>
        </w:tc>
        <w:tc>
          <w:tcPr>
            <w:tcW w:w="420" w:type="dxa"/>
            <w:vAlign w:val="bottom"/>
          </w:tcPr>
          <w:p>
            <w:pPr>
              <w:spacing w:after="0"/>
              <w:rPr>
                <w:sz w:val="16"/>
                <w:szCs w:val="16"/>
                <w:color w:val="auto"/>
              </w:rPr>
            </w:pPr>
          </w:p>
        </w:tc>
        <w:tc>
          <w:tcPr>
            <w:tcW w:w="1040" w:type="dxa"/>
            <w:vAlign w:val="bottom"/>
          </w:tcPr>
          <w:p>
            <w:pPr>
              <w:jc w:val="right"/>
              <w:ind w:right="101"/>
              <w:spacing w:after="0"/>
              <w:rPr>
                <w:sz w:val="20"/>
                <w:szCs w:val="20"/>
                <w:color w:val="auto"/>
              </w:rPr>
            </w:pPr>
            <w:r>
              <w:rPr>
                <w:rFonts w:ascii="Arial" w:cs="Arial" w:eastAsia="Arial" w:hAnsi="Arial"/>
                <w:sz w:val="16"/>
                <w:szCs w:val="16"/>
                <w:b w:val="1"/>
                <w:bCs w:val="1"/>
                <w:color w:val="auto"/>
              </w:rPr>
              <w:t>8,112</w:t>
            </w:r>
          </w:p>
        </w:tc>
        <w:tc>
          <w:tcPr>
            <w:tcW w:w="4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8,649</w:t>
            </w:r>
          </w:p>
        </w:tc>
        <w:tc>
          <w:tcPr>
            <w:tcW w:w="0" w:type="dxa"/>
            <w:vAlign w:val="bottom"/>
          </w:tcPr>
          <w:p>
            <w:pPr>
              <w:spacing w:after="0"/>
              <w:rPr>
                <w:sz w:val="1"/>
                <w:szCs w:val="1"/>
                <w:color w:val="auto"/>
              </w:rPr>
            </w:pPr>
          </w:p>
        </w:tc>
      </w:tr>
      <w:tr>
        <w:trPr>
          <w:trHeight w:val="207"/>
        </w:trPr>
        <w:tc>
          <w:tcPr>
            <w:tcW w:w="5500" w:type="dxa"/>
            <w:vAlign w:val="bottom"/>
          </w:tcPr>
          <w:p>
            <w:pPr>
              <w:ind w:left="240"/>
              <w:spacing w:after="0"/>
              <w:rPr>
                <w:sz w:val="20"/>
                <w:szCs w:val="20"/>
                <w:color w:val="auto"/>
              </w:rPr>
            </w:pPr>
            <w:r>
              <w:rPr>
                <w:rFonts w:ascii="Arial" w:cs="Arial" w:eastAsia="Arial" w:hAnsi="Arial"/>
                <w:sz w:val="16"/>
                <w:szCs w:val="16"/>
                <w:color w:val="auto"/>
              </w:rPr>
              <w:t>Kaplan corporate and other</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341</w:t>
            </w:r>
          </w:p>
        </w:tc>
        <w:tc>
          <w:tcPr>
            <w:tcW w:w="4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418</w:t>
            </w: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736</w:t>
            </w: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885</w:t>
            </w:r>
          </w:p>
        </w:tc>
        <w:tc>
          <w:tcPr>
            <w:tcW w:w="0" w:type="dxa"/>
            <w:vAlign w:val="bottom"/>
          </w:tcPr>
          <w:p>
            <w:pPr>
              <w:spacing w:after="0"/>
              <w:rPr>
                <w:sz w:val="1"/>
                <w:szCs w:val="1"/>
                <w:color w:val="auto"/>
              </w:rPr>
            </w:pPr>
          </w:p>
        </w:tc>
      </w:tr>
      <w:tr>
        <w:trPr>
          <w:trHeight w:val="183"/>
        </w:trPr>
        <w:tc>
          <w:tcPr>
            <w:tcW w:w="5500" w:type="dxa"/>
            <w:vAlign w:val="bottom"/>
            <w:vMerge w:val="restart"/>
          </w:tcPr>
          <w:p>
            <w:pPr>
              <w:spacing w:after="0"/>
              <w:rPr>
                <w:sz w:val="20"/>
                <w:szCs w:val="20"/>
                <w:color w:val="auto"/>
              </w:rPr>
            </w:pPr>
            <w:r>
              <w:rPr>
                <w:rFonts w:ascii="Arial" w:cs="Arial" w:eastAsia="Arial" w:hAnsi="Arial"/>
                <w:sz w:val="16"/>
                <w:szCs w:val="16"/>
                <w:b w:val="1"/>
                <w:bCs w:val="1"/>
                <w:color w:val="auto"/>
              </w:rPr>
              <w:t>Amortization of Intangible Assets</w:t>
            </w:r>
          </w:p>
        </w:tc>
        <w:tc>
          <w:tcPr>
            <w:tcW w:w="38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tcPr>
          <w:p>
            <w:pPr>
              <w:jc w:val="right"/>
              <w:ind w:right="121"/>
              <w:spacing w:after="0" w:line="183" w:lineRule="exact"/>
              <w:rPr>
                <w:sz w:val="20"/>
                <w:szCs w:val="20"/>
                <w:color w:val="auto"/>
              </w:rPr>
            </w:pPr>
            <w:r>
              <w:rPr>
                <w:rFonts w:ascii="Arial" w:cs="Arial" w:eastAsia="Arial" w:hAnsi="Arial"/>
                <w:sz w:val="16"/>
                <w:szCs w:val="16"/>
                <w:b w:val="1"/>
                <w:bCs w:val="1"/>
                <w:color w:val="auto"/>
              </w:rPr>
              <w:t>20,064</w:t>
            </w:r>
          </w:p>
        </w:tc>
        <w:tc>
          <w:tcPr>
            <w:tcW w:w="44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120"/>
              <w:spacing w:after="0" w:line="183" w:lineRule="exact"/>
              <w:rPr>
                <w:sz w:val="20"/>
                <w:szCs w:val="20"/>
                <w:color w:val="auto"/>
              </w:rPr>
            </w:pPr>
            <w:r>
              <w:rPr>
                <w:rFonts w:ascii="Arial" w:cs="Arial" w:eastAsia="Arial" w:hAnsi="Arial"/>
                <w:sz w:val="16"/>
                <w:szCs w:val="16"/>
                <w:color w:val="auto"/>
              </w:rPr>
              <w:t>21,011</w:t>
            </w:r>
          </w:p>
        </w:tc>
        <w:tc>
          <w:tcPr>
            <w:tcW w:w="4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101"/>
              <w:spacing w:after="0" w:line="183" w:lineRule="exact"/>
              <w:rPr>
                <w:sz w:val="20"/>
                <w:szCs w:val="20"/>
                <w:color w:val="auto"/>
              </w:rPr>
            </w:pPr>
            <w:r>
              <w:rPr>
                <w:rFonts w:ascii="Arial" w:cs="Arial" w:eastAsia="Arial" w:hAnsi="Arial"/>
                <w:sz w:val="16"/>
                <w:szCs w:val="16"/>
                <w:b w:val="1"/>
                <w:bCs w:val="1"/>
                <w:color w:val="auto"/>
              </w:rPr>
              <w:t>42,652</w:t>
            </w:r>
          </w:p>
        </w:tc>
        <w:tc>
          <w:tcPr>
            <w:tcW w:w="4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41,728</w:t>
            </w:r>
          </w:p>
        </w:tc>
        <w:tc>
          <w:tcPr>
            <w:tcW w:w="0" w:type="dxa"/>
            <w:vAlign w:val="bottom"/>
          </w:tcPr>
          <w:p>
            <w:pPr>
              <w:spacing w:after="0"/>
              <w:rPr>
                <w:sz w:val="1"/>
                <w:szCs w:val="1"/>
                <w:color w:val="auto"/>
              </w:rPr>
            </w:pPr>
          </w:p>
        </w:tc>
      </w:tr>
      <w:tr>
        <w:trPr>
          <w:trHeight w:val="164"/>
        </w:trPr>
        <w:tc>
          <w:tcPr>
            <w:tcW w:w="5500" w:type="dxa"/>
            <w:vAlign w:val="bottom"/>
            <w:vMerge w:val="continue"/>
          </w:tcPr>
          <w:p>
            <w:pPr>
              <w:spacing w:after="0"/>
              <w:rPr>
                <w:sz w:val="14"/>
                <w:szCs w:val="14"/>
                <w:color w:val="auto"/>
              </w:rPr>
            </w:pPr>
          </w:p>
        </w:tc>
        <w:tc>
          <w:tcPr>
            <w:tcW w:w="380" w:type="dxa"/>
            <w:vAlign w:val="bottom"/>
          </w:tcPr>
          <w:p>
            <w:pPr>
              <w:jc w:val="right"/>
              <w:ind w:right="59"/>
              <w:spacing w:after="0" w:line="165" w:lineRule="exact"/>
              <w:rPr>
                <w:sz w:val="20"/>
                <w:szCs w:val="20"/>
                <w:color w:val="auto"/>
              </w:rPr>
            </w:pPr>
            <w:r>
              <w:rPr>
                <w:rFonts w:ascii="Arial" w:cs="Arial" w:eastAsia="Arial" w:hAnsi="Arial"/>
                <w:sz w:val="16"/>
                <w:szCs w:val="16"/>
                <w:b w:val="1"/>
                <w:bCs w:val="1"/>
                <w:color w:val="auto"/>
              </w:rPr>
              <w:t>$</w:t>
            </w:r>
          </w:p>
        </w:tc>
        <w:tc>
          <w:tcPr>
            <w:tcW w:w="1160" w:type="dxa"/>
            <w:vAlign w:val="bottom"/>
          </w:tcPr>
          <w:p>
            <w:pPr>
              <w:jc w:val="right"/>
              <w:ind w:right="121"/>
              <w:spacing w:after="0" w:line="165" w:lineRule="exact"/>
              <w:rPr>
                <w:sz w:val="20"/>
                <w:szCs w:val="20"/>
                <w:color w:val="auto"/>
              </w:rPr>
            </w:pPr>
            <w:r>
              <w:rPr>
                <w:rFonts w:ascii="Arial" w:cs="Arial" w:eastAsia="Arial" w:hAnsi="Arial"/>
                <w:sz w:val="16"/>
                <w:szCs w:val="16"/>
                <w:b w:val="1"/>
                <w:bCs w:val="1"/>
                <w:color w:val="auto"/>
              </w:rPr>
              <w:t>2,363</w:t>
            </w:r>
          </w:p>
        </w:tc>
        <w:tc>
          <w:tcPr>
            <w:tcW w:w="440" w:type="dxa"/>
            <w:vAlign w:val="bottom"/>
          </w:tcPr>
          <w:p>
            <w:pPr>
              <w:jc w:val="right"/>
              <w:ind w:right="59"/>
              <w:spacing w:after="0" w:line="165" w:lineRule="exact"/>
              <w:rPr>
                <w:sz w:val="20"/>
                <w:szCs w:val="20"/>
                <w:color w:val="auto"/>
              </w:rPr>
            </w:pPr>
            <w:r>
              <w:rPr>
                <w:rFonts w:ascii="Arial" w:cs="Arial" w:eastAsia="Arial" w:hAnsi="Arial"/>
                <w:sz w:val="16"/>
                <w:szCs w:val="16"/>
                <w:color w:val="auto"/>
              </w:rPr>
              <w:t>$</w:t>
            </w:r>
          </w:p>
        </w:tc>
        <w:tc>
          <w:tcPr>
            <w:tcW w:w="1160" w:type="dxa"/>
            <w:vAlign w:val="bottom"/>
          </w:tcPr>
          <w:p>
            <w:pPr>
              <w:jc w:val="right"/>
              <w:ind w:right="120"/>
              <w:spacing w:after="0" w:line="165" w:lineRule="exact"/>
              <w:rPr>
                <w:sz w:val="20"/>
                <w:szCs w:val="20"/>
                <w:color w:val="auto"/>
              </w:rPr>
            </w:pPr>
            <w:r>
              <w:rPr>
                <w:rFonts w:ascii="Arial" w:cs="Arial" w:eastAsia="Arial" w:hAnsi="Arial"/>
                <w:sz w:val="16"/>
                <w:szCs w:val="16"/>
                <w:color w:val="auto"/>
              </w:rPr>
              <w:t>3,803</w:t>
            </w:r>
          </w:p>
        </w:tc>
        <w:tc>
          <w:tcPr>
            <w:tcW w:w="420" w:type="dxa"/>
            <w:vAlign w:val="bottom"/>
          </w:tcPr>
          <w:p>
            <w:pPr>
              <w:jc w:val="right"/>
              <w:ind w:right="39"/>
              <w:spacing w:after="0" w:line="165" w:lineRule="exact"/>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101"/>
              <w:spacing w:after="0" w:line="165" w:lineRule="exact"/>
              <w:rPr>
                <w:sz w:val="20"/>
                <w:szCs w:val="20"/>
                <w:color w:val="auto"/>
              </w:rPr>
            </w:pPr>
            <w:r>
              <w:rPr>
                <w:rFonts w:ascii="Arial" w:cs="Arial" w:eastAsia="Arial" w:hAnsi="Arial"/>
                <w:sz w:val="16"/>
                <w:szCs w:val="16"/>
                <w:b w:val="1"/>
                <w:bCs w:val="1"/>
                <w:color w:val="auto"/>
              </w:rPr>
              <w:t>4,881</w:t>
            </w:r>
          </w:p>
        </w:tc>
        <w:tc>
          <w:tcPr>
            <w:tcW w:w="420" w:type="dxa"/>
            <w:vAlign w:val="bottom"/>
          </w:tcPr>
          <w:p>
            <w:pPr>
              <w:jc w:val="right"/>
              <w:ind w:right="39"/>
              <w:spacing w:after="0" w:line="165" w:lineRule="exact"/>
              <w:rPr>
                <w:sz w:val="20"/>
                <w:szCs w:val="20"/>
                <w:color w:val="auto"/>
              </w:rPr>
            </w:pPr>
            <w:r>
              <w:rPr>
                <w:rFonts w:ascii="Arial" w:cs="Arial" w:eastAsia="Arial" w:hAnsi="Arial"/>
                <w:sz w:val="16"/>
                <w:szCs w:val="16"/>
                <w:color w:val="auto"/>
              </w:rPr>
              <w:t>$</w:t>
            </w:r>
          </w:p>
        </w:tc>
        <w:tc>
          <w:tcPr>
            <w:tcW w:w="900" w:type="dxa"/>
            <w:vAlign w:val="bottom"/>
          </w:tcPr>
          <w:p>
            <w:pPr>
              <w:jc w:val="right"/>
              <w:spacing w:after="0" w:line="165" w:lineRule="exact"/>
              <w:rPr>
                <w:sz w:val="20"/>
                <w:szCs w:val="20"/>
                <w:color w:val="auto"/>
              </w:rPr>
            </w:pPr>
            <w:r>
              <w:rPr>
                <w:rFonts w:ascii="Arial" w:cs="Arial" w:eastAsia="Arial" w:hAnsi="Arial"/>
                <w:sz w:val="16"/>
                <w:szCs w:val="16"/>
                <w:color w:val="auto"/>
              </w:rPr>
              <w:t>7,039</w:t>
            </w:r>
          </w:p>
        </w:tc>
        <w:tc>
          <w:tcPr>
            <w:tcW w:w="0" w:type="dxa"/>
            <w:vAlign w:val="bottom"/>
          </w:tcPr>
          <w:p>
            <w:pPr>
              <w:spacing w:after="0"/>
              <w:rPr>
                <w:sz w:val="1"/>
                <w:szCs w:val="1"/>
                <w:color w:val="auto"/>
              </w:rPr>
            </w:pPr>
          </w:p>
        </w:tc>
      </w:tr>
      <w:tr>
        <w:trPr>
          <w:trHeight w:val="209"/>
        </w:trPr>
        <w:tc>
          <w:tcPr>
            <w:tcW w:w="5500" w:type="dxa"/>
            <w:vAlign w:val="bottom"/>
          </w:tcPr>
          <w:p>
            <w:pPr>
              <w:spacing w:after="0"/>
              <w:rPr>
                <w:sz w:val="20"/>
                <w:szCs w:val="20"/>
                <w:color w:val="auto"/>
              </w:rPr>
            </w:pPr>
            <w:r>
              <w:rPr>
                <w:rFonts w:ascii="Arial" w:cs="Arial" w:eastAsia="Arial" w:hAnsi="Arial"/>
                <w:sz w:val="16"/>
                <w:szCs w:val="16"/>
                <w:b w:val="1"/>
                <w:bCs w:val="1"/>
                <w:color w:val="auto"/>
              </w:rPr>
              <w:t>Pension Expense</w:t>
            </w:r>
          </w:p>
        </w:tc>
        <w:tc>
          <w:tcPr>
            <w:tcW w:w="38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w:t>
            </w:r>
          </w:p>
        </w:tc>
        <w:tc>
          <w:tcPr>
            <w:tcW w:w="1160" w:type="dxa"/>
            <w:vAlign w:val="bottom"/>
            <w:vMerge w:val="restart"/>
          </w:tcPr>
          <w:p>
            <w:pPr>
              <w:jc w:val="right"/>
              <w:ind w:right="121"/>
              <w:spacing w:after="0"/>
              <w:rPr>
                <w:sz w:val="20"/>
                <w:szCs w:val="20"/>
                <w:color w:val="auto"/>
              </w:rPr>
            </w:pPr>
            <w:r>
              <w:rPr>
                <w:rFonts w:ascii="Arial" w:cs="Arial" w:eastAsia="Arial" w:hAnsi="Arial"/>
                <w:sz w:val="16"/>
                <w:szCs w:val="16"/>
                <w:b w:val="1"/>
                <w:bCs w:val="1"/>
                <w:color w:val="auto"/>
              </w:rPr>
              <w:t>2,807</w:t>
            </w: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w:t>
            </w:r>
          </w:p>
        </w:tc>
        <w:tc>
          <w:tcPr>
            <w:tcW w:w="1040" w:type="dxa"/>
            <w:vAlign w:val="bottom"/>
            <w:vMerge w:val="restart"/>
          </w:tcPr>
          <w:p>
            <w:pPr>
              <w:jc w:val="right"/>
              <w:ind w:right="101"/>
              <w:spacing w:after="0"/>
              <w:rPr>
                <w:sz w:val="20"/>
                <w:szCs w:val="20"/>
                <w:color w:val="auto"/>
              </w:rPr>
            </w:pPr>
            <w:r>
              <w:rPr>
                <w:rFonts w:ascii="Arial" w:cs="Arial" w:eastAsia="Arial" w:hAnsi="Arial"/>
                <w:sz w:val="16"/>
                <w:szCs w:val="16"/>
                <w:b w:val="1"/>
                <w:bCs w:val="1"/>
                <w:color w:val="auto"/>
              </w:rPr>
              <w:t>5,614</w:t>
            </w: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5500" w:type="dxa"/>
            <w:vAlign w:val="bottom"/>
          </w:tcPr>
          <w:p>
            <w:pPr>
              <w:ind w:left="240"/>
              <w:spacing w:after="0" w:line="169" w:lineRule="exact"/>
              <w:rPr>
                <w:sz w:val="20"/>
                <w:szCs w:val="20"/>
                <w:color w:val="auto"/>
              </w:rPr>
            </w:pPr>
            <w:r>
              <w:rPr>
                <w:rFonts w:ascii="Arial" w:cs="Arial" w:eastAsia="Arial" w:hAnsi="Arial"/>
                <w:sz w:val="16"/>
                <w:szCs w:val="16"/>
                <w:color w:val="auto"/>
              </w:rPr>
              <w:t>Higher education</w:t>
            </w:r>
          </w:p>
        </w:tc>
        <w:tc>
          <w:tcPr>
            <w:tcW w:w="3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440" w:type="dxa"/>
            <w:vAlign w:val="bottom"/>
          </w:tcPr>
          <w:p>
            <w:pPr>
              <w:jc w:val="right"/>
              <w:ind w:right="59"/>
              <w:spacing w:after="0" w:line="169" w:lineRule="exact"/>
              <w:rPr>
                <w:sz w:val="20"/>
                <w:szCs w:val="20"/>
                <w:color w:val="auto"/>
              </w:rPr>
            </w:pPr>
            <w:r>
              <w:rPr>
                <w:rFonts w:ascii="Arial" w:cs="Arial" w:eastAsia="Arial" w:hAnsi="Arial"/>
                <w:sz w:val="16"/>
                <w:szCs w:val="16"/>
                <w:color w:val="auto"/>
              </w:rPr>
              <w:t>$</w:t>
            </w:r>
          </w:p>
        </w:tc>
        <w:tc>
          <w:tcPr>
            <w:tcW w:w="1160" w:type="dxa"/>
            <w:vAlign w:val="bottom"/>
          </w:tcPr>
          <w:p>
            <w:pPr>
              <w:jc w:val="right"/>
              <w:ind w:right="120"/>
              <w:spacing w:after="0" w:line="169" w:lineRule="exact"/>
              <w:rPr>
                <w:sz w:val="20"/>
                <w:szCs w:val="20"/>
                <w:color w:val="auto"/>
              </w:rPr>
            </w:pPr>
            <w:r>
              <w:rPr>
                <w:rFonts w:ascii="Arial" w:cs="Arial" w:eastAsia="Arial" w:hAnsi="Arial"/>
                <w:sz w:val="16"/>
                <w:szCs w:val="16"/>
                <w:color w:val="auto"/>
              </w:rPr>
              <w:t>1,587</w:t>
            </w:r>
          </w:p>
        </w:tc>
        <w:tc>
          <w:tcPr>
            <w:tcW w:w="42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420" w:type="dxa"/>
            <w:vAlign w:val="bottom"/>
          </w:tcPr>
          <w:p>
            <w:pPr>
              <w:jc w:val="right"/>
              <w:ind w:right="39"/>
              <w:spacing w:after="0" w:line="169" w:lineRule="exact"/>
              <w:rPr>
                <w:sz w:val="20"/>
                <w:szCs w:val="20"/>
                <w:color w:val="auto"/>
              </w:rPr>
            </w:pPr>
            <w:r>
              <w:rPr>
                <w:rFonts w:ascii="Arial" w:cs="Arial" w:eastAsia="Arial" w:hAnsi="Arial"/>
                <w:sz w:val="16"/>
                <w:szCs w:val="16"/>
                <w:color w:val="auto"/>
              </w:rPr>
              <w:t>$</w:t>
            </w:r>
          </w:p>
        </w:tc>
        <w:tc>
          <w:tcPr>
            <w:tcW w:w="900" w:type="dxa"/>
            <w:vAlign w:val="bottom"/>
          </w:tcPr>
          <w:p>
            <w:pPr>
              <w:jc w:val="right"/>
              <w:spacing w:after="0" w:line="169" w:lineRule="exact"/>
              <w:rPr>
                <w:sz w:val="20"/>
                <w:szCs w:val="20"/>
                <w:color w:val="auto"/>
              </w:rPr>
            </w:pPr>
            <w:r>
              <w:rPr>
                <w:rFonts w:ascii="Arial" w:cs="Arial" w:eastAsia="Arial" w:hAnsi="Arial"/>
                <w:sz w:val="16"/>
                <w:szCs w:val="16"/>
                <w:color w:val="auto"/>
              </w:rPr>
              <w:t>3,174</w:t>
            </w:r>
          </w:p>
        </w:tc>
        <w:tc>
          <w:tcPr>
            <w:tcW w:w="0" w:type="dxa"/>
            <w:vAlign w:val="bottom"/>
          </w:tcPr>
          <w:p>
            <w:pPr>
              <w:spacing w:after="0"/>
              <w:rPr>
                <w:sz w:val="1"/>
                <w:szCs w:val="1"/>
                <w:color w:val="auto"/>
              </w:rPr>
            </w:pPr>
          </w:p>
        </w:tc>
      </w:tr>
      <w:tr>
        <w:trPr>
          <w:trHeight w:val="189"/>
        </w:trPr>
        <w:tc>
          <w:tcPr>
            <w:tcW w:w="5500" w:type="dxa"/>
            <w:vAlign w:val="bottom"/>
          </w:tcPr>
          <w:p>
            <w:pPr>
              <w:ind w:left="240"/>
              <w:spacing w:after="0"/>
              <w:rPr>
                <w:sz w:val="20"/>
                <w:szCs w:val="20"/>
                <w:color w:val="auto"/>
              </w:rPr>
            </w:pPr>
            <w:r>
              <w:rPr>
                <w:rFonts w:ascii="Arial" w:cs="Arial" w:eastAsia="Arial" w:hAnsi="Arial"/>
                <w:sz w:val="16"/>
                <w:szCs w:val="16"/>
                <w:color w:val="auto"/>
              </w:rPr>
              <w:t>Test preparation</w:t>
            </w:r>
          </w:p>
        </w:tc>
        <w:tc>
          <w:tcPr>
            <w:tcW w:w="380" w:type="dxa"/>
            <w:vAlign w:val="bottom"/>
          </w:tcPr>
          <w:p>
            <w:pPr>
              <w:spacing w:after="0"/>
              <w:rPr>
                <w:sz w:val="16"/>
                <w:szCs w:val="16"/>
                <w:color w:val="auto"/>
              </w:rPr>
            </w:pPr>
          </w:p>
        </w:tc>
        <w:tc>
          <w:tcPr>
            <w:tcW w:w="1160" w:type="dxa"/>
            <w:vAlign w:val="bottom"/>
          </w:tcPr>
          <w:p>
            <w:pPr>
              <w:jc w:val="right"/>
              <w:ind w:right="121"/>
              <w:spacing w:after="0"/>
              <w:rPr>
                <w:sz w:val="20"/>
                <w:szCs w:val="20"/>
                <w:color w:val="auto"/>
              </w:rPr>
            </w:pPr>
            <w:r>
              <w:rPr>
                <w:rFonts w:ascii="Arial" w:cs="Arial" w:eastAsia="Arial" w:hAnsi="Arial"/>
                <w:sz w:val="16"/>
                <w:szCs w:val="16"/>
                <w:b w:val="1"/>
                <w:bCs w:val="1"/>
                <w:color w:val="auto"/>
              </w:rPr>
              <w:t>641</w:t>
            </w:r>
          </w:p>
        </w:tc>
        <w:tc>
          <w:tcPr>
            <w:tcW w:w="440" w:type="dxa"/>
            <w:vAlign w:val="bottom"/>
          </w:tcPr>
          <w:p>
            <w:pPr>
              <w:spacing w:after="0"/>
              <w:rPr>
                <w:sz w:val="16"/>
                <w:szCs w:val="16"/>
                <w:color w:val="auto"/>
              </w:rPr>
            </w:pPr>
          </w:p>
        </w:tc>
        <w:tc>
          <w:tcPr>
            <w:tcW w:w="1160" w:type="dxa"/>
            <w:vAlign w:val="bottom"/>
          </w:tcPr>
          <w:p>
            <w:pPr>
              <w:jc w:val="right"/>
              <w:ind w:right="120"/>
              <w:spacing w:after="0"/>
              <w:rPr>
                <w:sz w:val="20"/>
                <w:szCs w:val="20"/>
                <w:color w:val="auto"/>
              </w:rPr>
            </w:pPr>
            <w:r>
              <w:rPr>
                <w:rFonts w:ascii="Arial" w:cs="Arial" w:eastAsia="Arial" w:hAnsi="Arial"/>
                <w:sz w:val="16"/>
                <w:szCs w:val="16"/>
                <w:color w:val="auto"/>
              </w:rPr>
              <w:t>414</w:t>
            </w:r>
          </w:p>
        </w:tc>
        <w:tc>
          <w:tcPr>
            <w:tcW w:w="420" w:type="dxa"/>
            <w:vAlign w:val="bottom"/>
          </w:tcPr>
          <w:p>
            <w:pPr>
              <w:spacing w:after="0"/>
              <w:rPr>
                <w:sz w:val="16"/>
                <w:szCs w:val="16"/>
                <w:color w:val="auto"/>
              </w:rPr>
            </w:pPr>
          </w:p>
        </w:tc>
        <w:tc>
          <w:tcPr>
            <w:tcW w:w="1040" w:type="dxa"/>
            <w:vAlign w:val="bottom"/>
          </w:tcPr>
          <w:p>
            <w:pPr>
              <w:jc w:val="right"/>
              <w:ind w:right="101"/>
              <w:spacing w:after="0"/>
              <w:rPr>
                <w:sz w:val="20"/>
                <w:szCs w:val="20"/>
                <w:color w:val="auto"/>
              </w:rPr>
            </w:pPr>
            <w:r>
              <w:rPr>
                <w:rFonts w:ascii="Arial" w:cs="Arial" w:eastAsia="Arial" w:hAnsi="Arial"/>
                <w:sz w:val="16"/>
                <w:szCs w:val="16"/>
                <w:b w:val="1"/>
                <w:bCs w:val="1"/>
                <w:color w:val="auto"/>
              </w:rPr>
              <w:t>1,281</w:t>
            </w:r>
          </w:p>
        </w:tc>
        <w:tc>
          <w:tcPr>
            <w:tcW w:w="4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827</w:t>
            </w:r>
          </w:p>
        </w:tc>
        <w:tc>
          <w:tcPr>
            <w:tcW w:w="0" w:type="dxa"/>
            <w:vAlign w:val="bottom"/>
          </w:tcPr>
          <w:p>
            <w:pPr>
              <w:spacing w:after="0"/>
              <w:rPr>
                <w:sz w:val="1"/>
                <w:szCs w:val="1"/>
                <w:color w:val="auto"/>
              </w:rPr>
            </w:pPr>
          </w:p>
        </w:tc>
      </w:tr>
      <w:tr>
        <w:trPr>
          <w:trHeight w:val="189"/>
        </w:trPr>
        <w:tc>
          <w:tcPr>
            <w:tcW w:w="5500" w:type="dxa"/>
            <w:vAlign w:val="bottom"/>
          </w:tcPr>
          <w:p>
            <w:pPr>
              <w:ind w:left="240"/>
              <w:spacing w:after="0"/>
              <w:rPr>
                <w:sz w:val="20"/>
                <w:szCs w:val="20"/>
                <w:color w:val="auto"/>
              </w:rPr>
            </w:pPr>
            <w:r>
              <w:rPr>
                <w:rFonts w:ascii="Arial" w:cs="Arial" w:eastAsia="Arial" w:hAnsi="Arial"/>
                <w:sz w:val="16"/>
                <w:szCs w:val="16"/>
                <w:color w:val="auto"/>
              </w:rPr>
              <w:t>Kaplan international</w:t>
            </w:r>
          </w:p>
        </w:tc>
        <w:tc>
          <w:tcPr>
            <w:tcW w:w="380" w:type="dxa"/>
            <w:vAlign w:val="bottom"/>
          </w:tcPr>
          <w:p>
            <w:pPr>
              <w:spacing w:after="0"/>
              <w:rPr>
                <w:sz w:val="16"/>
                <w:szCs w:val="16"/>
                <w:color w:val="auto"/>
              </w:rPr>
            </w:pPr>
          </w:p>
        </w:tc>
        <w:tc>
          <w:tcPr>
            <w:tcW w:w="1160" w:type="dxa"/>
            <w:vAlign w:val="bottom"/>
          </w:tcPr>
          <w:p>
            <w:pPr>
              <w:jc w:val="right"/>
              <w:ind w:right="121"/>
              <w:spacing w:after="0"/>
              <w:rPr>
                <w:sz w:val="20"/>
                <w:szCs w:val="20"/>
                <w:color w:val="auto"/>
              </w:rPr>
            </w:pPr>
            <w:r>
              <w:rPr>
                <w:rFonts w:ascii="Arial" w:cs="Arial" w:eastAsia="Arial" w:hAnsi="Arial"/>
                <w:sz w:val="16"/>
                <w:szCs w:val="16"/>
                <w:b w:val="1"/>
                <w:bCs w:val="1"/>
                <w:color w:val="auto"/>
              </w:rPr>
              <w:t>87</w:t>
            </w:r>
          </w:p>
        </w:tc>
        <w:tc>
          <w:tcPr>
            <w:tcW w:w="440" w:type="dxa"/>
            <w:vAlign w:val="bottom"/>
          </w:tcPr>
          <w:p>
            <w:pPr>
              <w:spacing w:after="0"/>
              <w:rPr>
                <w:sz w:val="16"/>
                <w:szCs w:val="16"/>
                <w:color w:val="auto"/>
              </w:rPr>
            </w:pPr>
          </w:p>
        </w:tc>
        <w:tc>
          <w:tcPr>
            <w:tcW w:w="1160" w:type="dxa"/>
            <w:vAlign w:val="bottom"/>
          </w:tcPr>
          <w:p>
            <w:pPr>
              <w:jc w:val="right"/>
              <w:ind w:right="120"/>
              <w:spacing w:after="0"/>
              <w:rPr>
                <w:sz w:val="20"/>
                <w:szCs w:val="20"/>
                <w:color w:val="auto"/>
              </w:rPr>
            </w:pPr>
            <w:r>
              <w:rPr>
                <w:rFonts w:ascii="Arial" w:cs="Arial" w:eastAsia="Arial" w:hAnsi="Arial"/>
                <w:sz w:val="16"/>
                <w:szCs w:val="16"/>
                <w:color w:val="auto"/>
              </w:rPr>
              <w:t>(11)</w:t>
            </w:r>
          </w:p>
        </w:tc>
        <w:tc>
          <w:tcPr>
            <w:tcW w:w="420" w:type="dxa"/>
            <w:vAlign w:val="bottom"/>
          </w:tcPr>
          <w:p>
            <w:pPr>
              <w:spacing w:after="0"/>
              <w:rPr>
                <w:sz w:val="16"/>
                <w:szCs w:val="16"/>
                <w:color w:val="auto"/>
              </w:rPr>
            </w:pPr>
          </w:p>
        </w:tc>
        <w:tc>
          <w:tcPr>
            <w:tcW w:w="1040" w:type="dxa"/>
            <w:vAlign w:val="bottom"/>
          </w:tcPr>
          <w:p>
            <w:pPr>
              <w:jc w:val="right"/>
              <w:ind w:right="101"/>
              <w:spacing w:after="0"/>
              <w:rPr>
                <w:sz w:val="20"/>
                <w:szCs w:val="20"/>
                <w:color w:val="auto"/>
              </w:rPr>
            </w:pPr>
            <w:r>
              <w:rPr>
                <w:rFonts w:ascii="Arial" w:cs="Arial" w:eastAsia="Arial" w:hAnsi="Arial"/>
                <w:sz w:val="16"/>
                <w:szCs w:val="16"/>
                <w:b w:val="1"/>
                <w:bCs w:val="1"/>
                <w:color w:val="auto"/>
              </w:rPr>
              <w:t>174</w:t>
            </w:r>
          </w:p>
        </w:tc>
        <w:tc>
          <w:tcPr>
            <w:tcW w:w="4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7"/>
        </w:trPr>
        <w:tc>
          <w:tcPr>
            <w:tcW w:w="5500" w:type="dxa"/>
            <w:vAlign w:val="bottom"/>
          </w:tcPr>
          <w:p>
            <w:pPr>
              <w:ind w:left="240"/>
              <w:spacing w:after="0"/>
              <w:rPr>
                <w:sz w:val="20"/>
                <w:szCs w:val="20"/>
                <w:color w:val="auto"/>
              </w:rPr>
            </w:pPr>
            <w:r>
              <w:rPr>
                <w:rFonts w:ascii="Arial" w:cs="Arial" w:eastAsia="Arial" w:hAnsi="Arial"/>
                <w:sz w:val="16"/>
                <w:szCs w:val="16"/>
                <w:color w:val="auto"/>
              </w:rPr>
              <w:t>Kaplan corporate and other</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696</w:t>
            </w:r>
          </w:p>
        </w:tc>
        <w:tc>
          <w:tcPr>
            <w:tcW w:w="4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(21)</w:t>
            </w: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1,268</w:t>
            </w: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359</w:t>
            </w:r>
          </w:p>
        </w:tc>
        <w:tc>
          <w:tcPr>
            <w:tcW w:w="0" w:type="dxa"/>
            <w:vAlign w:val="bottom"/>
          </w:tcPr>
          <w:p>
            <w:pPr>
              <w:spacing w:after="0"/>
              <w:rPr>
                <w:sz w:val="1"/>
                <w:szCs w:val="1"/>
                <w:color w:val="auto"/>
              </w:rPr>
            </w:pPr>
          </w:p>
        </w:tc>
      </w:tr>
      <w:tr>
        <w:trPr>
          <w:trHeight w:val="183"/>
        </w:trPr>
        <w:tc>
          <w:tcPr>
            <w:tcW w:w="5500" w:type="dxa"/>
            <w:vAlign w:val="bottom"/>
          </w:tcPr>
          <w:p>
            <w:pPr>
              <w:spacing w:after="0"/>
              <w:rPr>
                <w:sz w:val="15"/>
                <w:szCs w:val="15"/>
                <w:color w:val="auto"/>
              </w:rPr>
            </w:pPr>
          </w:p>
        </w:tc>
        <w:tc>
          <w:tcPr>
            <w:tcW w:w="38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tcPr>
          <w:p>
            <w:pPr>
              <w:jc w:val="right"/>
              <w:ind w:right="121"/>
              <w:spacing w:after="0" w:line="183" w:lineRule="exact"/>
              <w:rPr>
                <w:sz w:val="20"/>
                <w:szCs w:val="20"/>
                <w:color w:val="auto"/>
              </w:rPr>
            </w:pPr>
            <w:r>
              <w:rPr>
                <w:rFonts w:ascii="Arial" w:cs="Arial" w:eastAsia="Arial" w:hAnsi="Arial"/>
                <w:sz w:val="16"/>
                <w:szCs w:val="16"/>
                <w:b w:val="1"/>
                <w:bCs w:val="1"/>
                <w:color w:val="auto"/>
              </w:rPr>
              <w:t>4,231</w:t>
            </w:r>
          </w:p>
        </w:tc>
        <w:tc>
          <w:tcPr>
            <w:tcW w:w="44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120"/>
              <w:spacing w:after="0" w:line="183" w:lineRule="exact"/>
              <w:rPr>
                <w:sz w:val="20"/>
                <w:szCs w:val="20"/>
                <w:color w:val="auto"/>
              </w:rPr>
            </w:pPr>
            <w:r>
              <w:rPr>
                <w:rFonts w:ascii="Arial" w:cs="Arial" w:eastAsia="Arial" w:hAnsi="Arial"/>
                <w:sz w:val="16"/>
                <w:szCs w:val="16"/>
                <w:color w:val="auto"/>
              </w:rPr>
              <w:t>1,969</w:t>
            </w:r>
          </w:p>
        </w:tc>
        <w:tc>
          <w:tcPr>
            <w:tcW w:w="4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101"/>
              <w:spacing w:after="0" w:line="183" w:lineRule="exact"/>
              <w:rPr>
                <w:sz w:val="20"/>
                <w:szCs w:val="20"/>
                <w:color w:val="auto"/>
              </w:rPr>
            </w:pPr>
            <w:r>
              <w:rPr>
                <w:rFonts w:ascii="Arial" w:cs="Arial" w:eastAsia="Arial" w:hAnsi="Arial"/>
                <w:sz w:val="16"/>
                <w:szCs w:val="16"/>
                <w:b w:val="1"/>
                <w:bCs w:val="1"/>
                <w:color w:val="auto"/>
              </w:rPr>
              <w:t>8,337</w:t>
            </w:r>
          </w:p>
        </w:tc>
        <w:tc>
          <w:tcPr>
            <w:tcW w:w="4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4,361</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Identifiable assets for the Company’s education division consist of the following:</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As of</w:t>
            </w: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8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60" w:type="dxa"/>
            <w:vAlign w:val="bottom"/>
          </w:tcPr>
          <w:p>
            <w:pPr>
              <w:jc w:val="right"/>
              <w:ind w:right="684"/>
              <w:spacing w:after="0" w:line="125" w:lineRule="exact"/>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0"/>
                <w:szCs w:val="10"/>
                <w:color w:val="auto"/>
              </w:rPr>
            </w:pPr>
          </w:p>
        </w:tc>
        <w:tc>
          <w:tcPr>
            <w:tcW w:w="1220" w:type="dxa"/>
            <w:vAlign w:val="bottom"/>
          </w:tcPr>
          <w:p>
            <w:pPr>
              <w:jc w:val="right"/>
              <w:ind w:right="223"/>
              <w:spacing w:after="0" w:line="125" w:lineRule="exact"/>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5"/>
        </w:trPr>
        <w:tc>
          <w:tcPr>
            <w:tcW w:w="82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thousands)</w:t>
            </w:r>
          </w:p>
        </w:tc>
        <w:tc>
          <w:tcPr>
            <w:tcW w:w="3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824"/>
              <w:spacing w:after="0"/>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184"/>
        </w:trPr>
        <w:tc>
          <w:tcPr>
            <w:tcW w:w="8240" w:type="dxa"/>
            <w:vAlign w:val="bottom"/>
          </w:tcPr>
          <w:p>
            <w:pPr>
              <w:spacing w:after="0"/>
              <w:rPr>
                <w:sz w:val="20"/>
                <w:szCs w:val="20"/>
                <w:color w:val="auto"/>
              </w:rPr>
            </w:pPr>
            <w:r>
              <w:rPr>
                <w:rFonts w:ascii="Arial" w:cs="Arial" w:eastAsia="Arial" w:hAnsi="Arial"/>
                <w:sz w:val="16"/>
                <w:szCs w:val="16"/>
                <w:color w:val="auto"/>
              </w:rPr>
              <w:t>Identifiable assets</w:t>
            </w:r>
          </w:p>
        </w:tc>
        <w:tc>
          <w:tcPr>
            <w:tcW w:w="32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w:t>
            </w:r>
          </w:p>
        </w:tc>
        <w:tc>
          <w:tcPr>
            <w:tcW w:w="1460" w:type="dxa"/>
            <w:vAlign w:val="bottom"/>
            <w:vMerge w:val="restart"/>
          </w:tcPr>
          <w:p>
            <w:pPr>
              <w:jc w:val="right"/>
              <w:ind w:right="264"/>
              <w:spacing w:after="0"/>
              <w:rPr>
                <w:sz w:val="20"/>
                <w:szCs w:val="20"/>
                <w:color w:val="auto"/>
              </w:rPr>
            </w:pPr>
            <w:r>
              <w:rPr>
                <w:rFonts w:ascii="Arial" w:cs="Arial" w:eastAsia="Arial" w:hAnsi="Arial"/>
                <w:sz w:val="16"/>
                <w:szCs w:val="16"/>
                <w:b w:val="1"/>
                <w:bCs w:val="1"/>
                <w:color w:val="auto"/>
              </w:rPr>
              <w:t>603,890</w:t>
            </w: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8240" w:type="dxa"/>
            <w:vAlign w:val="bottom"/>
          </w:tcPr>
          <w:p>
            <w:pPr>
              <w:ind w:left="240"/>
              <w:spacing w:after="0" w:line="169" w:lineRule="exact"/>
              <w:rPr>
                <w:sz w:val="20"/>
                <w:szCs w:val="20"/>
                <w:color w:val="auto"/>
              </w:rPr>
            </w:pPr>
            <w:r>
              <w:rPr>
                <w:rFonts w:ascii="Arial" w:cs="Arial" w:eastAsia="Arial" w:hAnsi="Arial"/>
                <w:sz w:val="16"/>
                <w:szCs w:val="16"/>
                <w:color w:val="auto"/>
              </w:rPr>
              <w:t>Higher education</w:t>
            </w:r>
          </w:p>
        </w:tc>
        <w:tc>
          <w:tcPr>
            <w:tcW w:w="32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180" w:type="dxa"/>
            <w:vAlign w:val="bottom"/>
          </w:tcPr>
          <w:p>
            <w:pPr>
              <w:jc w:val="right"/>
              <w:spacing w:after="0" w:line="169" w:lineRule="exact"/>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line="169" w:lineRule="exact"/>
              <w:rPr>
                <w:sz w:val="20"/>
                <w:szCs w:val="20"/>
                <w:color w:val="auto"/>
              </w:rPr>
            </w:pPr>
            <w:r>
              <w:rPr>
                <w:rFonts w:ascii="Arial" w:cs="Arial" w:eastAsia="Arial" w:hAnsi="Arial"/>
                <w:sz w:val="16"/>
                <w:szCs w:val="16"/>
                <w:color w:val="auto"/>
              </w:rPr>
              <w:t>949,260</w:t>
            </w:r>
          </w:p>
        </w:tc>
        <w:tc>
          <w:tcPr>
            <w:tcW w:w="0" w:type="dxa"/>
            <w:vAlign w:val="bottom"/>
          </w:tcPr>
          <w:p>
            <w:pPr>
              <w:spacing w:after="0"/>
              <w:rPr>
                <w:sz w:val="1"/>
                <w:szCs w:val="1"/>
                <w:color w:val="auto"/>
              </w:rPr>
            </w:pPr>
          </w:p>
        </w:tc>
      </w:tr>
      <w:tr>
        <w:trPr>
          <w:trHeight w:val="189"/>
        </w:trPr>
        <w:tc>
          <w:tcPr>
            <w:tcW w:w="8240" w:type="dxa"/>
            <w:vAlign w:val="bottom"/>
          </w:tcPr>
          <w:p>
            <w:pPr>
              <w:ind w:left="240"/>
              <w:spacing w:after="0"/>
              <w:rPr>
                <w:sz w:val="20"/>
                <w:szCs w:val="20"/>
                <w:color w:val="auto"/>
              </w:rPr>
            </w:pPr>
            <w:r>
              <w:rPr>
                <w:rFonts w:ascii="Arial" w:cs="Arial" w:eastAsia="Arial" w:hAnsi="Arial"/>
                <w:sz w:val="16"/>
                <w:szCs w:val="16"/>
                <w:color w:val="auto"/>
              </w:rPr>
              <w:t>Test preparation</w:t>
            </w:r>
          </w:p>
        </w:tc>
        <w:tc>
          <w:tcPr>
            <w:tcW w:w="320" w:type="dxa"/>
            <w:vAlign w:val="bottom"/>
          </w:tcPr>
          <w:p>
            <w:pPr>
              <w:spacing w:after="0"/>
              <w:rPr>
                <w:sz w:val="16"/>
                <w:szCs w:val="16"/>
                <w:color w:val="auto"/>
              </w:rPr>
            </w:pPr>
          </w:p>
        </w:tc>
        <w:tc>
          <w:tcPr>
            <w:tcW w:w="1460" w:type="dxa"/>
            <w:vAlign w:val="bottom"/>
          </w:tcPr>
          <w:p>
            <w:pPr>
              <w:jc w:val="right"/>
              <w:ind w:right="264"/>
              <w:spacing w:after="0"/>
              <w:rPr>
                <w:sz w:val="20"/>
                <w:szCs w:val="20"/>
                <w:color w:val="auto"/>
              </w:rPr>
            </w:pPr>
            <w:r>
              <w:rPr>
                <w:rFonts w:ascii="Arial" w:cs="Arial" w:eastAsia="Arial" w:hAnsi="Arial"/>
                <w:sz w:val="16"/>
                <w:szCs w:val="16"/>
                <w:b w:val="1"/>
                <w:bCs w:val="1"/>
                <w:color w:val="auto"/>
              </w:rPr>
              <w:t>185,196</w:t>
            </w: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197,672</w:t>
            </w:r>
          </w:p>
        </w:tc>
        <w:tc>
          <w:tcPr>
            <w:tcW w:w="0" w:type="dxa"/>
            <w:vAlign w:val="bottom"/>
          </w:tcPr>
          <w:p>
            <w:pPr>
              <w:spacing w:after="0"/>
              <w:rPr>
                <w:sz w:val="1"/>
                <w:szCs w:val="1"/>
                <w:color w:val="auto"/>
              </w:rPr>
            </w:pPr>
          </w:p>
        </w:tc>
      </w:tr>
      <w:tr>
        <w:trPr>
          <w:trHeight w:val="189"/>
        </w:trPr>
        <w:tc>
          <w:tcPr>
            <w:tcW w:w="8240" w:type="dxa"/>
            <w:vAlign w:val="bottom"/>
          </w:tcPr>
          <w:p>
            <w:pPr>
              <w:ind w:left="240"/>
              <w:spacing w:after="0"/>
              <w:rPr>
                <w:sz w:val="20"/>
                <w:szCs w:val="20"/>
                <w:color w:val="auto"/>
              </w:rPr>
            </w:pPr>
            <w:r>
              <w:rPr>
                <w:rFonts w:ascii="Arial" w:cs="Arial" w:eastAsia="Arial" w:hAnsi="Arial"/>
                <w:sz w:val="16"/>
                <w:szCs w:val="16"/>
                <w:color w:val="auto"/>
              </w:rPr>
              <w:t>Kaplan international</w:t>
            </w:r>
          </w:p>
        </w:tc>
        <w:tc>
          <w:tcPr>
            <w:tcW w:w="320" w:type="dxa"/>
            <w:vAlign w:val="bottom"/>
          </w:tcPr>
          <w:p>
            <w:pPr>
              <w:spacing w:after="0"/>
              <w:rPr>
                <w:sz w:val="16"/>
                <w:szCs w:val="16"/>
                <w:color w:val="auto"/>
              </w:rPr>
            </w:pPr>
          </w:p>
        </w:tc>
        <w:tc>
          <w:tcPr>
            <w:tcW w:w="1460" w:type="dxa"/>
            <w:vAlign w:val="bottom"/>
          </w:tcPr>
          <w:p>
            <w:pPr>
              <w:jc w:val="right"/>
              <w:ind w:right="264"/>
              <w:spacing w:after="0"/>
              <w:rPr>
                <w:sz w:val="20"/>
                <w:szCs w:val="20"/>
                <w:color w:val="auto"/>
              </w:rPr>
            </w:pPr>
            <w:r>
              <w:rPr>
                <w:rFonts w:ascii="Arial" w:cs="Arial" w:eastAsia="Arial" w:hAnsi="Arial"/>
                <w:sz w:val="16"/>
                <w:szCs w:val="16"/>
                <w:b w:val="1"/>
                <w:bCs w:val="1"/>
                <w:color w:val="auto"/>
              </w:rPr>
              <w:t>794,153</w:t>
            </w: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818,613</w:t>
            </w:r>
          </w:p>
        </w:tc>
        <w:tc>
          <w:tcPr>
            <w:tcW w:w="0" w:type="dxa"/>
            <w:vAlign w:val="bottom"/>
          </w:tcPr>
          <w:p>
            <w:pPr>
              <w:spacing w:after="0"/>
              <w:rPr>
                <w:sz w:val="1"/>
                <w:szCs w:val="1"/>
                <w:color w:val="auto"/>
              </w:rPr>
            </w:pPr>
          </w:p>
        </w:tc>
      </w:tr>
      <w:tr>
        <w:trPr>
          <w:trHeight w:val="207"/>
        </w:trPr>
        <w:tc>
          <w:tcPr>
            <w:tcW w:w="8240" w:type="dxa"/>
            <w:vAlign w:val="bottom"/>
          </w:tcPr>
          <w:p>
            <w:pPr>
              <w:ind w:left="240"/>
              <w:spacing w:after="0"/>
              <w:rPr>
                <w:sz w:val="20"/>
                <w:szCs w:val="20"/>
                <w:color w:val="auto"/>
              </w:rPr>
            </w:pPr>
            <w:r>
              <w:rPr>
                <w:rFonts w:ascii="Arial" w:cs="Arial" w:eastAsia="Arial" w:hAnsi="Arial"/>
                <w:sz w:val="16"/>
                <w:szCs w:val="16"/>
                <w:color w:val="auto"/>
              </w:rPr>
              <w:t>Kaplan corporate and other</w:t>
            </w:r>
          </w:p>
        </w:tc>
        <w:tc>
          <w:tcPr>
            <w:tcW w:w="3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264"/>
              <w:spacing w:after="0"/>
              <w:rPr>
                <w:sz w:val="20"/>
                <w:szCs w:val="20"/>
                <w:color w:val="auto"/>
              </w:rPr>
            </w:pPr>
            <w:r>
              <w:rPr>
                <w:rFonts w:ascii="Arial" w:cs="Arial" w:eastAsia="Arial" w:hAnsi="Arial"/>
                <w:sz w:val="16"/>
                <w:szCs w:val="16"/>
                <w:b w:val="1"/>
                <w:bCs w:val="1"/>
                <w:color w:val="auto"/>
              </w:rPr>
              <w:t>41,743</w:t>
            </w: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22,470</w:t>
            </w:r>
          </w:p>
        </w:tc>
        <w:tc>
          <w:tcPr>
            <w:tcW w:w="0" w:type="dxa"/>
            <w:vAlign w:val="bottom"/>
          </w:tcPr>
          <w:p>
            <w:pPr>
              <w:spacing w:after="0"/>
              <w:rPr>
                <w:sz w:val="1"/>
                <w:szCs w:val="1"/>
                <w:color w:val="auto"/>
              </w:rPr>
            </w:pPr>
          </w:p>
        </w:tc>
      </w:tr>
      <w:tr>
        <w:trPr>
          <w:trHeight w:val="183"/>
        </w:trPr>
        <w:tc>
          <w:tcPr>
            <w:tcW w:w="8240" w:type="dxa"/>
            <w:vAlign w:val="bottom"/>
          </w:tcPr>
          <w:p>
            <w:pPr>
              <w:spacing w:after="0"/>
              <w:rPr>
                <w:sz w:val="15"/>
                <w:szCs w:val="15"/>
                <w:color w:val="auto"/>
              </w:rPr>
            </w:pPr>
          </w:p>
        </w:tc>
        <w:tc>
          <w:tcPr>
            <w:tcW w:w="32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b w:val="1"/>
                <w:bCs w:val="1"/>
                <w:color w:val="auto"/>
              </w:rPr>
              <w:t>$</w:t>
            </w:r>
          </w:p>
        </w:tc>
        <w:tc>
          <w:tcPr>
            <w:tcW w:w="1460" w:type="dxa"/>
            <w:vAlign w:val="bottom"/>
            <w:tcBorders>
              <w:bottom w:val="single" w:sz="8" w:color="auto"/>
            </w:tcBorders>
          </w:tcPr>
          <w:p>
            <w:pPr>
              <w:jc w:val="right"/>
              <w:ind w:right="264"/>
              <w:spacing w:after="0" w:line="183" w:lineRule="exact"/>
              <w:rPr>
                <w:sz w:val="20"/>
                <w:szCs w:val="20"/>
                <w:color w:val="auto"/>
              </w:rPr>
            </w:pPr>
            <w:r>
              <w:rPr>
                <w:rFonts w:ascii="Arial" w:cs="Arial" w:eastAsia="Arial" w:hAnsi="Arial"/>
                <w:sz w:val="16"/>
                <w:szCs w:val="16"/>
                <w:b w:val="1"/>
                <w:bCs w:val="1"/>
                <w:color w:val="auto"/>
              </w:rPr>
              <w:t>1,624,982</w:t>
            </w:r>
          </w:p>
        </w:tc>
        <w:tc>
          <w:tcPr>
            <w:tcW w:w="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1,988,015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14. SUBSEQUENT EVENTS</w:t>
      </w:r>
    </w:p>
    <w:p>
      <w:pPr>
        <w:spacing w:after="0" w:line="22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 xml:space="preserve">On August 5, 2013, after approval by the Company’s Board of Directors on the same day, the Company entered into a binding letter agreement (the Letter Agreement) with Nash Holdings LLC, a Delaware limited liability company (the Purchaser), and Explore Holdings LLC, a Washington limited liability company, as guarantor (the Guarantor), pursuant to which the Purchaser will acquire all the issued and outstanding equity securities of each of WP Company LLC, Express Publications Company, LLC, El Tiempo Latino, LLC, Robinson Terminal Warehouse, LLC, Greater Washington Publishing, LLC and Post-Newsweek Media, LLC (the Publishing Subsidiaries). The Publishing Subsidiaries together conduct most of the Company’s publishing businesses, including publishing </w:t>
      </w:r>
      <w:r>
        <w:rPr>
          <w:rFonts w:ascii="Arial" w:cs="Arial" w:eastAsia="Arial" w:hAnsi="Arial"/>
          <w:sz w:val="18"/>
          <w:szCs w:val="18"/>
          <w:i w:val="1"/>
          <w:iCs w:val="1"/>
          <w:color w:val="auto"/>
        </w:rPr>
        <w:t>The Washington Post</w:t>
      </w:r>
      <w:r>
        <w:rPr>
          <w:rFonts w:ascii="Arial" w:cs="Arial" w:eastAsia="Arial" w:hAnsi="Arial"/>
          <w:sz w:val="18"/>
          <w:szCs w:val="18"/>
          <w:color w:val="auto"/>
        </w:rPr>
        <w:t xml:space="preserve">, </w:t>
      </w:r>
      <w:r>
        <w:rPr>
          <w:rFonts w:ascii="Arial" w:cs="Arial" w:eastAsia="Arial" w:hAnsi="Arial"/>
          <w:sz w:val="18"/>
          <w:szCs w:val="18"/>
          <w:i w:val="1"/>
          <w:iCs w:val="1"/>
          <w:color w:val="auto"/>
        </w:rPr>
        <w:t>Express</w:t>
      </w:r>
      <w:r>
        <w:rPr>
          <w:rFonts w:ascii="Arial" w:cs="Arial" w:eastAsia="Arial" w:hAnsi="Arial"/>
          <w:sz w:val="18"/>
          <w:szCs w:val="18"/>
          <w:color w:val="auto"/>
        </w:rPr>
        <w:t xml:space="preserve">, </w:t>
      </w:r>
      <w:r>
        <w:rPr>
          <w:rFonts w:ascii="Arial" w:cs="Arial" w:eastAsia="Arial" w:hAnsi="Arial"/>
          <w:sz w:val="18"/>
          <w:szCs w:val="18"/>
          <w:i w:val="1"/>
          <w:iCs w:val="1"/>
          <w:color w:val="auto"/>
        </w:rPr>
        <w:t>The Gazette Newspapers</w:t>
      </w:r>
      <w:r>
        <w:rPr>
          <w:rFonts w:ascii="Arial" w:cs="Arial" w:eastAsia="Arial" w:hAnsi="Arial"/>
          <w:sz w:val="18"/>
          <w:szCs w:val="18"/>
          <w:color w:val="auto"/>
        </w:rPr>
        <w:t xml:space="preserve">, </w:t>
      </w:r>
      <w:r>
        <w:rPr>
          <w:rFonts w:ascii="Arial" w:cs="Arial" w:eastAsia="Arial" w:hAnsi="Arial"/>
          <w:sz w:val="18"/>
          <w:szCs w:val="18"/>
          <w:i w:val="1"/>
          <w:iCs w:val="1"/>
          <w:color w:val="auto"/>
        </w:rPr>
        <w:t>Southern Maryland Newspapers</w:t>
      </w:r>
      <w:r>
        <w:rPr>
          <w:rFonts w:ascii="Arial" w:cs="Arial" w:eastAsia="Arial" w:hAnsi="Arial"/>
          <w:sz w:val="18"/>
          <w:szCs w:val="18"/>
          <w:color w:val="auto"/>
        </w:rPr>
        <w:t>,</w:t>
      </w:r>
      <w:r>
        <w:rPr>
          <w:rFonts w:ascii="Arial" w:cs="Arial" w:eastAsia="Arial" w:hAnsi="Arial"/>
          <w:sz w:val="18"/>
          <w:szCs w:val="18"/>
          <w:i w:val="1"/>
          <w:iCs w:val="1"/>
          <w:color w:val="auto"/>
        </w:rPr>
        <w:t xml:space="preserve"> Fairfax County Times </w:t>
      </w:r>
      <w:r>
        <w:rPr>
          <w:rFonts w:ascii="Arial" w:cs="Arial" w:eastAsia="Arial" w:hAnsi="Arial"/>
          <w:sz w:val="18"/>
          <w:szCs w:val="18"/>
          <w:color w:val="auto"/>
        </w:rPr>
        <w:t>and</w:t>
      </w:r>
      <w:r>
        <w:rPr>
          <w:rFonts w:ascii="Arial" w:cs="Arial" w:eastAsia="Arial" w:hAnsi="Arial"/>
          <w:sz w:val="18"/>
          <w:szCs w:val="18"/>
          <w:i w:val="1"/>
          <w:iCs w:val="1"/>
          <w:color w:val="auto"/>
        </w:rPr>
        <w:t xml:space="preserve"> El Tiempo Latino </w:t>
      </w:r>
      <w:r>
        <w:rPr>
          <w:rFonts w:ascii="Arial" w:cs="Arial" w:eastAsia="Arial" w:hAnsi="Arial"/>
          <w:sz w:val="18"/>
          <w:szCs w:val="18"/>
          <w:color w:val="auto"/>
        </w:rPr>
        <w:t>and related websites, and operating Washington Post Live and</w:t>
      </w:r>
      <w:r>
        <w:rPr>
          <w:rFonts w:ascii="Arial" w:cs="Arial" w:eastAsia="Arial" w:hAnsi="Arial"/>
          <w:sz w:val="18"/>
          <w:szCs w:val="18"/>
          <w:i w:val="1"/>
          <w:iCs w:val="1"/>
          <w:color w:val="auto"/>
        </w:rPr>
        <w:t xml:space="preserve"> </w:t>
      </w:r>
      <w:r>
        <w:rPr>
          <w:rFonts w:ascii="Arial" w:cs="Arial" w:eastAsia="Arial" w:hAnsi="Arial"/>
          <w:sz w:val="18"/>
          <w:szCs w:val="18"/>
          <w:color w:val="auto"/>
        </w:rPr>
        <w:t>Washington Post News Media Services and the Company’s commercial printing and distribution business and paper handling and storage business (collectively, the Publishing Business). The Purchaser will also acquire all other assets of the Company primarily related to the Publishing Business, including all of the Company’s rights in the name “The Washington Post”. The Company will change its corporate name within 60 days following the closing. The Purchaser will not acquire the Company’s interests in the Classified Ventures, LLC businesses, The Slate Group LLC, The FP Group, WaPo Labs and certain excluded real estate, including the Company headquarters building in downtown Washington, DC and certain land and property in Alexandria, VA. The liabilities under the Retirement Plan for The Washington Post Companies relating to the active employees of the Publishing Business will be transferred to the Purchaser, along with pension assets that have a value equal to the projected benefit obligation in respect of these active employees plus an additional $50 million.</w:t>
      </w:r>
    </w:p>
    <w:p>
      <w:pPr>
        <w:spacing w:after="0" w:line="188"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The Purchaser will pay an aggregate purchase price of $250 million in cash, subject to customary adjustments for working capital, target cash of $8.5 million and any outstanding debt of the Publishing Business. The Guarantor has agreed to guarantee the purchase price payment obligations of the Purchaser.</w:t>
      </w:r>
    </w:p>
    <w:p>
      <w:pPr>
        <w:spacing w:after="0" w:line="189" w:lineRule="exact"/>
        <w:rPr>
          <w:sz w:val="20"/>
          <w:szCs w:val="20"/>
          <w:color w:val="auto"/>
        </w:rPr>
      </w:pPr>
    </w:p>
    <w:p>
      <w:pPr>
        <w:jc w:val="both"/>
        <w:ind w:right="100"/>
        <w:spacing w:after="0" w:line="239" w:lineRule="auto"/>
        <w:rPr>
          <w:sz w:val="20"/>
          <w:szCs w:val="20"/>
          <w:color w:val="auto"/>
        </w:rPr>
      </w:pPr>
      <w:r>
        <w:rPr>
          <w:rFonts w:ascii="Arial" w:cs="Arial" w:eastAsia="Arial" w:hAnsi="Arial"/>
          <w:sz w:val="18"/>
          <w:szCs w:val="18"/>
          <w:color w:val="auto"/>
        </w:rPr>
        <w:t>Within 60 days of the date of the Letter Agreement, the Company and the Purchaser will prepare and execute a definitive Securities Purchase Agreement (the Purchase Agreement) providing for the transactions contemplated by the Letter Agreement on terms consistent with the Letter Agreement and containing other customary terms. If the parties cannot agree on the terms of the Purchase Agreement, an arbitrator selected by the parties will decide any disputed terms.</w:t>
      </w:r>
    </w:p>
    <w:p>
      <w:pPr>
        <w:spacing w:after="0" w:line="188"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The closing of the transactions is subject to customary closing conditions, including the expiration or termination of the required waiting period under the Hart-Scott-Rodino Antitrust Improvements Act of 1976.</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846" w:right="239" w:bottom="1440" w:gutter="0" w:footer="0" w:header="0"/>
        </w:sectPr>
      </w:pPr>
    </w:p>
    <w:bookmarkStart w:id="20" w:name="page21"/>
    <w:bookmarkEnd w:id="20"/>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Results of Operations and Financial Condition</w:t>
      </w:r>
    </w:p>
    <w:p>
      <w:pPr>
        <w:spacing w:after="0" w:line="193" w:lineRule="exact"/>
        <w:rPr>
          <w:sz w:val="20"/>
          <w:szCs w:val="20"/>
          <w:color w:val="auto"/>
        </w:rPr>
      </w:pPr>
    </w:p>
    <w:p>
      <w:pPr>
        <w:ind w:right="1860"/>
        <w:spacing w:after="0" w:line="469" w:lineRule="auto"/>
        <w:rPr>
          <w:sz w:val="20"/>
          <w:szCs w:val="20"/>
          <w:color w:val="auto"/>
        </w:rPr>
      </w:pPr>
      <w:r>
        <w:rPr>
          <w:rFonts w:ascii="Arial" w:cs="Arial" w:eastAsia="Arial" w:hAnsi="Arial"/>
          <w:sz w:val="18"/>
          <w:szCs w:val="18"/>
          <w:color w:val="auto"/>
        </w:rPr>
        <w:t xml:space="preserve">This analysis should be read in conjunction with the condensed consolidated financial statements and the notes thereto. </w:t>
      </w:r>
      <w:r>
        <w:rPr>
          <w:rFonts w:ascii="Arial" w:cs="Arial" w:eastAsia="Arial" w:hAnsi="Arial"/>
          <w:sz w:val="18"/>
          <w:szCs w:val="18"/>
          <w:b w:val="1"/>
          <w:bCs w:val="1"/>
          <w:i w:val="1"/>
          <w:iCs w:val="1"/>
          <w:color w:val="auto"/>
        </w:rPr>
        <w:t>Results of Operations</w:t>
      </w:r>
    </w:p>
    <w:p>
      <w:pPr>
        <w:spacing w:after="0" w:line="236" w:lineRule="auto"/>
        <w:rPr>
          <w:sz w:val="20"/>
          <w:szCs w:val="20"/>
          <w:color w:val="auto"/>
        </w:rPr>
      </w:pPr>
      <w:r>
        <w:rPr>
          <w:rFonts w:ascii="Arial" w:cs="Arial" w:eastAsia="Arial" w:hAnsi="Arial"/>
          <w:sz w:val="18"/>
          <w:szCs w:val="18"/>
          <w:color w:val="auto"/>
        </w:rPr>
        <w:t>The Company reported income from continuing operations attributable to common shares of $44.7 million ($6.02 per share) for the second</w:t>
      </w:r>
    </w:p>
    <w:p>
      <w:pPr>
        <w:spacing w:after="0" w:line="235" w:lineRule="auto"/>
        <w:rPr>
          <w:sz w:val="20"/>
          <w:szCs w:val="20"/>
          <w:color w:val="auto"/>
        </w:rPr>
      </w:pPr>
      <w:r>
        <w:rPr>
          <w:rFonts w:ascii="Arial" w:cs="Arial" w:eastAsia="Arial" w:hAnsi="Arial"/>
          <w:sz w:val="18"/>
          <w:szCs w:val="18"/>
          <w:color w:val="auto"/>
        </w:rPr>
        <w:t>quarter of 2013, compared to $36.1 million ($4.76 per share) for the second quarter of 2012. Net income attributable to common shares was</w:t>
      </w:r>
    </w:p>
    <w:p>
      <w:pPr>
        <w:spacing w:after="0" w:line="235" w:lineRule="auto"/>
        <w:rPr>
          <w:sz w:val="20"/>
          <w:szCs w:val="20"/>
          <w:color w:val="auto"/>
        </w:rPr>
      </w:pPr>
      <w:r>
        <w:rPr>
          <w:rFonts w:ascii="Arial" w:cs="Arial" w:eastAsia="Arial" w:hAnsi="Arial"/>
          <w:sz w:val="18"/>
          <w:szCs w:val="18"/>
          <w:color w:val="auto"/>
        </w:rPr>
        <w:t>$44.7 million ($6.02 per share) for the second quarter ended June 30, 2013, compared to $51.8 million ($6.84 per share) for the second quarter</w:t>
      </w:r>
    </w:p>
    <w:p>
      <w:pPr>
        <w:spacing w:after="0"/>
        <w:rPr>
          <w:sz w:val="20"/>
          <w:szCs w:val="20"/>
          <w:color w:val="auto"/>
        </w:rPr>
      </w:pPr>
      <w:r>
        <w:rPr>
          <w:rFonts w:ascii="Arial" w:cs="Arial" w:eastAsia="Arial" w:hAnsi="Arial"/>
          <w:sz w:val="18"/>
          <w:szCs w:val="18"/>
          <w:color w:val="auto"/>
        </w:rPr>
        <w:t>of last year. Net income for the second quarter of 2012 includes $15.8 million ($2.08 per share) in income from discontinued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income from continuing operations for the second quarter of 2013:</w:t>
      </w:r>
    </w:p>
    <w:p>
      <w:pPr>
        <w:spacing w:after="0" w:line="158" w:lineRule="exact"/>
        <w:rPr>
          <w:sz w:val="20"/>
          <w:szCs w:val="20"/>
          <w:color w:val="auto"/>
        </w:rPr>
      </w:pPr>
    </w:p>
    <w:p>
      <w:pPr>
        <w:ind w:left="340" w:right="20" w:hanging="164"/>
        <w:spacing w:after="0" w:line="262" w:lineRule="auto"/>
        <w:tabs>
          <w:tab w:leader="none" w:pos="293" w:val="left"/>
        </w:tabs>
        <w:numPr>
          <w:ilvl w:val="0"/>
          <w:numId w:val="7"/>
        </w:numPr>
        <w:rPr>
          <w:rFonts w:ascii="Arial" w:cs="Arial" w:eastAsia="Arial" w:hAnsi="Arial"/>
          <w:sz w:val="18"/>
          <w:szCs w:val="18"/>
          <w:color w:val="auto"/>
        </w:rPr>
      </w:pPr>
      <w:r>
        <w:rPr>
          <w:rFonts w:ascii="Arial" w:cs="Arial" w:eastAsia="Arial" w:hAnsi="Arial"/>
          <w:sz w:val="18"/>
          <w:szCs w:val="18"/>
          <w:color w:val="auto"/>
        </w:rPr>
        <w:t>$14.0 million in early retirement, severance and restructuring charges at the newspaper publishing and education divisions (after-tax impact of $9.8 million, or $1.34 per share); and</w:t>
      </w:r>
    </w:p>
    <w:p>
      <w:pPr>
        <w:spacing w:after="0" w:line="47" w:lineRule="exact"/>
        <w:rPr>
          <w:rFonts w:ascii="Arial" w:cs="Arial" w:eastAsia="Arial" w:hAnsi="Arial"/>
          <w:sz w:val="18"/>
          <w:szCs w:val="18"/>
          <w:color w:val="auto"/>
        </w:rPr>
      </w:pPr>
    </w:p>
    <w:p>
      <w:pPr>
        <w:ind w:left="300" w:hanging="130"/>
        <w:spacing w:after="0"/>
        <w:tabs>
          <w:tab w:leader="none" w:pos="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$12.6 million in non-operating unrealized foreign currency losses (after-tax impact of $8.1 million, or $1.11 per share).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income from continuing operations for the second quarter of 2012:</w:t>
      </w:r>
    </w:p>
    <w:p>
      <w:pPr>
        <w:spacing w:after="0" w:line="158" w:lineRule="exact"/>
        <w:rPr>
          <w:sz w:val="20"/>
          <w:szCs w:val="20"/>
          <w:color w:val="auto"/>
        </w:rPr>
      </w:pPr>
    </w:p>
    <w:p>
      <w:pPr>
        <w:ind w:left="340" w:right="120" w:hanging="164"/>
        <w:spacing w:after="0" w:line="262" w:lineRule="auto"/>
        <w:tabs>
          <w:tab w:leader="none" w:pos="293" w:val="left"/>
        </w:tabs>
        <w:numPr>
          <w:ilvl w:val="0"/>
          <w:numId w:val="8"/>
        </w:numPr>
        <w:rPr>
          <w:rFonts w:ascii="Arial" w:cs="Arial" w:eastAsia="Arial" w:hAnsi="Arial"/>
          <w:sz w:val="18"/>
          <w:szCs w:val="18"/>
          <w:color w:val="auto"/>
        </w:rPr>
      </w:pPr>
      <w:r>
        <w:rPr>
          <w:rFonts w:ascii="Arial" w:cs="Arial" w:eastAsia="Arial" w:hAnsi="Arial"/>
          <w:sz w:val="18"/>
          <w:szCs w:val="18"/>
          <w:color w:val="auto"/>
        </w:rPr>
        <w:t>$8.4 million in early retirement, severance and restructuring charges at the newspaper publishing and education divisions (after-tax impact of $5.2 million, or $0.69 per share); and</w:t>
      </w:r>
    </w:p>
    <w:p>
      <w:pPr>
        <w:spacing w:after="0" w:line="47" w:lineRule="exact"/>
        <w:rPr>
          <w:rFonts w:ascii="Arial" w:cs="Arial" w:eastAsia="Arial" w:hAnsi="Arial"/>
          <w:sz w:val="18"/>
          <w:szCs w:val="18"/>
          <w:color w:val="auto"/>
        </w:rPr>
      </w:pPr>
    </w:p>
    <w:p>
      <w:pPr>
        <w:ind w:left="300" w:hanging="124"/>
        <w:spacing w:after="0"/>
        <w:tabs>
          <w:tab w:leader="none" w:pos="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$2.6 million in non-operating unrealized foreign currency losses (after-tax impact of $1.6 million, or $0.21 per share).</w:t>
      </w:r>
    </w:p>
    <w:p>
      <w:pPr>
        <w:spacing w:after="0" w:line="21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Revenue for the second quarter of 2013 was $1,021.9 million, up 3% from $989.1 million in the second quarter of 2012. The Company reported operating income of $93.1 million in the second quarter of 2013, compared to operating income of $63.0 million in the second quarter of 2012. Revenues increased at the cable television and television broadcasting divisions and in other businesses, offset by small declines at the education and newspaper publishing divisions. Operating results improved at the education, cable television and television broadcasting divisions. Excluding early retirement program expense, operating results also improved at the newspaper publishing division.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For the first six months of 2013, the Company reported income from continuing operations attributable to common shares of $50.8 million</w:t>
      </w:r>
    </w:p>
    <w:p>
      <w:pPr>
        <w:ind w:right="100"/>
        <w:spacing w:after="0" w:line="238" w:lineRule="auto"/>
        <w:rPr>
          <w:sz w:val="20"/>
          <w:szCs w:val="20"/>
          <w:color w:val="auto"/>
        </w:rPr>
      </w:pPr>
      <w:r>
        <w:rPr>
          <w:rFonts w:ascii="Arial" w:cs="Arial" w:eastAsia="Arial" w:hAnsi="Arial"/>
          <w:sz w:val="18"/>
          <w:szCs w:val="18"/>
          <w:color w:val="auto"/>
        </w:rPr>
        <w:t>($6.84 per share), compared to $49.5 million ($6.48 per share) for the first six months of 2012. Net income attributable to common shares was $49.4 million ($6.66 per share) for the first six months of 2013, compared to $82.9 million ($10.87 per share) for the same period of 2012. Net income includes $1.4 million ($0.18 per share) in losses from discontinued operations and $33.3 million ($4.39 per share) in income from discontinued operations for the first six months of 2013 and 2012, respectively (refer to “Discontinued Operations” discussion below). As a result of the Company’s share repurchases, there were 4% fewer diluted average shares outstanding in the first six months of 2013.</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income from continuing operations for the first six months of 2013:</w:t>
      </w:r>
    </w:p>
    <w:p>
      <w:pPr>
        <w:spacing w:after="0" w:line="158" w:lineRule="exact"/>
        <w:rPr>
          <w:sz w:val="20"/>
          <w:szCs w:val="20"/>
          <w:color w:val="auto"/>
        </w:rPr>
      </w:pPr>
    </w:p>
    <w:p>
      <w:pPr>
        <w:ind w:left="340" w:right="120" w:hanging="164"/>
        <w:spacing w:after="0" w:line="262" w:lineRule="auto"/>
        <w:tabs>
          <w:tab w:leader="none" w:pos="293" w:val="left"/>
        </w:tabs>
        <w:numPr>
          <w:ilvl w:val="0"/>
          <w:numId w:val="9"/>
        </w:numPr>
        <w:rPr>
          <w:rFonts w:ascii="Arial" w:cs="Arial" w:eastAsia="Arial" w:hAnsi="Arial"/>
          <w:sz w:val="18"/>
          <w:szCs w:val="18"/>
          <w:color w:val="auto"/>
        </w:rPr>
      </w:pPr>
      <w:r>
        <w:rPr>
          <w:rFonts w:ascii="Arial" w:cs="Arial" w:eastAsia="Arial" w:hAnsi="Arial"/>
          <w:sz w:val="18"/>
          <w:szCs w:val="18"/>
          <w:color w:val="auto"/>
        </w:rPr>
        <w:t>$39.3 million in early retirement, severance and restructuring charges at the newspaper publishing division and Kaplan (after-tax impact of $26.0 million, or $3.57 per share); and</w:t>
      </w:r>
    </w:p>
    <w:p>
      <w:pPr>
        <w:spacing w:after="0" w:line="61" w:lineRule="exact"/>
        <w:rPr>
          <w:rFonts w:ascii="Arial" w:cs="Arial" w:eastAsia="Arial" w:hAnsi="Arial"/>
          <w:sz w:val="18"/>
          <w:szCs w:val="18"/>
          <w:color w:val="auto"/>
        </w:rPr>
      </w:pPr>
    </w:p>
    <w:p>
      <w:pPr>
        <w:ind w:left="300" w:hanging="130"/>
        <w:spacing w:after="0"/>
        <w:tabs>
          <w:tab w:leader="none" w:pos="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$17.2 million in non-operating unrealized foreign currency losses (after-tax impact of $11.0 million, or $1.52 per share).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income from continuing operations for the first six months of 2012:</w:t>
      </w:r>
    </w:p>
    <w:p>
      <w:pPr>
        <w:spacing w:after="0" w:line="158" w:lineRule="exact"/>
        <w:rPr>
          <w:sz w:val="20"/>
          <w:szCs w:val="20"/>
          <w:color w:val="auto"/>
        </w:rPr>
      </w:pPr>
    </w:p>
    <w:p>
      <w:pPr>
        <w:ind w:left="340" w:right="120" w:hanging="164"/>
        <w:spacing w:after="0" w:line="262" w:lineRule="auto"/>
        <w:tabs>
          <w:tab w:leader="none" w:pos="293" w:val="left"/>
        </w:tabs>
        <w:numPr>
          <w:ilvl w:val="0"/>
          <w:numId w:val="10"/>
        </w:numPr>
        <w:rPr>
          <w:rFonts w:ascii="Arial" w:cs="Arial" w:eastAsia="Arial" w:hAnsi="Arial"/>
          <w:sz w:val="18"/>
          <w:szCs w:val="18"/>
          <w:color w:val="auto"/>
        </w:rPr>
      </w:pPr>
      <w:r>
        <w:rPr>
          <w:rFonts w:ascii="Arial" w:cs="Arial" w:eastAsia="Arial" w:hAnsi="Arial"/>
          <w:sz w:val="18"/>
          <w:szCs w:val="18"/>
          <w:color w:val="auto"/>
        </w:rPr>
        <w:t>$10.2 million in severance, early retirement and restructuring charges at Kaplan and the newspaper publishing division (after-tax impact of $6.4 million, or $0.84 per share); and</w:t>
      </w:r>
    </w:p>
    <w:p>
      <w:pPr>
        <w:spacing w:after="0" w:line="61" w:lineRule="exact"/>
        <w:rPr>
          <w:rFonts w:ascii="Arial" w:cs="Arial" w:eastAsia="Arial" w:hAnsi="Arial"/>
          <w:sz w:val="18"/>
          <w:szCs w:val="18"/>
          <w:color w:val="auto"/>
        </w:rPr>
      </w:pPr>
    </w:p>
    <w:p>
      <w:pPr>
        <w:ind w:left="300" w:hanging="124"/>
        <w:spacing w:after="0"/>
        <w:tabs>
          <w:tab w:leader="none" w:pos="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$5.8 million gain on the sale of a cost method investment (after-tax impact of $3.7 million, or $0.48 per share).</w:t>
      </w:r>
    </w:p>
    <w:p>
      <w:pPr>
        <w:spacing w:after="0" w:line="212"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Revenue for the first six months of 2013 was $1,981.0 million, up 2% from $1,944.6 million in the first six months of 2012. Revenues increased at the cable television and television broadcasting divisions and in other businesses, offset by declines at the education and newspaper publishing divisions. The Company reported operating income of $116.1 million for the first six months of 2013, compared to $84.3 million for the first six months of 2012. Operating results improved at the education, cable television and television broadcasting divisions. Excluding early retirement program expense, operating results also improved at the newspaper publishing division.</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846" w:right="2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auto"/>
        </w:rPr>
        <w:t>Division Results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Education</w:t>
      </w:r>
    </w:p>
    <w:p>
      <w:pPr>
        <w:spacing w:after="0" w:line="180" w:lineRule="exact"/>
        <w:rPr>
          <w:sz w:val="20"/>
          <w:szCs w:val="20"/>
          <w:color w:val="auto"/>
        </w:rPr>
      </w:pPr>
    </w:p>
    <w:p>
      <w:pPr>
        <w:ind w:right="260"/>
        <w:spacing w:after="0"/>
        <w:rPr>
          <w:sz w:val="20"/>
          <w:szCs w:val="20"/>
          <w:color w:val="auto"/>
        </w:rPr>
      </w:pPr>
      <w:r>
        <w:rPr>
          <w:rFonts w:ascii="Arial" w:cs="Arial" w:eastAsia="Arial" w:hAnsi="Arial"/>
          <w:sz w:val="18"/>
          <w:szCs w:val="18"/>
          <w:color w:val="auto"/>
        </w:rPr>
        <w:t>Education division revenue totaled $548.2 million for the second quarter of 2013, a 1% decline from revenue of $551.8 million for the second quarter of 2012. Kaplan reported second quarter 2013 operating income of $23.7 million, compared to $3.7 million in the second quarter of 2012.</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the first six months of 2013, education division revenue totaled $1,076.0 million, a 2% decline from revenue of $1,098.5 million for the same period of 2012. Kaplan reported operating income of $19.7 million for the first six months of 2013, compared to an operating loss of $8.2 million for the first six months of 2012.</w:t>
      </w:r>
    </w:p>
    <w:p>
      <w:pPr>
        <w:spacing w:after="0" w:line="149"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In response to student demand levels, Kaplan has formulated and implemented restructuring plans at its various businesses, with the objective of establishing lower cost levels in future periods. Across all businesses, restructuring costs totaled $4.9 million and $14.4 million in the second quarter and first six months of 2013, respectively, compared to $5.0 million in the second quarter and first six months of 2012. Kaplan currently expects to incur approximately $10 million in additional restructuring costs for the remainder of 2013 at Kaplan Higher Education (KHE) and Kaplan International in conjunction with completing these restructuring plans. Kaplan may also incur additional restructuring charges in 2013 as Kaplan management continues to evaluate its cost structure.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A summary of Kaplan’s operating results for the second quarter and the first six months of 2013 compared to 2012 is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78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36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4"/>
                <w:szCs w:val="14"/>
                <w:b w:val="1"/>
                <w:bCs w:val="1"/>
                <w:color w:val="auto"/>
              </w:rPr>
              <w:t>Three Months Ended June 30,</w:t>
            </w:r>
          </w:p>
        </w:tc>
        <w:tc>
          <w:tcPr>
            <w:tcW w:w="1160" w:type="dxa"/>
            <w:vAlign w:val="bottom"/>
            <w:vMerge w:val="restart"/>
          </w:tcPr>
          <w:p>
            <w:pPr>
              <w:jc w:val="right"/>
              <w:ind w:right="240"/>
              <w:spacing w:after="0"/>
              <w:rPr>
                <w:sz w:val="20"/>
                <w:szCs w:val="20"/>
                <w:color w:val="auto"/>
              </w:rPr>
            </w:pPr>
            <w:r>
              <w:rPr>
                <w:rFonts w:ascii="Arial" w:cs="Arial" w:eastAsia="Arial" w:hAnsi="Arial"/>
                <w:sz w:val="14"/>
                <w:szCs w:val="14"/>
                <w:color w:val="auto"/>
              </w:rPr>
              <w:t>% Change</w:t>
            </w:r>
          </w:p>
        </w:tc>
        <w:tc>
          <w:tcPr>
            <w:tcW w:w="3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b w:val="1"/>
                <w:bCs w:val="1"/>
                <w:color w:val="auto"/>
              </w:rPr>
              <w:t>Six Months Ended June 30,</w:t>
            </w:r>
          </w:p>
        </w:tc>
        <w:tc>
          <w:tcPr>
            <w:tcW w:w="1020" w:type="dxa"/>
            <w:vAlign w:val="bottom"/>
            <w:vMerge w:val="restart"/>
          </w:tcPr>
          <w:p>
            <w:pPr>
              <w:jc w:val="right"/>
              <w:ind w:right="120"/>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42"/>
        </w:trPr>
        <w:tc>
          <w:tcPr>
            <w:tcW w:w="3780" w:type="dxa"/>
            <w:vAlign w:val="bottom"/>
            <w:tcBorders>
              <w:bottom w:val="single" w:sz="8" w:color="auto"/>
            </w:tcBorders>
            <w:vMerge w:val="continue"/>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81"/>
              <w:spacing w:after="0" w:line="142" w:lineRule="exact"/>
              <w:rPr>
                <w:sz w:val="20"/>
                <w:szCs w:val="20"/>
                <w:color w:val="auto"/>
              </w:rPr>
            </w:pPr>
            <w:r>
              <w:rPr>
                <w:rFonts w:ascii="Arial" w:cs="Arial" w:eastAsia="Arial" w:hAnsi="Arial"/>
                <w:sz w:val="14"/>
                <w:szCs w:val="14"/>
                <w:b w:val="1"/>
                <w:bCs w:val="1"/>
                <w:color w:val="auto"/>
              </w:rPr>
              <w:t>2013</w:t>
            </w:r>
          </w:p>
        </w:tc>
        <w:tc>
          <w:tcPr>
            <w:tcW w:w="4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80"/>
              <w:spacing w:after="0" w:line="142" w:lineRule="exact"/>
              <w:rPr>
                <w:sz w:val="20"/>
                <w:szCs w:val="20"/>
                <w:color w:val="auto"/>
              </w:rPr>
            </w:pPr>
            <w:r>
              <w:rPr>
                <w:rFonts w:ascii="Arial" w:cs="Arial" w:eastAsia="Arial" w:hAnsi="Arial"/>
                <w:sz w:val="14"/>
                <w:szCs w:val="14"/>
                <w:color w:val="auto"/>
              </w:rPr>
              <w:t>2012</w:t>
            </w:r>
          </w:p>
        </w:tc>
        <w:tc>
          <w:tcPr>
            <w:tcW w:w="1160" w:type="dxa"/>
            <w:vAlign w:val="bottom"/>
            <w:tcBorders>
              <w:bottom w:val="single" w:sz="8" w:color="auto"/>
            </w:tcBorders>
            <w:vMerge w:val="continue"/>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21"/>
              <w:spacing w:after="0" w:line="142" w:lineRule="exact"/>
              <w:rPr>
                <w:sz w:val="20"/>
                <w:szCs w:val="20"/>
                <w:color w:val="auto"/>
              </w:rPr>
            </w:pPr>
            <w:r>
              <w:rPr>
                <w:rFonts w:ascii="Arial" w:cs="Arial" w:eastAsia="Arial" w:hAnsi="Arial"/>
                <w:sz w:val="14"/>
                <w:szCs w:val="14"/>
                <w:b w:val="1"/>
                <w:bCs w:val="1"/>
                <w:color w:val="auto"/>
              </w:rPr>
              <w:t>2013</w:t>
            </w:r>
          </w:p>
        </w:tc>
        <w:tc>
          <w:tcPr>
            <w:tcW w:w="3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00"/>
              <w:spacing w:after="0" w:line="142" w:lineRule="exact"/>
              <w:rPr>
                <w:sz w:val="20"/>
                <w:szCs w:val="20"/>
                <w:color w:val="auto"/>
              </w:rPr>
            </w:pPr>
            <w:r>
              <w:rPr>
                <w:rFonts w:ascii="Arial" w:cs="Arial" w:eastAsia="Arial" w:hAnsi="Arial"/>
                <w:sz w:val="14"/>
                <w:szCs w:val="14"/>
                <w:color w:val="auto"/>
              </w:rPr>
              <w:t>2012</w:t>
            </w:r>
          </w:p>
        </w:tc>
        <w:tc>
          <w:tcPr>
            <w:tcW w:w="10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3780" w:type="dxa"/>
            <w:vAlign w:val="bottom"/>
          </w:tcPr>
          <w:p>
            <w:pPr>
              <w:spacing w:after="0"/>
              <w:rPr>
                <w:sz w:val="20"/>
                <w:szCs w:val="20"/>
                <w:color w:val="auto"/>
              </w:rPr>
            </w:pPr>
            <w:r>
              <w:rPr>
                <w:rFonts w:ascii="Arial" w:cs="Arial" w:eastAsia="Arial" w:hAnsi="Arial"/>
                <w:sz w:val="16"/>
                <w:szCs w:val="16"/>
                <w:b w:val="1"/>
                <w:bCs w:val="1"/>
                <w:color w:val="auto"/>
              </w:rPr>
              <w:t>Revenue</w:t>
            </w:r>
          </w:p>
        </w:tc>
        <w:tc>
          <w:tcPr>
            <w:tcW w:w="36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w:t>
            </w:r>
          </w:p>
        </w:tc>
        <w:tc>
          <w:tcPr>
            <w:tcW w:w="1080" w:type="dxa"/>
            <w:vAlign w:val="bottom"/>
            <w:vMerge w:val="restart"/>
          </w:tcPr>
          <w:p>
            <w:pPr>
              <w:jc w:val="right"/>
              <w:ind w:right="121"/>
              <w:spacing w:after="0"/>
              <w:rPr>
                <w:sz w:val="20"/>
                <w:szCs w:val="20"/>
                <w:color w:val="auto"/>
              </w:rPr>
            </w:pPr>
            <w:r>
              <w:rPr>
                <w:rFonts w:ascii="Arial" w:cs="Arial" w:eastAsia="Arial" w:hAnsi="Arial"/>
                <w:sz w:val="16"/>
                <w:szCs w:val="16"/>
                <w:b w:val="1"/>
                <w:bCs w:val="1"/>
                <w:color w:val="auto"/>
              </w:rPr>
              <w:t>273,092</w:t>
            </w: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2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w:t>
            </w:r>
          </w:p>
        </w:tc>
        <w:tc>
          <w:tcPr>
            <w:tcW w:w="1020" w:type="dxa"/>
            <w:vAlign w:val="bottom"/>
            <w:vMerge w:val="restart"/>
          </w:tcPr>
          <w:p>
            <w:pPr>
              <w:jc w:val="right"/>
              <w:ind w:right="61"/>
              <w:spacing w:after="0"/>
              <w:rPr>
                <w:sz w:val="20"/>
                <w:szCs w:val="20"/>
                <w:color w:val="auto"/>
              </w:rPr>
            </w:pPr>
            <w:r>
              <w:rPr>
                <w:rFonts w:ascii="Arial" w:cs="Arial" w:eastAsia="Arial" w:hAnsi="Arial"/>
                <w:sz w:val="16"/>
                <w:szCs w:val="16"/>
                <w:b w:val="1"/>
                <w:bCs w:val="1"/>
                <w:color w:val="auto"/>
              </w:rPr>
              <w:t>544,952</w:t>
            </w: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780" w:type="dxa"/>
            <w:vAlign w:val="bottom"/>
          </w:tcPr>
          <w:p>
            <w:pPr>
              <w:ind w:left="240"/>
              <w:spacing w:after="0" w:line="169" w:lineRule="exact"/>
              <w:rPr>
                <w:sz w:val="20"/>
                <w:szCs w:val="20"/>
                <w:color w:val="auto"/>
              </w:rPr>
            </w:pPr>
            <w:r>
              <w:rPr>
                <w:rFonts w:ascii="Arial" w:cs="Arial" w:eastAsia="Arial" w:hAnsi="Arial"/>
                <w:sz w:val="16"/>
                <w:szCs w:val="16"/>
                <w:color w:val="auto"/>
              </w:rPr>
              <w:t>Higher education</w:t>
            </w:r>
          </w:p>
        </w:tc>
        <w:tc>
          <w:tcPr>
            <w:tcW w:w="3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440" w:type="dxa"/>
            <w:vAlign w:val="bottom"/>
          </w:tcPr>
          <w:p>
            <w:pPr>
              <w:jc w:val="right"/>
              <w:ind w:right="59"/>
              <w:spacing w:after="0" w:line="169" w:lineRule="exact"/>
              <w:rPr>
                <w:sz w:val="20"/>
                <w:szCs w:val="20"/>
                <w:color w:val="auto"/>
              </w:rPr>
            </w:pPr>
            <w:r>
              <w:rPr>
                <w:rFonts w:ascii="Arial" w:cs="Arial" w:eastAsia="Arial" w:hAnsi="Arial"/>
                <w:sz w:val="16"/>
                <w:szCs w:val="16"/>
                <w:color w:val="auto"/>
              </w:rPr>
              <w:t>$</w:t>
            </w:r>
          </w:p>
        </w:tc>
        <w:tc>
          <w:tcPr>
            <w:tcW w:w="1000" w:type="dxa"/>
            <w:vAlign w:val="bottom"/>
          </w:tcPr>
          <w:p>
            <w:pPr>
              <w:jc w:val="right"/>
              <w:spacing w:after="0" w:line="169" w:lineRule="exact"/>
              <w:rPr>
                <w:sz w:val="20"/>
                <w:szCs w:val="20"/>
                <w:color w:val="auto"/>
              </w:rPr>
            </w:pPr>
            <w:r>
              <w:rPr>
                <w:rFonts w:ascii="Arial" w:cs="Arial" w:eastAsia="Arial" w:hAnsi="Arial"/>
                <w:sz w:val="16"/>
                <w:szCs w:val="16"/>
                <w:color w:val="auto"/>
              </w:rPr>
              <w:t>290,861</w:t>
            </w:r>
          </w:p>
        </w:tc>
        <w:tc>
          <w:tcPr>
            <w:tcW w:w="1160" w:type="dxa"/>
            <w:vAlign w:val="bottom"/>
          </w:tcPr>
          <w:p>
            <w:pPr>
              <w:jc w:val="right"/>
              <w:ind w:right="420"/>
              <w:spacing w:after="0" w:line="169" w:lineRule="exact"/>
              <w:rPr>
                <w:sz w:val="20"/>
                <w:szCs w:val="20"/>
                <w:color w:val="auto"/>
              </w:rPr>
            </w:pPr>
            <w:r>
              <w:rPr>
                <w:rFonts w:ascii="Arial" w:cs="Arial" w:eastAsia="Arial" w:hAnsi="Arial"/>
                <w:sz w:val="16"/>
                <w:szCs w:val="16"/>
                <w:color w:val="auto"/>
              </w:rPr>
              <w:t>(6)</w:t>
            </w:r>
          </w:p>
        </w:tc>
        <w:tc>
          <w:tcPr>
            <w:tcW w:w="32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340" w:type="dxa"/>
            <w:vAlign w:val="bottom"/>
          </w:tcPr>
          <w:p>
            <w:pPr>
              <w:jc w:val="right"/>
              <w:ind w:right="39"/>
              <w:spacing w:after="0" w:line="169" w:lineRule="exact"/>
              <w:rPr>
                <w:sz w:val="20"/>
                <w:szCs w:val="20"/>
                <w:color w:val="auto"/>
              </w:rPr>
            </w:pPr>
            <w:r>
              <w:rPr>
                <w:rFonts w:ascii="Arial" w:cs="Arial" w:eastAsia="Arial" w:hAnsi="Arial"/>
                <w:sz w:val="16"/>
                <w:szCs w:val="16"/>
                <w:color w:val="auto"/>
              </w:rPr>
              <w:t>$</w:t>
            </w:r>
          </w:p>
        </w:tc>
        <w:tc>
          <w:tcPr>
            <w:tcW w:w="900" w:type="dxa"/>
            <w:vAlign w:val="bottom"/>
          </w:tcPr>
          <w:p>
            <w:pPr>
              <w:jc w:val="right"/>
              <w:spacing w:after="0" w:line="169" w:lineRule="exact"/>
              <w:rPr>
                <w:sz w:val="20"/>
                <w:szCs w:val="20"/>
                <w:color w:val="auto"/>
              </w:rPr>
            </w:pPr>
            <w:r>
              <w:rPr>
                <w:rFonts w:ascii="Arial" w:cs="Arial" w:eastAsia="Arial" w:hAnsi="Arial"/>
                <w:sz w:val="16"/>
                <w:szCs w:val="16"/>
                <w:color w:val="auto"/>
              </w:rPr>
              <w:t>599,245</w:t>
            </w:r>
          </w:p>
        </w:tc>
        <w:tc>
          <w:tcPr>
            <w:tcW w:w="1020" w:type="dxa"/>
            <w:vAlign w:val="bottom"/>
          </w:tcPr>
          <w:p>
            <w:pPr>
              <w:jc w:val="right"/>
              <w:ind w:right="300"/>
              <w:spacing w:after="0" w:line="169" w:lineRule="exact"/>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89"/>
        </w:trPr>
        <w:tc>
          <w:tcPr>
            <w:tcW w:w="3780" w:type="dxa"/>
            <w:vAlign w:val="bottom"/>
          </w:tcPr>
          <w:p>
            <w:pPr>
              <w:ind w:left="240"/>
              <w:spacing w:after="0"/>
              <w:rPr>
                <w:sz w:val="20"/>
                <w:szCs w:val="20"/>
                <w:color w:val="auto"/>
              </w:rPr>
            </w:pPr>
            <w:r>
              <w:rPr>
                <w:rFonts w:ascii="Arial" w:cs="Arial" w:eastAsia="Arial" w:hAnsi="Arial"/>
                <w:sz w:val="16"/>
                <w:szCs w:val="16"/>
                <w:color w:val="auto"/>
              </w:rPr>
              <w:t>Test preparation</w:t>
            </w:r>
          </w:p>
        </w:tc>
        <w:tc>
          <w:tcPr>
            <w:tcW w:w="360" w:type="dxa"/>
            <w:vAlign w:val="bottom"/>
          </w:tcPr>
          <w:p>
            <w:pPr>
              <w:spacing w:after="0"/>
              <w:rPr>
                <w:sz w:val="16"/>
                <w:szCs w:val="16"/>
                <w:color w:val="auto"/>
              </w:rPr>
            </w:pPr>
          </w:p>
        </w:tc>
        <w:tc>
          <w:tcPr>
            <w:tcW w:w="1080" w:type="dxa"/>
            <w:vAlign w:val="bottom"/>
          </w:tcPr>
          <w:p>
            <w:pPr>
              <w:jc w:val="right"/>
              <w:ind w:right="121"/>
              <w:spacing w:after="0"/>
              <w:rPr>
                <w:sz w:val="20"/>
                <w:szCs w:val="20"/>
                <w:color w:val="auto"/>
              </w:rPr>
            </w:pPr>
            <w:r>
              <w:rPr>
                <w:rFonts w:ascii="Arial" w:cs="Arial" w:eastAsia="Arial" w:hAnsi="Arial"/>
                <w:sz w:val="16"/>
                <w:szCs w:val="16"/>
                <w:b w:val="1"/>
                <w:bCs w:val="1"/>
                <w:color w:val="auto"/>
              </w:rPr>
              <w:t>85,690</w:t>
            </w:r>
          </w:p>
        </w:tc>
        <w:tc>
          <w:tcPr>
            <w:tcW w:w="4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79,787</w:t>
            </w:r>
          </w:p>
        </w:tc>
        <w:tc>
          <w:tcPr>
            <w:tcW w:w="1160" w:type="dxa"/>
            <w:vAlign w:val="bottom"/>
          </w:tcPr>
          <w:p>
            <w:pPr>
              <w:jc w:val="right"/>
              <w:ind w:right="420"/>
              <w:spacing w:after="0"/>
              <w:rPr>
                <w:sz w:val="20"/>
                <w:szCs w:val="20"/>
                <w:color w:val="auto"/>
              </w:rPr>
            </w:pPr>
            <w:r>
              <w:rPr>
                <w:rFonts w:ascii="Arial" w:cs="Arial" w:eastAsia="Arial" w:hAnsi="Arial"/>
                <w:sz w:val="16"/>
                <w:szCs w:val="16"/>
                <w:color w:val="auto"/>
              </w:rPr>
              <w:t>7</w:t>
            </w:r>
          </w:p>
        </w:tc>
        <w:tc>
          <w:tcPr>
            <w:tcW w:w="320" w:type="dxa"/>
            <w:vAlign w:val="bottom"/>
          </w:tcPr>
          <w:p>
            <w:pPr>
              <w:spacing w:after="0"/>
              <w:rPr>
                <w:sz w:val="16"/>
                <w:szCs w:val="16"/>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b w:val="1"/>
                <w:bCs w:val="1"/>
                <w:color w:val="auto"/>
              </w:rPr>
              <w:t>154,633</w:t>
            </w: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142,616</w:t>
            </w:r>
          </w:p>
        </w:tc>
        <w:tc>
          <w:tcPr>
            <w:tcW w:w="1020" w:type="dxa"/>
            <w:vAlign w:val="bottom"/>
          </w:tcPr>
          <w:p>
            <w:pPr>
              <w:jc w:val="right"/>
              <w:ind w:right="30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89"/>
        </w:trPr>
        <w:tc>
          <w:tcPr>
            <w:tcW w:w="3780" w:type="dxa"/>
            <w:vAlign w:val="bottom"/>
          </w:tcPr>
          <w:p>
            <w:pPr>
              <w:ind w:left="240"/>
              <w:spacing w:after="0"/>
              <w:rPr>
                <w:sz w:val="20"/>
                <w:szCs w:val="20"/>
                <w:color w:val="auto"/>
              </w:rPr>
            </w:pPr>
            <w:r>
              <w:rPr>
                <w:rFonts w:ascii="Arial" w:cs="Arial" w:eastAsia="Arial" w:hAnsi="Arial"/>
                <w:sz w:val="16"/>
                <w:szCs w:val="16"/>
                <w:color w:val="auto"/>
              </w:rPr>
              <w:t>Kaplan international</w:t>
            </w:r>
          </w:p>
        </w:tc>
        <w:tc>
          <w:tcPr>
            <w:tcW w:w="360" w:type="dxa"/>
            <w:vAlign w:val="bottom"/>
          </w:tcPr>
          <w:p>
            <w:pPr>
              <w:spacing w:after="0"/>
              <w:rPr>
                <w:sz w:val="16"/>
                <w:szCs w:val="16"/>
                <w:color w:val="auto"/>
              </w:rPr>
            </w:pPr>
          </w:p>
        </w:tc>
        <w:tc>
          <w:tcPr>
            <w:tcW w:w="1080" w:type="dxa"/>
            <w:vAlign w:val="bottom"/>
          </w:tcPr>
          <w:p>
            <w:pPr>
              <w:jc w:val="right"/>
              <w:ind w:right="121"/>
              <w:spacing w:after="0"/>
              <w:rPr>
                <w:sz w:val="20"/>
                <w:szCs w:val="20"/>
                <w:color w:val="auto"/>
              </w:rPr>
            </w:pPr>
            <w:r>
              <w:rPr>
                <w:rFonts w:ascii="Arial" w:cs="Arial" w:eastAsia="Arial" w:hAnsi="Arial"/>
                <w:sz w:val="16"/>
                <w:szCs w:val="16"/>
                <w:b w:val="1"/>
                <w:bCs w:val="1"/>
                <w:color w:val="auto"/>
              </w:rPr>
              <w:t>187,968</w:t>
            </w:r>
          </w:p>
        </w:tc>
        <w:tc>
          <w:tcPr>
            <w:tcW w:w="4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179,141</w:t>
            </w:r>
          </w:p>
        </w:tc>
        <w:tc>
          <w:tcPr>
            <w:tcW w:w="1160" w:type="dxa"/>
            <w:vAlign w:val="bottom"/>
          </w:tcPr>
          <w:p>
            <w:pPr>
              <w:jc w:val="right"/>
              <w:ind w:right="420"/>
              <w:spacing w:after="0"/>
              <w:rPr>
                <w:sz w:val="20"/>
                <w:szCs w:val="20"/>
                <w:color w:val="auto"/>
              </w:rPr>
            </w:pPr>
            <w:r>
              <w:rPr>
                <w:rFonts w:ascii="Arial" w:cs="Arial" w:eastAsia="Arial" w:hAnsi="Arial"/>
                <w:sz w:val="16"/>
                <w:szCs w:val="16"/>
                <w:color w:val="auto"/>
              </w:rPr>
              <w:t>5</w:t>
            </w:r>
          </w:p>
        </w:tc>
        <w:tc>
          <w:tcPr>
            <w:tcW w:w="320" w:type="dxa"/>
            <w:vAlign w:val="bottom"/>
          </w:tcPr>
          <w:p>
            <w:pPr>
              <w:spacing w:after="0"/>
              <w:rPr>
                <w:sz w:val="16"/>
                <w:szCs w:val="16"/>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b w:val="1"/>
                <w:bCs w:val="1"/>
                <w:color w:val="auto"/>
              </w:rPr>
              <w:t>372,781</w:t>
            </w: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352,704</w:t>
            </w:r>
          </w:p>
        </w:tc>
        <w:tc>
          <w:tcPr>
            <w:tcW w:w="1020" w:type="dxa"/>
            <w:vAlign w:val="bottom"/>
          </w:tcPr>
          <w:p>
            <w:pPr>
              <w:jc w:val="right"/>
              <w:ind w:right="30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89"/>
        </w:trPr>
        <w:tc>
          <w:tcPr>
            <w:tcW w:w="3780" w:type="dxa"/>
            <w:vAlign w:val="bottom"/>
          </w:tcPr>
          <w:p>
            <w:pPr>
              <w:ind w:left="240"/>
              <w:spacing w:after="0"/>
              <w:rPr>
                <w:sz w:val="20"/>
                <w:szCs w:val="20"/>
                <w:color w:val="auto"/>
              </w:rPr>
            </w:pPr>
            <w:r>
              <w:rPr>
                <w:rFonts w:ascii="Arial" w:cs="Arial" w:eastAsia="Arial" w:hAnsi="Arial"/>
                <w:sz w:val="16"/>
                <w:szCs w:val="16"/>
                <w:color w:val="auto"/>
              </w:rPr>
              <w:t>Kaplan corporate and other</w:t>
            </w:r>
          </w:p>
        </w:tc>
        <w:tc>
          <w:tcPr>
            <w:tcW w:w="360" w:type="dxa"/>
            <w:vAlign w:val="bottom"/>
          </w:tcPr>
          <w:p>
            <w:pPr>
              <w:spacing w:after="0"/>
              <w:rPr>
                <w:sz w:val="16"/>
                <w:szCs w:val="16"/>
                <w:color w:val="auto"/>
              </w:rPr>
            </w:pPr>
          </w:p>
        </w:tc>
        <w:tc>
          <w:tcPr>
            <w:tcW w:w="1080" w:type="dxa"/>
            <w:vAlign w:val="bottom"/>
          </w:tcPr>
          <w:p>
            <w:pPr>
              <w:jc w:val="right"/>
              <w:ind w:right="121"/>
              <w:spacing w:after="0"/>
              <w:rPr>
                <w:sz w:val="20"/>
                <w:szCs w:val="20"/>
                <w:color w:val="auto"/>
              </w:rPr>
            </w:pPr>
            <w:r>
              <w:rPr>
                <w:rFonts w:ascii="Arial" w:cs="Arial" w:eastAsia="Arial" w:hAnsi="Arial"/>
                <w:sz w:val="16"/>
                <w:szCs w:val="16"/>
                <w:b w:val="1"/>
                <w:bCs w:val="1"/>
                <w:color w:val="auto"/>
              </w:rPr>
              <w:t>1,669</w:t>
            </w:r>
          </w:p>
        </w:tc>
        <w:tc>
          <w:tcPr>
            <w:tcW w:w="4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3,090</w:t>
            </w:r>
          </w:p>
        </w:tc>
        <w:tc>
          <w:tcPr>
            <w:tcW w:w="1160" w:type="dxa"/>
            <w:vAlign w:val="bottom"/>
          </w:tcPr>
          <w:p>
            <w:pPr>
              <w:jc w:val="right"/>
              <w:ind w:right="420"/>
              <w:spacing w:after="0"/>
              <w:rPr>
                <w:sz w:val="20"/>
                <w:szCs w:val="20"/>
                <w:color w:val="auto"/>
              </w:rPr>
            </w:pPr>
            <w:r>
              <w:rPr>
                <w:rFonts w:ascii="Arial" w:cs="Arial" w:eastAsia="Arial" w:hAnsi="Arial"/>
                <w:sz w:val="16"/>
                <w:szCs w:val="16"/>
                <w:color w:val="auto"/>
              </w:rPr>
              <w:t>(46)</w:t>
            </w:r>
          </w:p>
        </w:tc>
        <w:tc>
          <w:tcPr>
            <w:tcW w:w="320" w:type="dxa"/>
            <w:vAlign w:val="bottom"/>
          </w:tcPr>
          <w:p>
            <w:pPr>
              <w:spacing w:after="0"/>
              <w:rPr>
                <w:sz w:val="16"/>
                <w:szCs w:val="16"/>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b w:val="1"/>
                <w:bCs w:val="1"/>
                <w:color w:val="auto"/>
              </w:rPr>
              <w:t>4,273</w:t>
            </w: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6,474</w:t>
            </w:r>
          </w:p>
        </w:tc>
        <w:tc>
          <w:tcPr>
            <w:tcW w:w="1020" w:type="dxa"/>
            <w:vAlign w:val="bottom"/>
          </w:tcPr>
          <w:p>
            <w:pPr>
              <w:jc w:val="right"/>
              <w:ind w:right="300"/>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07"/>
        </w:trPr>
        <w:tc>
          <w:tcPr>
            <w:tcW w:w="3780" w:type="dxa"/>
            <w:vAlign w:val="bottom"/>
          </w:tcPr>
          <w:p>
            <w:pPr>
              <w:ind w:left="240"/>
              <w:spacing w:after="0"/>
              <w:rPr>
                <w:sz w:val="20"/>
                <w:szCs w:val="20"/>
                <w:color w:val="auto"/>
              </w:rPr>
            </w:pPr>
            <w:r>
              <w:rPr>
                <w:rFonts w:ascii="Arial" w:cs="Arial" w:eastAsia="Arial" w:hAnsi="Arial"/>
                <w:sz w:val="16"/>
                <w:szCs w:val="16"/>
                <w:color w:val="auto"/>
              </w:rPr>
              <w:t>Intersegment elimination</w:t>
            </w: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(189)</w:t>
            </w: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(1,105)</w:t>
            </w:r>
          </w:p>
        </w:tc>
        <w:tc>
          <w:tcPr>
            <w:tcW w:w="1160" w:type="dxa"/>
            <w:vAlign w:val="bottom"/>
          </w:tcPr>
          <w:p>
            <w:pPr>
              <w:jc w:val="right"/>
              <w:ind w:right="4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(594)</w:t>
            </w: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(2,580)</w:t>
            </w:r>
          </w:p>
        </w:tc>
        <w:tc>
          <w:tcPr>
            <w:tcW w:w="1020" w:type="dxa"/>
            <w:vAlign w:val="bottom"/>
          </w:tcPr>
          <w:p>
            <w:pPr>
              <w:jc w:val="right"/>
              <w:ind w:right="3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3780" w:type="dxa"/>
            <w:vAlign w:val="bottom"/>
          </w:tcPr>
          <w:p>
            <w:pPr>
              <w:spacing w:after="0"/>
              <w:rPr>
                <w:sz w:val="15"/>
                <w:szCs w:val="15"/>
                <w:color w:val="auto"/>
              </w:rPr>
            </w:pPr>
          </w:p>
        </w:tc>
        <w:tc>
          <w:tcPr>
            <w:tcW w:w="36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tcPr>
          <w:p>
            <w:pPr>
              <w:jc w:val="right"/>
              <w:ind w:right="121"/>
              <w:spacing w:after="0" w:line="183" w:lineRule="exact"/>
              <w:rPr>
                <w:sz w:val="20"/>
                <w:szCs w:val="20"/>
                <w:color w:val="auto"/>
              </w:rPr>
            </w:pPr>
            <w:r>
              <w:rPr>
                <w:rFonts w:ascii="Arial" w:cs="Arial" w:eastAsia="Arial" w:hAnsi="Arial"/>
                <w:sz w:val="16"/>
                <w:szCs w:val="16"/>
                <w:b w:val="1"/>
                <w:bCs w:val="1"/>
                <w:color w:val="auto"/>
              </w:rPr>
              <w:t>548,230</w:t>
            </w:r>
          </w:p>
        </w:tc>
        <w:tc>
          <w:tcPr>
            <w:tcW w:w="44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551,774</w:t>
            </w:r>
          </w:p>
        </w:tc>
        <w:tc>
          <w:tcPr>
            <w:tcW w:w="1160" w:type="dxa"/>
            <w:vAlign w:val="bottom"/>
          </w:tcPr>
          <w:p>
            <w:pPr>
              <w:jc w:val="right"/>
              <w:ind w:right="420"/>
              <w:spacing w:after="0" w:line="183" w:lineRule="exact"/>
              <w:rPr>
                <w:sz w:val="20"/>
                <w:szCs w:val="20"/>
                <w:color w:val="auto"/>
              </w:rPr>
            </w:pPr>
            <w:r>
              <w:rPr>
                <w:rFonts w:ascii="Arial" w:cs="Arial" w:eastAsia="Arial" w:hAnsi="Arial"/>
                <w:sz w:val="16"/>
                <w:szCs w:val="16"/>
                <w:color w:val="auto"/>
              </w:rPr>
              <w:t>(1)</w:t>
            </w:r>
          </w:p>
        </w:tc>
        <w:tc>
          <w:tcPr>
            <w:tcW w:w="32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61"/>
              <w:spacing w:after="0" w:line="183" w:lineRule="exact"/>
              <w:rPr>
                <w:sz w:val="20"/>
                <w:szCs w:val="20"/>
                <w:color w:val="auto"/>
              </w:rPr>
            </w:pPr>
            <w:r>
              <w:rPr>
                <w:rFonts w:ascii="Arial" w:cs="Arial" w:eastAsia="Arial" w:hAnsi="Arial"/>
                <w:sz w:val="16"/>
                <w:szCs w:val="16"/>
                <w:b w:val="1"/>
                <w:bCs w:val="1"/>
                <w:color w:val="auto"/>
              </w:rPr>
              <w:t>1,076,045</w:t>
            </w:r>
          </w:p>
        </w:tc>
        <w:tc>
          <w:tcPr>
            <w:tcW w:w="34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1,098,459</w:t>
            </w:r>
          </w:p>
        </w:tc>
        <w:tc>
          <w:tcPr>
            <w:tcW w:w="1020" w:type="dxa"/>
            <w:vAlign w:val="bottom"/>
          </w:tcPr>
          <w:p>
            <w:pPr>
              <w:jc w:val="right"/>
              <w:ind w:right="300"/>
              <w:spacing w:after="0" w:line="183"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Arial" w:cs="Arial" w:eastAsia="Arial" w:hAnsi="Arial"/>
                <w:sz w:val="16"/>
                <w:szCs w:val="16"/>
                <w:b w:val="1"/>
                <w:bCs w:val="1"/>
                <w:color w:val="auto"/>
              </w:rPr>
              <w:t>Operating Income (Loss)</w:t>
            </w: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3780" w:type="dxa"/>
            <w:vAlign w:val="bottom"/>
            <w:vMerge w:val="continue"/>
          </w:tcPr>
          <w:p>
            <w:pPr>
              <w:spacing w:after="0"/>
              <w:rPr>
                <w:sz w:val="14"/>
                <w:szCs w:val="14"/>
                <w:color w:val="auto"/>
              </w:rPr>
            </w:pPr>
          </w:p>
        </w:tc>
        <w:tc>
          <w:tcPr>
            <w:tcW w:w="36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w:t>
            </w:r>
          </w:p>
        </w:tc>
        <w:tc>
          <w:tcPr>
            <w:tcW w:w="1080" w:type="dxa"/>
            <w:vAlign w:val="bottom"/>
            <w:vMerge w:val="restart"/>
          </w:tcPr>
          <w:p>
            <w:pPr>
              <w:jc w:val="right"/>
              <w:ind w:right="121"/>
              <w:spacing w:after="0"/>
              <w:rPr>
                <w:sz w:val="20"/>
                <w:szCs w:val="20"/>
                <w:color w:val="auto"/>
              </w:rPr>
            </w:pPr>
            <w:r>
              <w:rPr>
                <w:rFonts w:ascii="Arial" w:cs="Arial" w:eastAsia="Arial" w:hAnsi="Arial"/>
                <w:sz w:val="16"/>
                <w:szCs w:val="16"/>
                <w:b w:val="1"/>
                <w:bCs w:val="1"/>
                <w:color w:val="auto"/>
              </w:rPr>
              <w:t>22,534</w:t>
            </w: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w:t>
            </w:r>
          </w:p>
        </w:tc>
        <w:tc>
          <w:tcPr>
            <w:tcW w:w="1020" w:type="dxa"/>
            <w:vAlign w:val="bottom"/>
            <w:vMerge w:val="restart"/>
          </w:tcPr>
          <w:p>
            <w:pPr>
              <w:jc w:val="right"/>
              <w:ind w:right="61"/>
              <w:spacing w:after="0"/>
              <w:rPr>
                <w:sz w:val="20"/>
                <w:szCs w:val="20"/>
                <w:color w:val="auto"/>
              </w:rPr>
            </w:pPr>
            <w:r>
              <w:rPr>
                <w:rFonts w:ascii="Arial" w:cs="Arial" w:eastAsia="Arial" w:hAnsi="Arial"/>
                <w:sz w:val="16"/>
                <w:szCs w:val="16"/>
                <w:b w:val="1"/>
                <w:bCs w:val="1"/>
                <w:color w:val="auto"/>
              </w:rPr>
              <w:t>27,635</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780" w:type="dxa"/>
            <w:vAlign w:val="bottom"/>
          </w:tcPr>
          <w:p>
            <w:pPr>
              <w:ind w:left="240"/>
              <w:spacing w:after="0" w:line="169" w:lineRule="exact"/>
              <w:rPr>
                <w:sz w:val="20"/>
                <w:szCs w:val="20"/>
                <w:color w:val="auto"/>
              </w:rPr>
            </w:pPr>
            <w:r>
              <w:rPr>
                <w:rFonts w:ascii="Arial" w:cs="Arial" w:eastAsia="Arial" w:hAnsi="Arial"/>
                <w:sz w:val="16"/>
                <w:szCs w:val="16"/>
                <w:color w:val="auto"/>
              </w:rPr>
              <w:t>Higher education</w:t>
            </w:r>
          </w:p>
        </w:tc>
        <w:tc>
          <w:tcPr>
            <w:tcW w:w="3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440" w:type="dxa"/>
            <w:vAlign w:val="bottom"/>
          </w:tcPr>
          <w:p>
            <w:pPr>
              <w:jc w:val="right"/>
              <w:ind w:right="59"/>
              <w:spacing w:after="0" w:line="169" w:lineRule="exact"/>
              <w:rPr>
                <w:sz w:val="20"/>
                <w:szCs w:val="20"/>
                <w:color w:val="auto"/>
              </w:rPr>
            </w:pPr>
            <w:r>
              <w:rPr>
                <w:rFonts w:ascii="Arial" w:cs="Arial" w:eastAsia="Arial" w:hAnsi="Arial"/>
                <w:sz w:val="16"/>
                <w:szCs w:val="16"/>
                <w:color w:val="auto"/>
              </w:rPr>
              <w:t>$</w:t>
            </w:r>
          </w:p>
        </w:tc>
        <w:tc>
          <w:tcPr>
            <w:tcW w:w="1000" w:type="dxa"/>
            <w:vAlign w:val="bottom"/>
          </w:tcPr>
          <w:p>
            <w:pPr>
              <w:jc w:val="right"/>
              <w:spacing w:after="0" w:line="169" w:lineRule="exact"/>
              <w:rPr>
                <w:sz w:val="20"/>
                <w:szCs w:val="20"/>
                <w:color w:val="auto"/>
              </w:rPr>
            </w:pPr>
            <w:r>
              <w:rPr>
                <w:rFonts w:ascii="Arial" w:cs="Arial" w:eastAsia="Arial" w:hAnsi="Arial"/>
                <w:sz w:val="16"/>
                <w:szCs w:val="16"/>
                <w:color w:val="auto"/>
              </w:rPr>
              <w:t>5,860</w:t>
            </w:r>
          </w:p>
        </w:tc>
        <w:tc>
          <w:tcPr>
            <w:tcW w:w="1160" w:type="dxa"/>
            <w:vAlign w:val="bottom"/>
          </w:tcPr>
          <w:p>
            <w:pPr>
              <w:jc w:val="right"/>
              <w:ind w:right="420"/>
              <w:spacing w:after="0" w:line="169" w:lineRule="exact"/>
              <w:rPr>
                <w:sz w:val="20"/>
                <w:szCs w:val="20"/>
                <w:color w:val="auto"/>
              </w:rPr>
            </w:pPr>
            <w:r>
              <w:rPr>
                <w:rFonts w:ascii="Arial" w:cs="Arial" w:eastAsia="Arial" w:hAnsi="Arial"/>
                <w:sz w:val="16"/>
                <w:szCs w:val="16"/>
                <w:color w:val="auto"/>
              </w:rPr>
              <w:t>―</w:t>
            </w:r>
          </w:p>
        </w:tc>
        <w:tc>
          <w:tcPr>
            <w:tcW w:w="32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340" w:type="dxa"/>
            <w:vAlign w:val="bottom"/>
          </w:tcPr>
          <w:p>
            <w:pPr>
              <w:jc w:val="right"/>
              <w:ind w:right="39"/>
              <w:spacing w:after="0" w:line="169" w:lineRule="exact"/>
              <w:rPr>
                <w:sz w:val="20"/>
                <w:szCs w:val="20"/>
                <w:color w:val="auto"/>
              </w:rPr>
            </w:pPr>
            <w:r>
              <w:rPr>
                <w:rFonts w:ascii="Arial" w:cs="Arial" w:eastAsia="Arial" w:hAnsi="Arial"/>
                <w:sz w:val="16"/>
                <w:szCs w:val="16"/>
                <w:color w:val="auto"/>
              </w:rPr>
              <w:t>$</w:t>
            </w:r>
          </w:p>
        </w:tc>
        <w:tc>
          <w:tcPr>
            <w:tcW w:w="900" w:type="dxa"/>
            <w:vAlign w:val="bottom"/>
          </w:tcPr>
          <w:p>
            <w:pPr>
              <w:jc w:val="right"/>
              <w:spacing w:after="0" w:line="169" w:lineRule="exact"/>
              <w:rPr>
                <w:sz w:val="20"/>
                <w:szCs w:val="20"/>
                <w:color w:val="auto"/>
              </w:rPr>
            </w:pPr>
            <w:r>
              <w:rPr>
                <w:rFonts w:ascii="Arial" w:cs="Arial" w:eastAsia="Arial" w:hAnsi="Arial"/>
                <w:sz w:val="16"/>
                <w:szCs w:val="16"/>
                <w:color w:val="auto"/>
              </w:rPr>
              <w:t>14,819</w:t>
            </w:r>
          </w:p>
        </w:tc>
        <w:tc>
          <w:tcPr>
            <w:tcW w:w="1020" w:type="dxa"/>
            <w:vAlign w:val="bottom"/>
          </w:tcPr>
          <w:p>
            <w:pPr>
              <w:jc w:val="right"/>
              <w:ind w:right="300"/>
              <w:spacing w:after="0" w:line="169" w:lineRule="exact"/>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189"/>
        </w:trPr>
        <w:tc>
          <w:tcPr>
            <w:tcW w:w="3780" w:type="dxa"/>
            <w:vAlign w:val="bottom"/>
          </w:tcPr>
          <w:p>
            <w:pPr>
              <w:ind w:left="240"/>
              <w:spacing w:after="0"/>
              <w:rPr>
                <w:sz w:val="20"/>
                <w:szCs w:val="20"/>
                <w:color w:val="auto"/>
              </w:rPr>
            </w:pPr>
            <w:r>
              <w:rPr>
                <w:rFonts w:ascii="Arial" w:cs="Arial" w:eastAsia="Arial" w:hAnsi="Arial"/>
                <w:sz w:val="16"/>
                <w:szCs w:val="16"/>
                <w:color w:val="auto"/>
              </w:rPr>
              <w:t>Test preparation</w:t>
            </w:r>
          </w:p>
        </w:tc>
        <w:tc>
          <w:tcPr>
            <w:tcW w:w="360" w:type="dxa"/>
            <w:vAlign w:val="bottom"/>
          </w:tcPr>
          <w:p>
            <w:pPr>
              <w:spacing w:after="0"/>
              <w:rPr>
                <w:sz w:val="16"/>
                <w:szCs w:val="16"/>
                <w:color w:val="auto"/>
              </w:rPr>
            </w:pPr>
          </w:p>
        </w:tc>
        <w:tc>
          <w:tcPr>
            <w:tcW w:w="1080" w:type="dxa"/>
            <w:vAlign w:val="bottom"/>
          </w:tcPr>
          <w:p>
            <w:pPr>
              <w:jc w:val="right"/>
              <w:ind w:right="121"/>
              <w:spacing w:after="0"/>
              <w:rPr>
                <w:sz w:val="20"/>
                <w:szCs w:val="20"/>
                <w:color w:val="auto"/>
              </w:rPr>
            </w:pPr>
            <w:r>
              <w:rPr>
                <w:rFonts w:ascii="Arial" w:cs="Arial" w:eastAsia="Arial" w:hAnsi="Arial"/>
                <w:sz w:val="16"/>
                <w:szCs w:val="16"/>
                <w:b w:val="1"/>
                <w:bCs w:val="1"/>
                <w:color w:val="auto"/>
              </w:rPr>
              <w:t>7,831</w:t>
            </w:r>
          </w:p>
        </w:tc>
        <w:tc>
          <w:tcPr>
            <w:tcW w:w="4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2,706</w:t>
            </w:r>
          </w:p>
        </w:tc>
        <w:tc>
          <w:tcPr>
            <w:tcW w:w="1160" w:type="dxa"/>
            <w:vAlign w:val="bottom"/>
          </w:tcPr>
          <w:p>
            <w:pPr>
              <w:jc w:val="right"/>
              <w:ind w:right="4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6"/>
                <w:szCs w:val="16"/>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b w:val="1"/>
                <w:bCs w:val="1"/>
                <w:color w:val="auto"/>
              </w:rPr>
              <w:t>3,486</w:t>
            </w: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(7,513)</w:t>
            </w:r>
          </w:p>
        </w:tc>
        <w:tc>
          <w:tcPr>
            <w:tcW w:w="1020" w:type="dxa"/>
            <w:vAlign w:val="bottom"/>
          </w:tcPr>
          <w:p>
            <w:pPr>
              <w:jc w:val="right"/>
              <w:ind w:right="3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780" w:type="dxa"/>
            <w:vAlign w:val="bottom"/>
          </w:tcPr>
          <w:p>
            <w:pPr>
              <w:ind w:left="240"/>
              <w:spacing w:after="0"/>
              <w:rPr>
                <w:sz w:val="20"/>
                <w:szCs w:val="20"/>
                <w:color w:val="auto"/>
              </w:rPr>
            </w:pPr>
            <w:r>
              <w:rPr>
                <w:rFonts w:ascii="Arial" w:cs="Arial" w:eastAsia="Arial" w:hAnsi="Arial"/>
                <w:sz w:val="16"/>
                <w:szCs w:val="16"/>
                <w:color w:val="auto"/>
              </w:rPr>
              <w:t>Kaplan international</w:t>
            </w:r>
          </w:p>
        </w:tc>
        <w:tc>
          <w:tcPr>
            <w:tcW w:w="360" w:type="dxa"/>
            <w:vAlign w:val="bottom"/>
          </w:tcPr>
          <w:p>
            <w:pPr>
              <w:spacing w:after="0"/>
              <w:rPr>
                <w:sz w:val="16"/>
                <w:szCs w:val="16"/>
                <w:color w:val="auto"/>
              </w:rPr>
            </w:pPr>
          </w:p>
        </w:tc>
        <w:tc>
          <w:tcPr>
            <w:tcW w:w="1080" w:type="dxa"/>
            <w:vAlign w:val="bottom"/>
          </w:tcPr>
          <w:p>
            <w:pPr>
              <w:jc w:val="right"/>
              <w:ind w:right="121"/>
              <w:spacing w:after="0"/>
              <w:rPr>
                <w:sz w:val="20"/>
                <w:szCs w:val="20"/>
                <w:color w:val="auto"/>
              </w:rPr>
            </w:pPr>
            <w:r>
              <w:rPr>
                <w:rFonts w:ascii="Arial" w:cs="Arial" w:eastAsia="Arial" w:hAnsi="Arial"/>
                <w:sz w:val="16"/>
                <w:szCs w:val="16"/>
                <w:b w:val="1"/>
                <w:bCs w:val="1"/>
                <w:color w:val="auto"/>
              </w:rPr>
              <w:t>6,490</w:t>
            </w:r>
          </w:p>
        </w:tc>
        <w:tc>
          <w:tcPr>
            <w:tcW w:w="4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9,788</w:t>
            </w:r>
          </w:p>
        </w:tc>
        <w:tc>
          <w:tcPr>
            <w:tcW w:w="1160" w:type="dxa"/>
            <w:vAlign w:val="bottom"/>
          </w:tcPr>
          <w:p>
            <w:pPr>
              <w:jc w:val="right"/>
              <w:ind w:right="420"/>
              <w:spacing w:after="0"/>
              <w:rPr>
                <w:sz w:val="20"/>
                <w:szCs w:val="20"/>
                <w:color w:val="auto"/>
              </w:rPr>
            </w:pPr>
            <w:r>
              <w:rPr>
                <w:rFonts w:ascii="Arial" w:cs="Arial" w:eastAsia="Arial" w:hAnsi="Arial"/>
                <w:sz w:val="16"/>
                <w:szCs w:val="16"/>
                <w:color w:val="auto"/>
              </w:rPr>
              <w:t>(34)</w:t>
            </w:r>
          </w:p>
        </w:tc>
        <w:tc>
          <w:tcPr>
            <w:tcW w:w="320" w:type="dxa"/>
            <w:vAlign w:val="bottom"/>
          </w:tcPr>
          <w:p>
            <w:pPr>
              <w:spacing w:after="0"/>
              <w:rPr>
                <w:sz w:val="16"/>
                <w:szCs w:val="16"/>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b w:val="1"/>
                <w:bCs w:val="1"/>
                <w:color w:val="auto"/>
              </w:rPr>
              <w:t>12,887</w:t>
            </w: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13,928</w:t>
            </w:r>
          </w:p>
        </w:tc>
        <w:tc>
          <w:tcPr>
            <w:tcW w:w="1020" w:type="dxa"/>
            <w:vAlign w:val="bottom"/>
          </w:tcPr>
          <w:p>
            <w:pPr>
              <w:jc w:val="right"/>
              <w:ind w:right="30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89"/>
        </w:trPr>
        <w:tc>
          <w:tcPr>
            <w:tcW w:w="3780" w:type="dxa"/>
            <w:vAlign w:val="bottom"/>
          </w:tcPr>
          <w:p>
            <w:pPr>
              <w:ind w:left="240"/>
              <w:spacing w:after="0"/>
              <w:rPr>
                <w:sz w:val="20"/>
                <w:szCs w:val="20"/>
                <w:color w:val="auto"/>
              </w:rPr>
            </w:pPr>
            <w:r>
              <w:rPr>
                <w:rFonts w:ascii="Arial" w:cs="Arial" w:eastAsia="Arial" w:hAnsi="Arial"/>
                <w:sz w:val="16"/>
                <w:szCs w:val="16"/>
                <w:color w:val="auto"/>
              </w:rPr>
              <w:t>Kaplan corporate and other</w:t>
            </w:r>
          </w:p>
        </w:tc>
        <w:tc>
          <w:tcPr>
            <w:tcW w:w="360" w:type="dxa"/>
            <w:vAlign w:val="bottom"/>
          </w:tcPr>
          <w:p>
            <w:pPr>
              <w:spacing w:after="0"/>
              <w:rPr>
                <w:sz w:val="16"/>
                <w:szCs w:val="16"/>
                <w:color w:val="auto"/>
              </w:rPr>
            </w:pPr>
          </w:p>
        </w:tc>
        <w:tc>
          <w:tcPr>
            <w:tcW w:w="1080" w:type="dxa"/>
            <w:vAlign w:val="bottom"/>
          </w:tcPr>
          <w:p>
            <w:pPr>
              <w:jc w:val="right"/>
              <w:ind w:right="121"/>
              <w:spacing w:after="0"/>
              <w:rPr>
                <w:sz w:val="20"/>
                <w:szCs w:val="20"/>
                <w:color w:val="auto"/>
              </w:rPr>
            </w:pPr>
            <w:r>
              <w:rPr>
                <w:rFonts w:ascii="Arial" w:cs="Arial" w:eastAsia="Arial" w:hAnsi="Arial"/>
                <w:sz w:val="16"/>
                <w:szCs w:val="16"/>
                <w:b w:val="1"/>
                <w:bCs w:val="1"/>
                <w:color w:val="auto"/>
              </w:rPr>
              <w:t>(13,223)</w:t>
            </w:r>
          </w:p>
        </w:tc>
        <w:tc>
          <w:tcPr>
            <w:tcW w:w="4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(14,787)</w:t>
            </w:r>
          </w:p>
        </w:tc>
        <w:tc>
          <w:tcPr>
            <w:tcW w:w="1160" w:type="dxa"/>
            <w:vAlign w:val="bottom"/>
          </w:tcPr>
          <w:p>
            <w:pPr>
              <w:jc w:val="right"/>
              <w:ind w:right="440"/>
              <w:spacing w:after="0"/>
              <w:rPr>
                <w:sz w:val="20"/>
                <w:szCs w:val="20"/>
                <w:color w:val="auto"/>
              </w:rPr>
            </w:pPr>
            <w:r>
              <w:rPr>
                <w:rFonts w:ascii="Arial" w:cs="Arial" w:eastAsia="Arial" w:hAnsi="Arial"/>
                <w:sz w:val="16"/>
                <w:szCs w:val="16"/>
                <w:color w:val="auto"/>
              </w:rPr>
              <w:t>11</w:t>
            </w:r>
          </w:p>
        </w:tc>
        <w:tc>
          <w:tcPr>
            <w:tcW w:w="320" w:type="dxa"/>
            <w:vAlign w:val="bottom"/>
          </w:tcPr>
          <w:p>
            <w:pPr>
              <w:spacing w:after="0"/>
              <w:rPr>
                <w:sz w:val="16"/>
                <w:szCs w:val="16"/>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b w:val="1"/>
                <w:bCs w:val="1"/>
                <w:color w:val="auto"/>
              </w:rPr>
              <w:t>(24,563)</w:t>
            </w:r>
          </w:p>
        </w:tc>
        <w:tc>
          <w:tcPr>
            <w:tcW w:w="3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(29,776)</w:t>
            </w:r>
          </w:p>
        </w:tc>
        <w:tc>
          <w:tcPr>
            <w:tcW w:w="1020" w:type="dxa"/>
            <w:vAlign w:val="bottom"/>
          </w:tcPr>
          <w:p>
            <w:pPr>
              <w:jc w:val="right"/>
              <w:ind w:right="30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7"/>
        </w:trPr>
        <w:tc>
          <w:tcPr>
            <w:tcW w:w="3780" w:type="dxa"/>
            <w:vAlign w:val="bottom"/>
          </w:tcPr>
          <w:p>
            <w:pPr>
              <w:ind w:left="240"/>
              <w:spacing w:after="0"/>
              <w:rPr>
                <w:sz w:val="20"/>
                <w:szCs w:val="20"/>
                <w:color w:val="auto"/>
              </w:rPr>
            </w:pPr>
            <w:r>
              <w:rPr>
                <w:rFonts w:ascii="Arial" w:cs="Arial" w:eastAsia="Arial" w:hAnsi="Arial"/>
                <w:sz w:val="16"/>
                <w:szCs w:val="16"/>
                <w:color w:val="auto"/>
              </w:rPr>
              <w:t>Intersegment elimination</w:t>
            </w: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94</w:t>
            </w: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w:t>
            </w:r>
          </w:p>
        </w:tc>
        <w:tc>
          <w:tcPr>
            <w:tcW w:w="1160" w:type="dxa"/>
            <w:vAlign w:val="bottom"/>
          </w:tcPr>
          <w:p>
            <w:pPr>
              <w:jc w:val="right"/>
              <w:ind w:right="4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225</w:t>
            </w: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355</w:t>
            </w:r>
          </w:p>
        </w:tc>
        <w:tc>
          <w:tcPr>
            <w:tcW w:w="1020" w:type="dxa"/>
            <w:vAlign w:val="bottom"/>
          </w:tcPr>
          <w:p>
            <w:pPr>
              <w:jc w:val="right"/>
              <w:ind w:right="3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3780" w:type="dxa"/>
            <w:vAlign w:val="bottom"/>
          </w:tcPr>
          <w:p>
            <w:pPr>
              <w:spacing w:after="0"/>
              <w:rPr>
                <w:sz w:val="15"/>
                <w:szCs w:val="15"/>
                <w:color w:val="auto"/>
              </w:rPr>
            </w:pPr>
          </w:p>
        </w:tc>
        <w:tc>
          <w:tcPr>
            <w:tcW w:w="36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tcPr>
          <w:p>
            <w:pPr>
              <w:jc w:val="right"/>
              <w:ind w:right="121"/>
              <w:spacing w:after="0" w:line="183" w:lineRule="exact"/>
              <w:rPr>
                <w:sz w:val="20"/>
                <w:szCs w:val="20"/>
                <w:color w:val="auto"/>
              </w:rPr>
            </w:pPr>
            <w:r>
              <w:rPr>
                <w:rFonts w:ascii="Arial" w:cs="Arial" w:eastAsia="Arial" w:hAnsi="Arial"/>
                <w:sz w:val="16"/>
                <w:szCs w:val="16"/>
                <w:b w:val="1"/>
                <w:bCs w:val="1"/>
                <w:color w:val="auto"/>
              </w:rPr>
              <w:t>23,726</w:t>
            </w:r>
          </w:p>
        </w:tc>
        <w:tc>
          <w:tcPr>
            <w:tcW w:w="44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3,728</w:t>
            </w:r>
          </w:p>
        </w:tc>
        <w:tc>
          <w:tcPr>
            <w:tcW w:w="1160" w:type="dxa"/>
            <w:vAlign w:val="bottom"/>
          </w:tcPr>
          <w:p>
            <w:pPr>
              <w:jc w:val="right"/>
              <w:ind w:right="420"/>
              <w:spacing w:after="0" w:line="183" w:lineRule="exact"/>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61"/>
              <w:spacing w:after="0" w:line="183" w:lineRule="exact"/>
              <w:rPr>
                <w:sz w:val="20"/>
                <w:szCs w:val="20"/>
                <w:color w:val="auto"/>
              </w:rPr>
            </w:pPr>
            <w:r>
              <w:rPr>
                <w:rFonts w:ascii="Arial" w:cs="Arial" w:eastAsia="Arial" w:hAnsi="Arial"/>
                <w:sz w:val="16"/>
                <w:szCs w:val="16"/>
                <w:b w:val="1"/>
                <w:bCs w:val="1"/>
                <w:color w:val="auto"/>
              </w:rPr>
              <w:t>19,670</w:t>
            </w:r>
          </w:p>
        </w:tc>
        <w:tc>
          <w:tcPr>
            <w:tcW w:w="34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(8,187)</w:t>
            </w:r>
          </w:p>
        </w:tc>
        <w:tc>
          <w:tcPr>
            <w:tcW w:w="1020" w:type="dxa"/>
            <w:vAlign w:val="bottom"/>
          </w:tcPr>
          <w:p>
            <w:pPr>
              <w:jc w:val="right"/>
              <w:ind w:right="300"/>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KHE includes Kaplan’s domestic postsecondary education businesses, made up of fixed-facility colleges and online postsecondary and career programs. KHE also includes the domestic professional training and other continuing education businesses.</w:t>
      </w:r>
    </w:p>
    <w:p>
      <w:pPr>
        <w:spacing w:after="0" w:line="143"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 September 2012, KHE announced a plan to consolidate its market presence at certain of its fixed-facility campuses. Under this plan, KHE ceased new enrollments at nine ground campuses as it considered alternatives for these locations, and is in the process of consolidating operations of four other campuses into existing, nearby locations. Revenues at these campuses represented approximately 4% of KHE’s total revenues in 2012. In the fourth quarter of 2012, KHE also began implementing plans to consolidate other facilities and reduce its workforce. In connection with these and other plans, KHE incurred $ 2.6 million and $11.6 million in total restructuring costs in the second quarter and first six months of 2013, respectively, compared to $3.8 million in severance costs for the second quarter and first six months of 2012. For the second quarter of 2013, these costs included accelerated depreciation ($1.4 million), severance ($0.6 million) and lease obligation losses ($0.6 million). For the first six months of 2013, these costs included accelerated depreciation ($5.0 million), severance ($1.4 million), lease obligation losses ($4.3 million) and other items ($0.9 million). In the first six months of 2013, nine of the KHE campuses were closed.</w:t>
      </w:r>
    </w:p>
    <w:p>
      <w:pPr>
        <w:spacing w:after="0" w:line="153" w:lineRule="exact"/>
        <w:rPr>
          <w:sz w:val="20"/>
          <w:szCs w:val="20"/>
          <w:color w:val="auto"/>
        </w:rPr>
      </w:pPr>
    </w:p>
    <w:p>
      <w:pPr>
        <w:jc w:val="both"/>
        <w:ind w:right="520"/>
        <w:spacing w:after="0"/>
        <w:rPr>
          <w:sz w:val="20"/>
          <w:szCs w:val="20"/>
          <w:color w:val="auto"/>
        </w:rPr>
      </w:pPr>
      <w:r>
        <w:rPr>
          <w:rFonts w:ascii="Arial" w:cs="Arial" w:eastAsia="Arial" w:hAnsi="Arial"/>
          <w:sz w:val="18"/>
          <w:szCs w:val="18"/>
          <w:color w:val="auto"/>
        </w:rPr>
        <w:t>In the second quarter and first six months of 2013, higher education revenue declined 6% and 9%, respectively, due largely to declines in average enrollments that reflect weaker market demand over the past year and the impact of campuses in the process of closing. These declines were partially offset by a revenue increase arising from trial period modifications and process improvements.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913" w:right="239" w:bottom="1440" w:gutter="0" w:footer="0" w:header="0"/>
        </w:sectPr>
      </w:pPr>
    </w:p>
    <w:bookmarkStart w:id="22" w:name="page23"/>
    <w:bookmarkEnd w:id="22"/>
    <w:p>
      <w:pPr>
        <w:ind w:right="100"/>
        <w:spacing w:after="0" w:line="246" w:lineRule="auto"/>
        <w:rPr>
          <w:sz w:val="20"/>
          <w:szCs w:val="20"/>
          <w:color w:val="auto"/>
        </w:rPr>
      </w:pPr>
      <w:r>
        <w:rPr>
          <w:rFonts w:ascii="Arial" w:cs="Arial" w:eastAsia="Arial" w:hAnsi="Arial"/>
          <w:sz w:val="18"/>
          <w:szCs w:val="18"/>
          <w:color w:val="auto"/>
        </w:rPr>
        <w:t>KHE operating income increased significantly in the second quarter and first six months of 2013, due largely to expense reductions associated with lower enrollments and recent restructuring efforts, partially offset by lower revenue and restructuring costs noted above.</w:t>
      </w:r>
    </w:p>
    <w:p>
      <w:pPr>
        <w:spacing w:after="0" w:line="183" w:lineRule="exact"/>
        <w:rPr>
          <w:sz w:val="20"/>
          <w:szCs w:val="20"/>
          <w:color w:val="auto"/>
        </w:rPr>
      </w:pPr>
    </w:p>
    <w:p>
      <w:pPr>
        <w:ind w:right="60"/>
        <w:spacing w:after="0"/>
        <w:rPr>
          <w:sz w:val="20"/>
          <w:szCs w:val="20"/>
          <w:color w:val="auto"/>
        </w:rPr>
      </w:pPr>
      <w:r>
        <w:rPr>
          <w:rFonts w:ascii="Arial" w:cs="Arial" w:eastAsia="Arial" w:hAnsi="Arial"/>
          <w:sz w:val="18"/>
          <w:szCs w:val="18"/>
          <w:color w:val="auto"/>
        </w:rPr>
        <w:t>New student enrollments at KHE increased 21% and 3% in the second quarter and first six months of 2013, respectively. New student enrollments were positively impacted by trial period modifications and process improvements, partially offset by the impact of closed campuses and those planned for closure that are no longer recruiting students.</w:t>
      </w:r>
    </w:p>
    <w:p>
      <w:pPr>
        <w:spacing w:after="0" w:line="189" w:lineRule="exact"/>
        <w:rPr>
          <w:sz w:val="20"/>
          <w:szCs w:val="20"/>
          <w:color w:val="auto"/>
        </w:rPr>
      </w:pPr>
    </w:p>
    <w:p>
      <w:pPr>
        <w:jc w:val="both"/>
        <w:ind w:right="220"/>
        <w:spacing w:after="0"/>
        <w:rPr>
          <w:sz w:val="20"/>
          <w:szCs w:val="20"/>
          <w:color w:val="auto"/>
        </w:rPr>
      </w:pPr>
      <w:r>
        <w:rPr>
          <w:rFonts w:ascii="Arial" w:cs="Arial" w:eastAsia="Arial" w:hAnsi="Arial"/>
          <w:sz w:val="18"/>
          <w:szCs w:val="18"/>
          <w:color w:val="auto"/>
        </w:rPr>
        <w:t>Total students at June 30, 2013, were down 8% and 7% compared to June 30, 2012, and March 31, 2013, respectively. Excluding campuses closed or planned for closure, total students at June 30, 2013, were down 4% compared to June 30, 2012, and down 7% compared to March 31, 2013. A summary of student enrollments is as follows: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200" w:type="dxa"/>
            <w:vAlign w:val="bottom"/>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center"/>
              <w:ind w:right="166"/>
              <w:spacing w:after="0"/>
              <w:rPr>
                <w:sz w:val="20"/>
                <w:szCs w:val="20"/>
                <w:color w:val="auto"/>
              </w:rPr>
            </w:pPr>
            <w:r>
              <w:rPr>
                <w:rFonts w:ascii="Arial" w:cs="Arial" w:eastAsia="Arial" w:hAnsi="Arial"/>
                <w:sz w:val="14"/>
                <w:szCs w:val="14"/>
                <w:b w:val="1"/>
                <w:bCs w:val="1"/>
                <w:color w:val="auto"/>
                <w:w w:val="97"/>
              </w:rPr>
              <w:t>Students as of</w:t>
            </w:r>
          </w:p>
        </w:tc>
        <w:tc>
          <w:tcPr>
            <w:tcW w:w="1200" w:type="dxa"/>
            <w:vAlign w:val="bottom"/>
            <w:tcBorders>
              <w:bottom w:val="single" w:sz="8" w:color="auto"/>
            </w:tcBorders>
          </w:tcPr>
          <w:p>
            <w:pPr>
              <w:spacing w:after="0"/>
              <w:rPr>
                <w:sz w:val="14"/>
                <w:szCs w:val="14"/>
                <w:color w:val="auto"/>
              </w:rPr>
            </w:pPr>
          </w:p>
        </w:tc>
      </w:tr>
      <w:tr>
        <w:trPr>
          <w:trHeight w:val="125"/>
        </w:trPr>
        <w:tc>
          <w:tcPr>
            <w:tcW w:w="7200" w:type="dxa"/>
            <w:vAlign w:val="bottom"/>
          </w:tcPr>
          <w:p>
            <w:pPr>
              <w:spacing w:after="0"/>
              <w:rPr>
                <w:sz w:val="10"/>
                <w:szCs w:val="10"/>
                <w:color w:val="auto"/>
              </w:rPr>
            </w:pPr>
          </w:p>
        </w:tc>
        <w:tc>
          <w:tcPr>
            <w:tcW w:w="1440" w:type="dxa"/>
            <w:vAlign w:val="bottom"/>
          </w:tcPr>
          <w:p>
            <w:pPr>
              <w:jc w:val="center"/>
              <w:ind w:right="104"/>
              <w:spacing w:after="0" w:line="125" w:lineRule="exact"/>
              <w:rPr>
                <w:sz w:val="20"/>
                <w:szCs w:val="20"/>
                <w:color w:val="auto"/>
              </w:rPr>
            </w:pPr>
            <w:r>
              <w:rPr>
                <w:rFonts w:ascii="Arial" w:cs="Arial" w:eastAsia="Arial" w:hAnsi="Arial"/>
                <w:sz w:val="14"/>
                <w:szCs w:val="14"/>
                <w:b w:val="1"/>
                <w:bCs w:val="1"/>
                <w:color w:val="auto"/>
                <w:w w:val="96"/>
              </w:rPr>
              <w:t>June 30,</w:t>
            </w:r>
          </w:p>
        </w:tc>
        <w:tc>
          <w:tcPr>
            <w:tcW w:w="1580" w:type="dxa"/>
            <w:vAlign w:val="bottom"/>
          </w:tcPr>
          <w:p>
            <w:pPr>
              <w:jc w:val="center"/>
              <w:ind w:right="146"/>
              <w:spacing w:after="0" w:line="125" w:lineRule="exact"/>
              <w:rPr>
                <w:sz w:val="20"/>
                <w:szCs w:val="20"/>
                <w:color w:val="auto"/>
              </w:rPr>
            </w:pPr>
            <w:r>
              <w:rPr>
                <w:rFonts w:ascii="Arial" w:cs="Arial" w:eastAsia="Arial" w:hAnsi="Arial"/>
                <w:sz w:val="14"/>
                <w:szCs w:val="14"/>
                <w:color w:val="auto"/>
                <w:w w:val="96"/>
              </w:rPr>
              <w:t>March 31,</w:t>
            </w:r>
          </w:p>
        </w:tc>
        <w:tc>
          <w:tcPr>
            <w:tcW w:w="1200" w:type="dxa"/>
            <w:vAlign w:val="bottom"/>
          </w:tcPr>
          <w:p>
            <w:pPr>
              <w:jc w:val="center"/>
              <w:spacing w:after="0" w:line="125" w:lineRule="exact"/>
              <w:rPr>
                <w:sz w:val="20"/>
                <w:szCs w:val="20"/>
                <w:color w:val="auto"/>
              </w:rPr>
            </w:pPr>
            <w:r>
              <w:rPr>
                <w:rFonts w:ascii="Arial" w:cs="Arial" w:eastAsia="Arial" w:hAnsi="Arial"/>
                <w:sz w:val="14"/>
                <w:szCs w:val="14"/>
                <w:color w:val="auto"/>
                <w:w w:val="96"/>
              </w:rPr>
              <w:t>June 30,</w:t>
            </w:r>
          </w:p>
        </w:tc>
      </w:tr>
      <w:tr>
        <w:trPr>
          <w:trHeight w:val="165"/>
        </w:trPr>
        <w:tc>
          <w:tcPr>
            <w:tcW w:w="72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center"/>
              <w:ind w:right="144"/>
              <w:spacing w:after="0"/>
              <w:rPr>
                <w:sz w:val="20"/>
                <w:szCs w:val="20"/>
                <w:color w:val="auto"/>
              </w:rPr>
            </w:pPr>
            <w:r>
              <w:rPr>
                <w:rFonts w:ascii="Arial" w:cs="Arial" w:eastAsia="Arial" w:hAnsi="Arial"/>
                <w:sz w:val="14"/>
                <w:szCs w:val="14"/>
                <w:b w:val="1"/>
                <w:bCs w:val="1"/>
                <w:color w:val="auto"/>
                <w:w w:val="96"/>
              </w:rPr>
              <w:t>2013</w:t>
            </w:r>
          </w:p>
        </w:tc>
        <w:tc>
          <w:tcPr>
            <w:tcW w:w="1580" w:type="dxa"/>
            <w:vAlign w:val="bottom"/>
            <w:tcBorders>
              <w:bottom w:val="single" w:sz="8" w:color="auto"/>
            </w:tcBorders>
          </w:tcPr>
          <w:p>
            <w:pPr>
              <w:jc w:val="center"/>
              <w:ind w:right="166"/>
              <w:spacing w:after="0"/>
              <w:rPr>
                <w:sz w:val="20"/>
                <w:szCs w:val="20"/>
                <w:color w:val="auto"/>
              </w:rPr>
            </w:pPr>
            <w:r>
              <w:rPr>
                <w:rFonts w:ascii="Arial" w:cs="Arial" w:eastAsia="Arial" w:hAnsi="Arial"/>
                <w:sz w:val="14"/>
                <w:szCs w:val="14"/>
                <w:color w:val="auto"/>
                <w:w w:val="96"/>
              </w:rPr>
              <w:t>2013</w:t>
            </w:r>
          </w:p>
        </w:tc>
        <w:tc>
          <w:tcPr>
            <w:tcW w:w="1200" w:type="dxa"/>
            <w:vAlign w:val="bottom"/>
            <w:tcBorders>
              <w:bottom w:val="single" w:sz="8" w:color="auto"/>
            </w:tcBorders>
          </w:tcPr>
          <w:p>
            <w:pPr>
              <w:jc w:val="center"/>
              <w:ind w:right="4"/>
              <w:spacing w:after="0"/>
              <w:rPr>
                <w:sz w:val="20"/>
                <w:szCs w:val="20"/>
                <w:color w:val="auto"/>
              </w:rPr>
            </w:pPr>
            <w:r>
              <w:rPr>
                <w:rFonts w:ascii="Arial" w:cs="Arial" w:eastAsia="Arial" w:hAnsi="Arial"/>
                <w:sz w:val="14"/>
                <w:szCs w:val="14"/>
                <w:color w:val="auto"/>
              </w:rPr>
              <w:t>2012</w:t>
            </w:r>
          </w:p>
        </w:tc>
      </w:tr>
      <w:tr>
        <w:trPr>
          <w:trHeight w:val="164"/>
        </w:trPr>
        <w:tc>
          <w:tcPr>
            <w:tcW w:w="7200" w:type="dxa"/>
            <w:vAlign w:val="bottom"/>
          </w:tcPr>
          <w:p>
            <w:pPr>
              <w:spacing w:after="0" w:line="165" w:lineRule="exact"/>
              <w:rPr>
                <w:sz w:val="20"/>
                <w:szCs w:val="20"/>
                <w:color w:val="auto"/>
              </w:rPr>
            </w:pPr>
            <w:r>
              <w:rPr>
                <w:rFonts w:ascii="Arial" w:cs="Arial" w:eastAsia="Arial" w:hAnsi="Arial"/>
                <w:sz w:val="16"/>
                <w:szCs w:val="16"/>
                <w:color w:val="auto"/>
              </w:rPr>
              <w:t>Kaplan University</w:t>
            </w:r>
          </w:p>
        </w:tc>
        <w:tc>
          <w:tcPr>
            <w:tcW w:w="1440" w:type="dxa"/>
            <w:vAlign w:val="bottom"/>
          </w:tcPr>
          <w:p>
            <w:pPr>
              <w:jc w:val="right"/>
              <w:ind w:right="144"/>
              <w:spacing w:after="0" w:line="165" w:lineRule="exact"/>
              <w:rPr>
                <w:sz w:val="20"/>
                <w:szCs w:val="20"/>
                <w:color w:val="auto"/>
              </w:rPr>
            </w:pPr>
            <w:r>
              <w:rPr>
                <w:rFonts w:ascii="Arial" w:cs="Arial" w:eastAsia="Arial" w:hAnsi="Arial"/>
                <w:sz w:val="16"/>
                <w:szCs w:val="16"/>
                <w:b w:val="1"/>
                <w:bCs w:val="1"/>
                <w:color w:val="auto"/>
              </w:rPr>
              <w:t>45,625</w:t>
            </w:r>
          </w:p>
        </w:tc>
        <w:tc>
          <w:tcPr>
            <w:tcW w:w="1580" w:type="dxa"/>
            <w:vAlign w:val="bottom"/>
          </w:tcPr>
          <w:p>
            <w:pPr>
              <w:jc w:val="right"/>
              <w:ind w:right="246"/>
              <w:spacing w:after="0" w:line="165" w:lineRule="exact"/>
              <w:rPr>
                <w:sz w:val="20"/>
                <w:szCs w:val="20"/>
                <w:color w:val="auto"/>
              </w:rPr>
            </w:pPr>
            <w:r>
              <w:rPr>
                <w:rFonts w:ascii="Arial" w:cs="Arial" w:eastAsia="Arial" w:hAnsi="Arial"/>
                <w:sz w:val="16"/>
                <w:szCs w:val="16"/>
                <w:color w:val="auto"/>
              </w:rPr>
              <w:t>48,673</w:t>
            </w:r>
          </w:p>
        </w:tc>
        <w:tc>
          <w:tcPr>
            <w:tcW w:w="1200" w:type="dxa"/>
            <w:vAlign w:val="bottom"/>
          </w:tcPr>
          <w:p>
            <w:pPr>
              <w:jc w:val="right"/>
              <w:spacing w:after="0" w:line="165" w:lineRule="exact"/>
              <w:rPr>
                <w:sz w:val="20"/>
                <w:szCs w:val="20"/>
                <w:color w:val="auto"/>
              </w:rPr>
            </w:pPr>
            <w:r>
              <w:rPr>
                <w:rFonts w:ascii="Arial" w:cs="Arial" w:eastAsia="Arial" w:hAnsi="Arial"/>
                <w:sz w:val="16"/>
                <w:szCs w:val="16"/>
                <w:color w:val="auto"/>
              </w:rPr>
              <w:t>47,175</w:t>
            </w:r>
          </w:p>
        </w:tc>
      </w:tr>
      <w:tr>
        <w:trPr>
          <w:trHeight w:val="207"/>
        </w:trPr>
        <w:tc>
          <w:tcPr>
            <w:tcW w:w="7200" w:type="dxa"/>
            <w:vAlign w:val="bottom"/>
          </w:tcPr>
          <w:p>
            <w:pPr>
              <w:spacing w:after="0"/>
              <w:rPr>
                <w:sz w:val="20"/>
                <w:szCs w:val="20"/>
                <w:color w:val="auto"/>
              </w:rPr>
            </w:pPr>
            <w:r>
              <w:rPr>
                <w:rFonts w:ascii="Arial" w:cs="Arial" w:eastAsia="Arial" w:hAnsi="Arial"/>
                <w:sz w:val="16"/>
                <w:szCs w:val="16"/>
                <w:color w:val="auto"/>
              </w:rPr>
              <w:t>KHE Campuses</w:t>
            </w:r>
          </w:p>
        </w:tc>
        <w:tc>
          <w:tcPr>
            <w:tcW w:w="1440" w:type="dxa"/>
            <w:vAlign w:val="bottom"/>
            <w:tcBorders>
              <w:bottom w:val="single" w:sz="8" w:color="auto"/>
            </w:tcBorders>
          </w:tcPr>
          <w:p>
            <w:pPr>
              <w:jc w:val="right"/>
              <w:ind w:right="144"/>
              <w:spacing w:after="0"/>
              <w:rPr>
                <w:sz w:val="20"/>
                <w:szCs w:val="20"/>
                <w:color w:val="auto"/>
              </w:rPr>
            </w:pPr>
            <w:r>
              <w:rPr>
                <w:rFonts w:ascii="Arial" w:cs="Arial" w:eastAsia="Arial" w:hAnsi="Arial"/>
                <w:sz w:val="16"/>
                <w:szCs w:val="16"/>
                <w:b w:val="1"/>
                <w:bCs w:val="1"/>
                <w:color w:val="auto"/>
              </w:rPr>
              <w:t>16,567</w:t>
            </w:r>
          </w:p>
        </w:tc>
        <w:tc>
          <w:tcPr>
            <w:tcW w:w="1580" w:type="dxa"/>
            <w:vAlign w:val="bottom"/>
            <w:tcBorders>
              <w:bottom w:val="single" w:sz="8" w:color="auto"/>
            </w:tcBorders>
          </w:tcPr>
          <w:p>
            <w:pPr>
              <w:jc w:val="right"/>
              <w:ind w:right="246"/>
              <w:spacing w:after="0"/>
              <w:rPr>
                <w:sz w:val="20"/>
                <w:szCs w:val="20"/>
                <w:color w:val="auto"/>
              </w:rPr>
            </w:pPr>
            <w:r>
              <w:rPr>
                <w:rFonts w:ascii="Arial" w:cs="Arial" w:eastAsia="Arial" w:hAnsi="Arial"/>
                <w:sz w:val="16"/>
                <w:szCs w:val="16"/>
                <w:color w:val="auto"/>
              </w:rPr>
              <w:t>18,523</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20,430</w:t>
            </w:r>
          </w:p>
        </w:tc>
      </w:tr>
      <w:tr>
        <w:trPr>
          <w:trHeight w:val="183"/>
        </w:trPr>
        <w:tc>
          <w:tcPr>
            <w:tcW w:w="7200" w:type="dxa"/>
            <w:vAlign w:val="bottom"/>
          </w:tcPr>
          <w:p>
            <w:pPr>
              <w:spacing w:after="0"/>
              <w:rPr>
                <w:sz w:val="15"/>
                <w:szCs w:val="15"/>
                <w:color w:val="auto"/>
              </w:rPr>
            </w:pPr>
          </w:p>
        </w:tc>
        <w:tc>
          <w:tcPr>
            <w:tcW w:w="1440" w:type="dxa"/>
            <w:vAlign w:val="bottom"/>
            <w:tcBorders>
              <w:bottom w:val="single" w:sz="8" w:color="auto"/>
            </w:tcBorders>
          </w:tcPr>
          <w:p>
            <w:pPr>
              <w:jc w:val="right"/>
              <w:ind w:right="144"/>
              <w:spacing w:after="0" w:line="183" w:lineRule="exact"/>
              <w:rPr>
                <w:sz w:val="20"/>
                <w:szCs w:val="20"/>
                <w:color w:val="auto"/>
              </w:rPr>
            </w:pPr>
            <w:r>
              <w:rPr>
                <w:rFonts w:ascii="Arial" w:cs="Arial" w:eastAsia="Arial" w:hAnsi="Arial"/>
                <w:sz w:val="16"/>
                <w:szCs w:val="16"/>
                <w:b w:val="1"/>
                <w:bCs w:val="1"/>
                <w:color w:val="auto"/>
              </w:rPr>
              <w:t>62,192</w:t>
            </w:r>
          </w:p>
        </w:tc>
        <w:tc>
          <w:tcPr>
            <w:tcW w:w="1580" w:type="dxa"/>
            <w:vAlign w:val="bottom"/>
            <w:tcBorders>
              <w:bottom w:val="single" w:sz="8" w:color="auto"/>
            </w:tcBorders>
          </w:tcPr>
          <w:p>
            <w:pPr>
              <w:jc w:val="right"/>
              <w:ind w:right="246"/>
              <w:spacing w:after="0" w:line="183" w:lineRule="exact"/>
              <w:rPr>
                <w:sz w:val="20"/>
                <w:szCs w:val="20"/>
                <w:color w:val="auto"/>
              </w:rPr>
            </w:pPr>
            <w:r>
              <w:rPr>
                <w:rFonts w:ascii="Arial" w:cs="Arial" w:eastAsia="Arial" w:hAnsi="Arial"/>
                <w:sz w:val="16"/>
                <w:szCs w:val="16"/>
                <w:color w:val="auto"/>
              </w:rPr>
              <w:t>67,196</w:t>
            </w:r>
          </w:p>
        </w:tc>
        <w:tc>
          <w:tcPr>
            <w:tcW w:w="1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67,605</w:t>
            </w:r>
          </w:p>
        </w:tc>
      </w:tr>
      <w:tr>
        <w:trPr>
          <w:trHeight w:val="20"/>
        </w:trPr>
        <w:tc>
          <w:tcPr>
            <w:tcW w:w="72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413"/>
        </w:trPr>
        <w:tc>
          <w:tcPr>
            <w:tcW w:w="7200" w:type="dxa"/>
            <w:vAlign w:val="bottom"/>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center"/>
              <w:ind w:right="166"/>
              <w:spacing w:after="0"/>
              <w:rPr>
                <w:sz w:val="20"/>
                <w:szCs w:val="20"/>
                <w:color w:val="auto"/>
              </w:rPr>
            </w:pPr>
            <w:r>
              <w:rPr>
                <w:rFonts w:ascii="Arial" w:cs="Arial" w:eastAsia="Arial" w:hAnsi="Arial"/>
                <w:sz w:val="14"/>
                <w:szCs w:val="14"/>
                <w:b w:val="1"/>
                <w:bCs w:val="1"/>
                <w:color w:val="auto"/>
                <w:w w:val="97"/>
              </w:rPr>
              <w:t>Students as of</w:t>
            </w:r>
          </w:p>
        </w:tc>
        <w:tc>
          <w:tcPr>
            <w:tcW w:w="1200" w:type="dxa"/>
            <w:vAlign w:val="bottom"/>
            <w:tcBorders>
              <w:bottom w:val="single" w:sz="8" w:color="auto"/>
            </w:tcBorders>
          </w:tcPr>
          <w:p>
            <w:pPr>
              <w:spacing w:after="0"/>
              <w:rPr>
                <w:sz w:val="24"/>
                <w:szCs w:val="24"/>
                <w:color w:val="auto"/>
              </w:rPr>
            </w:pPr>
          </w:p>
        </w:tc>
      </w:tr>
      <w:tr>
        <w:trPr>
          <w:trHeight w:val="125"/>
        </w:trPr>
        <w:tc>
          <w:tcPr>
            <w:tcW w:w="7200" w:type="dxa"/>
            <w:vAlign w:val="bottom"/>
          </w:tcPr>
          <w:p>
            <w:pPr>
              <w:spacing w:after="0"/>
              <w:rPr>
                <w:sz w:val="10"/>
                <w:szCs w:val="10"/>
                <w:color w:val="auto"/>
              </w:rPr>
            </w:pPr>
          </w:p>
        </w:tc>
        <w:tc>
          <w:tcPr>
            <w:tcW w:w="1440" w:type="dxa"/>
            <w:vAlign w:val="bottom"/>
          </w:tcPr>
          <w:p>
            <w:pPr>
              <w:jc w:val="center"/>
              <w:ind w:right="104"/>
              <w:spacing w:after="0" w:line="125" w:lineRule="exact"/>
              <w:rPr>
                <w:sz w:val="20"/>
                <w:szCs w:val="20"/>
                <w:color w:val="auto"/>
              </w:rPr>
            </w:pPr>
            <w:r>
              <w:rPr>
                <w:rFonts w:ascii="Arial" w:cs="Arial" w:eastAsia="Arial" w:hAnsi="Arial"/>
                <w:sz w:val="14"/>
                <w:szCs w:val="14"/>
                <w:b w:val="1"/>
                <w:bCs w:val="1"/>
                <w:color w:val="auto"/>
                <w:w w:val="96"/>
              </w:rPr>
              <w:t>June 30,</w:t>
            </w:r>
          </w:p>
        </w:tc>
        <w:tc>
          <w:tcPr>
            <w:tcW w:w="1580" w:type="dxa"/>
            <w:vAlign w:val="bottom"/>
          </w:tcPr>
          <w:p>
            <w:pPr>
              <w:jc w:val="center"/>
              <w:ind w:right="146"/>
              <w:spacing w:after="0" w:line="125" w:lineRule="exact"/>
              <w:rPr>
                <w:sz w:val="20"/>
                <w:szCs w:val="20"/>
                <w:color w:val="auto"/>
              </w:rPr>
            </w:pPr>
            <w:r>
              <w:rPr>
                <w:rFonts w:ascii="Arial" w:cs="Arial" w:eastAsia="Arial" w:hAnsi="Arial"/>
                <w:sz w:val="14"/>
                <w:szCs w:val="14"/>
                <w:color w:val="auto"/>
                <w:w w:val="96"/>
              </w:rPr>
              <w:t>March 31,</w:t>
            </w:r>
          </w:p>
        </w:tc>
        <w:tc>
          <w:tcPr>
            <w:tcW w:w="1200" w:type="dxa"/>
            <w:vAlign w:val="bottom"/>
          </w:tcPr>
          <w:p>
            <w:pPr>
              <w:jc w:val="center"/>
              <w:spacing w:after="0" w:line="125" w:lineRule="exact"/>
              <w:rPr>
                <w:sz w:val="20"/>
                <w:szCs w:val="20"/>
                <w:color w:val="auto"/>
              </w:rPr>
            </w:pPr>
            <w:r>
              <w:rPr>
                <w:rFonts w:ascii="Arial" w:cs="Arial" w:eastAsia="Arial" w:hAnsi="Arial"/>
                <w:sz w:val="14"/>
                <w:szCs w:val="14"/>
                <w:color w:val="auto"/>
                <w:w w:val="96"/>
              </w:rPr>
              <w:t>June 30,</w:t>
            </w:r>
          </w:p>
        </w:tc>
      </w:tr>
      <w:tr>
        <w:trPr>
          <w:trHeight w:val="165"/>
        </w:trPr>
        <w:tc>
          <w:tcPr>
            <w:tcW w:w="72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(excluding campuses closing)</w:t>
            </w:r>
          </w:p>
        </w:tc>
        <w:tc>
          <w:tcPr>
            <w:tcW w:w="1440" w:type="dxa"/>
            <w:vAlign w:val="bottom"/>
            <w:tcBorders>
              <w:bottom w:val="single" w:sz="8" w:color="auto"/>
            </w:tcBorders>
          </w:tcPr>
          <w:p>
            <w:pPr>
              <w:jc w:val="center"/>
              <w:ind w:right="144"/>
              <w:spacing w:after="0"/>
              <w:rPr>
                <w:sz w:val="20"/>
                <w:szCs w:val="20"/>
                <w:color w:val="auto"/>
              </w:rPr>
            </w:pPr>
            <w:r>
              <w:rPr>
                <w:rFonts w:ascii="Arial" w:cs="Arial" w:eastAsia="Arial" w:hAnsi="Arial"/>
                <w:sz w:val="14"/>
                <w:szCs w:val="14"/>
                <w:b w:val="1"/>
                <w:bCs w:val="1"/>
                <w:color w:val="auto"/>
                <w:w w:val="96"/>
              </w:rPr>
              <w:t>2013</w:t>
            </w:r>
          </w:p>
        </w:tc>
        <w:tc>
          <w:tcPr>
            <w:tcW w:w="1580" w:type="dxa"/>
            <w:vAlign w:val="bottom"/>
            <w:tcBorders>
              <w:bottom w:val="single" w:sz="8" w:color="auto"/>
            </w:tcBorders>
          </w:tcPr>
          <w:p>
            <w:pPr>
              <w:jc w:val="center"/>
              <w:ind w:right="166"/>
              <w:spacing w:after="0"/>
              <w:rPr>
                <w:sz w:val="20"/>
                <w:szCs w:val="20"/>
                <w:color w:val="auto"/>
              </w:rPr>
            </w:pPr>
            <w:r>
              <w:rPr>
                <w:rFonts w:ascii="Arial" w:cs="Arial" w:eastAsia="Arial" w:hAnsi="Arial"/>
                <w:sz w:val="14"/>
                <w:szCs w:val="14"/>
                <w:color w:val="auto"/>
                <w:w w:val="96"/>
              </w:rPr>
              <w:t>2013</w:t>
            </w:r>
          </w:p>
        </w:tc>
        <w:tc>
          <w:tcPr>
            <w:tcW w:w="1200" w:type="dxa"/>
            <w:vAlign w:val="bottom"/>
            <w:tcBorders>
              <w:bottom w:val="single" w:sz="8" w:color="auto"/>
            </w:tcBorders>
          </w:tcPr>
          <w:p>
            <w:pPr>
              <w:jc w:val="center"/>
              <w:ind w:right="4"/>
              <w:spacing w:after="0"/>
              <w:rPr>
                <w:sz w:val="20"/>
                <w:szCs w:val="20"/>
                <w:color w:val="auto"/>
              </w:rPr>
            </w:pPr>
            <w:r>
              <w:rPr>
                <w:rFonts w:ascii="Arial" w:cs="Arial" w:eastAsia="Arial" w:hAnsi="Arial"/>
                <w:sz w:val="14"/>
                <w:szCs w:val="14"/>
                <w:color w:val="auto"/>
              </w:rPr>
              <w:t>2012</w:t>
            </w:r>
          </w:p>
        </w:tc>
      </w:tr>
      <w:tr>
        <w:trPr>
          <w:trHeight w:val="164"/>
        </w:trPr>
        <w:tc>
          <w:tcPr>
            <w:tcW w:w="7200" w:type="dxa"/>
            <w:vAlign w:val="bottom"/>
          </w:tcPr>
          <w:p>
            <w:pPr>
              <w:spacing w:after="0" w:line="165" w:lineRule="exact"/>
              <w:rPr>
                <w:sz w:val="20"/>
                <w:szCs w:val="20"/>
                <w:color w:val="auto"/>
              </w:rPr>
            </w:pPr>
            <w:r>
              <w:rPr>
                <w:rFonts w:ascii="Arial" w:cs="Arial" w:eastAsia="Arial" w:hAnsi="Arial"/>
                <w:sz w:val="16"/>
                <w:szCs w:val="16"/>
                <w:color w:val="auto"/>
              </w:rPr>
              <w:t>Kaplan University</w:t>
            </w:r>
          </w:p>
        </w:tc>
        <w:tc>
          <w:tcPr>
            <w:tcW w:w="1440" w:type="dxa"/>
            <w:vAlign w:val="bottom"/>
          </w:tcPr>
          <w:p>
            <w:pPr>
              <w:jc w:val="right"/>
              <w:ind w:right="144"/>
              <w:spacing w:after="0" w:line="165" w:lineRule="exact"/>
              <w:rPr>
                <w:sz w:val="20"/>
                <w:szCs w:val="20"/>
                <w:color w:val="auto"/>
              </w:rPr>
            </w:pPr>
            <w:r>
              <w:rPr>
                <w:rFonts w:ascii="Arial" w:cs="Arial" w:eastAsia="Arial" w:hAnsi="Arial"/>
                <w:sz w:val="16"/>
                <w:szCs w:val="16"/>
                <w:b w:val="1"/>
                <w:bCs w:val="1"/>
                <w:color w:val="auto"/>
              </w:rPr>
              <w:t>45,625</w:t>
            </w:r>
          </w:p>
        </w:tc>
        <w:tc>
          <w:tcPr>
            <w:tcW w:w="1580" w:type="dxa"/>
            <w:vAlign w:val="bottom"/>
          </w:tcPr>
          <w:p>
            <w:pPr>
              <w:jc w:val="right"/>
              <w:ind w:right="246"/>
              <w:spacing w:after="0" w:line="165" w:lineRule="exact"/>
              <w:rPr>
                <w:sz w:val="20"/>
                <w:szCs w:val="20"/>
                <w:color w:val="auto"/>
              </w:rPr>
            </w:pPr>
            <w:r>
              <w:rPr>
                <w:rFonts w:ascii="Arial" w:cs="Arial" w:eastAsia="Arial" w:hAnsi="Arial"/>
                <w:sz w:val="16"/>
                <w:szCs w:val="16"/>
                <w:color w:val="auto"/>
              </w:rPr>
              <w:t>48,673</w:t>
            </w:r>
          </w:p>
        </w:tc>
        <w:tc>
          <w:tcPr>
            <w:tcW w:w="1200" w:type="dxa"/>
            <w:vAlign w:val="bottom"/>
          </w:tcPr>
          <w:p>
            <w:pPr>
              <w:jc w:val="right"/>
              <w:spacing w:after="0" w:line="165" w:lineRule="exact"/>
              <w:rPr>
                <w:sz w:val="20"/>
                <w:szCs w:val="20"/>
                <w:color w:val="auto"/>
              </w:rPr>
            </w:pPr>
            <w:r>
              <w:rPr>
                <w:rFonts w:ascii="Arial" w:cs="Arial" w:eastAsia="Arial" w:hAnsi="Arial"/>
                <w:sz w:val="16"/>
                <w:szCs w:val="16"/>
                <w:color w:val="auto"/>
              </w:rPr>
              <w:t>47,175</w:t>
            </w:r>
          </w:p>
        </w:tc>
      </w:tr>
      <w:tr>
        <w:trPr>
          <w:trHeight w:val="207"/>
        </w:trPr>
        <w:tc>
          <w:tcPr>
            <w:tcW w:w="7200" w:type="dxa"/>
            <w:vAlign w:val="bottom"/>
          </w:tcPr>
          <w:p>
            <w:pPr>
              <w:spacing w:after="0"/>
              <w:rPr>
                <w:sz w:val="20"/>
                <w:szCs w:val="20"/>
                <w:color w:val="auto"/>
              </w:rPr>
            </w:pPr>
            <w:r>
              <w:rPr>
                <w:rFonts w:ascii="Arial" w:cs="Arial" w:eastAsia="Arial" w:hAnsi="Arial"/>
                <w:sz w:val="16"/>
                <w:szCs w:val="16"/>
                <w:color w:val="auto"/>
              </w:rPr>
              <w:t>KHE Campuses</w:t>
            </w:r>
          </w:p>
        </w:tc>
        <w:tc>
          <w:tcPr>
            <w:tcW w:w="1440" w:type="dxa"/>
            <w:vAlign w:val="bottom"/>
            <w:tcBorders>
              <w:bottom w:val="single" w:sz="8" w:color="auto"/>
            </w:tcBorders>
          </w:tcPr>
          <w:p>
            <w:pPr>
              <w:jc w:val="right"/>
              <w:ind w:right="144"/>
              <w:spacing w:after="0"/>
              <w:rPr>
                <w:sz w:val="20"/>
                <w:szCs w:val="20"/>
                <w:color w:val="auto"/>
              </w:rPr>
            </w:pPr>
            <w:r>
              <w:rPr>
                <w:rFonts w:ascii="Arial" w:cs="Arial" w:eastAsia="Arial" w:hAnsi="Arial"/>
                <w:sz w:val="16"/>
                <w:szCs w:val="16"/>
                <w:b w:val="1"/>
                <w:bCs w:val="1"/>
                <w:color w:val="auto"/>
              </w:rPr>
              <w:t>16,157</w:t>
            </w:r>
          </w:p>
        </w:tc>
        <w:tc>
          <w:tcPr>
            <w:tcW w:w="1580" w:type="dxa"/>
            <w:vAlign w:val="bottom"/>
            <w:tcBorders>
              <w:bottom w:val="single" w:sz="8" w:color="auto"/>
            </w:tcBorders>
          </w:tcPr>
          <w:p>
            <w:pPr>
              <w:jc w:val="right"/>
              <w:ind w:right="246"/>
              <w:spacing w:after="0"/>
              <w:rPr>
                <w:sz w:val="20"/>
                <w:szCs w:val="20"/>
                <w:color w:val="auto"/>
              </w:rPr>
            </w:pPr>
            <w:r>
              <w:rPr>
                <w:rFonts w:ascii="Arial" w:cs="Arial" w:eastAsia="Arial" w:hAnsi="Arial"/>
                <w:sz w:val="16"/>
                <w:szCs w:val="16"/>
                <w:color w:val="auto"/>
              </w:rPr>
              <w:t>17,615</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17,326</w:t>
            </w:r>
          </w:p>
        </w:tc>
      </w:tr>
      <w:tr>
        <w:trPr>
          <w:trHeight w:val="183"/>
        </w:trPr>
        <w:tc>
          <w:tcPr>
            <w:tcW w:w="7200" w:type="dxa"/>
            <w:vAlign w:val="bottom"/>
          </w:tcPr>
          <w:p>
            <w:pPr>
              <w:spacing w:after="0"/>
              <w:rPr>
                <w:sz w:val="15"/>
                <w:szCs w:val="15"/>
                <w:color w:val="auto"/>
              </w:rPr>
            </w:pPr>
          </w:p>
        </w:tc>
        <w:tc>
          <w:tcPr>
            <w:tcW w:w="1440" w:type="dxa"/>
            <w:vAlign w:val="bottom"/>
            <w:tcBorders>
              <w:bottom w:val="single" w:sz="8" w:color="auto"/>
            </w:tcBorders>
          </w:tcPr>
          <w:p>
            <w:pPr>
              <w:jc w:val="right"/>
              <w:ind w:right="144"/>
              <w:spacing w:after="0" w:line="183" w:lineRule="exact"/>
              <w:rPr>
                <w:sz w:val="20"/>
                <w:szCs w:val="20"/>
                <w:color w:val="auto"/>
              </w:rPr>
            </w:pPr>
            <w:r>
              <w:rPr>
                <w:rFonts w:ascii="Arial" w:cs="Arial" w:eastAsia="Arial" w:hAnsi="Arial"/>
                <w:sz w:val="16"/>
                <w:szCs w:val="16"/>
                <w:b w:val="1"/>
                <w:bCs w:val="1"/>
                <w:color w:val="auto"/>
              </w:rPr>
              <w:t>61,782</w:t>
            </w:r>
          </w:p>
        </w:tc>
        <w:tc>
          <w:tcPr>
            <w:tcW w:w="1580" w:type="dxa"/>
            <w:vAlign w:val="bottom"/>
            <w:tcBorders>
              <w:bottom w:val="single" w:sz="8" w:color="auto"/>
            </w:tcBorders>
          </w:tcPr>
          <w:p>
            <w:pPr>
              <w:jc w:val="right"/>
              <w:ind w:right="246"/>
              <w:spacing w:after="0" w:line="183" w:lineRule="exact"/>
              <w:rPr>
                <w:sz w:val="20"/>
                <w:szCs w:val="20"/>
                <w:color w:val="auto"/>
              </w:rPr>
            </w:pPr>
            <w:r>
              <w:rPr>
                <w:rFonts w:ascii="Arial" w:cs="Arial" w:eastAsia="Arial" w:hAnsi="Arial"/>
                <w:sz w:val="16"/>
                <w:szCs w:val="16"/>
                <w:color w:val="auto"/>
              </w:rPr>
              <w:t>66,288</w:t>
            </w:r>
          </w:p>
        </w:tc>
        <w:tc>
          <w:tcPr>
            <w:tcW w:w="1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64,501</w:t>
            </w:r>
          </w:p>
        </w:tc>
      </w:tr>
      <w:tr>
        <w:trPr>
          <w:trHeight w:val="20"/>
        </w:trPr>
        <w:tc>
          <w:tcPr>
            <w:tcW w:w="72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Kaplan University enrollments included 8,144, 8,819 and 8,100 campus-based students as of June 30, 2013, March 31, 2013, and June 30, 2012,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Kaplan University and KHE Campuses enrollments at June 30, 2013 and 2012, by degree and certificate programs, are as follows: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460" w:type="dxa"/>
            <w:vAlign w:val="bottom"/>
          </w:tcPr>
          <w:p>
            <w:pPr>
              <w:spacing w:after="0"/>
              <w:rPr>
                <w:sz w:val="14"/>
                <w:szCs w:val="14"/>
                <w:color w:val="auto"/>
              </w:rPr>
            </w:pPr>
          </w:p>
        </w:tc>
        <w:tc>
          <w:tcPr>
            <w:tcW w:w="2080" w:type="dxa"/>
            <w:vAlign w:val="bottom"/>
            <w:tcBorders>
              <w:bottom w:val="single" w:sz="8" w:color="auto"/>
            </w:tcBorders>
          </w:tcPr>
          <w:p>
            <w:pPr>
              <w:jc w:val="right"/>
              <w:ind w:right="63"/>
              <w:spacing w:after="0"/>
              <w:rPr>
                <w:sz w:val="20"/>
                <w:szCs w:val="20"/>
                <w:color w:val="auto"/>
              </w:rPr>
            </w:pPr>
            <w:r>
              <w:rPr>
                <w:rFonts w:ascii="Arial" w:cs="Arial" w:eastAsia="Arial" w:hAnsi="Arial"/>
                <w:sz w:val="14"/>
                <w:szCs w:val="14"/>
                <w:b w:val="1"/>
                <w:bCs w:val="1"/>
                <w:color w:val="auto"/>
              </w:rPr>
              <w:t>As of June 30,</w:t>
            </w:r>
          </w:p>
        </w:tc>
        <w:tc>
          <w:tcPr>
            <w:tcW w:w="880" w:type="dxa"/>
            <w:vAlign w:val="bottom"/>
            <w:tcBorders>
              <w:bottom w:val="single" w:sz="8" w:color="auto"/>
            </w:tcBorders>
          </w:tcPr>
          <w:p>
            <w:pPr>
              <w:spacing w:after="0"/>
              <w:rPr>
                <w:sz w:val="14"/>
                <w:szCs w:val="14"/>
                <w:color w:val="auto"/>
              </w:rPr>
            </w:pPr>
          </w:p>
        </w:tc>
      </w:tr>
      <w:tr>
        <w:trPr>
          <w:trHeight w:val="142"/>
        </w:trPr>
        <w:tc>
          <w:tcPr>
            <w:tcW w:w="8460" w:type="dxa"/>
            <w:vAlign w:val="bottom"/>
            <w:tcBorders>
              <w:bottom w:val="single" w:sz="8" w:color="auto"/>
            </w:tcBorders>
          </w:tcPr>
          <w:p>
            <w:pPr>
              <w:spacing w:after="0"/>
              <w:rPr>
                <w:sz w:val="12"/>
                <w:szCs w:val="12"/>
                <w:color w:val="auto"/>
              </w:rPr>
            </w:pPr>
          </w:p>
        </w:tc>
        <w:tc>
          <w:tcPr>
            <w:tcW w:w="2080" w:type="dxa"/>
            <w:vAlign w:val="bottom"/>
            <w:tcBorders>
              <w:bottom w:val="single" w:sz="8" w:color="auto"/>
            </w:tcBorders>
          </w:tcPr>
          <w:p>
            <w:pPr>
              <w:jc w:val="right"/>
              <w:ind w:right="1243"/>
              <w:spacing w:after="0" w:line="142" w:lineRule="exact"/>
              <w:rPr>
                <w:sz w:val="20"/>
                <w:szCs w:val="20"/>
                <w:color w:val="auto"/>
              </w:rPr>
            </w:pPr>
            <w:r>
              <w:rPr>
                <w:rFonts w:ascii="Arial" w:cs="Arial" w:eastAsia="Arial" w:hAnsi="Arial"/>
                <w:sz w:val="14"/>
                <w:szCs w:val="14"/>
                <w:b w:val="1"/>
                <w:bCs w:val="1"/>
                <w:color w:val="auto"/>
              </w:rPr>
              <w:t>2013</w:t>
            </w:r>
          </w:p>
        </w:tc>
        <w:tc>
          <w:tcPr>
            <w:tcW w:w="880" w:type="dxa"/>
            <w:vAlign w:val="bottom"/>
            <w:tcBorders>
              <w:bottom w:val="single" w:sz="8" w:color="auto"/>
            </w:tcBorders>
          </w:tcPr>
          <w:p>
            <w:pPr>
              <w:jc w:val="right"/>
              <w:ind w:right="341"/>
              <w:spacing w:after="0" w:line="142" w:lineRule="exact"/>
              <w:rPr>
                <w:sz w:val="20"/>
                <w:szCs w:val="20"/>
                <w:color w:val="auto"/>
              </w:rPr>
            </w:pPr>
            <w:r>
              <w:rPr>
                <w:rFonts w:ascii="Arial" w:cs="Arial" w:eastAsia="Arial" w:hAnsi="Arial"/>
                <w:sz w:val="14"/>
                <w:szCs w:val="14"/>
                <w:color w:val="auto"/>
              </w:rPr>
              <w:t>2012</w:t>
            </w:r>
          </w:p>
        </w:tc>
      </w:tr>
      <w:tr>
        <w:trPr>
          <w:trHeight w:val="164"/>
        </w:trPr>
        <w:tc>
          <w:tcPr>
            <w:tcW w:w="8460" w:type="dxa"/>
            <w:vAlign w:val="bottom"/>
          </w:tcPr>
          <w:p>
            <w:pPr>
              <w:spacing w:after="0" w:line="165" w:lineRule="exact"/>
              <w:rPr>
                <w:sz w:val="20"/>
                <w:szCs w:val="20"/>
                <w:color w:val="auto"/>
              </w:rPr>
            </w:pPr>
            <w:r>
              <w:rPr>
                <w:rFonts w:ascii="Arial" w:cs="Arial" w:eastAsia="Arial" w:hAnsi="Arial"/>
                <w:sz w:val="16"/>
                <w:szCs w:val="16"/>
                <w:color w:val="auto"/>
              </w:rPr>
              <w:t>Certificate</w:t>
            </w:r>
          </w:p>
        </w:tc>
        <w:tc>
          <w:tcPr>
            <w:tcW w:w="2080" w:type="dxa"/>
            <w:vAlign w:val="bottom"/>
          </w:tcPr>
          <w:p>
            <w:pPr>
              <w:jc w:val="right"/>
              <w:ind w:right="823"/>
              <w:spacing w:after="0" w:line="165" w:lineRule="exact"/>
              <w:rPr>
                <w:sz w:val="20"/>
                <w:szCs w:val="20"/>
                <w:color w:val="auto"/>
              </w:rPr>
            </w:pPr>
            <w:r>
              <w:rPr>
                <w:rFonts w:ascii="Arial" w:cs="Arial" w:eastAsia="Arial" w:hAnsi="Arial"/>
                <w:sz w:val="16"/>
                <w:szCs w:val="16"/>
                <w:b w:val="1"/>
                <w:bCs w:val="1"/>
                <w:color w:val="auto"/>
              </w:rPr>
              <w:t>21.7 %</w:t>
            </w:r>
          </w:p>
        </w:tc>
        <w:tc>
          <w:tcPr>
            <w:tcW w:w="880" w:type="dxa"/>
            <w:vAlign w:val="bottom"/>
          </w:tcPr>
          <w:p>
            <w:pPr>
              <w:jc w:val="right"/>
              <w:ind w:right="1"/>
              <w:spacing w:after="0" w:line="165" w:lineRule="exact"/>
              <w:rPr>
                <w:sz w:val="20"/>
                <w:szCs w:val="20"/>
                <w:color w:val="auto"/>
              </w:rPr>
            </w:pPr>
            <w:r>
              <w:rPr>
                <w:rFonts w:ascii="Arial" w:cs="Arial" w:eastAsia="Arial" w:hAnsi="Arial"/>
                <w:sz w:val="16"/>
                <w:szCs w:val="16"/>
                <w:color w:val="auto"/>
              </w:rPr>
              <w:t>24.8 %</w:t>
            </w:r>
          </w:p>
        </w:tc>
      </w:tr>
      <w:tr>
        <w:trPr>
          <w:trHeight w:val="189"/>
        </w:trPr>
        <w:tc>
          <w:tcPr>
            <w:tcW w:w="8460" w:type="dxa"/>
            <w:vAlign w:val="bottom"/>
          </w:tcPr>
          <w:p>
            <w:pPr>
              <w:spacing w:after="0"/>
              <w:rPr>
                <w:sz w:val="20"/>
                <w:szCs w:val="20"/>
                <w:color w:val="auto"/>
              </w:rPr>
            </w:pPr>
            <w:r>
              <w:rPr>
                <w:rFonts w:ascii="Arial" w:cs="Arial" w:eastAsia="Arial" w:hAnsi="Arial"/>
                <w:sz w:val="16"/>
                <w:szCs w:val="16"/>
                <w:color w:val="auto"/>
              </w:rPr>
              <w:t>Associate’s</w:t>
            </w:r>
          </w:p>
        </w:tc>
        <w:tc>
          <w:tcPr>
            <w:tcW w:w="2080" w:type="dxa"/>
            <w:vAlign w:val="bottom"/>
          </w:tcPr>
          <w:p>
            <w:pPr>
              <w:jc w:val="right"/>
              <w:ind w:right="823"/>
              <w:spacing w:after="0"/>
              <w:rPr>
                <w:sz w:val="20"/>
                <w:szCs w:val="20"/>
                <w:color w:val="auto"/>
              </w:rPr>
            </w:pPr>
            <w:r>
              <w:rPr>
                <w:rFonts w:ascii="Arial" w:cs="Arial" w:eastAsia="Arial" w:hAnsi="Arial"/>
                <w:sz w:val="16"/>
                <w:szCs w:val="16"/>
                <w:b w:val="1"/>
                <w:bCs w:val="1"/>
                <w:color w:val="auto"/>
              </w:rPr>
              <w:t>30.5 %</w:t>
            </w: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28.7 %</w:t>
            </w:r>
          </w:p>
        </w:tc>
      </w:tr>
      <w:tr>
        <w:trPr>
          <w:trHeight w:val="189"/>
        </w:trPr>
        <w:tc>
          <w:tcPr>
            <w:tcW w:w="8460" w:type="dxa"/>
            <w:vAlign w:val="bottom"/>
          </w:tcPr>
          <w:p>
            <w:pPr>
              <w:spacing w:after="0"/>
              <w:rPr>
                <w:sz w:val="20"/>
                <w:szCs w:val="20"/>
                <w:color w:val="auto"/>
              </w:rPr>
            </w:pPr>
            <w:r>
              <w:rPr>
                <w:rFonts w:ascii="Arial" w:cs="Arial" w:eastAsia="Arial" w:hAnsi="Arial"/>
                <w:sz w:val="16"/>
                <w:szCs w:val="16"/>
                <w:color w:val="auto"/>
              </w:rPr>
              <w:t>Bachelor’s</w:t>
            </w:r>
          </w:p>
        </w:tc>
        <w:tc>
          <w:tcPr>
            <w:tcW w:w="2080" w:type="dxa"/>
            <w:vAlign w:val="bottom"/>
          </w:tcPr>
          <w:p>
            <w:pPr>
              <w:jc w:val="right"/>
              <w:ind w:right="823"/>
              <w:spacing w:after="0"/>
              <w:rPr>
                <w:sz w:val="20"/>
                <w:szCs w:val="20"/>
                <w:color w:val="auto"/>
              </w:rPr>
            </w:pPr>
            <w:r>
              <w:rPr>
                <w:rFonts w:ascii="Arial" w:cs="Arial" w:eastAsia="Arial" w:hAnsi="Arial"/>
                <w:sz w:val="16"/>
                <w:szCs w:val="16"/>
                <w:b w:val="1"/>
                <w:bCs w:val="1"/>
                <w:color w:val="auto"/>
              </w:rPr>
              <w:t>33.1 %</w:t>
            </w: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33.7 %</w:t>
            </w:r>
          </w:p>
        </w:tc>
      </w:tr>
      <w:tr>
        <w:trPr>
          <w:trHeight w:val="207"/>
        </w:trPr>
        <w:tc>
          <w:tcPr>
            <w:tcW w:w="8460" w:type="dxa"/>
            <w:vAlign w:val="bottom"/>
          </w:tcPr>
          <w:p>
            <w:pPr>
              <w:spacing w:after="0"/>
              <w:rPr>
                <w:sz w:val="20"/>
                <w:szCs w:val="20"/>
                <w:color w:val="auto"/>
              </w:rPr>
            </w:pPr>
            <w:r>
              <w:rPr>
                <w:rFonts w:ascii="Arial" w:cs="Arial" w:eastAsia="Arial" w:hAnsi="Arial"/>
                <w:sz w:val="16"/>
                <w:szCs w:val="16"/>
                <w:color w:val="auto"/>
              </w:rPr>
              <w:t>Master’s</w:t>
            </w:r>
          </w:p>
        </w:tc>
        <w:tc>
          <w:tcPr>
            <w:tcW w:w="2080" w:type="dxa"/>
            <w:vAlign w:val="bottom"/>
            <w:tcBorders>
              <w:bottom w:val="single" w:sz="8" w:color="auto"/>
            </w:tcBorders>
          </w:tcPr>
          <w:p>
            <w:pPr>
              <w:jc w:val="right"/>
              <w:ind w:right="823"/>
              <w:spacing w:after="0"/>
              <w:rPr>
                <w:sz w:val="20"/>
                <w:szCs w:val="20"/>
                <w:color w:val="auto"/>
              </w:rPr>
            </w:pPr>
            <w:r>
              <w:rPr>
                <w:rFonts w:ascii="Arial" w:cs="Arial" w:eastAsia="Arial" w:hAnsi="Arial"/>
                <w:sz w:val="16"/>
                <w:szCs w:val="16"/>
                <w:b w:val="1"/>
                <w:bCs w:val="1"/>
                <w:color w:val="auto"/>
              </w:rPr>
              <w:t>14.7 %</w:t>
            </w: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12.8 %</w:t>
            </w:r>
          </w:p>
        </w:tc>
      </w:tr>
      <w:tr>
        <w:trPr>
          <w:trHeight w:val="183"/>
        </w:trPr>
        <w:tc>
          <w:tcPr>
            <w:tcW w:w="8460" w:type="dxa"/>
            <w:vAlign w:val="bottom"/>
          </w:tcPr>
          <w:p>
            <w:pPr>
              <w:spacing w:after="0"/>
              <w:rPr>
                <w:sz w:val="15"/>
                <w:szCs w:val="15"/>
                <w:color w:val="auto"/>
              </w:rPr>
            </w:pPr>
          </w:p>
        </w:tc>
        <w:tc>
          <w:tcPr>
            <w:tcW w:w="2080" w:type="dxa"/>
            <w:vAlign w:val="bottom"/>
            <w:tcBorders>
              <w:bottom w:val="single" w:sz="8" w:color="auto"/>
            </w:tcBorders>
          </w:tcPr>
          <w:p>
            <w:pPr>
              <w:jc w:val="right"/>
              <w:ind w:right="823"/>
              <w:spacing w:after="0" w:line="183" w:lineRule="exact"/>
              <w:rPr>
                <w:sz w:val="20"/>
                <w:szCs w:val="20"/>
                <w:color w:val="auto"/>
              </w:rPr>
            </w:pPr>
            <w:r>
              <w:rPr>
                <w:rFonts w:ascii="Arial" w:cs="Arial" w:eastAsia="Arial" w:hAnsi="Arial"/>
                <w:sz w:val="16"/>
                <w:szCs w:val="16"/>
                <w:b w:val="1"/>
                <w:bCs w:val="1"/>
                <w:color w:val="auto"/>
              </w:rPr>
              <w:t>100.0 %</w:t>
            </w:r>
          </w:p>
        </w:tc>
        <w:tc>
          <w:tcPr>
            <w:tcW w:w="880" w:type="dxa"/>
            <w:vAlign w:val="bottom"/>
            <w:tcBorders>
              <w:bottom w:val="single" w:sz="8" w:color="auto"/>
            </w:tcBorders>
          </w:tcPr>
          <w:p>
            <w:pPr>
              <w:jc w:val="right"/>
              <w:ind w:right="1"/>
              <w:spacing w:after="0" w:line="183" w:lineRule="exact"/>
              <w:rPr>
                <w:sz w:val="20"/>
                <w:szCs w:val="20"/>
                <w:color w:val="auto"/>
              </w:rPr>
            </w:pPr>
            <w:r>
              <w:rPr>
                <w:rFonts w:ascii="Arial" w:cs="Arial" w:eastAsia="Arial" w:hAnsi="Arial"/>
                <w:sz w:val="16"/>
                <w:szCs w:val="16"/>
                <w:color w:val="auto"/>
              </w:rPr>
              <w:t>100.0 %</w:t>
            </w:r>
          </w:p>
        </w:tc>
      </w:tr>
      <w:tr>
        <w:trPr>
          <w:trHeight w:val="20"/>
        </w:trPr>
        <w:tc>
          <w:tcPr>
            <w:tcW w:w="846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Kaplan Test Preparation (KTP) includes Kaplan’s standardized test preparation and tutoring offerings. KTP revenue increased 7% and 8% for the second quarter and first six months of 2013, respectively. Enrollment increased 2% and 1% for the second quarter and first six months of 2013, respectively, driven by strength in pre-college, nursing and bar review programs, offset by declines in graduate programs. KTP operating results improved in the first six months of 2013 due largely to increased revenues.</w:t>
      </w:r>
    </w:p>
    <w:p>
      <w:pPr>
        <w:spacing w:after="0" w:line="188"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Kaplan International includes English-language programs and postsecondary education and professional training businesses outside the United States. Kaplan International revenue increased 5% and 6% in the second quarter and first six months of 2013, respectively, due to enrollment growth in the pathways, English-language and Singapore higher education programs. Kaplan International operating income declined in the second quarter and first six months of 2013 due to restructuring costs in Australia and reduced earnings in Europe, partially offset by strong results in Singapore. In the second quarter of 2012, International results benefited from a net $1.9 million adjustment that resulted from a favorable adjustment to certain items recorded in prior periods. In the second quarter and first six months of 2013, restructuring costs totaled $2.3 million and $2.6 million, respectively, in Australia, where Kaplan has been consolidating and restructuring its businesses to optimize operations; such costs are largely made up of severance costs and other expenses to teach-out students for certain programs that are being eliminated.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Corporate represents unallocated expenses of Kaplan, Inc.’s corporate office, other minor businesses and shared activities.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Cable Television</w:t>
      </w:r>
    </w:p>
    <w:p>
      <w:pPr>
        <w:spacing w:after="0" w:line="220"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color w:val="auto"/>
        </w:rPr>
        <w:t>Cable television division revenue increased 5% in the second quarter of 2013 to $204.6 million, from $195.6 million for the second quarter of 2012; for the first six months of 2013, revenue increased 5% to $404.7 million, from $385.8 million in the same period of 2012. The revenue increase for the first six months of 2013 is due to recent rate increases for many subscribers, growth in commercial sales and a reduction in promotional discounts. The increase was partially offset by a decline in basic video subscribers, as the cable division focuses its efforts on churn reduction and retention of its high-value subscribers.</w:t>
      </w:r>
    </w:p>
    <w:p>
      <w:pPr>
        <w:spacing w:after="0" w:line="189"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Cable television division operating income increased 16% to $44.7 million, from $38.4 million in the second quarter of 2012; for the first six months of 2013, operating income increased 14% to $81.3 million, from $71.2 million for the first six months of 2012. The division’s operating income improved due to increased revenues and reductions in labor costs and bad debt expense, partially offset by higher programming and depreciation costs.</w:t>
      </w:r>
    </w:p>
    <w:p>
      <w:pPr>
        <w:spacing w:after="0" w:line="188"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At June 30, 2013, Primary Service Units (PSUs) were down 3% from the prior year due to a decline in basic video subscribers. PSUs include about 6,300 subscribers who receive free basic cable service, primarily local governments, schools and other organizations as required by various franchise agreements. A summary of PSUs is as follows: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700" w:type="dxa"/>
            <w:vAlign w:val="bottom"/>
          </w:tcPr>
          <w:p>
            <w:pPr>
              <w:spacing w:after="0"/>
              <w:rPr>
                <w:sz w:val="14"/>
                <w:szCs w:val="14"/>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As of June 30,</w:t>
            </w:r>
          </w:p>
        </w:tc>
        <w:tc>
          <w:tcPr>
            <w:tcW w:w="840" w:type="dxa"/>
            <w:vAlign w:val="bottom"/>
            <w:tcBorders>
              <w:bottom w:val="single" w:sz="8" w:color="auto"/>
            </w:tcBorders>
          </w:tcPr>
          <w:p>
            <w:pPr>
              <w:spacing w:after="0"/>
              <w:rPr>
                <w:sz w:val="14"/>
                <w:szCs w:val="14"/>
                <w:color w:val="auto"/>
              </w:rPr>
            </w:pPr>
          </w:p>
        </w:tc>
      </w:tr>
      <w:tr>
        <w:trPr>
          <w:trHeight w:val="142"/>
        </w:trPr>
        <w:tc>
          <w:tcPr>
            <w:tcW w:w="870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tcPr>
          <w:p>
            <w:pPr>
              <w:jc w:val="right"/>
              <w:ind w:right="1043"/>
              <w:spacing w:after="0" w:line="142" w:lineRule="exact"/>
              <w:rPr>
                <w:sz w:val="20"/>
                <w:szCs w:val="20"/>
                <w:color w:val="auto"/>
              </w:rPr>
            </w:pPr>
            <w:r>
              <w:rPr>
                <w:rFonts w:ascii="Arial" w:cs="Arial" w:eastAsia="Arial" w:hAnsi="Arial"/>
                <w:sz w:val="14"/>
                <w:szCs w:val="14"/>
                <w:b w:val="1"/>
                <w:bCs w:val="1"/>
                <w:color w:val="auto"/>
              </w:rPr>
              <w:t>2013</w:t>
            </w:r>
          </w:p>
        </w:tc>
        <w:tc>
          <w:tcPr>
            <w:tcW w:w="840" w:type="dxa"/>
            <w:vAlign w:val="bottom"/>
            <w:tcBorders>
              <w:bottom w:val="single" w:sz="8" w:color="auto"/>
            </w:tcBorders>
          </w:tcPr>
          <w:p>
            <w:pPr>
              <w:jc w:val="right"/>
              <w:ind w:right="402"/>
              <w:spacing w:after="0" w:line="142" w:lineRule="exact"/>
              <w:rPr>
                <w:sz w:val="20"/>
                <w:szCs w:val="20"/>
                <w:color w:val="auto"/>
              </w:rPr>
            </w:pPr>
            <w:r>
              <w:rPr>
                <w:rFonts w:ascii="Arial" w:cs="Arial" w:eastAsia="Arial" w:hAnsi="Arial"/>
                <w:sz w:val="14"/>
                <w:szCs w:val="14"/>
                <w:color w:val="auto"/>
              </w:rPr>
              <w:t>2012</w:t>
            </w:r>
          </w:p>
        </w:tc>
      </w:tr>
      <w:tr>
        <w:trPr>
          <w:trHeight w:val="164"/>
        </w:trPr>
        <w:tc>
          <w:tcPr>
            <w:tcW w:w="8700" w:type="dxa"/>
            <w:vAlign w:val="bottom"/>
          </w:tcPr>
          <w:p>
            <w:pPr>
              <w:spacing w:after="0" w:line="165" w:lineRule="exact"/>
              <w:rPr>
                <w:sz w:val="20"/>
                <w:szCs w:val="20"/>
                <w:color w:val="auto"/>
              </w:rPr>
            </w:pPr>
            <w:r>
              <w:rPr>
                <w:rFonts w:ascii="Arial" w:cs="Arial" w:eastAsia="Arial" w:hAnsi="Arial"/>
                <w:sz w:val="16"/>
                <w:szCs w:val="16"/>
                <w:color w:val="auto"/>
              </w:rPr>
              <w:t>Basic video</w:t>
            </w:r>
          </w:p>
        </w:tc>
        <w:tc>
          <w:tcPr>
            <w:tcW w:w="1880" w:type="dxa"/>
            <w:vAlign w:val="bottom"/>
          </w:tcPr>
          <w:p>
            <w:pPr>
              <w:jc w:val="right"/>
              <w:ind w:right="603"/>
              <w:spacing w:after="0" w:line="165" w:lineRule="exact"/>
              <w:rPr>
                <w:sz w:val="20"/>
                <w:szCs w:val="20"/>
                <w:color w:val="auto"/>
              </w:rPr>
            </w:pPr>
            <w:r>
              <w:rPr>
                <w:rFonts w:ascii="Arial" w:cs="Arial" w:eastAsia="Arial" w:hAnsi="Arial"/>
                <w:sz w:val="16"/>
                <w:szCs w:val="16"/>
                <w:b w:val="1"/>
                <w:bCs w:val="1"/>
                <w:color w:val="auto"/>
              </w:rPr>
              <w:t>575,762</w:t>
            </w:r>
          </w:p>
        </w:tc>
        <w:tc>
          <w:tcPr>
            <w:tcW w:w="840" w:type="dxa"/>
            <w:vAlign w:val="bottom"/>
          </w:tcPr>
          <w:p>
            <w:pPr>
              <w:jc w:val="right"/>
              <w:spacing w:after="0" w:line="165" w:lineRule="exact"/>
              <w:rPr>
                <w:sz w:val="20"/>
                <w:szCs w:val="20"/>
                <w:color w:val="auto"/>
              </w:rPr>
            </w:pPr>
            <w:r>
              <w:rPr>
                <w:rFonts w:ascii="Arial" w:cs="Arial" w:eastAsia="Arial" w:hAnsi="Arial"/>
                <w:sz w:val="16"/>
                <w:szCs w:val="16"/>
                <w:color w:val="auto"/>
              </w:rPr>
              <w:t>612,729</w:t>
            </w:r>
          </w:p>
        </w:tc>
      </w:tr>
      <w:tr>
        <w:trPr>
          <w:trHeight w:val="189"/>
        </w:trPr>
        <w:tc>
          <w:tcPr>
            <w:tcW w:w="8700" w:type="dxa"/>
            <w:vAlign w:val="bottom"/>
          </w:tcPr>
          <w:p>
            <w:pPr>
              <w:spacing w:after="0"/>
              <w:rPr>
                <w:sz w:val="20"/>
                <w:szCs w:val="20"/>
                <w:color w:val="auto"/>
              </w:rPr>
            </w:pPr>
            <w:r>
              <w:rPr>
                <w:rFonts w:ascii="Arial" w:cs="Arial" w:eastAsia="Arial" w:hAnsi="Arial"/>
                <w:sz w:val="16"/>
                <w:szCs w:val="16"/>
                <w:color w:val="auto"/>
              </w:rPr>
              <w:t>High-speed data</w:t>
            </w:r>
          </w:p>
        </w:tc>
        <w:tc>
          <w:tcPr>
            <w:tcW w:w="1880" w:type="dxa"/>
            <w:vAlign w:val="bottom"/>
          </w:tcPr>
          <w:p>
            <w:pPr>
              <w:jc w:val="right"/>
              <w:ind w:right="603"/>
              <w:spacing w:after="0"/>
              <w:rPr>
                <w:sz w:val="20"/>
                <w:szCs w:val="20"/>
                <w:color w:val="auto"/>
              </w:rPr>
            </w:pPr>
            <w:r>
              <w:rPr>
                <w:rFonts w:ascii="Arial" w:cs="Arial" w:eastAsia="Arial" w:hAnsi="Arial"/>
                <w:sz w:val="16"/>
                <w:szCs w:val="16"/>
                <w:b w:val="1"/>
                <w:bCs w:val="1"/>
                <w:color w:val="auto"/>
              </w:rPr>
              <w:t>464,292</w:t>
            </w:r>
          </w:p>
        </w:tc>
        <w:tc>
          <w:tcPr>
            <w:tcW w:w="840" w:type="dxa"/>
            <w:vAlign w:val="bottom"/>
          </w:tcPr>
          <w:p>
            <w:pPr>
              <w:jc w:val="right"/>
              <w:spacing w:after="0"/>
              <w:rPr>
                <w:sz w:val="20"/>
                <w:szCs w:val="20"/>
                <w:color w:val="auto"/>
              </w:rPr>
            </w:pPr>
            <w:r>
              <w:rPr>
                <w:rFonts w:ascii="Arial" w:cs="Arial" w:eastAsia="Arial" w:hAnsi="Arial"/>
                <w:sz w:val="16"/>
                <w:szCs w:val="16"/>
                <w:color w:val="auto"/>
              </w:rPr>
              <w:t>462,426</w:t>
            </w:r>
          </w:p>
        </w:tc>
      </w:tr>
      <w:tr>
        <w:trPr>
          <w:trHeight w:val="207"/>
        </w:trPr>
        <w:tc>
          <w:tcPr>
            <w:tcW w:w="8700" w:type="dxa"/>
            <w:vAlign w:val="bottom"/>
          </w:tcPr>
          <w:p>
            <w:pPr>
              <w:spacing w:after="0"/>
              <w:rPr>
                <w:sz w:val="20"/>
                <w:szCs w:val="20"/>
                <w:color w:val="auto"/>
              </w:rPr>
            </w:pPr>
            <w:r>
              <w:rPr>
                <w:rFonts w:ascii="Arial" w:cs="Arial" w:eastAsia="Arial" w:hAnsi="Arial"/>
                <w:sz w:val="16"/>
                <w:szCs w:val="16"/>
                <w:color w:val="auto"/>
              </w:rPr>
              <w:t>Telephony</w:t>
            </w:r>
          </w:p>
        </w:tc>
        <w:tc>
          <w:tcPr>
            <w:tcW w:w="1880" w:type="dxa"/>
            <w:vAlign w:val="bottom"/>
            <w:tcBorders>
              <w:bottom w:val="single" w:sz="8" w:color="auto"/>
            </w:tcBorders>
          </w:tcPr>
          <w:p>
            <w:pPr>
              <w:jc w:val="right"/>
              <w:ind w:right="603"/>
              <w:spacing w:after="0"/>
              <w:rPr>
                <w:sz w:val="20"/>
                <w:szCs w:val="20"/>
                <w:color w:val="auto"/>
              </w:rPr>
            </w:pPr>
            <w:r>
              <w:rPr>
                <w:rFonts w:ascii="Arial" w:cs="Arial" w:eastAsia="Arial" w:hAnsi="Arial"/>
                <w:sz w:val="16"/>
                <w:szCs w:val="16"/>
                <w:b w:val="1"/>
                <w:bCs w:val="1"/>
                <w:color w:val="auto"/>
              </w:rPr>
              <w:t>185,380</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187,095</w:t>
            </w:r>
          </w:p>
        </w:tc>
      </w:tr>
      <w:tr>
        <w:trPr>
          <w:trHeight w:val="183"/>
        </w:trPr>
        <w:tc>
          <w:tcPr>
            <w:tcW w:w="8700" w:type="dxa"/>
            <w:vAlign w:val="bottom"/>
          </w:tcPr>
          <w:p>
            <w:pPr>
              <w:spacing w:after="0"/>
              <w:rPr>
                <w:sz w:val="15"/>
                <w:szCs w:val="15"/>
                <w:color w:val="auto"/>
              </w:rPr>
            </w:pPr>
          </w:p>
        </w:tc>
        <w:tc>
          <w:tcPr>
            <w:tcW w:w="1880" w:type="dxa"/>
            <w:vAlign w:val="bottom"/>
            <w:tcBorders>
              <w:bottom w:val="single" w:sz="8" w:color="auto"/>
            </w:tcBorders>
          </w:tcPr>
          <w:p>
            <w:pPr>
              <w:jc w:val="right"/>
              <w:ind w:right="603"/>
              <w:spacing w:after="0" w:line="183" w:lineRule="exact"/>
              <w:rPr>
                <w:sz w:val="20"/>
                <w:szCs w:val="20"/>
                <w:color w:val="auto"/>
              </w:rPr>
            </w:pPr>
            <w:r>
              <w:rPr>
                <w:rFonts w:ascii="Arial" w:cs="Arial" w:eastAsia="Arial" w:hAnsi="Arial"/>
                <w:sz w:val="16"/>
                <w:szCs w:val="16"/>
                <w:b w:val="1"/>
                <w:bCs w:val="1"/>
                <w:color w:val="auto"/>
              </w:rPr>
              <w:t>1,225,434</w:t>
            </w:r>
          </w:p>
        </w:tc>
        <w:tc>
          <w:tcPr>
            <w:tcW w:w="8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1,262,250</w:t>
            </w:r>
          </w:p>
        </w:tc>
      </w:tr>
      <w:tr>
        <w:trPr>
          <w:trHeight w:val="20"/>
        </w:trPr>
        <w:tc>
          <w:tcPr>
            <w:tcW w:w="870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Below are details of Cable division capital expenditures as defined by the NCTA Standard Reporting Categories: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00" w:type="dxa"/>
            <w:vAlign w:val="bottom"/>
            <w:gridSpan w:val="2"/>
          </w:tcPr>
          <w:p>
            <w:pPr>
              <w:jc w:val="right"/>
              <w:spacing w:after="0"/>
              <w:rPr>
                <w:sz w:val="20"/>
                <w:szCs w:val="20"/>
                <w:color w:val="auto"/>
              </w:rPr>
            </w:pPr>
            <w:r>
              <w:rPr>
                <w:rFonts w:ascii="Arial" w:cs="Arial" w:eastAsia="Arial" w:hAnsi="Arial"/>
                <w:sz w:val="14"/>
                <w:szCs w:val="14"/>
                <w:b w:val="1"/>
                <w:bCs w:val="1"/>
                <w:color w:val="auto"/>
              </w:rPr>
              <w:t>Six Months Ended</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848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3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2"/>
          </w:tcPr>
          <w:p>
            <w:pPr>
              <w:jc w:val="right"/>
              <w:ind w:right="259"/>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480" w:type="dxa"/>
            <w:vAlign w:val="bottom"/>
            <w:tcBorders>
              <w:bottom w:val="single" w:sz="8" w:color="auto"/>
            </w:tcBorders>
            <w:vMerge w:val="continue"/>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623"/>
              <w:spacing w:after="0" w:line="142" w:lineRule="exact"/>
              <w:rPr>
                <w:sz w:val="20"/>
                <w:szCs w:val="20"/>
                <w:color w:val="auto"/>
              </w:rPr>
            </w:pPr>
            <w:r>
              <w:rPr>
                <w:rFonts w:ascii="Arial" w:cs="Arial" w:eastAsia="Arial" w:hAnsi="Arial"/>
                <w:sz w:val="14"/>
                <w:szCs w:val="14"/>
                <w:b w:val="1"/>
                <w:bCs w:val="1"/>
                <w:color w:val="auto"/>
              </w:rPr>
              <w:t>2013</w:t>
            </w:r>
          </w:p>
        </w:tc>
        <w:tc>
          <w:tcPr>
            <w:tcW w:w="5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61"/>
              <w:spacing w:after="0" w:line="142" w:lineRule="exact"/>
              <w:rPr>
                <w:sz w:val="20"/>
                <w:szCs w:val="20"/>
                <w:color w:val="auto"/>
              </w:rPr>
            </w:pPr>
            <w:r>
              <w:rPr>
                <w:rFonts w:ascii="Arial" w:cs="Arial" w:eastAsia="Arial" w:hAnsi="Arial"/>
                <w:sz w:val="14"/>
                <w:szCs w:val="14"/>
                <w:color w:val="auto"/>
                <w:w w:val="96"/>
              </w:rPr>
              <w:t>2012</w:t>
            </w:r>
          </w:p>
        </w:tc>
        <w:tc>
          <w:tcPr>
            <w:tcW w:w="0" w:type="dxa"/>
            <w:vAlign w:val="bottom"/>
          </w:tcPr>
          <w:p>
            <w:pPr>
              <w:spacing w:after="0"/>
              <w:rPr>
                <w:sz w:val="1"/>
                <w:szCs w:val="1"/>
                <w:color w:val="auto"/>
              </w:rPr>
            </w:pPr>
          </w:p>
        </w:tc>
      </w:tr>
      <w:tr>
        <w:trPr>
          <w:trHeight w:val="164"/>
        </w:trPr>
        <w:tc>
          <w:tcPr>
            <w:tcW w:w="8480" w:type="dxa"/>
            <w:vAlign w:val="bottom"/>
          </w:tcPr>
          <w:p>
            <w:pPr>
              <w:spacing w:after="0" w:line="165" w:lineRule="exact"/>
              <w:rPr>
                <w:sz w:val="20"/>
                <w:szCs w:val="20"/>
                <w:color w:val="auto"/>
              </w:rPr>
            </w:pPr>
            <w:r>
              <w:rPr>
                <w:rFonts w:ascii="Arial" w:cs="Arial" w:eastAsia="Arial" w:hAnsi="Arial"/>
                <w:sz w:val="16"/>
                <w:szCs w:val="16"/>
                <w:color w:val="auto"/>
              </w:rPr>
              <w:t>Customer Premise Equipment</w:t>
            </w:r>
          </w:p>
        </w:tc>
        <w:tc>
          <w:tcPr>
            <w:tcW w:w="380" w:type="dxa"/>
            <w:vAlign w:val="bottom"/>
          </w:tcPr>
          <w:p>
            <w:pPr>
              <w:jc w:val="right"/>
              <w:ind w:right="79"/>
              <w:spacing w:after="0" w:line="165" w:lineRule="exact"/>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123"/>
              <w:spacing w:after="0" w:line="165" w:lineRule="exact"/>
              <w:rPr>
                <w:sz w:val="20"/>
                <w:szCs w:val="20"/>
                <w:color w:val="auto"/>
              </w:rPr>
            </w:pPr>
            <w:r>
              <w:rPr>
                <w:rFonts w:ascii="Arial" w:cs="Arial" w:eastAsia="Arial" w:hAnsi="Arial"/>
                <w:sz w:val="16"/>
                <w:szCs w:val="16"/>
                <w:b w:val="1"/>
                <w:bCs w:val="1"/>
                <w:color w:val="auto"/>
              </w:rPr>
              <w:t>12,843</w:t>
            </w:r>
          </w:p>
        </w:tc>
        <w:tc>
          <w:tcPr>
            <w:tcW w:w="560" w:type="dxa"/>
            <w:vAlign w:val="bottom"/>
          </w:tcPr>
          <w:p>
            <w:pPr>
              <w:jc w:val="right"/>
              <w:ind w:right="199"/>
              <w:spacing w:after="0" w:line="165" w:lineRule="exact"/>
              <w:rPr>
                <w:sz w:val="20"/>
                <w:szCs w:val="20"/>
                <w:color w:val="auto"/>
              </w:rPr>
            </w:pPr>
            <w:r>
              <w:rPr>
                <w:rFonts w:ascii="Arial" w:cs="Arial" w:eastAsia="Arial" w:hAnsi="Arial"/>
                <w:sz w:val="16"/>
                <w:szCs w:val="16"/>
                <w:color w:val="auto"/>
              </w:rPr>
              <w:t>$</w:t>
            </w:r>
          </w:p>
        </w:tc>
        <w:tc>
          <w:tcPr>
            <w:tcW w:w="860" w:type="dxa"/>
            <w:vAlign w:val="bottom"/>
          </w:tcPr>
          <w:p>
            <w:pPr>
              <w:jc w:val="right"/>
              <w:spacing w:after="0" w:line="165" w:lineRule="exact"/>
              <w:rPr>
                <w:sz w:val="20"/>
                <w:szCs w:val="20"/>
                <w:color w:val="auto"/>
              </w:rPr>
            </w:pPr>
            <w:r>
              <w:rPr>
                <w:rFonts w:ascii="Arial" w:cs="Arial" w:eastAsia="Arial" w:hAnsi="Arial"/>
                <w:sz w:val="16"/>
                <w:szCs w:val="16"/>
                <w:color w:val="auto"/>
              </w:rPr>
              <w:t>25,336</w:t>
            </w:r>
          </w:p>
        </w:tc>
        <w:tc>
          <w:tcPr>
            <w:tcW w:w="0" w:type="dxa"/>
            <w:vAlign w:val="bottom"/>
          </w:tcPr>
          <w:p>
            <w:pPr>
              <w:spacing w:after="0"/>
              <w:rPr>
                <w:sz w:val="1"/>
                <w:szCs w:val="1"/>
                <w:color w:val="auto"/>
              </w:rPr>
            </w:pPr>
          </w:p>
        </w:tc>
      </w:tr>
      <w:tr>
        <w:trPr>
          <w:trHeight w:val="189"/>
        </w:trPr>
        <w:tc>
          <w:tcPr>
            <w:tcW w:w="8480" w:type="dxa"/>
            <w:vAlign w:val="bottom"/>
          </w:tcPr>
          <w:p>
            <w:pPr>
              <w:spacing w:after="0"/>
              <w:rPr>
                <w:sz w:val="20"/>
                <w:szCs w:val="20"/>
                <w:color w:val="auto"/>
              </w:rPr>
            </w:pPr>
            <w:r>
              <w:rPr>
                <w:rFonts w:ascii="Arial" w:cs="Arial" w:eastAsia="Arial" w:hAnsi="Arial"/>
                <w:sz w:val="16"/>
                <w:szCs w:val="16"/>
                <w:color w:val="auto"/>
              </w:rPr>
              <w:t>Commercial</w:t>
            </w:r>
          </w:p>
        </w:tc>
        <w:tc>
          <w:tcPr>
            <w:tcW w:w="380" w:type="dxa"/>
            <w:vAlign w:val="bottom"/>
          </w:tcPr>
          <w:p>
            <w:pPr>
              <w:spacing w:after="0"/>
              <w:rPr>
                <w:sz w:val="16"/>
                <w:szCs w:val="16"/>
                <w:color w:val="auto"/>
              </w:rPr>
            </w:pPr>
          </w:p>
        </w:tc>
        <w:tc>
          <w:tcPr>
            <w:tcW w:w="1140" w:type="dxa"/>
            <w:vAlign w:val="bottom"/>
          </w:tcPr>
          <w:p>
            <w:pPr>
              <w:jc w:val="right"/>
              <w:ind w:right="123"/>
              <w:spacing w:after="0"/>
              <w:rPr>
                <w:sz w:val="20"/>
                <w:szCs w:val="20"/>
                <w:color w:val="auto"/>
              </w:rPr>
            </w:pPr>
            <w:r>
              <w:rPr>
                <w:rFonts w:ascii="Arial" w:cs="Arial" w:eastAsia="Arial" w:hAnsi="Arial"/>
                <w:sz w:val="16"/>
                <w:szCs w:val="16"/>
                <w:b w:val="1"/>
                <w:bCs w:val="1"/>
                <w:color w:val="auto"/>
              </w:rPr>
              <w:t>2,109</w:t>
            </w:r>
          </w:p>
        </w:tc>
        <w:tc>
          <w:tcPr>
            <w:tcW w:w="5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2,148</w:t>
            </w:r>
          </w:p>
        </w:tc>
        <w:tc>
          <w:tcPr>
            <w:tcW w:w="0" w:type="dxa"/>
            <w:vAlign w:val="bottom"/>
          </w:tcPr>
          <w:p>
            <w:pPr>
              <w:spacing w:after="0"/>
              <w:rPr>
                <w:sz w:val="1"/>
                <w:szCs w:val="1"/>
                <w:color w:val="auto"/>
              </w:rPr>
            </w:pPr>
          </w:p>
        </w:tc>
      </w:tr>
      <w:tr>
        <w:trPr>
          <w:trHeight w:val="189"/>
        </w:trPr>
        <w:tc>
          <w:tcPr>
            <w:tcW w:w="8480" w:type="dxa"/>
            <w:vAlign w:val="bottom"/>
          </w:tcPr>
          <w:p>
            <w:pPr>
              <w:spacing w:after="0"/>
              <w:rPr>
                <w:sz w:val="20"/>
                <w:szCs w:val="20"/>
                <w:color w:val="auto"/>
              </w:rPr>
            </w:pPr>
            <w:r>
              <w:rPr>
                <w:rFonts w:ascii="Arial" w:cs="Arial" w:eastAsia="Arial" w:hAnsi="Arial"/>
                <w:sz w:val="16"/>
                <w:szCs w:val="16"/>
                <w:color w:val="auto"/>
              </w:rPr>
              <w:t>Scaleable Infrastructure</w:t>
            </w:r>
          </w:p>
        </w:tc>
        <w:tc>
          <w:tcPr>
            <w:tcW w:w="380" w:type="dxa"/>
            <w:vAlign w:val="bottom"/>
          </w:tcPr>
          <w:p>
            <w:pPr>
              <w:spacing w:after="0"/>
              <w:rPr>
                <w:sz w:val="16"/>
                <w:szCs w:val="16"/>
                <w:color w:val="auto"/>
              </w:rPr>
            </w:pPr>
          </w:p>
        </w:tc>
        <w:tc>
          <w:tcPr>
            <w:tcW w:w="1140" w:type="dxa"/>
            <w:vAlign w:val="bottom"/>
          </w:tcPr>
          <w:p>
            <w:pPr>
              <w:jc w:val="right"/>
              <w:ind w:right="123"/>
              <w:spacing w:after="0"/>
              <w:rPr>
                <w:sz w:val="20"/>
                <w:szCs w:val="20"/>
                <w:color w:val="auto"/>
              </w:rPr>
            </w:pPr>
            <w:r>
              <w:rPr>
                <w:rFonts w:ascii="Arial" w:cs="Arial" w:eastAsia="Arial" w:hAnsi="Arial"/>
                <w:sz w:val="16"/>
                <w:szCs w:val="16"/>
                <w:b w:val="1"/>
                <w:bCs w:val="1"/>
                <w:color w:val="auto"/>
              </w:rPr>
              <w:t>9,043</w:t>
            </w:r>
          </w:p>
        </w:tc>
        <w:tc>
          <w:tcPr>
            <w:tcW w:w="5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10,667</w:t>
            </w:r>
          </w:p>
        </w:tc>
        <w:tc>
          <w:tcPr>
            <w:tcW w:w="0" w:type="dxa"/>
            <w:vAlign w:val="bottom"/>
          </w:tcPr>
          <w:p>
            <w:pPr>
              <w:spacing w:after="0"/>
              <w:rPr>
                <w:sz w:val="1"/>
                <w:szCs w:val="1"/>
                <w:color w:val="auto"/>
              </w:rPr>
            </w:pPr>
          </w:p>
        </w:tc>
      </w:tr>
      <w:tr>
        <w:trPr>
          <w:trHeight w:val="189"/>
        </w:trPr>
        <w:tc>
          <w:tcPr>
            <w:tcW w:w="8480" w:type="dxa"/>
            <w:vAlign w:val="bottom"/>
          </w:tcPr>
          <w:p>
            <w:pPr>
              <w:spacing w:after="0"/>
              <w:rPr>
                <w:sz w:val="20"/>
                <w:szCs w:val="20"/>
                <w:color w:val="auto"/>
              </w:rPr>
            </w:pPr>
            <w:r>
              <w:rPr>
                <w:rFonts w:ascii="Arial" w:cs="Arial" w:eastAsia="Arial" w:hAnsi="Arial"/>
                <w:sz w:val="16"/>
                <w:szCs w:val="16"/>
                <w:color w:val="auto"/>
              </w:rPr>
              <w:t>Line Extensions</w:t>
            </w:r>
          </w:p>
        </w:tc>
        <w:tc>
          <w:tcPr>
            <w:tcW w:w="380" w:type="dxa"/>
            <w:vAlign w:val="bottom"/>
          </w:tcPr>
          <w:p>
            <w:pPr>
              <w:spacing w:after="0"/>
              <w:rPr>
                <w:sz w:val="16"/>
                <w:szCs w:val="16"/>
                <w:color w:val="auto"/>
              </w:rPr>
            </w:pPr>
          </w:p>
        </w:tc>
        <w:tc>
          <w:tcPr>
            <w:tcW w:w="1140" w:type="dxa"/>
            <w:vAlign w:val="bottom"/>
          </w:tcPr>
          <w:p>
            <w:pPr>
              <w:jc w:val="right"/>
              <w:ind w:right="123"/>
              <w:spacing w:after="0"/>
              <w:rPr>
                <w:sz w:val="20"/>
                <w:szCs w:val="20"/>
                <w:color w:val="auto"/>
              </w:rPr>
            </w:pPr>
            <w:r>
              <w:rPr>
                <w:rFonts w:ascii="Arial" w:cs="Arial" w:eastAsia="Arial" w:hAnsi="Arial"/>
                <w:sz w:val="16"/>
                <w:szCs w:val="16"/>
                <w:b w:val="1"/>
                <w:bCs w:val="1"/>
                <w:color w:val="auto"/>
              </w:rPr>
              <w:t>2,300</w:t>
            </w:r>
          </w:p>
        </w:tc>
        <w:tc>
          <w:tcPr>
            <w:tcW w:w="5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2,415</w:t>
            </w:r>
          </w:p>
        </w:tc>
        <w:tc>
          <w:tcPr>
            <w:tcW w:w="0" w:type="dxa"/>
            <w:vAlign w:val="bottom"/>
          </w:tcPr>
          <w:p>
            <w:pPr>
              <w:spacing w:after="0"/>
              <w:rPr>
                <w:sz w:val="1"/>
                <w:szCs w:val="1"/>
                <w:color w:val="auto"/>
              </w:rPr>
            </w:pPr>
          </w:p>
        </w:tc>
      </w:tr>
      <w:tr>
        <w:trPr>
          <w:trHeight w:val="189"/>
        </w:trPr>
        <w:tc>
          <w:tcPr>
            <w:tcW w:w="8480" w:type="dxa"/>
            <w:vAlign w:val="bottom"/>
          </w:tcPr>
          <w:p>
            <w:pPr>
              <w:spacing w:after="0"/>
              <w:rPr>
                <w:sz w:val="20"/>
                <w:szCs w:val="20"/>
                <w:color w:val="auto"/>
              </w:rPr>
            </w:pPr>
            <w:r>
              <w:rPr>
                <w:rFonts w:ascii="Arial" w:cs="Arial" w:eastAsia="Arial" w:hAnsi="Arial"/>
                <w:sz w:val="16"/>
                <w:szCs w:val="16"/>
                <w:color w:val="auto"/>
              </w:rPr>
              <w:t>Upgrade/Rebuild</w:t>
            </w:r>
          </w:p>
        </w:tc>
        <w:tc>
          <w:tcPr>
            <w:tcW w:w="380" w:type="dxa"/>
            <w:vAlign w:val="bottom"/>
          </w:tcPr>
          <w:p>
            <w:pPr>
              <w:spacing w:after="0"/>
              <w:rPr>
                <w:sz w:val="16"/>
                <w:szCs w:val="16"/>
                <w:color w:val="auto"/>
              </w:rPr>
            </w:pPr>
          </w:p>
        </w:tc>
        <w:tc>
          <w:tcPr>
            <w:tcW w:w="1140" w:type="dxa"/>
            <w:vAlign w:val="bottom"/>
          </w:tcPr>
          <w:p>
            <w:pPr>
              <w:jc w:val="right"/>
              <w:ind w:right="123"/>
              <w:spacing w:after="0"/>
              <w:rPr>
                <w:sz w:val="20"/>
                <w:szCs w:val="20"/>
                <w:color w:val="auto"/>
              </w:rPr>
            </w:pPr>
            <w:r>
              <w:rPr>
                <w:rFonts w:ascii="Arial" w:cs="Arial" w:eastAsia="Arial" w:hAnsi="Arial"/>
                <w:sz w:val="16"/>
                <w:szCs w:val="16"/>
                <w:b w:val="1"/>
                <w:bCs w:val="1"/>
                <w:color w:val="auto"/>
              </w:rPr>
              <w:t>14,944</w:t>
            </w:r>
          </w:p>
        </w:tc>
        <w:tc>
          <w:tcPr>
            <w:tcW w:w="5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7,581</w:t>
            </w:r>
          </w:p>
        </w:tc>
        <w:tc>
          <w:tcPr>
            <w:tcW w:w="0" w:type="dxa"/>
            <w:vAlign w:val="bottom"/>
          </w:tcPr>
          <w:p>
            <w:pPr>
              <w:spacing w:after="0"/>
              <w:rPr>
                <w:sz w:val="1"/>
                <w:szCs w:val="1"/>
                <w:color w:val="auto"/>
              </w:rPr>
            </w:pPr>
          </w:p>
        </w:tc>
      </w:tr>
      <w:tr>
        <w:trPr>
          <w:trHeight w:val="207"/>
        </w:trPr>
        <w:tc>
          <w:tcPr>
            <w:tcW w:w="8480" w:type="dxa"/>
            <w:vAlign w:val="bottom"/>
          </w:tcPr>
          <w:p>
            <w:pPr>
              <w:spacing w:after="0"/>
              <w:rPr>
                <w:sz w:val="20"/>
                <w:szCs w:val="20"/>
                <w:color w:val="auto"/>
              </w:rPr>
            </w:pPr>
            <w:r>
              <w:rPr>
                <w:rFonts w:ascii="Arial" w:cs="Arial" w:eastAsia="Arial" w:hAnsi="Arial"/>
                <w:sz w:val="16"/>
                <w:szCs w:val="16"/>
                <w:color w:val="auto"/>
              </w:rPr>
              <w:t>Support Capital</w:t>
            </w: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23"/>
              <w:spacing w:after="0"/>
              <w:rPr>
                <w:sz w:val="20"/>
                <w:szCs w:val="20"/>
                <w:color w:val="auto"/>
              </w:rPr>
            </w:pPr>
            <w:r>
              <w:rPr>
                <w:rFonts w:ascii="Arial" w:cs="Arial" w:eastAsia="Arial" w:hAnsi="Arial"/>
                <w:sz w:val="16"/>
                <w:szCs w:val="16"/>
                <w:b w:val="1"/>
                <w:bCs w:val="1"/>
                <w:color w:val="auto"/>
              </w:rPr>
              <w:t>26,902</w:t>
            </w:r>
          </w:p>
        </w:tc>
        <w:tc>
          <w:tcPr>
            <w:tcW w:w="5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17,064</w:t>
            </w:r>
          </w:p>
        </w:tc>
        <w:tc>
          <w:tcPr>
            <w:tcW w:w="0" w:type="dxa"/>
            <w:vAlign w:val="bottom"/>
          </w:tcPr>
          <w:p>
            <w:pPr>
              <w:spacing w:after="0"/>
              <w:rPr>
                <w:sz w:val="1"/>
                <w:szCs w:val="1"/>
                <w:color w:val="auto"/>
              </w:rPr>
            </w:pPr>
          </w:p>
        </w:tc>
      </w:tr>
      <w:tr>
        <w:trPr>
          <w:trHeight w:val="183"/>
        </w:trPr>
        <w:tc>
          <w:tcPr>
            <w:tcW w:w="8480" w:type="dxa"/>
            <w:vAlign w:val="bottom"/>
          </w:tcPr>
          <w:p>
            <w:pPr>
              <w:spacing w:after="0"/>
              <w:rPr>
                <w:sz w:val="15"/>
                <w:szCs w:val="15"/>
                <w:color w:val="auto"/>
              </w:rPr>
            </w:pPr>
          </w:p>
        </w:tc>
        <w:tc>
          <w:tcPr>
            <w:tcW w:w="38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ind w:right="123"/>
              <w:spacing w:after="0" w:line="183" w:lineRule="exact"/>
              <w:rPr>
                <w:sz w:val="20"/>
                <w:szCs w:val="20"/>
                <w:color w:val="auto"/>
              </w:rPr>
            </w:pPr>
            <w:r>
              <w:rPr>
                <w:rFonts w:ascii="Arial" w:cs="Arial" w:eastAsia="Arial" w:hAnsi="Arial"/>
                <w:sz w:val="16"/>
                <w:szCs w:val="16"/>
                <w:b w:val="1"/>
                <w:bCs w:val="1"/>
                <w:color w:val="auto"/>
              </w:rPr>
              <w:t>68,141</w:t>
            </w:r>
          </w:p>
        </w:tc>
        <w:tc>
          <w:tcPr>
            <w:tcW w:w="560" w:type="dxa"/>
            <w:vAlign w:val="bottom"/>
            <w:tcBorders>
              <w:bottom w:val="single" w:sz="8" w:color="auto"/>
            </w:tcBorders>
          </w:tcPr>
          <w:p>
            <w:pPr>
              <w:jc w:val="right"/>
              <w:ind w:right="199"/>
              <w:spacing w:after="0" w:line="183" w:lineRule="exact"/>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65,211</w:t>
            </w: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Newspaper Publishing</w:t>
      </w:r>
    </w:p>
    <w:p>
      <w:pPr>
        <w:spacing w:after="0" w:line="220"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Newspaper publishing division revenue totaled $138.4 million for the second quarter of 2013, down 1% from revenue of $139.2 million for the second quarter of 2012; division revenue declined 2% to $265.7 million for the first six months of 2013, from $271.7 million for the first six months of 2012. Print advertising revenue at The Washington Post in the second quarter of 2013 was $54.5 million, down 4% from the second quarter of 2012; print advertising revenue was $103.1 million for the first six months of 2013, down 6% from the first six months of 2012. The decline is largely due to reductions in retail and general advertising. Revenue generated by the Company’s newspaper online publishing activities, primarily washingtonpost.com and Slate, increased 15% to $29.8 million for the second quarter of 2013 versus the second quarter of 2012; newspaper online revenues increased 12% to $55.6 million for the first six months of 2013 versus the first six months of 2012. Display online advertising revenue increased 25% and 21% for the second quarter and first six months of 2013, respectively. Online classified advertising revenue declined 7% for both the second quarter and first six months of 2013.</w:t>
      </w:r>
    </w:p>
    <w:p>
      <w:pPr>
        <w:spacing w:after="0" w:line="194"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For the first six months of 2013, Post daily and Sunday circulation declined 7.1% and 7.6%, respectively, compared to the same periods of the prior year. For the six months ended June 30, 2013, average daily circulation at The Washington Post totaled 447,700 and average Sunday circulation totaled 646,700.</w:t>
      </w:r>
    </w:p>
    <w:p>
      <w:pPr>
        <w:spacing w:after="0" w:line="189" w:lineRule="exact"/>
        <w:rPr>
          <w:sz w:val="20"/>
          <w:szCs w:val="20"/>
          <w:color w:val="auto"/>
        </w:rPr>
      </w:pPr>
    </w:p>
    <w:p>
      <w:pPr>
        <w:jc w:val="both"/>
        <w:ind w:right="180"/>
        <w:spacing w:after="0"/>
        <w:rPr>
          <w:sz w:val="20"/>
          <w:szCs w:val="20"/>
          <w:color w:val="auto"/>
        </w:rPr>
      </w:pPr>
      <w:r>
        <w:rPr>
          <w:rFonts w:ascii="Arial" w:cs="Arial" w:eastAsia="Arial" w:hAnsi="Arial"/>
          <w:sz w:val="18"/>
          <w:szCs w:val="18"/>
          <w:color w:val="auto"/>
        </w:rPr>
        <w:t>In February 2013, the Company announced a Voluntary Retirement Incentive Program (VRIP) which was offered to certain employees of the Post. The total VRIP expense was $20.4 million, which is being funded from the assets of the Company’s pension plan. Of this amount, $12.0 million was recorded in the first quarter of 2013 and $8.4 million was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846" w:right="239" w:bottom="1440" w:gutter="0" w:footer="0" w:header="0"/>
        </w:sectPr>
      </w:pPr>
    </w:p>
    <w:bookmarkStart w:id="24" w:name="page25"/>
    <w:bookmarkEnd w:id="24"/>
    <w:p>
      <w:pPr>
        <w:spacing w:after="0" w:line="238" w:lineRule="auto"/>
        <w:rPr>
          <w:sz w:val="20"/>
          <w:szCs w:val="20"/>
          <w:color w:val="auto"/>
        </w:rPr>
      </w:pPr>
      <w:r>
        <w:rPr>
          <w:rFonts w:ascii="Arial" w:cs="Arial" w:eastAsia="Arial" w:hAnsi="Arial"/>
          <w:sz w:val="18"/>
          <w:szCs w:val="18"/>
          <w:color w:val="auto"/>
        </w:rPr>
        <w:t>recorded in the second quarter of 2013. The Post also implemented a Separation Incentive Program in February 2013 that resulted in an additional $2.3 million in early retirement program expense in the first quarter of 2013, which is also being funded from the assets of the Company pension plan. In addition, voluntary severance and other early retirement expense of $0.7 million and $2.2 million was recorded at the newspaper publishing division in the second quarter and first six months of 2013, respectively, compared to $3.4 million and $5.3 million for the second quarter and first six months of 2012, respectively.</w:t>
      </w:r>
    </w:p>
    <w:p>
      <w:pPr>
        <w:spacing w:after="0" w:line="189"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newspaper publishing division reported an operating loss of $14.8 million in the second quarter of 2013, compared to an operating loss of $12.6 million in the second quarter of 2012. For the first six months of 2013, the newspaper publishing division reported an operating loss of $49.3 million, compared to an operating loss of $33.2 million for the first six months of 2012. These operating losses include noncash pension expense of $16.8 million and $7.7 million for the second quarter of 2013 and 2012, respectively, and $39.7 million and $16.3 million for the first six months of 2013 and 2012, respectively. The decline in operating results for the second quarter and first half of 2013 is due to the $5.7 million and $ 19.6 million increase in early retirement and severance expense, respectively, and revenue reductions discussed above, offset partially by a decline in other operating expenses. Newsprint expense was down 17% and 14% for the second quarter and first six months of 2013, respectively, primarily due to a decline in newsprint consumption.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Television Broadcasting</w:t>
      </w:r>
    </w:p>
    <w:p>
      <w:pPr>
        <w:spacing w:after="0" w:line="139"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Revenue for the television broadcasting division increased 4% to $99.3 million in the second quarter of 2013, from $ 95.6 million in the same period of 2012; operating income for the second quarter of 2013 increased 9% to $47.7 million, from $43.7 million in the same period of 2012. For the first six months of 2013, revenue increased 4% to $ 184.6 million, from $177.1 million in the same period of 2012; operating income for the first six months of 2013 increased 11% to $83.1 million, from $74.7 million in the same period of 2012.</w:t>
      </w:r>
    </w:p>
    <w:p>
      <w:pPr>
        <w:spacing w:after="0" w:line="148"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The increase in revenue and operating income reflects growth in advertising demand across many product categories; incremental advertising revenue from the NBA finals broadcast at the division’s ABC affiliates in Miami and San Antonio; and increased retransmission revenues. The increase in revenue and operating income was offset partially by a $5.3 million and $8.1 million decline in political advertising revenue in the second quarter and first six months of 2013,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Businesses</w:t>
      </w:r>
    </w:p>
    <w:p>
      <w:pPr>
        <w:spacing w:after="0" w:line="139"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Other businesses includes the operating results of Social Code, a marketing solutions provider helping companies with marketing on social media platforms; Celtic Healthcare, a provider of home health care and hospice services in the northeastern and mid-Atlantic regions that was acquired by the Company in November 2012; and WaPo Labs, a digital team focused on emerging technologies and new product development.</w:t>
      </w:r>
    </w:p>
    <w:p>
      <w:pPr>
        <w:spacing w:after="0" w:line="148"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On August 1, 2013, the Company completed the acquisition of Forney Corporation, a global supplier of products and systems that control and monitor combustion processes in electric utility and industrial applications.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Office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Corporate office includes the expenses of the Company’s corporate office as well as a net pension credit.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 in Earnings (Losses) of Affiliates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Company holds a 16.5% interest in Classified Ventures, LLC and interests in several other affiliates.</w:t>
      </w:r>
    </w:p>
    <w:p>
      <w:pPr>
        <w:spacing w:after="0" w:line="158" w:lineRule="exact"/>
        <w:rPr>
          <w:sz w:val="20"/>
          <w:szCs w:val="20"/>
          <w:color w:val="auto"/>
        </w:rPr>
      </w:pPr>
    </w:p>
    <w:p>
      <w:pPr>
        <w:ind w:right="280"/>
        <w:spacing w:after="0"/>
        <w:rPr>
          <w:sz w:val="20"/>
          <w:szCs w:val="20"/>
          <w:color w:val="auto"/>
        </w:rPr>
      </w:pPr>
      <w:r>
        <w:rPr>
          <w:rFonts w:ascii="Arial" w:cs="Arial" w:eastAsia="Arial" w:hAnsi="Arial"/>
          <w:sz w:val="18"/>
          <w:szCs w:val="18"/>
          <w:color w:val="auto"/>
        </w:rPr>
        <w:t>The Company’s equity in earnings of affiliates, net, was $3.9 million for the second quarter of 2013, compared to $3.3 million for the second quarter of 2012. For the first six months of 2013, the Company’s equity in earnings of affiliates, net, totaled $7.3 million, compared to $7.2 million for the same period of 2012.</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Non-Operating Income (Expense)</w:t>
      </w:r>
    </w:p>
    <w:p>
      <w:pPr>
        <w:spacing w:after="0" w:line="13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Company recorded other non-operating expense, net, of $12.9 million for the second quarter of 2013, compared to $0.6 million for the second quarter of 2012. The second quarter 2013 non-operating expense, net, included $12.6 million in unrealized foreign currency losses and other items. The second quarter 2012 non-operating expense, net, included $2.6 million in unrealized foreign currency losses, offset by other items.</w:t>
      </w:r>
    </w:p>
    <w:p>
      <w:pPr>
        <w:spacing w:after="0" w:line="3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868" w:right="299" w:bottom="1440" w:gutter="0" w:footer="0" w:header="0"/>
        </w:sectPr>
      </w:pPr>
    </w:p>
    <w:bookmarkStart w:id="25" w:name="page26"/>
    <w:bookmarkEnd w:id="25"/>
    <w:p>
      <w:pPr>
        <w:ind w:right="100"/>
        <w:spacing w:after="0" w:line="239" w:lineRule="auto"/>
        <w:rPr>
          <w:sz w:val="20"/>
          <w:szCs w:val="20"/>
          <w:color w:val="auto"/>
        </w:rPr>
      </w:pPr>
      <w:r>
        <w:rPr>
          <w:rFonts w:ascii="Arial" w:cs="Arial" w:eastAsia="Arial" w:hAnsi="Arial"/>
          <w:sz w:val="18"/>
          <w:szCs w:val="18"/>
          <w:color w:val="auto"/>
        </w:rPr>
        <w:t>The Company recorded non-operating expense, net, of $16.9 million for the first six months of 2013, compared to other non-operating income, net, of $8.0 million for the same period of the prior year. The 2013 non-operating expense, net, included $17.2 million in unrealized foreign currency losses and other items. The 2012 non-operating income, net, included a $7.3 million gain on sales of cost method investments, $0.1 million in unrealized foreign currency gains and other items.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 summary of non-operating (expense) income is as follows: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3"/>
          </w:tcPr>
          <w:p>
            <w:pPr>
              <w:jc w:val="right"/>
              <w:ind w:right="723"/>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3"/>
          </w:tcPr>
          <w:p>
            <w:pPr>
              <w:jc w:val="right"/>
              <w:ind w:right="683"/>
              <w:spacing w:after="0"/>
              <w:rPr>
                <w:sz w:val="20"/>
                <w:szCs w:val="20"/>
                <w:color w:val="auto"/>
              </w:rPr>
            </w:pPr>
            <w:r>
              <w:rPr>
                <w:rFonts w:ascii="Arial" w:cs="Arial" w:eastAsia="Arial" w:hAnsi="Arial"/>
                <w:sz w:val="14"/>
                <w:szCs w:val="14"/>
                <w:b w:val="1"/>
                <w:bCs w:val="1"/>
                <w:color w:val="auto"/>
              </w:rPr>
              <w:t>Six Months Ended</w:t>
            </w:r>
          </w:p>
        </w:tc>
      </w:tr>
      <w:tr>
        <w:trPr>
          <w:trHeight w:val="125"/>
        </w:trPr>
        <w:tc>
          <w:tcPr>
            <w:tcW w:w="5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tcPr>
          <w:p>
            <w:pPr>
              <w:jc w:val="right"/>
              <w:ind w:right="384"/>
              <w:spacing w:after="0" w:line="125" w:lineRule="exact"/>
              <w:rPr>
                <w:sz w:val="20"/>
                <w:szCs w:val="20"/>
                <w:color w:val="auto"/>
              </w:rPr>
            </w:pPr>
            <w:r>
              <w:rPr>
                <w:rFonts w:ascii="Arial" w:cs="Arial" w:eastAsia="Arial" w:hAnsi="Arial"/>
                <w:sz w:val="14"/>
                <w:szCs w:val="14"/>
                <w:b w:val="1"/>
                <w:bCs w:val="1"/>
                <w:color w:val="auto"/>
              </w:rPr>
              <w:t>June 30,</w:t>
            </w:r>
          </w:p>
        </w:tc>
        <w:tc>
          <w:tcPr>
            <w:tcW w:w="340" w:type="dxa"/>
            <w:vAlign w:val="bottom"/>
          </w:tcPr>
          <w:p>
            <w:pPr>
              <w:spacing w:after="0"/>
              <w:rPr>
                <w:sz w:val="10"/>
                <w:szCs w:val="10"/>
                <w:color w:val="auto"/>
              </w:rPr>
            </w:pPr>
          </w:p>
        </w:tc>
        <w:tc>
          <w:tcPr>
            <w:tcW w:w="1140" w:type="dxa"/>
            <w:vAlign w:val="bottom"/>
          </w:tcPr>
          <w:p>
            <w:pPr>
              <w:jc w:val="right"/>
              <w:ind w:right="383"/>
              <w:spacing w:after="0" w:line="125" w:lineRule="exact"/>
              <w:rPr>
                <w:sz w:val="20"/>
                <w:szCs w:val="20"/>
                <w:color w:val="auto"/>
              </w:rPr>
            </w:pPr>
            <w:r>
              <w:rPr>
                <w:rFonts w:ascii="Arial" w:cs="Arial" w:eastAsia="Arial" w:hAnsi="Arial"/>
                <w:sz w:val="14"/>
                <w:szCs w:val="14"/>
                <w:color w:val="auto"/>
              </w:rPr>
              <w:t>June 30,</w:t>
            </w:r>
          </w:p>
        </w:tc>
        <w:tc>
          <w:tcPr>
            <w:tcW w:w="320" w:type="dxa"/>
            <w:vAlign w:val="bottom"/>
          </w:tcPr>
          <w:p>
            <w:pPr>
              <w:spacing w:after="0"/>
              <w:rPr>
                <w:sz w:val="10"/>
                <w:szCs w:val="10"/>
                <w:color w:val="auto"/>
              </w:rPr>
            </w:pPr>
          </w:p>
        </w:tc>
        <w:tc>
          <w:tcPr>
            <w:tcW w:w="1140" w:type="dxa"/>
            <w:vAlign w:val="bottom"/>
          </w:tcPr>
          <w:p>
            <w:pPr>
              <w:jc w:val="right"/>
              <w:ind w:right="364"/>
              <w:spacing w:after="0" w:line="125" w:lineRule="exact"/>
              <w:rPr>
                <w:sz w:val="20"/>
                <w:szCs w:val="20"/>
                <w:color w:val="auto"/>
              </w:rPr>
            </w:pPr>
            <w:r>
              <w:rPr>
                <w:rFonts w:ascii="Arial" w:cs="Arial" w:eastAsia="Arial" w:hAnsi="Arial"/>
                <w:sz w:val="14"/>
                <w:szCs w:val="14"/>
                <w:b w:val="1"/>
                <w:bCs w:val="1"/>
                <w:color w:val="auto"/>
              </w:rPr>
              <w:t>June 30,</w:t>
            </w:r>
          </w:p>
        </w:tc>
        <w:tc>
          <w:tcPr>
            <w:tcW w:w="300" w:type="dxa"/>
            <w:vAlign w:val="bottom"/>
          </w:tcPr>
          <w:p>
            <w:pPr>
              <w:spacing w:after="0"/>
              <w:rPr>
                <w:sz w:val="10"/>
                <w:szCs w:val="10"/>
                <w:color w:val="auto"/>
              </w:rPr>
            </w:pPr>
          </w:p>
        </w:tc>
        <w:tc>
          <w:tcPr>
            <w:tcW w:w="1020" w:type="dxa"/>
            <w:vAlign w:val="bottom"/>
          </w:tcPr>
          <w:p>
            <w:pPr>
              <w:jc w:val="right"/>
              <w:ind w:right="283"/>
              <w:spacing w:after="0" w:line="125" w:lineRule="exact"/>
              <w:rPr>
                <w:sz w:val="20"/>
                <w:szCs w:val="20"/>
                <w:color w:val="auto"/>
              </w:rPr>
            </w:pPr>
            <w:r>
              <w:rPr>
                <w:rFonts w:ascii="Arial" w:cs="Arial" w:eastAsia="Arial" w:hAnsi="Arial"/>
                <w:sz w:val="14"/>
                <w:szCs w:val="14"/>
                <w:color w:val="auto"/>
              </w:rPr>
              <w:t>June 30,</w:t>
            </w:r>
          </w:p>
        </w:tc>
      </w:tr>
      <w:tr>
        <w:trPr>
          <w:trHeight w:val="165"/>
        </w:trPr>
        <w:tc>
          <w:tcPr>
            <w:tcW w:w="57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thousands)</w:t>
            </w: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24"/>
              <w:spacing w:after="0"/>
              <w:rPr>
                <w:sz w:val="20"/>
                <w:szCs w:val="20"/>
                <w:color w:val="auto"/>
              </w:rPr>
            </w:pPr>
            <w:r>
              <w:rPr>
                <w:rFonts w:ascii="Arial" w:cs="Arial" w:eastAsia="Arial" w:hAnsi="Arial"/>
                <w:sz w:val="14"/>
                <w:szCs w:val="14"/>
                <w:b w:val="1"/>
                <w:bCs w:val="1"/>
                <w:color w:val="auto"/>
              </w:rPr>
              <w:t>2013</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color w:val="auto"/>
              </w:rPr>
              <w:t>2012</w:t>
            </w: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color w:val="auto"/>
              </w:rPr>
              <w:t>2012</w:t>
            </w:r>
          </w:p>
        </w:tc>
      </w:tr>
      <w:tr>
        <w:trPr>
          <w:trHeight w:val="164"/>
        </w:trPr>
        <w:tc>
          <w:tcPr>
            <w:tcW w:w="5740" w:type="dxa"/>
            <w:vAlign w:val="bottom"/>
          </w:tcPr>
          <w:p>
            <w:pPr>
              <w:spacing w:after="0" w:line="165" w:lineRule="exact"/>
              <w:rPr>
                <w:sz w:val="20"/>
                <w:szCs w:val="20"/>
                <w:color w:val="auto"/>
              </w:rPr>
            </w:pPr>
            <w:r>
              <w:rPr>
                <w:rFonts w:ascii="Arial" w:cs="Arial" w:eastAsia="Arial" w:hAnsi="Arial"/>
                <w:sz w:val="16"/>
                <w:szCs w:val="16"/>
                <w:color w:val="auto"/>
              </w:rPr>
              <w:t>Foreign currency (loss) gain, net</w:t>
            </w:r>
          </w:p>
        </w:tc>
        <w:tc>
          <w:tcPr>
            <w:tcW w:w="240" w:type="dxa"/>
            <w:vAlign w:val="bottom"/>
            <w:gridSpan w:val="2"/>
          </w:tcPr>
          <w:p>
            <w:pPr>
              <w:jc w:val="right"/>
              <w:ind w:right="109"/>
              <w:spacing w:after="0" w:line="164" w:lineRule="exact"/>
              <w:rPr>
                <w:sz w:val="20"/>
                <w:szCs w:val="20"/>
                <w:color w:val="auto"/>
              </w:rPr>
            </w:pPr>
            <w:r>
              <w:rPr>
                <w:rFonts w:ascii="Arial" w:cs="Arial" w:eastAsia="Arial" w:hAnsi="Arial"/>
                <w:sz w:val="15"/>
                <w:szCs w:val="15"/>
                <w:b w:val="1"/>
                <w:bCs w:val="1"/>
                <w:color w:val="auto"/>
                <w:w w:val="71"/>
              </w:rPr>
              <w:t>$</w:t>
            </w:r>
          </w:p>
        </w:tc>
        <w:tc>
          <w:tcPr>
            <w:tcW w:w="1180" w:type="dxa"/>
            <w:vAlign w:val="bottom"/>
          </w:tcPr>
          <w:p>
            <w:pPr>
              <w:jc w:val="right"/>
              <w:ind w:right="24"/>
              <w:spacing w:after="0" w:line="165" w:lineRule="exact"/>
              <w:rPr>
                <w:sz w:val="20"/>
                <w:szCs w:val="20"/>
                <w:color w:val="auto"/>
              </w:rPr>
            </w:pPr>
            <w:r>
              <w:rPr>
                <w:rFonts w:ascii="Arial" w:cs="Arial" w:eastAsia="Arial" w:hAnsi="Arial"/>
                <w:sz w:val="16"/>
                <w:szCs w:val="16"/>
                <w:b w:val="1"/>
                <w:bCs w:val="1"/>
                <w:color w:val="auto"/>
              </w:rPr>
              <w:t>(12,622)</w:t>
            </w:r>
          </w:p>
        </w:tc>
        <w:tc>
          <w:tcPr>
            <w:tcW w:w="340" w:type="dxa"/>
            <w:vAlign w:val="bottom"/>
          </w:tcPr>
          <w:p>
            <w:pPr>
              <w:jc w:val="right"/>
              <w:ind w:right="99"/>
              <w:spacing w:after="0" w:line="165" w:lineRule="exact"/>
              <w:rPr>
                <w:sz w:val="20"/>
                <w:szCs w:val="20"/>
                <w:color w:val="auto"/>
              </w:rPr>
            </w:pPr>
            <w:r>
              <w:rPr>
                <w:rFonts w:ascii="Arial" w:cs="Arial" w:eastAsia="Arial" w:hAnsi="Arial"/>
                <w:sz w:val="16"/>
                <w:szCs w:val="16"/>
                <w:color w:val="auto"/>
              </w:rPr>
              <w:t>$</w:t>
            </w:r>
          </w:p>
        </w:tc>
        <w:tc>
          <w:tcPr>
            <w:tcW w:w="1140" w:type="dxa"/>
            <w:vAlign w:val="bottom"/>
          </w:tcPr>
          <w:p>
            <w:pPr>
              <w:jc w:val="right"/>
              <w:ind w:right="3"/>
              <w:spacing w:after="0" w:line="165" w:lineRule="exact"/>
              <w:rPr>
                <w:sz w:val="20"/>
                <w:szCs w:val="20"/>
                <w:color w:val="auto"/>
              </w:rPr>
            </w:pPr>
            <w:r>
              <w:rPr>
                <w:rFonts w:ascii="Arial" w:cs="Arial" w:eastAsia="Arial" w:hAnsi="Arial"/>
                <w:sz w:val="16"/>
                <w:szCs w:val="16"/>
                <w:color w:val="auto"/>
              </w:rPr>
              <w:t>(2,592)</w:t>
            </w:r>
          </w:p>
        </w:tc>
        <w:tc>
          <w:tcPr>
            <w:tcW w:w="320" w:type="dxa"/>
            <w:vAlign w:val="bottom"/>
          </w:tcPr>
          <w:p>
            <w:pPr>
              <w:jc w:val="right"/>
              <w:ind w:right="79"/>
              <w:spacing w:after="0" w:line="165" w:lineRule="exact"/>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4"/>
              <w:spacing w:after="0" w:line="165" w:lineRule="exact"/>
              <w:rPr>
                <w:sz w:val="20"/>
                <w:szCs w:val="20"/>
                <w:color w:val="auto"/>
              </w:rPr>
            </w:pPr>
            <w:r>
              <w:rPr>
                <w:rFonts w:ascii="Arial" w:cs="Arial" w:eastAsia="Arial" w:hAnsi="Arial"/>
                <w:sz w:val="16"/>
                <w:szCs w:val="16"/>
                <w:b w:val="1"/>
                <w:bCs w:val="1"/>
                <w:color w:val="auto"/>
              </w:rPr>
              <w:t>(17,236)</w:t>
            </w:r>
          </w:p>
        </w:tc>
        <w:tc>
          <w:tcPr>
            <w:tcW w:w="300" w:type="dxa"/>
            <w:vAlign w:val="bottom"/>
          </w:tcPr>
          <w:p>
            <w:pPr>
              <w:jc w:val="right"/>
              <w:ind w:right="59"/>
              <w:spacing w:after="0" w:line="165" w:lineRule="exact"/>
              <w:rPr>
                <w:sz w:val="20"/>
                <w:szCs w:val="20"/>
                <w:color w:val="auto"/>
              </w:rPr>
            </w:pPr>
            <w:r>
              <w:rPr>
                <w:rFonts w:ascii="Arial" w:cs="Arial" w:eastAsia="Arial" w:hAnsi="Arial"/>
                <w:sz w:val="16"/>
                <w:szCs w:val="16"/>
                <w:color w:val="auto"/>
              </w:rPr>
              <w:t>$</w:t>
            </w:r>
          </w:p>
        </w:tc>
        <w:tc>
          <w:tcPr>
            <w:tcW w:w="1020" w:type="dxa"/>
            <w:vAlign w:val="bottom"/>
          </w:tcPr>
          <w:p>
            <w:pPr>
              <w:jc w:val="right"/>
              <w:spacing w:after="0" w:line="165" w:lineRule="exact"/>
              <w:rPr>
                <w:sz w:val="20"/>
                <w:szCs w:val="20"/>
                <w:color w:val="auto"/>
              </w:rPr>
            </w:pPr>
            <w:r>
              <w:rPr>
                <w:rFonts w:ascii="Arial" w:cs="Arial" w:eastAsia="Arial" w:hAnsi="Arial"/>
                <w:sz w:val="16"/>
                <w:szCs w:val="16"/>
                <w:color w:val="auto"/>
              </w:rPr>
              <w:t>68</w:t>
            </w:r>
          </w:p>
        </w:tc>
      </w:tr>
      <w:tr>
        <w:trPr>
          <w:trHeight w:val="189"/>
        </w:trPr>
        <w:tc>
          <w:tcPr>
            <w:tcW w:w="5740" w:type="dxa"/>
            <w:vAlign w:val="bottom"/>
          </w:tcPr>
          <w:p>
            <w:pPr>
              <w:spacing w:after="0"/>
              <w:rPr>
                <w:sz w:val="20"/>
                <w:szCs w:val="20"/>
                <w:color w:val="auto"/>
              </w:rPr>
            </w:pPr>
            <w:r>
              <w:rPr>
                <w:rFonts w:ascii="Arial" w:cs="Arial" w:eastAsia="Arial" w:hAnsi="Arial"/>
                <w:sz w:val="16"/>
                <w:szCs w:val="16"/>
                <w:color w:val="auto"/>
              </w:rPr>
              <w:t>Gain on sales of marketable equity securities</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ind w:right="24"/>
              <w:spacing w:after="0"/>
              <w:rPr>
                <w:sz w:val="20"/>
                <w:szCs w:val="20"/>
                <w:color w:val="auto"/>
              </w:rPr>
            </w:pPr>
            <w:r>
              <w:rPr>
                <w:rFonts w:ascii="Arial" w:cs="Arial" w:eastAsia="Arial" w:hAnsi="Arial"/>
                <w:sz w:val="16"/>
                <w:szCs w:val="16"/>
                <w:b w:val="1"/>
                <w:bCs w:val="1"/>
                <w:color w:val="auto"/>
              </w:rPr>
              <w:t>337</w:t>
            </w:r>
          </w:p>
        </w:tc>
        <w:tc>
          <w:tcPr>
            <w:tcW w:w="340" w:type="dxa"/>
            <w:vAlign w:val="bottom"/>
          </w:tcPr>
          <w:p>
            <w:pPr>
              <w:spacing w:after="0"/>
              <w:rPr>
                <w:sz w:val="16"/>
                <w:szCs w:val="16"/>
                <w:color w:val="auto"/>
              </w:rPr>
            </w:pPr>
          </w:p>
        </w:tc>
        <w:tc>
          <w:tcPr>
            <w:tcW w:w="1140" w:type="dxa"/>
            <w:vAlign w:val="bottom"/>
          </w:tcPr>
          <w:p>
            <w:pPr>
              <w:jc w:val="right"/>
              <w:ind w:right="3"/>
              <w:spacing w:after="0"/>
              <w:rPr>
                <w:sz w:val="20"/>
                <w:szCs w:val="20"/>
                <w:color w:val="auto"/>
              </w:rPr>
            </w:pPr>
            <w:r>
              <w:rPr>
                <w:rFonts w:ascii="Arial" w:cs="Arial" w:eastAsia="Arial" w:hAnsi="Arial"/>
                <w:sz w:val="16"/>
                <w:szCs w:val="16"/>
                <w:color w:val="auto"/>
              </w:rPr>
              <w:t>505</w:t>
            </w:r>
          </w:p>
        </w:tc>
        <w:tc>
          <w:tcPr>
            <w:tcW w:w="320" w:type="dxa"/>
            <w:vAlign w:val="bottom"/>
          </w:tcPr>
          <w:p>
            <w:pPr>
              <w:spacing w:after="0"/>
              <w:rPr>
                <w:sz w:val="16"/>
                <w:szCs w:val="16"/>
                <w:color w:val="auto"/>
              </w:rPr>
            </w:pPr>
          </w:p>
        </w:tc>
        <w:tc>
          <w:tcPr>
            <w:tcW w:w="1140" w:type="dxa"/>
            <w:vAlign w:val="bottom"/>
          </w:tcPr>
          <w:p>
            <w:pPr>
              <w:jc w:val="right"/>
              <w:ind w:right="4"/>
              <w:spacing w:after="0"/>
              <w:rPr>
                <w:sz w:val="20"/>
                <w:szCs w:val="20"/>
                <w:color w:val="auto"/>
              </w:rPr>
            </w:pPr>
            <w:r>
              <w:rPr>
                <w:rFonts w:ascii="Arial" w:cs="Arial" w:eastAsia="Arial" w:hAnsi="Arial"/>
                <w:sz w:val="16"/>
                <w:szCs w:val="16"/>
                <w:b w:val="1"/>
                <w:bCs w:val="1"/>
                <w:color w:val="auto"/>
              </w:rPr>
              <w:t>879</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505</w:t>
            </w:r>
          </w:p>
        </w:tc>
      </w:tr>
      <w:tr>
        <w:trPr>
          <w:trHeight w:val="189"/>
        </w:trPr>
        <w:tc>
          <w:tcPr>
            <w:tcW w:w="5740" w:type="dxa"/>
            <w:vAlign w:val="bottom"/>
          </w:tcPr>
          <w:p>
            <w:pPr>
              <w:spacing w:after="0"/>
              <w:rPr>
                <w:sz w:val="20"/>
                <w:szCs w:val="20"/>
                <w:color w:val="auto"/>
              </w:rPr>
            </w:pPr>
            <w:r>
              <w:rPr>
                <w:rFonts w:ascii="Arial" w:cs="Arial" w:eastAsia="Arial" w:hAnsi="Arial"/>
                <w:sz w:val="16"/>
                <w:szCs w:val="16"/>
                <w:color w:val="auto"/>
              </w:rPr>
              <w:t>Gain (loss) on sales or write-downs of cost method investments, net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ind w:right="24"/>
              <w:spacing w:after="0"/>
              <w:rPr>
                <w:sz w:val="20"/>
                <w:szCs w:val="20"/>
                <w:color w:val="auto"/>
              </w:rPr>
            </w:pPr>
            <w:r>
              <w:rPr>
                <w:rFonts w:ascii="Arial" w:cs="Arial" w:eastAsia="Arial" w:hAnsi="Arial"/>
                <w:sz w:val="16"/>
                <w:szCs w:val="16"/>
                <w:b w:val="1"/>
                <w:bCs w:val="1"/>
                <w:color w:val="auto"/>
              </w:rPr>
              <w:t>1</w:t>
            </w:r>
          </w:p>
        </w:tc>
        <w:tc>
          <w:tcPr>
            <w:tcW w:w="340" w:type="dxa"/>
            <w:vAlign w:val="bottom"/>
          </w:tcPr>
          <w:p>
            <w:pPr>
              <w:spacing w:after="0"/>
              <w:rPr>
                <w:sz w:val="16"/>
                <w:szCs w:val="16"/>
                <w:color w:val="auto"/>
              </w:rPr>
            </w:pPr>
          </w:p>
        </w:tc>
        <w:tc>
          <w:tcPr>
            <w:tcW w:w="1140" w:type="dxa"/>
            <w:vAlign w:val="bottom"/>
          </w:tcPr>
          <w:p>
            <w:pPr>
              <w:jc w:val="right"/>
              <w:ind w:right="3"/>
              <w:spacing w:after="0"/>
              <w:rPr>
                <w:sz w:val="20"/>
                <w:szCs w:val="20"/>
                <w:color w:val="auto"/>
              </w:rPr>
            </w:pPr>
            <w:r>
              <w:rPr>
                <w:rFonts w:ascii="Arial" w:cs="Arial" w:eastAsia="Arial" w:hAnsi="Arial"/>
                <w:sz w:val="16"/>
                <w:szCs w:val="16"/>
                <w:color w:val="auto"/>
              </w:rPr>
              <w:t>1,106</w:t>
            </w:r>
          </w:p>
        </w:tc>
        <w:tc>
          <w:tcPr>
            <w:tcW w:w="320" w:type="dxa"/>
            <w:vAlign w:val="bottom"/>
          </w:tcPr>
          <w:p>
            <w:pPr>
              <w:spacing w:after="0"/>
              <w:rPr>
                <w:sz w:val="16"/>
                <w:szCs w:val="16"/>
                <w:color w:val="auto"/>
              </w:rPr>
            </w:pPr>
          </w:p>
        </w:tc>
        <w:tc>
          <w:tcPr>
            <w:tcW w:w="1140" w:type="dxa"/>
            <w:vAlign w:val="bottom"/>
          </w:tcPr>
          <w:p>
            <w:pPr>
              <w:jc w:val="right"/>
              <w:ind w:right="4"/>
              <w:spacing w:after="0"/>
              <w:rPr>
                <w:sz w:val="20"/>
                <w:szCs w:val="20"/>
                <w:color w:val="auto"/>
              </w:rPr>
            </w:pPr>
            <w:r>
              <w:rPr>
                <w:rFonts w:ascii="Arial" w:cs="Arial" w:eastAsia="Arial" w:hAnsi="Arial"/>
                <w:sz w:val="16"/>
                <w:szCs w:val="16"/>
                <w:b w:val="1"/>
                <w:bCs w:val="1"/>
                <w:color w:val="auto"/>
              </w:rPr>
              <w:t>(178)</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6,872</w:t>
            </w:r>
          </w:p>
        </w:tc>
      </w:tr>
      <w:tr>
        <w:trPr>
          <w:trHeight w:val="207"/>
        </w:trPr>
        <w:tc>
          <w:tcPr>
            <w:tcW w:w="5740" w:type="dxa"/>
            <w:vAlign w:val="bottom"/>
          </w:tcPr>
          <w:p>
            <w:pPr>
              <w:spacing w:after="0"/>
              <w:rPr>
                <w:sz w:val="20"/>
                <w:szCs w:val="20"/>
                <w:color w:val="auto"/>
              </w:rPr>
            </w:pPr>
            <w:r>
              <w:rPr>
                <w:rFonts w:ascii="Arial" w:cs="Arial" w:eastAsia="Arial" w:hAnsi="Arial"/>
                <w:sz w:val="16"/>
                <w:szCs w:val="16"/>
                <w:color w:val="auto"/>
              </w:rPr>
              <w:t>Other, net</w:t>
            </w:r>
          </w:p>
        </w:tc>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b w:val="1"/>
                <w:bCs w:val="1"/>
                <w:color w:val="auto"/>
              </w:rPr>
              <w:t>(574)</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346</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b w:val="1"/>
                <w:bCs w:val="1"/>
                <w:color w:val="auto"/>
              </w:rPr>
              <w:t>(406)</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508</w:t>
            </w:r>
          </w:p>
        </w:tc>
      </w:tr>
      <w:tr>
        <w:trPr>
          <w:trHeight w:val="183"/>
        </w:trPr>
        <w:tc>
          <w:tcPr>
            <w:tcW w:w="5740" w:type="dxa"/>
            <w:vAlign w:val="bottom"/>
          </w:tcPr>
          <w:p>
            <w:pPr>
              <w:ind w:left="240"/>
              <w:spacing w:after="0" w:line="183" w:lineRule="exact"/>
              <w:rPr>
                <w:sz w:val="20"/>
                <w:szCs w:val="20"/>
                <w:color w:val="auto"/>
              </w:rPr>
            </w:pPr>
            <w:r>
              <w:rPr>
                <w:rFonts w:ascii="Arial" w:cs="Arial" w:eastAsia="Arial" w:hAnsi="Arial"/>
                <w:sz w:val="16"/>
                <w:szCs w:val="16"/>
                <w:b w:val="1"/>
                <w:bCs w:val="1"/>
                <w:color w:val="auto"/>
              </w:rPr>
              <w:t>Total Other Non-Operating (Expense) Income</w:t>
            </w: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b w:val="1"/>
                <w:bCs w:val="1"/>
                <w:color w:val="auto"/>
                <w:w w:val="71"/>
              </w:rPr>
              <w:t>$</w:t>
            </w:r>
          </w:p>
        </w:tc>
        <w:tc>
          <w:tcPr>
            <w:tcW w:w="1180" w:type="dxa"/>
            <w:vAlign w:val="bottom"/>
            <w:tcBorders>
              <w:bottom w:val="single" w:sz="8" w:color="auto"/>
            </w:tcBorders>
          </w:tcPr>
          <w:p>
            <w:pPr>
              <w:jc w:val="right"/>
              <w:ind w:right="24"/>
              <w:spacing w:after="0" w:line="183" w:lineRule="exact"/>
              <w:rPr>
                <w:sz w:val="20"/>
                <w:szCs w:val="20"/>
                <w:color w:val="auto"/>
              </w:rPr>
            </w:pPr>
            <w:r>
              <w:rPr>
                <w:rFonts w:ascii="Arial" w:cs="Arial" w:eastAsia="Arial" w:hAnsi="Arial"/>
                <w:sz w:val="16"/>
                <w:szCs w:val="16"/>
                <w:b w:val="1"/>
                <w:bCs w:val="1"/>
                <w:color w:val="auto"/>
              </w:rPr>
              <w:t>(12,858)</w:t>
            </w:r>
          </w:p>
        </w:tc>
        <w:tc>
          <w:tcPr>
            <w:tcW w:w="34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3"/>
              <w:spacing w:after="0" w:line="183" w:lineRule="exact"/>
              <w:rPr>
                <w:sz w:val="20"/>
                <w:szCs w:val="20"/>
                <w:color w:val="auto"/>
              </w:rPr>
            </w:pPr>
            <w:r>
              <w:rPr>
                <w:rFonts w:ascii="Arial" w:cs="Arial" w:eastAsia="Arial" w:hAnsi="Arial"/>
                <w:sz w:val="16"/>
                <w:szCs w:val="16"/>
                <w:color w:val="auto"/>
              </w:rPr>
              <w:t>(635)</w:t>
            </w:r>
          </w:p>
        </w:tc>
        <w:tc>
          <w:tcPr>
            <w:tcW w:w="32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ind w:right="4"/>
              <w:spacing w:after="0" w:line="183" w:lineRule="exact"/>
              <w:rPr>
                <w:sz w:val="20"/>
                <w:szCs w:val="20"/>
                <w:color w:val="auto"/>
              </w:rPr>
            </w:pPr>
            <w:r>
              <w:rPr>
                <w:rFonts w:ascii="Arial" w:cs="Arial" w:eastAsia="Arial" w:hAnsi="Arial"/>
                <w:sz w:val="16"/>
                <w:szCs w:val="16"/>
                <w:b w:val="1"/>
                <w:bCs w:val="1"/>
                <w:color w:val="auto"/>
              </w:rPr>
              <w:t>(16,941)</w:t>
            </w:r>
          </w:p>
        </w:tc>
        <w:tc>
          <w:tcPr>
            <w:tcW w:w="30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7,953</w:t>
            </w:r>
          </w:p>
        </w:tc>
      </w:tr>
      <w:tr>
        <w:trPr>
          <w:trHeight w:val="20"/>
        </w:trPr>
        <w:tc>
          <w:tcPr>
            <w:tcW w:w="5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Interest Expense</w:t>
      </w:r>
    </w:p>
    <w:p>
      <w:pPr>
        <w:spacing w:after="0" w:line="220"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The Company incurred net interest expense of $8.5 million and $17.0 million for the second quarter and first six months of 2013, respectively, compared to $8.2 million and $16.3 million for the same periods of 2012. At June 30, 2013, the Company had $450.0 million in borrowings outstanding, at an average interest rate of 7.0%.</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220"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The effective tax rate for income from continuing operations for the first six months of 2013 was 42.1%, compared to 39.6% for the first six months of 2012. The high effective tax rate for the first six months of 2013 and 2012 results primarily from losses in Australia for which no tax benefit is recorded.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Discontinued Operations</w:t>
      </w:r>
    </w:p>
    <w:p>
      <w:pPr>
        <w:spacing w:after="0" w:line="220"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In March 2013, the Company completed the sale of The Herald, a daily and Sunday newspaper headquartered in Everett, WA. Kaplan sold Kidum in August 2012, EduNeering in April 2012 and Kaplan Learning Technologies (KLT) in February 2012. The Company also divested its interest in Avenue100 Media Solutions in July 2012. Consequently, the Company’s income from continuing operations excludes these businesses, which have been reclassified to discontinued operations, net of tax.</w:t>
      </w:r>
    </w:p>
    <w:p>
      <w:pPr>
        <w:spacing w:after="0" w:line="188"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The sale of The Herald resulted in a pre-tax loss of $0.1 million that was recorded in the first quarter of 2013. The sale of KLT resulted in a pre-tax loss of $3.1 million that was recorded in the first quarter of 2012. The sale of EduNeering resulted in a pre-tax gain of $29.5 million that was recorded in the second quarter of 2012. In the first quarter of 2012, in connection with each of the sales of the Company’s stock in KLT and EduNeering, the Company recorded $23.2 million of income tax benefits related to the excess of the outside stock tax basis over the net book value of the net assets acquired.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auto"/>
        </w:rPr>
        <w:t>Earnings (Loss) Per Share</w:t>
      </w:r>
    </w:p>
    <w:p>
      <w:pPr>
        <w:spacing w:after="0" w:line="220"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The calculation of diluted earnings per share for the second quarter and first six months of 2013 was based on 7,283,116 and 7,276,421 weighted average shares outstanding, respectively, compared to 7,545,150 and 7,579,888, respectively, for the second quarter and first six months of 2012. At June 30, 2013, there were 7,422,238 shares outstanding and the Company had remaining authorization from the Board of Directors to purchase up to 180,993 shares of Class B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Condition: Capital Resources and Liquidity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and Dispositions</w:t>
      </w:r>
    </w:p>
    <w:p>
      <w:pPr>
        <w:spacing w:after="0" w:line="220"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In the first six months of 2013, the Company acquired two small businesses included in other businesses; the purchase price allocation mostly comprised goodwill and other intangible assets on a preliminary basis. In the first six months of 2012, the Company acquired four small businesses included in its education division and in other businesses; the purchase price allocation mostly comprised goodwill and other intangible assets. The assets and liabilities of the companies acquired have been recorded at their estimated fair values at the date of acquisition.</w:t>
      </w:r>
    </w:p>
    <w:p>
      <w:pPr>
        <w:spacing w:after="0" w:line="189" w:lineRule="exact"/>
        <w:rPr>
          <w:sz w:val="20"/>
          <w:szCs w:val="20"/>
          <w:color w:val="auto"/>
        </w:rPr>
      </w:pPr>
    </w:p>
    <w:p>
      <w:pPr>
        <w:ind w:right="620"/>
        <w:spacing w:after="0" w:line="246" w:lineRule="auto"/>
        <w:rPr>
          <w:sz w:val="20"/>
          <w:szCs w:val="20"/>
          <w:color w:val="auto"/>
        </w:rPr>
      </w:pPr>
      <w:r>
        <w:rPr>
          <w:rFonts w:ascii="Arial" w:cs="Arial" w:eastAsia="Arial" w:hAnsi="Arial"/>
          <w:sz w:val="18"/>
          <w:szCs w:val="18"/>
          <w:color w:val="auto"/>
        </w:rPr>
        <w:t>In the second quarter of 2013, Kaplan purchased the remaining 15% noncontrolling interest in Kaplan China; this additional interest was accounted for as an equity transaction.</w:t>
      </w:r>
    </w:p>
    <w:p>
      <w:pPr>
        <w:spacing w:after="0" w:line="183"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On August 1, 2013, the Company completed its acquisition of Forney Corporation, a global supplier of products and systems that control and monitor combustion processes in electric utility and industrial applications. The operating results of Forney will be included in other businesses.</w:t>
      </w:r>
    </w:p>
    <w:p>
      <w:pPr>
        <w:spacing w:after="0" w:line="183" w:lineRule="exact"/>
        <w:rPr>
          <w:sz w:val="20"/>
          <w:szCs w:val="20"/>
          <w:color w:val="auto"/>
        </w:rPr>
      </w:pPr>
    </w:p>
    <w:p>
      <w:pPr>
        <w:ind w:right="60"/>
        <w:spacing w:after="0"/>
        <w:rPr>
          <w:sz w:val="20"/>
          <w:szCs w:val="20"/>
          <w:color w:val="auto"/>
        </w:rPr>
      </w:pPr>
      <w:r>
        <w:rPr>
          <w:rFonts w:ascii="Arial" w:cs="Arial" w:eastAsia="Arial" w:hAnsi="Arial"/>
          <w:sz w:val="18"/>
          <w:szCs w:val="18"/>
          <w:color w:val="auto"/>
        </w:rPr>
        <w:t>In March 2013, the Company completed the sale of The Herald, a daily and Sunday newspaper headquartered in Everett, WA. The Herald was previously reported in the newspaper publishing division. Kaplan completed the sales of EduNeering in April 2012 and Kaplan Learning Technologies in February 2012, which were part of the Kaplan Ventures division.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220" w:lineRule="exact"/>
        <w:rPr>
          <w:sz w:val="20"/>
          <w:szCs w:val="20"/>
          <w:color w:val="auto"/>
        </w:rPr>
      </w:pPr>
    </w:p>
    <w:p>
      <w:pPr>
        <w:ind w:right="880"/>
        <w:spacing w:after="0" w:line="246" w:lineRule="auto"/>
        <w:rPr>
          <w:sz w:val="20"/>
          <w:szCs w:val="20"/>
          <w:color w:val="auto"/>
        </w:rPr>
      </w:pPr>
      <w:r>
        <w:rPr>
          <w:rFonts w:ascii="Arial" w:cs="Arial" w:eastAsia="Arial" w:hAnsi="Arial"/>
          <w:sz w:val="18"/>
          <w:szCs w:val="18"/>
          <w:color w:val="auto"/>
        </w:rPr>
        <w:t>During the first six months of 2013, the Company’s capital expenditures totaled $87.7 million. The Company estimates that its capital expenditures will be in the range of $215 million to $240 million in 2013.</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0"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The Company’s borrowings decreased by $246.7 million, to $450.0 million at June 30, 2013, as compared to borrowings of $696.7 million at December 31, 2012</w:t>
      </w:r>
      <w:r>
        <w:rPr>
          <w:rFonts w:ascii="Arial" w:cs="Arial" w:eastAsia="Arial" w:hAnsi="Arial"/>
          <w:sz w:val="18"/>
          <w:szCs w:val="18"/>
          <w:i w:val="1"/>
          <w:iCs w:val="1"/>
          <w:color w:val="auto"/>
        </w:rPr>
        <w:t>.</w:t>
      </w:r>
      <w:r>
        <w:rPr>
          <w:rFonts w:ascii="Arial" w:cs="Arial" w:eastAsia="Arial" w:hAnsi="Arial"/>
          <w:sz w:val="18"/>
          <w:szCs w:val="18"/>
          <w:color w:val="auto"/>
        </w:rPr>
        <w:t xml:space="preserve"> At June 30, 2013, the Company had $386.6 million in cash and cash equivalents, compared to $512.4 million at December 31, 2012. The Company had money market investments of $290.5 million and $ 432.7 million that are classified as cash, cash equivalents and restricted cash in the Company’s condensed consolidated Balance Sheets as of June 30, 2013 and December 31, 2012, respectively.</w:t>
      </w:r>
    </w:p>
    <w:p>
      <w:pPr>
        <w:spacing w:after="0" w:line="189"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The Company’s total debt outstanding of $450.0 million at June 30, 2013 included $397.7 million of 7.25% unsecured notes due February 1, 2019, $45.7 million of AUD 50M borrowing and $6.7 million in other debt.</w:t>
      </w:r>
    </w:p>
    <w:p>
      <w:pPr>
        <w:spacing w:after="0" w:line="183"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In June 2011, the Company entered into a credit agreement (the Credit Agreement) providing for a U.S. $450 million, AUD 50 million four year revolving credit facility (the Facility), with each of the lenders party thereto, JPMorgan Chase Bank, N.A., as Administrative Agent (JP Morgan), and J.P. Morgan Australia Limited, as Australian Sub-Agent. The Facility will expire on June 17, 2015, unless the Company and the banks agree to extend the term.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Company’s credit ratings were unchanged during the second quarter of 2013 and are as follows:</w:t>
      </w:r>
    </w:p>
    <w:tbl>
      <w:tblPr>
        <w:tblLayout w:type="fixed"/>
        <w:tblInd w:w="0" w:type="dxa"/>
        <w:tblCellMar>
          <w:top w:w="0" w:type="dxa"/>
          <w:left w:w="0" w:type="dxa"/>
          <w:bottom w:w="0" w:type="dxa"/>
          <w:right w:w="0" w:type="dxa"/>
        </w:tblCellMar>
      </w:tblPr>
      <w:tr>
        <w:trPr>
          <w:trHeight w:val="133"/>
        </w:trPr>
        <w:tc>
          <w:tcPr>
            <w:tcW w:w="4980" w:type="dxa"/>
            <w:vAlign w:val="bottom"/>
          </w:tcPr>
          <w:p>
            <w:pPr>
              <w:spacing w:after="0"/>
              <w:rPr>
                <w:sz w:val="11"/>
                <w:szCs w:val="11"/>
                <w:color w:val="auto"/>
              </w:rPr>
            </w:pPr>
          </w:p>
        </w:tc>
        <w:tc>
          <w:tcPr>
            <w:tcW w:w="5340" w:type="dxa"/>
            <w:vAlign w:val="bottom"/>
          </w:tcPr>
          <w:p>
            <w:pPr>
              <w:spacing w:after="0"/>
              <w:rPr>
                <w:sz w:val="11"/>
                <w:szCs w:val="11"/>
                <w:color w:val="auto"/>
              </w:rPr>
            </w:pPr>
          </w:p>
        </w:tc>
        <w:tc>
          <w:tcPr>
            <w:tcW w:w="1100" w:type="dxa"/>
            <w:vAlign w:val="bottom"/>
          </w:tcPr>
          <w:p>
            <w:pPr>
              <w:jc w:val="right"/>
              <w:ind w:right="186"/>
              <w:spacing w:after="0" w:line="133" w:lineRule="exact"/>
              <w:rPr>
                <w:sz w:val="20"/>
                <w:szCs w:val="20"/>
                <w:color w:val="auto"/>
              </w:rPr>
            </w:pPr>
            <w:r>
              <w:rPr>
                <w:rFonts w:ascii="Arial" w:cs="Arial" w:eastAsia="Arial" w:hAnsi="Arial"/>
                <w:sz w:val="14"/>
                <w:szCs w:val="14"/>
                <w:b w:val="1"/>
                <w:bCs w:val="1"/>
                <w:color w:val="auto"/>
              </w:rPr>
              <w:t>Standard</w:t>
            </w:r>
          </w:p>
        </w:tc>
      </w:tr>
      <w:tr>
        <w:trPr>
          <w:trHeight w:val="165"/>
        </w:trPr>
        <w:tc>
          <w:tcPr>
            <w:tcW w:w="4980" w:type="dxa"/>
            <w:vAlign w:val="bottom"/>
            <w:tcBorders>
              <w:bottom w:val="single" w:sz="8" w:color="auto"/>
            </w:tcBorders>
          </w:tcPr>
          <w:p>
            <w:pPr>
              <w:spacing w:after="0"/>
              <w:rPr>
                <w:sz w:val="14"/>
                <w:szCs w:val="14"/>
                <w:color w:val="auto"/>
              </w:rPr>
            </w:pPr>
          </w:p>
        </w:tc>
        <w:tc>
          <w:tcPr>
            <w:tcW w:w="534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Moody’s</w:t>
            </w:r>
          </w:p>
        </w:tc>
        <w:tc>
          <w:tcPr>
            <w:tcW w:w="1100" w:type="dxa"/>
            <w:vAlign w:val="bottom"/>
            <w:tcBorders>
              <w:bottom w:val="single" w:sz="8" w:color="auto"/>
            </w:tcBorders>
          </w:tcPr>
          <w:p>
            <w:pPr>
              <w:jc w:val="right"/>
              <w:ind w:right="206"/>
              <w:spacing w:after="0"/>
              <w:rPr>
                <w:sz w:val="20"/>
                <w:szCs w:val="20"/>
                <w:color w:val="auto"/>
              </w:rPr>
            </w:pPr>
            <w:r>
              <w:rPr>
                <w:rFonts w:ascii="Arial" w:cs="Arial" w:eastAsia="Arial" w:hAnsi="Arial"/>
                <w:sz w:val="14"/>
                <w:szCs w:val="14"/>
                <w:b w:val="1"/>
                <w:bCs w:val="1"/>
                <w:color w:val="auto"/>
              </w:rPr>
              <w:t>&amp; Poor’s</w:t>
            </w:r>
          </w:p>
        </w:tc>
      </w:tr>
      <w:tr>
        <w:trPr>
          <w:trHeight w:val="184"/>
        </w:trPr>
        <w:tc>
          <w:tcPr>
            <w:tcW w:w="4980" w:type="dxa"/>
            <w:vAlign w:val="bottom"/>
          </w:tcPr>
          <w:p>
            <w:pPr>
              <w:spacing w:after="0"/>
              <w:rPr>
                <w:sz w:val="20"/>
                <w:szCs w:val="20"/>
                <w:color w:val="auto"/>
              </w:rPr>
            </w:pPr>
            <w:r>
              <w:rPr>
                <w:rFonts w:ascii="Arial" w:cs="Arial" w:eastAsia="Arial" w:hAnsi="Arial"/>
                <w:sz w:val="16"/>
                <w:szCs w:val="16"/>
                <w:color w:val="auto"/>
              </w:rPr>
              <w:t>Long-term</w:t>
            </w:r>
          </w:p>
        </w:tc>
        <w:tc>
          <w:tcPr>
            <w:tcW w:w="5340" w:type="dxa"/>
            <w:vAlign w:val="bottom"/>
          </w:tcPr>
          <w:p>
            <w:pPr>
              <w:jc w:val="right"/>
              <w:ind w:right="163"/>
              <w:spacing w:after="0"/>
              <w:rPr>
                <w:sz w:val="20"/>
                <w:szCs w:val="20"/>
                <w:color w:val="auto"/>
              </w:rPr>
            </w:pPr>
            <w:r>
              <w:rPr>
                <w:rFonts w:ascii="Arial" w:cs="Arial" w:eastAsia="Arial" w:hAnsi="Arial"/>
                <w:sz w:val="16"/>
                <w:szCs w:val="16"/>
                <w:color w:val="auto"/>
              </w:rPr>
              <w:t>Baa1</w:t>
            </w:r>
          </w:p>
        </w:tc>
        <w:tc>
          <w:tcPr>
            <w:tcW w:w="1100" w:type="dxa"/>
            <w:vAlign w:val="bottom"/>
          </w:tcPr>
          <w:p>
            <w:pPr>
              <w:jc w:val="right"/>
              <w:spacing w:after="0"/>
              <w:rPr>
                <w:sz w:val="20"/>
                <w:szCs w:val="20"/>
                <w:color w:val="auto"/>
              </w:rPr>
            </w:pPr>
            <w:r>
              <w:rPr>
                <w:rFonts w:ascii="Arial" w:cs="Arial" w:eastAsia="Arial" w:hAnsi="Arial"/>
                <w:sz w:val="16"/>
                <w:szCs w:val="16"/>
                <w:color w:val="auto"/>
              </w:rPr>
              <w:t>BBB</w:t>
            </w:r>
          </w:p>
        </w:tc>
      </w:tr>
      <w:tr>
        <w:trPr>
          <w:trHeight w:val="195"/>
        </w:trPr>
        <w:tc>
          <w:tcPr>
            <w:tcW w:w="4980" w:type="dxa"/>
            <w:vAlign w:val="bottom"/>
          </w:tcPr>
          <w:p>
            <w:pPr>
              <w:spacing w:after="0"/>
              <w:rPr>
                <w:sz w:val="20"/>
                <w:szCs w:val="20"/>
                <w:color w:val="auto"/>
              </w:rPr>
            </w:pPr>
            <w:r>
              <w:rPr>
                <w:rFonts w:ascii="Arial" w:cs="Arial" w:eastAsia="Arial" w:hAnsi="Arial"/>
                <w:sz w:val="16"/>
                <w:szCs w:val="16"/>
                <w:color w:val="auto"/>
              </w:rPr>
              <w:t>Short-term</w:t>
            </w:r>
          </w:p>
        </w:tc>
        <w:tc>
          <w:tcPr>
            <w:tcW w:w="5340" w:type="dxa"/>
            <w:vAlign w:val="bottom"/>
          </w:tcPr>
          <w:p>
            <w:pPr>
              <w:jc w:val="right"/>
              <w:ind w:right="163"/>
              <w:spacing w:after="0"/>
              <w:rPr>
                <w:sz w:val="20"/>
                <w:szCs w:val="20"/>
                <w:color w:val="auto"/>
              </w:rPr>
            </w:pPr>
            <w:r>
              <w:rPr>
                <w:rFonts w:ascii="Arial" w:cs="Arial" w:eastAsia="Arial" w:hAnsi="Arial"/>
                <w:sz w:val="16"/>
                <w:szCs w:val="16"/>
                <w:color w:val="auto"/>
              </w:rPr>
              <w:t>Prime-2</w:t>
            </w:r>
          </w:p>
        </w:tc>
        <w:tc>
          <w:tcPr>
            <w:tcW w:w="1100" w:type="dxa"/>
            <w:vAlign w:val="bottom"/>
          </w:tcPr>
          <w:p>
            <w:pPr>
              <w:jc w:val="right"/>
              <w:spacing w:after="0"/>
              <w:rPr>
                <w:sz w:val="20"/>
                <w:szCs w:val="20"/>
                <w:color w:val="auto"/>
              </w:rPr>
            </w:pPr>
            <w:r>
              <w:rPr>
                <w:rFonts w:ascii="Arial" w:cs="Arial" w:eastAsia="Arial" w:hAnsi="Arial"/>
                <w:sz w:val="16"/>
                <w:szCs w:val="16"/>
                <w:color w:val="auto"/>
              </w:rPr>
              <w:t>A-3</w:t>
            </w:r>
          </w:p>
        </w:tc>
      </w:tr>
    </w:tbl>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913" w:right="239" w:bottom="1440" w:gutter="0" w:footer="0" w:header="0"/>
        </w:sectPr>
      </w:pPr>
    </w:p>
    <w:bookmarkStart w:id="27" w:name="page28"/>
    <w:bookmarkEnd w:id="27"/>
    <w:p>
      <w:pPr>
        <w:ind w:right="200"/>
        <w:spacing w:after="0"/>
        <w:rPr>
          <w:sz w:val="20"/>
          <w:szCs w:val="20"/>
          <w:color w:val="auto"/>
        </w:rPr>
      </w:pPr>
      <w:r>
        <w:rPr>
          <w:rFonts w:ascii="Arial" w:cs="Arial" w:eastAsia="Arial" w:hAnsi="Arial"/>
          <w:sz w:val="18"/>
          <w:szCs w:val="18"/>
          <w:color w:val="auto"/>
        </w:rPr>
        <w:t>During the second quarter of 2013 and 2012, the Company had average borrowings outstanding of approximately $454.1 million and $455.5 million, respectively, at average annual interest rates of approximately 7.0%. During the second quarter of 2013 and 2012, the Company incurred net interest expense of $8.5 million and $8.2 million, respectively.</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8"/>
          <w:szCs w:val="18"/>
          <w:color w:val="auto"/>
        </w:rPr>
        <w:t>During the six months ended June 30, 2013 and 2012, the Company had average borrowings outstanding of approximately $489.5 million and $472.0 million, respectively, at average annual interest rates of approximately 7.0%. During the six months ended June 30, 2013 and 2012, the Company incurred net interest expense of $17.0 million and $16.3 million, respectively.</w:t>
      </w:r>
    </w:p>
    <w:p>
      <w:pPr>
        <w:spacing w:after="0" w:line="189"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At June 30, 2013 and December 31, 2012, the Company had working capital of $502.4 million and $327.5 million, respectively. The Company maintains working capital levels consistent with its underlying business requirements and consistently generates cash from operations in excess of required interest or principal payments. The Company expects to fund its estimated capital needs primarily through existing cash balances and internally generated funds and to a lesser extent borrowings supported by our Credit Agreement. In management’s opinion, the Company will have sufficient liquidity to meet its various cash needs throughout 2013.</w:t>
      </w:r>
    </w:p>
    <w:p>
      <w:pPr>
        <w:spacing w:after="0" w:line="189"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color w:val="auto"/>
        </w:rPr>
        <w:t>There were no significant changes to the Company’s contractual obligations or other commercial commitments from those disclosed in the Company’s Annual Report on Form 10-K for the year ended December 31, 2012.</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20"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This report contains certain forward-looking statements that are based largely on the Company’s current expectations. Forward-looking statements are subject to certain risks and uncertainties that could cause actual results and achievements to differ materially from those expressed in the forward-looking statements. For more information about these forward-looking statements and related risks, please refer to the section titled “Forward-Looking Statements” in Part I of the Company’s Annual Report on Form 10-K.</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20"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The Company is exposed to market risk in the normal course of its business due primarily to its ownership of marketable equity securities, which are subject to equity price risk; to its borrowing and cash-management activities, which are subject to interest rate risk; and to its foreign business operations, which are subject to foreign exchange rate risk. The Company’s market risk disclosures set forth in its 2012 Annual Report filed on Form 10-K have not otherwise changed significantly.</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220"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An evaluation was performed by the Company’s management, with the participation of the Company’s Chief Executive Officer (the Company’s principal executive officer) and the Company’s Senior Vice President-Finance (the Company’s principal financial officer), of the effectiveness of the Company’s disclosure controls and procedures (as defined in Exchange Act Rules 13a-15(e) and 15d-15(e)), as of June 30, 2013. Based on that evaluation, the Company’s Chief Executive Officer and Senior Vice President-Finance have concluded that the Company’s disclosure controls and procedures, as designed and implemented, are effective in ensuring that information required to be disclosed by the Company in the reports that it files or submits under the Exchange Act is recorded, processed, summarized and reported, within the time periods specified in the Securities and Exchange Commission’s rules and forms and is accumulated and communicated to management, including the Chief Executive Officer and Senior Vice President-Finance, in a manner that allows timely decisions regarding required disclosure.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Changes in Internal Control Over Financial Reporting</w:t>
      </w:r>
    </w:p>
    <w:p>
      <w:pPr>
        <w:spacing w:after="0" w:line="220" w:lineRule="exact"/>
        <w:rPr>
          <w:sz w:val="20"/>
          <w:szCs w:val="20"/>
          <w:color w:val="auto"/>
        </w:rPr>
      </w:pPr>
    </w:p>
    <w:p>
      <w:pPr>
        <w:ind w:right="760"/>
        <w:spacing w:after="0" w:line="246" w:lineRule="auto"/>
        <w:rPr>
          <w:sz w:val="20"/>
          <w:szCs w:val="20"/>
          <w:color w:val="auto"/>
        </w:rPr>
      </w:pPr>
      <w:r>
        <w:rPr>
          <w:rFonts w:ascii="Arial" w:cs="Arial" w:eastAsia="Arial" w:hAnsi="Arial"/>
          <w:sz w:val="18"/>
          <w:szCs w:val="18"/>
          <w:color w:val="auto"/>
        </w:rPr>
        <w:t>There has been no change in the Company’s internal control over financial reporting during the quarter ended June 30, 2013 that has materially affected, or is reasonably likely to materially affect, the Company’s internal control over financial reporting.</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868" w:right="29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9"/>
        </w:trPr>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40" w:type="dxa"/>
            <w:vAlign w:val="bottom"/>
          </w:tcPr>
          <w:p>
            <w:pPr>
              <w:ind w:left="3200"/>
              <w:spacing w:after="0"/>
              <w:rPr>
                <w:sz w:val="20"/>
                <w:szCs w:val="20"/>
                <w:color w:val="auto"/>
              </w:rPr>
            </w:pPr>
            <w:r>
              <w:rPr>
                <w:rFonts w:ascii="Arial" w:cs="Arial" w:eastAsia="Arial" w:hAnsi="Arial"/>
                <w:sz w:val="18"/>
                <w:szCs w:val="18"/>
                <w:b w:val="1"/>
                <w:bCs w:val="1"/>
                <w:color w:val="auto"/>
              </w:rPr>
              <w:t>PART II. OTHER INFORMATION</w:t>
            </w:r>
          </w:p>
        </w:tc>
        <w:tc>
          <w:tcPr>
            <w:tcW w:w="0" w:type="dxa"/>
            <w:vAlign w:val="bottom"/>
          </w:tcPr>
          <w:p>
            <w:pPr>
              <w:spacing w:after="0"/>
              <w:rPr>
                <w:sz w:val="1"/>
                <w:szCs w:val="1"/>
                <w:color w:val="auto"/>
              </w:rPr>
            </w:pPr>
          </w:p>
        </w:tc>
      </w:tr>
      <w:tr>
        <w:trPr>
          <w:trHeight w:val="426"/>
        </w:trPr>
        <w:tc>
          <w:tcPr>
            <w:tcW w:w="1040" w:type="dxa"/>
            <w:vAlign w:val="bottom"/>
          </w:tcPr>
          <w:p>
            <w:pPr>
              <w:spacing w:after="0"/>
              <w:rPr>
                <w:sz w:val="20"/>
                <w:szCs w:val="20"/>
                <w:color w:val="auto"/>
              </w:rPr>
            </w:pPr>
            <w:r>
              <w:rPr>
                <w:rFonts w:ascii="Arial" w:cs="Arial" w:eastAsia="Arial" w:hAnsi="Arial"/>
                <w:sz w:val="16"/>
                <w:szCs w:val="16"/>
                <w:b w:val="1"/>
                <w:bCs w:val="1"/>
                <w:color w:val="auto"/>
              </w:rPr>
              <w:t>Item 6.</w:t>
            </w:r>
          </w:p>
        </w:tc>
        <w:tc>
          <w:tcPr>
            <w:tcW w:w="10380" w:type="dxa"/>
            <w:vAlign w:val="bottom"/>
            <w:gridSpan w:val="2"/>
          </w:tcPr>
          <w:p>
            <w:pPr>
              <w:ind w:left="20"/>
              <w:spacing w:after="0"/>
              <w:rPr>
                <w:sz w:val="20"/>
                <w:szCs w:val="20"/>
                <w:color w:val="auto"/>
              </w:rPr>
            </w:pPr>
            <w:r>
              <w:rPr>
                <w:rFonts w:ascii="Arial" w:cs="Arial" w:eastAsia="Arial" w:hAnsi="Arial"/>
                <w:sz w:val="16"/>
                <w:szCs w:val="16"/>
                <w:b w:val="1"/>
                <w:bCs w:val="1"/>
                <w:color w:val="auto"/>
              </w:rPr>
              <w:t>Exhibits.</w:t>
            </w:r>
          </w:p>
        </w:tc>
        <w:tc>
          <w:tcPr>
            <w:tcW w:w="0" w:type="dxa"/>
            <w:vAlign w:val="bottom"/>
          </w:tcPr>
          <w:p>
            <w:pPr>
              <w:spacing w:after="0"/>
              <w:rPr>
                <w:sz w:val="1"/>
                <w:szCs w:val="1"/>
                <w:color w:val="auto"/>
              </w:rPr>
            </w:pPr>
          </w:p>
        </w:tc>
      </w:tr>
      <w:tr>
        <w:trPr>
          <w:trHeight w:val="519"/>
        </w:trPr>
        <w:tc>
          <w:tcPr>
            <w:tcW w:w="1040" w:type="dxa"/>
            <w:vAlign w:val="bottom"/>
          </w:tcPr>
          <w:p>
            <w:pPr>
              <w:ind w:left="280"/>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24"/>
                <w:szCs w:val="24"/>
                <w:color w:val="auto"/>
              </w:rPr>
            </w:pPr>
          </w:p>
        </w:tc>
        <w:tc>
          <w:tcPr>
            <w:tcW w:w="10240" w:type="dxa"/>
            <w:vAlign w:val="bottom"/>
            <w:vMerge w:val="restart"/>
          </w:tcPr>
          <w:p>
            <w:pPr>
              <w:ind w:left="468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175"/>
        </w:trPr>
        <w:tc>
          <w:tcPr>
            <w:tcW w:w="104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5"/>
                <w:szCs w:val="15"/>
                <w:color w:val="auto"/>
              </w:rPr>
            </w:pPr>
          </w:p>
        </w:tc>
        <w:tc>
          <w:tcPr>
            <w:tcW w:w="10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68"/>
        </w:trPr>
        <w:tc>
          <w:tcPr>
            <w:tcW w:w="1040" w:type="dxa"/>
            <w:vAlign w:val="bottom"/>
          </w:tcPr>
          <w:p>
            <w:pPr>
              <w:ind w:left="180"/>
              <w:spacing w:after="0"/>
              <w:rPr>
                <w:sz w:val="20"/>
                <w:szCs w:val="20"/>
                <w:color w:val="auto"/>
              </w:rPr>
            </w:pPr>
            <w:r>
              <w:rPr>
                <w:rFonts w:ascii="Arial" w:cs="Arial" w:eastAsia="Arial" w:hAnsi="Arial"/>
                <w:sz w:val="16"/>
                <w:szCs w:val="16"/>
                <w:color w:val="auto"/>
              </w:rPr>
              <w:t>3.1</w:t>
            </w:r>
          </w:p>
        </w:tc>
        <w:tc>
          <w:tcPr>
            <w:tcW w:w="10380" w:type="dxa"/>
            <w:vAlign w:val="bottom"/>
            <w:gridSpan w:val="2"/>
          </w:tcPr>
          <w:p>
            <w:pPr>
              <w:ind w:left="140"/>
              <w:spacing w:after="0"/>
              <w:rPr>
                <w:sz w:val="20"/>
                <w:szCs w:val="20"/>
                <w:color w:val="auto"/>
              </w:rPr>
            </w:pPr>
            <w:r>
              <w:rPr>
                <w:rFonts w:ascii="Arial" w:cs="Arial" w:eastAsia="Arial" w:hAnsi="Arial"/>
                <w:sz w:val="16"/>
                <w:szCs w:val="16"/>
                <w:color w:val="auto"/>
              </w:rPr>
              <w:t>Restated Certificate of Incorporation of the Company dated November 13, 2003 (incorporated by reference to Exhibit 3.1 to the Company’s</w:t>
            </w:r>
          </w:p>
        </w:tc>
        <w:tc>
          <w:tcPr>
            <w:tcW w:w="0" w:type="dxa"/>
            <w:vAlign w:val="bottom"/>
          </w:tcPr>
          <w:p>
            <w:pPr>
              <w:spacing w:after="0"/>
              <w:rPr>
                <w:sz w:val="1"/>
                <w:szCs w:val="1"/>
                <w:color w:val="auto"/>
              </w:rPr>
            </w:pPr>
          </w:p>
        </w:tc>
      </w:tr>
      <w:tr>
        <w:trPr>
          <w:trHeight w:val="195"/>
        </w:trPr>
        <w:tc>
          <w:tcPr>
            <w:tcW w:w="1040" w:type="dxa"/>
            <w:vAlign w:val="bottom"/>
          </w:tcPr>
          <w:p>
            <w:pPr>
              <w:spacing w:after="0"/>
              <w:rPr>
                <w:sz w:val="16"/>
                <w:szCs w:val="16"/>
                <w:color w:val="auto"/>
              </w:rPr>
            </w:pPr>
          </w:p>
        </w:tc>
        <w:tc>
          <w:tcPr>
            <w:tcW w:w="10380" w:type="dxa"/>
            <w:vAlign w:val="bottom"/>
            <w:gridSpan w:val="2"/>
          </w:tcPr>
          <w:p>
            <w:pPr>
              <w:ind w:left="140"/>
              <w:spacing w:after="0"/>
              <w:rPr>
                <w:sz w:val="20"/>
                <w:szCs w:val="20"/>
                <w:color w:val="auto"/>
              </w:rPr>
            </w:pPr>
            <w:r>
              <w:rPr>
                <w:rFonts w:ascii="Arial" w:cs="Arial" w:eastAsia="Arial" w:hAnsi="Arial"/>
                <w:sz w:val="16"/>
                <w:szCs w:val="16"/>
                <w:color w:val="auto"/>
              </w:rPr>
              <w:t>Annual Report on Form 10-K for the fiscal year ended December 28, 2003).</w:t>
            </w:r>
          </w:p>
        </w:tc>
        <w:tc>
          <w:tcPr>
            <w:tcW w:w="0" w:type="dxa"/>
            <w:vAlign w:val="bottom"/>
          </w:tcPr>
          <w:p>
            <w:pPr>
              <w:spacing w:after="0"/>
              <w:rPr>
                <w:sz w:val="1"/>
                <w:szCs w:val="1"/>
                <w:color w:val="auto"/>
              </w:rPr>
            </w:pPr>
          </w:p>
        </w:tc>
      </w:tr>
      <w:tr>
        <w:trPr>
          <w:trHeight w:val="373"/>
        </w:trPr>
        <w:tc>
          <w:tcPr>
            <w:tcW w:w="1040" w:type="dxa"/>
            <w:vAlign w:val="bottom"/>
          </w:tcPr>
          <w:p>
            <w:pPr>
              <w:ind w:left="180"/>
              <w:spacing w:after="0"/>
              <w:rPr>
                <w:sz w:val="20"/>
                <w:szCs w:val="20"/>
                <w:color w:val="auto"/>
              </w:rPr>
            </w:pPr>
            <w:r>
              <w:rPr>
                <w:rFonts w:ascii="Arial" w:cs="Arial" w:eastAsia="Arial" w:hAnsi="Arial"/>
                <w:sz w:val="16"/>
                <w:szCs w:val="16"/>
                <w:color w:val="auto"/>
              </w:rPr>
              <w:t>3.2</w:t>
            </w:r>
          </w:p>
        </w:tc>
        <w:tc>
          <w:tcPr>
            <w:tcW w:w="10380" w:type="dxa"/>
            <w:vAlign w:val="bottom"/>
            <w:gridSpan w:val="2"/>
          </w:tcPr>
          <w:p>
            <w:pPr>
              <w:ind w:left="140"/>
              <w:spacing w:after="0"/>
              <w:rPr>
                <w:sz w:val="20"/>
                <w:szCs w:val="20"/>
                <w:color w:val="auto"/>
              </w:rPr>
            </w:pPr>
            <w:r>
              <w:rPr>
                <w:rFonts w:ascii="Arial" w:cs="Arial" w:eastAsia="Arial" w:hAnsi="Arial"/>
                <w:sz w:val="16"/>
                <w:szCs w:val="16"/>
                <w:color w:val="auto"/>
              </w:rPr>
              <w:t>Certificate of Designation for the Company’s Series A Preferred Stock dated September 22, 2003 (incorporated by reference to Exhibit 3.2 to</w:t>
            </w:r>
          </w:p>
        </w:tc>
        <w:tc>
          <w:tcPr>
            <w:tcW w:w="0" w:type="dxa"/>
            <w:vAlign w:val="bottom"/>
          </w:tcPr>
          <w:p>
            <w:pPr>
              <w:spacing w:after="0"/>
              <w:rPr>
                <w:sz w:val="1"/>
                <w:szCs w:val="1"/>
                <w:color w:val="auto"/>
              </w:rPr>
            </w:pPr>
          </w:p>
        </w:tc>
      </w:tr>
      <w:tr>
        <w:trPr>
          <w:trHeight w:val="195"/>
        </w:trPr>
        <w:tc>
          <w:tcPr>
            <w:tcW w:w="1040" w:type="dxa"/>
            <w:vAlign w:val="bottom"/>
          </w:tcPr>
          <w:p>
            <w:pPr>
              <w:spacing w:after="0"/>
              <w:rPr>
                <w:sz w:val="16"/>
                <w:szCs w:val="16"/>
                <w:color w:val="auto"/>
              </w:rPr>
            </w:pPr>
          </w:p>
        </w:tc>
        <w:tc>
          <w:tcPr>
            <w:tcW w:w="10380" w:type="dxa"/>
            <w:vAlign w:val="bottom"/>
            <w:gridSpan w:val="2"/>
          </w:tcPr>
          <w:p>
            <w:pPr>
              <w:ind w:left="140"/>
              <w:spacing w:after="0"/>
              <w:rPr>
                <w:sz w:val="20"/>
                <w:szCs w:val="20"/>
                <w:color w:val="auto"/>
              </w:rPr>
            </w:pPr>
            <w:r>
              <w:rPr>
                <w:rFonts w:ascii="Arial" w:cs="Arial" w:eastAsia="Arial" w:hAnsi="Arial"/>
                <w:sz w:val="16"/>
                <w:szCs w:val="16"/>
                <w:color w:val="auto"/>
              </w:rPr>
              <w:t>Amendment No. 1 to the Company’s Current Report on Form 8-K dated September 22, 2003).</w:t>
            </w:r>
          </w:p>
        </w:tc>
        <w:tc>
          <w:tcPr>
            <w:tcW w:w="0" w:type="dxa"/>
            <w:vAlign w:val="bottom"/>
          </w:tcPr>
          <w:p>
            <w:pPr>
              <w:spacing w:after="0"/>
              <w:rPr>
                <w:sz w:val="1"/>
                <w:szCs w:val="1"/>
                <w:color w:val="auto"/>
              </w:rPr>
            </w:pPr>
          </w:p>
        </w:tc>
      </w:tr>
      <w:tr>
        <w:trPr>
          <w:trHeight w:val="373"/>
        </w:trPr>
        <w:tc>
          <w:tcPr>
            <w:tcW w:w="1040" w:type="dxa"/>
            <w:vAlign w:val="bottom"/>
          </w:tcPr>
          <w:p>
            <w:pPr>
              <w:ind w:left="180"/>
              <w:spacing w:after="0"/>
              <w:rPr>
                <w:sz w:val="20"/>
                <w:szCs w:val="20"/>
                <w:color w:val="auto"/>
              </w:rPr>
            </w:pPr>
            <w:r>
              <w:rPr>
                <w:rFonts w:ascii="Arial" w:cs="Arial" w:eastAsia="Arial" w:hAnsi="Arial"/>
                <w:sz w:val="16"/>
                <w:szCs w:val="16"/>
                <w:color w:val="auto"/>
              </w:rPr>
              <w:t>3.3</w:t>
            </w:r>
          </w:p>
        </w:tc>
        <w:tc>
          <w:tcPr>
            <w:tcW w:w="10380" w:type="dxa"/>
            <w:vAlign w:val="bottom"/>
            <w:gridSpan w:val="2"/>
          </w:tcPr>
          <w:p>
            <w:pPr>
              <w:ind w:left="140"/>
              <w:spacing w:after="0"/>
              <w:rPr>
                <w:sz w:val="20"/>
                <w:szCs w:val="20"/>
                <w:color w:val="auto"/>
              </w:rPr>
            </w:pPr>
            <w:r>
              <w:rPr>
                <w:rFonts w:ascii="Arial" w:cs="Arial" w:eastAsia="Arial" w:hAnsi="Arial"/>
                <w:sz w:val="16"/>
                <w:szCs w:val="16"/>
                <w:color w:val="auto"/>
              </w:rPr>
              <w:t>By-Laws of the Company as amended and restated through November 8, 2007 (incorporated by reference to Exhibit 3.1 to the Company’s</w:t>
            </w:r>
          </w:p>
        </w:tc>
        <w:tc>
          <w:tcPr>
            <w:tcW w:w="0" w:type="dxa"/>
            <w:vAlign w:val="bottom"/>
          </w:tcPr>
          <w:p>
            <w:pPr>
              <w:spacing w:after="0"/>
              <w:rPr>
                <w:sz w:val="1"/>
                <w:szCs w:val="1"/>
                <w:color w:val="auto"/>
              </w:rPr>
            </w:pPr>
          </w:p>
        </w:tc>
      </w:tr>
      <w:tr>
        <w:trPr>
          <w:trHeight w:val="195"/>
        </w:trPr>
        <w:tc>
          <w:tcPr>
            <w:tcW w:w="1040" w:type="dxa"/>
            <w:vAlign w:val="bottom"/>
          </w:tcPr>
          <w:p>
            <w:pPr>
              <w:spacing w:after="0"/>
              <w:rPr>
                <w:sz w:val="16"/>
                <w:szCs w:val="16"/>
                <w:color w:val="auto"/>
              </w:rPr>
            </w:pPr>
          </w:p>
        </w:tc>
        <w:tc>
          <w:tcPr>
            <w:tcW w:w="10380" w:type="dxa"/>
            <w:vAlign w:val="bottom"/>
            <w:gridSpan w:val="2"/>
          </w:tcPr>
          <w:p>
            <w:pPr>
              <w:ind w:left="140"/>
              <w:spacing w:after="0"/>
              <w:rPr>
                <w:sz w:val="20"/>
                <w:szCs w:val="20"/>
                <w:color w:val="auto"/>
              </w:rPr>
            </w:pPr>
            <w:r>
              <w:rPr>
                <w:rFonts w:ascii="Arial" w:cs="Arial" w:eastAsia="Arial" w:hAnsi="Arial"/>
                <w:sz w:val="16"/>
                <w:szCs w:val="16"/>
                <w:color w:val="auto"/>
              </w:rPr>
              <w:t>Current Report on Form 8-K dated November 14, 2007).</w:t>
            </w:r>
          </w:p>
        </w:tc>
        <w:tc>
          <w:tcPr>
            <w:tcW w:w="0" w:type="dxa"/>
            <w:vAlign w:val="bottom"/>
          </w:tcPr>
          <w:p>
            <w:pPr>
              <w:spacing w:after="0"/>
              <w:rPr>
                <w:sz w:val="1"/>
                <w:szCs w:val="1"/>
                <w:color w:val="auto"/>
              </w:rPr>
            </w:pPr>
          </w:p>
        </w:tc>
      </w:tr>
      <w:tr>
        <w:trPr>
          <w:trHeight w:val="373"/>
        </w:trPr>
        <w:tc>
          <w:tcPr>
            <w:tcW w:w="1040" w:type="dxa"/>
            <w:vAlign w:val="bottom"/>
          </w:tcPr>
          <w:p>
            <w:pPr>
              <w:ind w:left="180"/>
              <w:spacing w:after="0"/>
              <w:rPr>
                <w:sz w:val="20"/>
                <w:szCs w:val="20"/>
                <w:color w:val="auto"/>
              </w:rPr>
            </w:pPr>
            <w:r>
              <w:rPr>
                <w:rFonts w:ascii="Arial" w:cs="Arial" w:eastAsia="Arial" w:hAnsi="Arial"/>
                <w:sz w:val="16"/>
                <w:szCs w:val="16"/>
                <w:color w:val="auto"/>
              </w:rPr>
              <w:t>4.1</w:t>
            </w:r>
          </w:p>
        </w:tc>
        <w:tc>
          <w:tcPr>
            <w:tcW w:w="10380" w:type="dxa"/>
            <w:vAlign w:val="bottom"/>
            <w:gridSpan w:val="2"/>
          </w:tcPr>
          <w:p>
            <w:pPr>
              <w:ind w:left="140"/>
              <w:spacing w:after="0"/>
              <w:rPr>
                <w:sz w:val="20"/>
                <w:szCs w:val="20"/>
                <w:color w:val="auto"/>
              </w:rPr>
            </w:pPr>
            <w:r>
              <w:rPr>
                <w:rFonts w:ascii="Arial" w:cs="Arial" w:eastAsia="Arial" w:hAnsi="Arial"/>
                <w:sz w:val="16"/>
                <w:szCs w:val="16"/>
                <w:color w:val="auto"/>
              </w:rPr>
              <w:t>Second Supplemental Indenture dated January 30, 2009, between the Company and The Bank of New York Mellon Trust Company, N.A., as</w:t>
            </w:r>
          </w:p>
        </w:tc>
        <w:tc>
          <w:tcPr>
            <w:tcW w:w="0" w:type="dxa"/>
            <w:vAlign w:val="bottom"/>
          </w:tcPr>
          <w:p>
            <w:pPr>
              <w:spacing w:after="0"/>
              <w:rPr>
                <w:sz w:val="1"/>
                <w:szCs w:val="1"/>
                <w:color w:val="auto"/>
              </w:rPr>
            </w:pPr>
          </w:p>
        </w:tc>
      </w:tr>
      <w:tr>
        <w:trPr>
          <w:trHeight w:val="189"/>
        </w:trPr>
        <w:tc>
          <w:tcPr>
            <w:tcW w:w="1040" w:type="dxa"/>
            <w:vAlign w:val="bottom"/>
          </w:tcPr>
          <w:p>
            <w:pPr>
              <w:spacing w:after="0"/>
              <w:rPr>
                <w:sz w:val="16"/>
                <w:szCs w:val="16"/>
                <w:color w:val="auto"/>
              </w:rPr>
            </w:pPr>
          </w:p>
        </w:tc>
        <w:tc>
          <w:tcPr>
            <w:tcW w:w="10380" w:type="dxa"/>
            <w:vAlign w:val="bottom"/>
            <w:gridSpan w:val="2"/>
          </w:tcPr>
          <w:p>
            <w:pPr>
              <w:ind w:left="140"/>
              <w:spacing w:after="0"/>
              <w:rPr>
                <w:sz w:val="20"/>
                <w:szCs w:val="20"/>
                <w:color w:val="auto"/>
              </w:rPr>
            </w:pPr>
            <w:r>
              <w:rPr>
                <w:rFonts w:ascii="Arial" w:cs="Arial" w:eastAsia="Arial" w:hAnsi="Arial"/>
                <w:sz w:val="16"/>
                <w:szCs w:val="16"/>
                <w:color w:val="auto"/>
              </w:rPr>
              <w:t>successor to The First National Bank of Chicago, as Trustee (incorporated by reference to Exhibit 10.2 to the Company’s Current Report on</w:t>
            </w:r>
          </w:p>
        </w:tc>
        <w:tc>
          <w:tcPr>
            <w:tcW w:w="0" w:type="dxa"/>
            <w:vAlign w:val="bottom"/>
          </w:tcPr>
          <w:p>
            <w:pPr>
              <w:spacing w:after="0"/>
              <w:rPr>
                <w:sz w:val="1"/>
                <w:szCs w:val="1"/>
                <w:color w:val="auto"/>
              </w:rPr>
            </w:pPr>
          </w:p>
        </w:tc>
      </w:tr>
      <w:tr>
        <w:trPr>
          <w:trHeight w:val="195"/>
        </w:trPr>
        <w:tc>
          <w:tcPr>
            <w:tcW w:w="1040" w:type="dxa"/>
            <w:vAlign w:val="bottom"/>
          </w:tcPr>
          <w:p>
            <w:pPr>
              <w:spacing w:after="0"/>
              <w:rPr>
                <w:sz w:val="16"/>
                <w:szCs w:val="16"/>
                <w:color w:val="auto"/>
              </w:rPr>
            </w:pPr>
          </w:p>
        </w:tc>
        <w:tc>
          <w:tcPr>
            <w:tcW w:w="10380" w:type="dxa"/>
            <w:vAlign w:val="bottom"/>
            <w:gridSpan w:val="2"/>
          </w:tcPr>
          <w:p>
            <w:pPr>
              <w:ind w:left="140"/>
              <w:spacing w:after="0"/>
              <w:rPr>
                <w:sz w:val="20"/>
                <w:szCs w:val="20"/>
                <w:color w:val="auto"/>
              </w:rPr>
            </w:pPr>
            <w:r>
              <w:rPr>
                <w:rFonts w:ascii="Arial" w:cs="Arial" w:eastAsia="Arial" w:hAnsi="Arial"/>
                <w:sz w:val="16"/>
                <w:szCs w:val="16"/>
                <w:color w:val="auto"/>
              </w:rPr>
              <w:t>Form 8-K dated January 30, 2009).</w:t>
            </w:r>
          </w:p>
        </w:tc>
        <w:tc>
          <w:tcPr>
            <w:tcW w:w="0" w:type="dxa"/>
            <w:vAlign w:val="bottom"/>
          </w:tcPr>
          <w:p>
            <w:pPr>
              <w:spacing w:after="0"/>
              <w:rPr>
                <w:sz w:val="1"/>
                <w:szCs w:val="1"/>
                <w:color w:val="auto"/>
              </w:rPr>
            </w:pPr>
          </w:p>
        </w:tc>
      </w:tr>
      <w:tr>
        <w:trPr>
          <w:trHeight w:val="373"/>
        </w:trPr>
        <w:tc>
          <w:tcPr>
            <w:tcW w:w="1040" w:type="dxa"/>
            <w:vAlign w:val="bottom"/>
          </w:tcPr>
          <w:p>
            <w:pPr>
              <w:ind w:left="180"/>
              <w:spacing w:after="0"/>
              <w:rPr>
                <w:sz w:val="20"/>
                <w:szCs w:val="20"/>
                <w:color w:val="auto"/>
              </w:rPr>
            </w:pPr>
            <w:r>
              <w:rPr>
                <w:rFonts w:ascii="Arial" w:cs="Arial" w:eastAsia="Arial" w:hAnsi="Arial"/>
                <w:sz w:val="16"/>
                <w:szCs w:val="16"/>
                <w:color w:val="auto"/>
              </w:rPr>
              <w:t>4.2</w:t>
            </w:r>
          </w:p>
        </w:tc>
        <w:tc>
          <w:tcPr>
            <w:tcW w:w="10380" w:type="dxa"/>
            <w:vAlign w:val="bottom"/>
            <w:gridSpan w:val="2"/>
          </w:tcPr>
          <w:p>
            <w:pPr>
              <w:ind w:left="140"/>
              <w:spacing w:after="0"/>
              <w:rPr>
                <w:sz w:val="20"/>
                <w:szCs w:val="20"/>
                <w:color w:val="auto"/>
              </w:rPr>
            </w:pPr>
            <w:r>
              <w:rPr>
                <w:rFonts w:ascii="Arial" w:cs="Arial" w:eastAsia="Arial" w:hAnsi="Arial"/>
                <w:sz w:val="16"/>
                <w:szCs w:val="16"/>
                <w:color w:val="auto"/>
              </w:rPr>
              <w:t>Four Year Credit Agreement, dated as of June 17, 2011, among the Company, JPMorgan Chase Bank, N.A., J.P. Morgan Australia Limited,</w:t>
            </w:r>
          </w:p>
        </w:tc>
        <w:tc>
          <w:tcPr>
            <w:tcW w:w="0" w:type="dxa"/>
            <w:vAlign w:val="bottom"/>
          </w:tcPr>
          <w:p>
            <w:pPr>
              <w:spacing w:after="0"/>
              <w:rPr>
                <w:sz w:val="1"/>
                <w:szCs w:val="1"/>
                <w:color w:val="auto"/>
              </w:rPr>
            </w:pPr>
          </w:p>
        </w:tc>
      </w:tr>
      <w:tr>
        <w:trPr>
          <w:trHeight w:val="189"/>
        </w:trPr>
        <w:tc>
          <w:tcPr>
            <w:tcW w:w="1040" w:type="dxa"/>
            <w:vAlign w:val="bottom"/>
          </w:tcPr>
          <w:p>
            <w:pPr>
              <w:spacing w:after="0"/>
              <w:rPr>
                <w:sz w:val="16"/>
                <w:szCs w:val="16"/>
                <w:color w:val="auto"/>
              </w:rPr>
            </w:pPr>
          </w:p>
        </w:tc>
        <w:tc>
          <w:tcPr>
            <w:tcW w:w="10380" w:type="dxa"/>
            <w:vAlign w:val="bottom"/>
            <w:gridSpan w:val="2"/>
          </w:tcPr>
          <w:p>
            <w:pPr>
              <w:ind w:left="140"/>
              <w:spacing w:after="0"/>
              <w:rPr>
                <w:sz w:val="20"/>
                <w:szCs w:val="20"/>
                <w:color w:val="auto"/>
              </w:rPr>
            </w:pPr>
            <w:r>
              <w:rPr>
                <w:rFonts w:ascii="Arial" w:cs="Arial" w:eastAsia="Arial" w:hAnsi="Arial"/>
                <w:sz w:val="16"/>
                <w:szCs w:val="16"/>
                <w:color w:val="auto"/>
              </w:rPr>
              <w:t>Wells Fargo Bank, N.A., The Royal Bank of Scotland PLC, HSBC Bank USA, National Association, The Bank of New York Mellon, PNC Bank,</w:t>
            </w:r>
          </w:p>
        </w:tc>
        <w:tc>
          <w:tcPr>
            <w:tcW w:w="0" w:type="dxa"/>
            <w:vAlign w:val="bottom"/>
          </w:tcPr>
          <w:p>
            <w:pPr>
              <w:spacing w:after="0"/>
              <w:rPr>
                <w:sz w:val="1"/>
                <w:szCs w:val="1"/>
                <w:color w:val="auto"/>
              </w:rPr>
            </w:pPr>
          </w:p>
        </w:tc>
      </w:tr>
      <w:tr>
        <w:trPr>
          <w:trHeight w:val="189"/>
        </w:trPr>
        <w:tc>
          <w:tcPr>
            <w:tcW w:w="1040" w:type="dxa"/>
            <w:vAlign w:val="bottom"/>
          </w:tcPr>
          <w:p>
            <w:pPr>
              <w:spacing w:after="0"/>
              <w:rPr>
                <w:sz w:val="16"/>
                <w:szCs w:val="16"/>
                <w:color w:val="auto"/>
              </w:rPr>
            </w:pPr>
          </w:p>
        </w:tc>
        <w:tc>
          <w:tcPr>
            <w:tcW w:w="10380" w:type="dxa"/>
            <w:vAlign w:val="bottom"/>
            <w:gridSpan w:val="2"/>
          </w:tcPr>
          <w:p>
            <w:pPr>
              <w:ind w:left="140"/>
              <w:spacing w:after="0"/>
              <w:rPr>
                <w:sz w:val="20"/>
                <w:szCs w:val="20"/>
                <w:color w:val="auto"/>
              </w:rPr>
            </w:pPr>
            <w:r>
              <w:rPr>
                <w:rFonts w:ascii="Arial" w:cs="Arial" w:eastAsia="Arial" w:hAnsi="Arial"/>
                <w:sz w:val="16"/>
                <w:szCs w:val="16"/>
                <w:color w:val="auto"/>
              </w:rPr>
              <w:t>National Association, Bank of America, N.A., Citibank, N.A. and The Northern Trust Company (incorporated by reference to Exhibit 10.1 to the</w:t>
            </w:r>
          </w:p>
        </w:tc>
        <w:tc>
          <w:tcPr>
            <w:tcW w:w="0" w:type="dxa"/>
            <w:vAlign w:val="bottom"/>
          </w:tcPr>
          <w:p>
            <w:pPr>
              <w:spacing w:after="0"/>
              <w:rPr>
                <w:sz w:val="1"/>
                <w:szCs w:val="1"/>
                <w:color w:val="auto"/>
              </w:rPr>
            </w:pPr>
          </w:p>
        </w:tc>
      </w:tr>
      <w:tr>
        <w:trPr>
          <w:trHeight w:val="195"/>
        </w:trPr>
        <w:tc>
          <w:tcPr>
            <w:tcW w:w="1040" w:type="dxa"/>
            <w:vAlign w:val="bottom"/>
          </w:tcPr>
          <w:p>
            <w:pPr>
              <w:spacing w:after="0"/>
              <w:rPr>
                <w:sz w:val="16"/>
                <w:szCs w:val="16"/>
                <w:color w:val="auto"/>
              </w:rPr>
            </w:pPr>
          </w:p>
        </w:tc>
        <w:tc>
          <w:tcPr>
            <w:tcW w:w="10380" w:type="dxa"/>
            <w:vAlign w:val="bottom"/>
            <w:gridSpan w:val="2"/>
          </w:tcPr>
          <w:p>
            <w:pPr>
              <w:ind w:left="140"/>
              <w:spacing w:after="0"/>
              <w:rPr>
                <w:sz w:val="20"/>
                <w:szCs w:val="20"/>
                <w:color w:val="auto"/>
              </w:rPr>
            </w:pPr>
            <w:r>
              <w:rPr>
                <w:rFonts w:ascii="Arial" w:cs="Arial" w:eastAsia="Arial" w:hAnsi="Arial"/>
                <w:sz w:val="16"/>
                <w:szCs w:val="16"/>
                <w:color w:val="auto"/>
              </w:rPr>
              <w:t>Company’s Current Report on Form 8-K dated June 17, 2011).</w:t>
            </w:r>
          </w:p>
        </w:tc>
        <w:tc>
          <w:tcPr>
            <w:tcW w:w="0" w:type="dxa"/>
            <w:vAlign w:val="bottom"/>
          </w:tcPr>
          <w:p>
            <w:pPr>
              <w:spacing w:after="0"/>
              <w:rPr>
                <w:sz w:val="1"/>
                <w:szCs w:val="1"/>
                <w:color w:val="auto"/>
              </w:rPr>
            </w:pPr>
          </w:p>
        </w:tc>
      </w:tr>
      <w:tr>
        <w:trPr>
          <w:trHeight w:val="378"/>
        </w:trPr>
        <w:tc>
          <w:tcPr>
            <w:tcW w:w="1040" w:type="dxa"/>
            <w:vAlign w:val="bottom"/>
          </w:tcPr>
          <w:p>
            <w:pPr>
              <w:ind w:left="180"/>
              <w:spacing w:after="0"/>
              <w:rPr>
                <w:sz w:val="20"/>
                <w:szCs w:val="20"/>
                <w:color w:val="auto"/>
              </w:rPr>
            </w:pPr>
            <w:r>
              <w:rPr>
                <w:rFonts w:ascii="Arial" w:cs="Arial" w:eastAsia="Arial" w:hAnsi="Arial"/>
                <w:sz w:val="16"/>
                <w:szCs w:val="16"/>
                <w:color w:val="auto"/>
              </w:rPr>
              <w:t>31.1</w:t>
            </w:r>
          </w:p>
        </w:tc>
        <w:tc>
          <w:tcPr>
            <w:tcW w:w="10380" w:type="dxa"/>
            <w:vAlign w:val="bottom"/>
            <w:gridSpan w:val="2"/>
          </w:tcPr>
          <w:p>
            <w:pPr>
              <w:ind w:left="140"/>
              <w:spacing w:after="0"/>
              <w:rPr>
                <w:sz w:val="20"/>
                <w:szCs w:val="20"/>
                <w:color w:val="auto"/>
              </w:rPr>
            </w:pPr>
            <w:r>
              <w:rPr>
                <w:rFonts w:ascii="Arial" w:cs="Arial" w:eastAsia="Arial" w:hAnsi="Arial"/>
                <w:sz w:val="16"/>
                <w:szCs w:val="16"/>
                <w:color w:val="auto"/>
              </w:rPr>
              <w:t>Rule 13a-14(a)/15d-14(a) Certification of the Chief Executive Officer.</w:t>
            </w:r>
          </w:p>
        </w:tc>
        <w:tc>
          <w:tcPr>
            <w:tcW w:w="0" w:type="dxa"/>
            <w:vAlign w:val="bottom"/>
          </w:tcPr>
          <w:p>
            <w:pPr>
              <w:spacing w:after="0"/>
              <w:rPr>
                <w:sz w:val="1"/>
                <w:szCs w:val="1"/>
                <w:color w:val="auto"/>
              </w:rPr>
            </w:pPr>
          </w:p>
        </w:tc>
      </w:tr>
      <w:tr>
        <w:trPr>
          <w:trHeight w:val="378"/>
        </w:trPr>
        <w:tc>
          <w:tcPr>
            <w:tcW w:w="1040" w:type="dxa"/>
            <w:vAlign w:val="bottom"/>
          </w:tcPr>
          <w:p>
            <w:pPr>
              <w:ind w:left="180"/>
              <w:spacing w:after="0"/>
              <w:rPr>
                <w:sz w:val="20"/>
                <w:szCs w:val="20"/>
                <w:color w:val="auto"/>
              </w:rPr>
            </w:pPr>
            <w:r>
              <w:rPr>
                <w:rFonts w:ascii="Arial" w:cs="Arial" w:eastAsia="Arial" w:hAnsi="Arial"/>
                <w:sz w:val="16"/>
                <w:szCs w:val="16"/>
                <w:color w:val="auto"/>
              </w:rPr>
              <w:t>31.2</w:t>
            </w:r>
          </w:p>
        </w:tc>
        <w:tc>
          <w:tcPr>
            <w:tcW w:w="10380" w:type="dxa"/>
            <w:vAlign w:val="bottom"/>
            <w:gridSpan w:val="2"/>
          </w:tcPr>
          <w:p>
            <w:pPr>
              <w:ind w:left="140"/>
              <w:spacing w:after="0"/>
              <w:rPr>
                <w:sz w:val="20"/>
                <w:szCs w:val="20"/>
                <w:color w:val="auto"/>
              </w:rPr>
            </w:pPr>
            <w:r>
              <w:rPr>
                <w:rFonts w:ascii="Arial" w:cs="Arial" w:eastAsia="Arial" w:hAnsi="Arial"/>
                <w:sz w:val="16"/>
                <w:szCs w:val="16"/>
                <w:color w:val="auto"/>
              </w:rPr>
              <w:t>Rule 13a-14(a)/15d-14(a) Certification of the Chief Financial Officer.</w:t>
            </w:r>
          </w:p>
        </w:tc>
        <w:tc>
          <w:tcPr>
            <w:tcW w:w="0" w:type="dxa"/>
            <w:vAlign w:val="bottom"/>
          </w:tcPr>
          <w:p>
            <w:pPr>
              <w:spacing w:after="0"/>
              <w:rPr>
                <w:sz w:val="1"/>
                <w:szCs w:val="1"/>
                <w:color w:val="auto"/>
              </w:rPr>
            </w:pPr>
          </w:p>
        </w:tc>
      </w:tr>
      <w:tr>
        <w:trPr>
          <w:trHeight w:val="378"/>
        </w:trPr>
        <w:tc>
          <w:tcPr>
            <w:tcW w:w="1040" w:type="dxa"/>
            <w:vAlign w:val="bottom"/>
          </w:tcPr>
          <w:p>
            <w:pPr>
              <w:ind w:left="180"/>
              <w:spacing w:after="0"/>
              <w:rPr>
                <w:sz w:val="20"/>
                <w:szCs w:val="20"/>
                <w:color w:val="auto"/>
              </w:rPr>
            </w:pPr>
            <w:r>
              <w:rPr>
                <w:rFonts w:ascii="Arial" w:cs="Arial" w:eastAsia="Arial" w:hAnsi="Arial"/>
                <w:sz w:val="16"/>
                <w:szCs w:val="16"/>
                <w:color w:val="auto"/>
              </w:rPr>
              <w:t>32</w:t>
            </w:r>
          </w:p>
        </w:tc>
        <w:tc>
          <w:tcPr>
            <w:tcW w:w="10380" w:type="dxa"/>
            <w:vAlign w:val="bottom"/>
            <w:gridSpan w:val="2"/>
          </w:tcPr>
          <w:p>
            <w:pPr>
              <w:ind w:left="140"/>
              <w:spacing w:after="0"/>
              <w:rPr>
                <w:sz w:val="20"/>
                <w:szCs w:val="20"/>
                <w:color w:val="auto"/>
              </w:rPr>
            </w:pPr>
            <w:r>
              <w:rPr>
                <w:rFonts w:ascii="Arial" w:cs="Arial" w:eastAsia="Arial" w:hAnsi="Arial"/>
                <w:sz w:val="16"/>
                <w:szCs w:val="16"/>
                <w:color w:val="auto"/>
              </w:rPr>
              <w:t>Section 1350 Certification of the Chief Executive Officer and the Chief Financial Officer.</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1180" w:right="120" w:hanging="992"/>
        <w:spacing w:after="0" w:line="248" w:lineRule="auto"/>
        <w:tabs>
          <w:tab w:leader="none" w:pos="11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following financial information from The Washington Post Company Quarterly Report on Form 10-Q for the period ended June 30, 2013, formatted in Extensible Business Reporting Language (XBRL): (i) Condensed Consolidated Statements of Operations for the Three and Six Months Ended June 30, 2013 and 2012, (ii) Condensed Consolidated Statements of Comprehensive Income for the Three and Six Months Ended June 30, 2013 and 2012, (iii) Condensed Consolidated Balance Sheets as of June 30, 2013 and December 31, 2012, (iv) Condensed Consolidated Statements of Cash Flows for the Six Months Ended June 30, 2013 and 2012, and (v) Notes to Condensed Consolidated Financial Statements. Pursuant to Rule 406T of Regulation S-T, these interactive data files are deemed “furnished” and not “filed” or part of a registration statement or prospectus for purposes of Sections 11 or 12 of the Securities Act of 1933, are deemed “furnished” and not “filed” for purposes of Section 18 of the Securities Exchange Act of 1934, and otherwise are not subject to liability under these sections.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846" w:right="239" w:bottom="1440" w:gutter="0" w:footer="0" w:header="0"/>
        </w:sectPr>
      </w:pPr>
    </w:p>
    <w:bookmarkStart w:id="29" w:name="page30"/>
    <w:bookmarkEnd w:id="2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0" w:name="page31"/>
    <w:bookmarkEnd w:id="30"/>
    <w:p>
      <w:pPr>
        <w:jc w:val="center"/>
        <w:ind w:right="-299"/>
        <w:spacing w:after="0"/>
        <w:rPr>
          <w:sz w:val="20"/>
          <w:szCs w:val="20"/>
          <w:color w:val="auto"/>
        </w:rPr>
      </w:pPr>
      <w:r>
        <w:rPr>
          <w:rFonts w:ascii="Arial" w:cs="Arial" w:eastAsia="Arial" w:hAnsi="Arial"/>
          <w:sz w:val="22"/>
          <w:szCs w:val="22"/>
          <w:b w:val="1"/>
          <w:bCs w:val="1"/>
          <w:color w:val="auto"/>
        </w:rPr>
        <w:t>SIGNATURES</w:t>
      </w:r>
    </w:p>
    <w:p>
      <w:pPr>
        <w:spacing w:after="0" w:line="185"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9" w:lineRule="exact"/>
        <w:rPr>
          <w:sz w:val="20"/>
          <w:szCs w:val="20"/>
          <w:color w:val="auto"/>
        </w:rPr>
      </w:pPr>
    </w:p>
    <w:p>
      <w:pPr>
        <w:jc w:val="center"/>
        <w:ind w:left="7660"/>
        <w:spacing w:after="0"/>
        <w:rPr>
          <w:sz w:val="20"/>
          <w:szCs w:val="20"/>
          <w:color w:val="auto"/>
        </w:rPr>
      </w:pPr>
      <w:r>
        <w:rPr>
          <w:rFonts w:ascii="Arial" w:cs="Arial" w:eastAsia="Arial" w:hAnsi="Arial"/>
          <w:sz w:val="18"/>
          <w:szCs w:val="18"/>
          <w:color w:val="auto"/>
        </w:rPr>
        <w:t>THE WASHINGTON POST COMPANY</w:t>
      </w:r>
    </w:p>
    <w:p>
      <w:pPr>
        <w:jc w:val="center"/>
        <w:ind w:left="7660"/>
        <w:spacing w:after="0"/>
        <w:rPr>
          <w:sz w:val="20"/>
          <w:szCs w:val="20"/>
          <w:color w:val="auto"/>
        </w:rPr>
      </w:pPr>
      <w:r>
        <w:rPr>
          <w:rFonts w:ascii="Arial" w:cs="Arial" w:eastAsia="Arial" w:hAnsi="Arial"/>
          <w:sz w:val="18"/>
          <w:szCs w:val="18"/>
          <w:color w:val="auto"/>
        </w:rPr>
        <w:t>(Registrant)</w:t>
      </w:r>
    </w:p>
    <w:p>
      <w:pPr>
        <w:spacing w:after="0" w:line="252" w:lineRule="exact"/>
        <w:rPr>
          <w:sz w:val="20"/>
          <w:szCs w:val="20"/>
          <w:color w:val="auto"/>
        </w:rPr>
      </w:pPr>
    </w:p>
    <w:p>
      <w:pPr>
        <w:spacing w:after="0"/>
        <w:tabs>
          <w:tab w:leader="none" w:pos="8660" w:val="left"/>
        </w:tabs>
        <w:rPr>
          <w:sz w:val="20"/>
          <w:szCs w:val="20"/>
          <w:color w:val="auto"/>
        </w:rPr>
      </w:pPr>
      <w:r>
        <w:rPr>
          <w:rFonts w:ascii="Arial" w:cs="Arial" w:eastAsia="Arial" w:hAnsi="Arial"/>
          <w:sz w:val="18"/>
          <w:szCs w:val="18"/>
          <w:color w:val="auto"/>
        </w:rPr>
        <w:t>Date: August 7, 2013</w:t>
      </w:r>
      <w:r>
        <w:rPr>
          <w:sz w:val="20"/>
          <w:szCs w:val="20"/>
          <w:color w:val="auto"/>
        </w:rPr>
        <w:tab/>
      </w:r>
      <w:r>
        <w:rPr>
          <w:rFonts w:ascii="Arial" w:cs="Arial" w:eastAsia="Arial" w:hAnsi="Arial"/>
          <w:sz w:val="17"/>
          <w:szCs w:val="17"/>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-1905</wp:posOffset>
            </wp:positionV>
            <wp:extent cx="238379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98" w:lineRule="exact"/>
        <w:rPr>
          <w:sz w:val="20"/>
          <w:szCs w:val="20"/>
          <w:color w:val="auto"/>
        </w:rPr>
      </w:pPr>
    </w:p>
    <w:p>
      <w:pPr>
        <w:jc w:val="center"/>
        <w:ind w:left="7660"/>
        <w:spacing w:after="0"/>
        <w:rPr>
          <w:sz w:val="20"/>
          <w:szCs w:val="20"/>
          <w:color w:val="auto"/>
        </w:rPr>
      </w:pPr>
      <w:r>
        <w:rPr>
          <w:rFonts w:ascii="Arial" w:cs="Arial" w:eastAsia="Arial" w:hAnsi="Arial"/>
          <w:sz w:val="14"/>
          <w:szCs w:val="14"/>
          <w:b w:val="1"/>
          <w:bCs w:val="1"/>
          <w:color w:val="auto"/>
        </w:rPr>
        <w:t>Donald E. Graham,</w:t>
      </w:r>
    </w:p>
    <w:p>
      <w:pPr>
        <w:spacing w:after="0" w:line="19" w:lineRule="exact"/>
        <w:rPr>
          <w:sz w:val="20"/>
          <w:szCs w:val="20"/>
          <w:color w:val="auto"/>
        </w:rPr>
      </w:pPr>
    </w:p>
    <w:p>
      <w:pPr>
        <w:jc w:val="center"/>
        <w:ind w:left="7660"/>
        <w:spacing w:after="0"/>
        <w:rPr>
          <w:sz w:val="20"/>
          <w:szCs w:val="20"/>
          <w:color w:val="auto"/>
        </w:rPr>
      </w:pPr>
      <w:r>
        <w:rPr>
          <w:rFonts w:ascii="Arial" w:cs="Arial" w:eastAsia="Arial" w:hAnsi="Arial"/>
          <w:sz w:val="14"/>
          <w:szCs w:val="14"/>
          <w:b w:val="1"/>
          <w:bCs w:val="1"/>
          <w:color w:val="auto"/>
        </w:rPr>
        <w:t>Chairman &amp; Chief Executive Officer</w:t>
      </w:r>
    </w:p>
    <w:p>
      <w:pPr>
        <w:spacing w:after="0" w:line="1" w:lineRule="exact"/>
        <w:rPr>
          <w:sz w:val="20"/>
          <w:szCs w:val="20"/>
          <w:color w:val="auto"/>
        </w:rPr>
      </w:pPr>
    </w:p>
    <w:p>
      <w:pPr>
        <w:jc w:val="center"/>
        <w:ind w:left="7660"/>
        <w:spacing w:after="0"/>
        <w:rPr>
          <w:sz w:val="20"/>
          <w:szCs w:val="20"/>
          <w:color w:val="auto"/>
        </w:rPr>
      </w:pPr>
      <w:r>
        <w:rPr>
          <w:rFonts w:ascii="Arial" w:cs="Arial" w:eastAsia="Arial" w:hAnsi="Arial"/>
          <w:sz w:val="14"/>
          <w:szCs w:val="14"/>
          <w:b w:val="1"/>
          <w:bCs w:val="1"/>
          <w:color w:val="auto"/>
        </w:rPr>
        <w:t>(Principal Executive Officer)</w:t>
      </w:r>
    </w:p>
    <w:p>
      <w:pPr>
        <w:spacing w:after="0" w:line="252" w:lineRule="exact"/>
        <w:rPr>
          <w:sz w:val="20"/>
          <w:szCs w:val="20"/>
          <w:color w:val="auto"/>
        </w:rPr>
      </w:pPr>
    </w:p>
    <w:p>
      <w:pPr>
        <w:spacing w:after="0"/>
        <w:tabs>
          <w:tab w:leader="none" w:pos="8900" w:val="left"/>
        </w:tabs>
        <w:rPr>
          <w:sz w:val="20"/>
          <w:szCs w:val="20"/>
          <w:color w:val="auto"/>
        </w:rPr>
      </w:pPr>
      <w:r>
        <w:rPr>
          <w:rFonts w:ascii="Arial" w:cs="Arial" w:eastAsia="Arial" w:hAnsi="Arial"/>
          <w:sz w:val="18"/>
          <w:szCs w:val="18"/>
          <w:color w:val="auto"/>
        </w:rPr>
        <w:t>Date: August 7, 2013</w:t>
      </w:r>
      <w:r>
        <w:rPr>
          <w:sz w:val="20"/>
          <w:szCs w:val="20"/>
          <w:color w:val="auto"/>
        </w:rPr>
        <w:tab/>
      </w:r>
      <w:r>
        <w:rPr>
          <w:rFonts w:ascii="Arial" w:cs="Arial" w:eastAsia="Arial" w:hAnsi="Arial"/>
          <w:sz w:val="17"/>
          <w:szCs w:val="17"/>
          <w:color w:val="auto"/>
        </w:rPr>
        <w:t>/s/ 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-1905</wp:posOffset>
            </wp:positionV>
            <wp:extent cx="238379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98" w:lineRule="exact"/>
        <w:rPr>
          <w:sz w:val="20"/>
          <w:szCs w:val="20"/>
          <w:color w:val="auto"/>
        </w:rPr>
      </w:pPr>
    </w:p>
    <w:p>
      <w:pPr>
        <w:jc w:val="center"/>
        <w:ind w:left="7660"/>
        <w:spacing w:after="0"/>
        <w:rPr>
          <w:sz w:val="20"/>
          <w:szCs w:val="20"/>
          <w:color w:val="auto"/>
        </w:rPr>
      </w:pPr>
      <w:r>
        <w:rPr>
          <w:rFonts w:ascii="Arial" w:cs="Arial" w:eastAsia="Arial" w:hAnsi="Arial"/>
          <w:sz w:val="14"/>
          <w:szCs w:val="14"/>
          <w:b w:val="1"/>
          <w:bCs w:val="1"/>
          <w:color w:val="auto"/>
        </w:rPr>
        <w:t>Hal S. Jones,</w:t>
      </w:r>
    </w:p>
    <w:p>
      <w:pPr>
        <w:spacing w:after="0" w:line="19" w:lineRule="exact"/>
        <w:rPr>
          <w:sz w:val="20"/>
          <w:szCs w:val="20"/>
          <w:color w:val="auto"/>
        </w:rPr>
      </w:pPr>
    </w:p>
    <w:p>
      <w:pPr>
        <w:jc w:val="center"/>
        <w:ind w:left="7660"/>
        <w:spacing w:after="0"/>
        <w:rPr>
          <w:sz w:val="20"/>
          <w:szCs w:val="20"/>
          <w:color w:val="auto"/>
        </w:rPr>
      </w:pPr>
      <w:r>
        <w:rPr>
          <w:rFonts w:ascii="Arial" w:cs="Arial" w:eastAsia="Arial" w:hAnsi="Arial"/>
          <w:sz w:val="14"/>
          <w:szCs w:val="14"/>
          <w:b w:val="1"/>
          <w:bCs w:val="1"/>
          <w:color w:val="auto"/>
        </w:rPr>
        <w:t>Senior Vice President-Finance</w:t>
      </w:r>
    </w:p>
    <w:p>
      <w:pPr>
        <w:spacing w:after="0" w:line="1" w:lineRule="exact"/>
        <w:rPr>
          <w:sz w:val="20"/>
          <w:szCs w:val="20"/>
          <w:color w:val="auto"/>
        </w:rPr>
      </w:pPr>
    </w:p>
    <w:p>
      <w:pPr>
        <w:jc w:val="center"/>
        <w:ind w:left="7660"/>
        <w:spacing w:after="0"/>
        <w:rPr>
          <w:sz w:val="20"/>
          <w:szCs w:val="20"/>
          <w:color w:val="auto"/>
        </w:rPr>
      </w:pPr>
      <w:r>
        <w:rPr>
          <w:rFonts w:ascii="Arial" w:cs="Arial" w:eastAsia="Arial" w:hAnsi="Arial"/>
          <w:sz w:val="14"/>
          <w:szCs w:val="14"/>
          <w:b w:val="1"/>
          <w:bCs w:val="1"/>
          <w:color w:val="auto"/>
        </w:rPr>
        <w:t>(Principal Financial Officer)</w:t>
      </w:r>
    </w:p>
    <w:p>
      <w:pPr>
        <w:spacing w:after="0" w:line="25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120"/>
          </w:cols>
          <w:pgMar w:left="240" w:top="105" w:right="539" w:bottom="1440" w:gutter="0" w:footer="0" w:header="0"/>
        </w:sectPr>
      </w:pPr>
    </w:p>
    <w:bookmarkStart w:id="31" w:name="page32"/>
    <w:bookmarkEnd w:id="3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13a-14(a)/15d-14(a) CERTIFICATION OF THE CHIEF EXECUTIVE OFFICER</w:t>
      </w:r>
    </w:p>
    <w:p>
      <w:pPr>
        <w:jc w:val="center"/>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Donald E. Graham, Chief Executive Officer (principal executive officer) of The Washington Post Company (the “Registrant”), certify that:</w:t>
      </w:r>
    </w:p>
    <w:p>
      <w:pPr>
        <w:spacing w:after="0" w:line="158" w:lineRule="exact"/>
        <w:rPr>
          <w:sz w:val="20"/>
          <w:szCs w:val="20"/>
          <w:color w:val="auto"/>
        </w:rPr>
      </w:pPr>
    </w:p>
    <w:p>
      <w:pPr>
        <w:ind w:left="200" w:hanging="192"/>
        <w:spacing w:after="0"/>
        <w:tabs>
          <w:tab w:leader="none" w:pos="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157" w:lineRule="exact"/>
        <w:rPr>
          <w:rFonts w:ascii="Arial" w:cs="Arial" w:eastAsia="Arial" w:hAnsi="Arial"/>
          <w:sz w:val="18"/>
          <w:szCs w:val="18"/>
          <w:color w:val="auto"/>
        </w:rPr>
      </w:pPr>
    </w:p>
    <w:p>
      <w:pPr>
        <w:ind w:right="280" w:firstLine="8"/>
        <w:spacing w:after="0"/>
        <w:tabs>
          <w:tab w:leader="none" w:pos="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Arial" w:cs="Arial" w:eastAsia="Arial" w:hAnsi="Arial"/>
          <w:sz w:val="18"/>
          <w:szCs w:val="18"/>
          <w:color w:val="auto"/>
        </w:rPr>
      </w:pPr>
    </w:p>
    <w:p>
      <w:pPr>
        <w:ind w:right="20" w:firstLine="8"/>
        <w:spacing w:after="0" w:line="246" w:lineRule="auto"/>
        <w:tabs>
          <w:tab w:leader="none" w:pos="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2" w:lineRule="exact"/>
        <w:rPr>
          <w:rFonts w:ascii="Arial" w:cs="Arial" w:eastAsia="Arial" w:hAnsi="Arial"/>
          <w:sz w:val="18"/>
          <w:szCs w:val="18"/>
          <w:color w:val="auto"/>
        </w:rPr>
      </w:pPr>
    </w:p>
    <w:p>
      <w:pPr>
        <w:ind w:right="40" w:firstLine="8"/>
        <w:spacing w:after="0" w:line="234" w:lineRule="auto"/>
        <w:tabs>
          <w:tab w:leader="none" w:pos="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15d-15(f)) for the Registrant and have:</w:t>
      </w:r>
    </w:p>
    <w:p>
      <w:pPr>
        <w:spacing w:after="0" w:line="76" w:lineRule="exact"/>
        <w:rPr>
          <w:rFonts w:ascii="Arial" w:cs="Arial" w:eastAsia="Arial" w:hAnsi="Arial"/>
          <w:sz w:val="18"/>
          <w:szCs w:val="18"/>
          <w:color w:val="auto"/>
        </w:rPr>
      </w:pPr>
    </w:p>
    <w:p>
      <w:pPr>
        <w:ind w:left="880" w:right="180" w:hanging="432"/>
        <w:spacing w:after="0"/>
        <w:tabs>
          <w:tab w:leader="none" w:pos="859"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Arial" w:cs="Arial" w:eastAsia="Arial" w:hAnsi="Arial"/>
          <w:sz w:val="18"/>
          <w:szCs w:val="18"/>
          <w:color w:val="auto"/>
        </w:rPr>
      </w:pPr>
    </w:p>
    <w:p>
      <w:pPr>
        <w:ind w:left="880" w:right="100" w:hanging="432"/>
        <w:spacing w:after="0"/>
        <w:tabs>
          <w:tab w:leader="none" w:pos="859"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Arial" w:cs="Arial" w:eastAsia="Arial" w:hAnsi="Arial"/>
          <w:sz w:val="18"/>
          <w:szCs w:val="18"/>
          <w:color w:val="auto"/>
        </w:rPr>
      </w:pPr>
    </w:p>
    <w:p>
      <w:pPr>
        <w:ind w:left="880" w:right="140" w:hanging="432"/>
        <w:spacing w:after="0"/>
        <w:tabs>
          <w:tab w:leader="none" w:pos="849"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Arial" w:cs="Arial" w:eastAsia="Arial" w:hAnsi="Arial"/>
          <w:sz w:val="18"/>
          <w:szCs w:val="18"/>
          <w:color w:val="auto"/>
        </w:rPr>
      </w:pPr>
    </w:p>
    <w:p>
      <w:pPr>
        <w:ind w:left="880" w:right="220" w:hanging="432"/>
        <w:spacing w:after="0"/>
        <w:tabs>
          <w:tab w:leader="none" w:pos="859"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Arial" w:cs="Arial" w:eastAsia="Arial" w:hAnsi="Arial"/>
          <w:sz w:val="18"/>
          <w:szCs w:val="18"/>
          <w:color w:val="auto"/>
        </w:rPr>
      </w:pPr>
    </w:p>
    <w:p>
      <w:pPr>
        <w:ind w:right="80" w:firstLine="8"/>
        <w:spacing w:after="0" w:line="246" w:lineRule="auto"/>
        <w:tabs>
          <w:tab w:leader="none" w:pos="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61" w:lineRule="exact"/>
        <w:rPr>
          <w:rFonts w:ascii="Arial" w:cs="Arial" w:eastAsia="Arial" w:hAnsi="Arial"/>
          <w:sz w:val="18"/>
          <w:szCs w:val="18"/>
          <w:color w:val="auto"/>
        </w:rPr>
      </w:pPr>
    </w:p>
    <w:p>
      <w:pPr>
        <w:ind w:left="880" w:right="220" w:hanging="432"/>
        <w:spacing w:after="0" w:line="246" w:lineRule="auto"/>
        <w:tabs>
          <w:tab w:leader="none" w:pos="859"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1" w:lineRule="exact"/>
        <w:rPr>
          <w:rFonts w:ascii="Arial" w:cs="Arial" w:eastAsia="Arial" w:hAnsi="Arial"/>
          <w:sz w:val="18"/>
          <w:szCs w:val="18"/>
          <w:color w:val="auto"/>
        </w:rPr>
      </w:pPr>
    </w:p>
    <w:p>
      <w:pPr>
        <w:ind w:left="880" w:right="380" w:hanging="432"/>
        <w:spacing w:after="0" w:line="246" w:lineRule="auto"/>
        <w:tabs>
          <w:tab w:leader="none" w:pos="859"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67068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670685" cy="8890"/>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Donald E. Graham</w:t>
      </w:r>
    </w:p>
    <w:p>
      <w:pPr>
        <w:spacing w:after="0" w:line="234"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August 7,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518795</wp:posOffset>
            </wp:positionV>
            <wp:extent cx="7267575"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846" w:right="239" w:bottom="1440" w:gutter="0" w:footer="0" w:header="0"/>
        </w:sectPr>
      </w:pPr>
    </w:p>
    <w:bookmarkStart w:id="33" w:name="page34"/>
    <w:bookmarkEnd w:id="3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13a-14(a)/15d-14(a) CERTIFICATION OF THE CHIEF FINANCIAL OFFICER</w:t>
      </w:r>
    </w:p>
    <w:p>
      <w:pPr>
        <w:jc w:val="center"/>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 Hal S. Jones, Senior Vice President-Finance (principal financial officer) of The Washington Post Company (the “Registrant”), certify that:</w:t>
      </w:r>
    </w:p>
    <w:p>
      <w:pPr>
        <w:spacing w:after="0" w:line="158" w:lineRule="exact"/>
        <w:rPr>
          <w:sz w:val="20"/>
          <w:szCs w:val="20"/>
          <w:color w:val="auto"/>
        </w:rPr>
      </w:pPr>
    </w:p>
    <w:p>
      <w:pPr>
        <w:ind w:left="200" w:hanging="192"/>
        <w:spacing w:after="0"/>
        <w:tabs>
          <w:tab w:leader="none" w:pos="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157" w:lineRule="exact"/>
        <w:rPr>
          <w:rFonts w:ascii="Arial" w:cs="Arial" w:eastAsia="Arial" w:hAnsi="Arial"/>
          <w:sz w:val="18"/>
          <w:szCs w:val="18"/>
          <w:color w:val="auto"/>
        </w:rPr>
      </w:pPr>
    </w:p>
    <w:p>
      <w:pPr>
        <w:ind w:right="280" w:firstLine="8"/>
        <w:spacing w:after="0"/>
        <w:tabs>
          <w:tab w:leader="none" w:pos="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Arial" w:cs="Arial" w:eastAsia="Arial" w:hAnsi="Arial"/>
          <w:sz w:val="18"/>
          <w:szCs w:val="18"/>
          <w:color w:val="auto"/>
        </w:rPr>
      </w:pPr>
    </w:p>
    <w:p>
      <w:pPr>
        <w:ind w:right="20" w:firstLine="8"/>
        <w:spacing w:after="0" w:line="246" w:lineRule="auto"/>
        <w:tabs>
          <w:tab w:leader="none" w:pos="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2" w:lineRule="exact"/>
        <w:rPr>
          <w:rFonts w:ascii="Arial" w:cs="Arial" w:eastAsia="Arial" w:hAnsi="Arial"/>
          <w:sz w:val="18"/>
          <w:szCs w:val="18"/>
          <w:color w:val="auto"/>
        </w:rPr>
      </w:pPr>
    </w:p>
    <w:p>
      <w:pPr>
        <w:ind w:right="40" w:firstLine="8"/>
        <w:spacing w:after="0" w:line="234" w:lineRule="auto"/>
        <w:tabs>
          <w:tab w:leader="none" w:pos="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15d-15(f)) for the Registrant and have:</w:t>
      </w:r>
    </w:p>
    <w:p>
      <w:pPr>
        <w:spacing w:after="0" w:line="76" w:lineRule="exact"/>
        <w:rPr>
          <w:rFonts w:ascii="Arial" w:cs="Arial" w:eastAsia="Arial" w:hAnsi="Arial"/>
          <w:sz w:val="18"/>
          <w:szCs w:val="18"/>
          <w:color w:val="auto"/>
        </w:rPr>
      </w:pPr>
    </w:p>
    <w:p>
      <w:pPr>
        <w:ind w:left="880" w:right="180" w:hanging="432"/>
        <w:spacing w:after="0"/>
        <w:tabs>
          <w:tab w:leader="none" w:pos="859"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Arial" w:cs="Arial" w:eastAsia="Arial" w:hAnsi="Arial"/>
          <w:sz w:val="18"/>
          <w:szCs w:val="18"/>
          <w:color w:val="auto"/>
        </w:rPr>
      </w:pPr>
    </w:p>
    <w:p>
      <w:pPr>
        <w:ind w:left="880" w:right="100" w:hanging="432"/>
        <w:spacing w:after="0"/>
        <w:tabs>
          <w:tab w:leader="none" w:pos="859"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Arial" w:cs="Arial" w:eastAsia="Arial" w:hAnsi="Arial"/>
          <w:sz w:val="18"/>
          <w:szCs w:val="18"/>
          <w:color w:val="auto"/>
        </w:rPr>
      </w:pPr>
    </w:p>
    <w:p>
      <w:pPr>
        <w:ind w:left="880" w:right="140" w:hanging="432"/>
        <w:spacing w:after="0"/>
        <w:tabs>
          <w:tab w:leader="none" w:pos="849"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Arial" w:cs="Arial" w:eastAsia="Arial" w:hAnsi="Arial"/>
          <w:sz w:val="18"/>
          <w:szCs w:val="18"/>
          <w:color w:val="auto"/>
        </w:rPr>
      </w:pPr>
    </w:p>
    <w:p>
      <w:pPr>
        <w:ind w:left="880" w:right="220" w:hanging="432"/>
        <w:spacing w:after="0"/>
        <w:tabs>
          <w:tab w:leader="none" w:pos="859"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Arial" w:cs="Arial" w:eastAsia="Arial" w:hAnsi="Arial"/>
          <w:sz w:val="18"/>
          <w:szCs w:val="18"/>
          <w:color w:val="auto"/>
        </w:rPr>
      </w:pPr>
    </w:p>
    <w:p>
      <w:pPr>
        <w:ind w:right="80" w:firstLine="8"/>
        <w:spacing w:after="0" w:line="246" w:lineRule="auto"/>
        <w:tabs>
          <w:tab w:leader="none" w:pos="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61" w:lineRule="exact"/>
        <w:rPr>
          <w:rFonts w:ascii="Arial" w:cs="Arial" w:eastAsia="Arial" w:hAnsi="Arial"/>
          <w:sz w:val="18"/>
          <w:szCs w:val="18"/>
          <w:color w:val="auto"/>
        </w:rPr>
      </w:pPr>
    </w:p>
    <w:p>
      <w:pPr>
        <w:ind w:left="880" w:right="220" w:hanging="432"/>
        <w:spacing w:after="0" w:line="246" w:lineRule="auto"/>
        <w:tabs>
          <w:tab w:leader="none" w:pos="859"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1" w:lineRule="exact"/>
        <w:rPr>
          <w:rFonts w:ascii="Arial" w:cs="Arial" w:eastAsia="Arial" w:hAnsi="Arial"/>
          <w:sz w:val="18"/>
          <w:szCs w:val="18"/>
          <w:color w:val="auto"/>
        </w:rPr>
      </w:pPr>
    </w:p>
    <w:p>
      <w:pPr>
        <w:ind w:left="880" w:right="380" w:hanging="432"/>
        <w:spacing w:after="0" w:line="246" w:lineRule="auto"/>
        <w:tabs>
          <w:tab w:leader="none" w:pos="859"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/s/ 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53098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530985" cy="8890"/>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Hal S. Jones</w:t>
      </w:r>
    </w:p>
    <w:p>
      <w:pPr>
        <w:spacing w:after="0" w:line="234" w:lineRule="auto"/>
        <w:rPr>
          <w:sz w:val="20"/>
          <w:szCs w:val="20"/>
          <w:color w:val="auto"/>
        </w:rPr>
      </w:pPr>
      <w:r>
        <w:rPr>
          <w:rFonts w:ascii="Arial" w:cs="Arial" w:eastAsia="Arial" w:hAnsi="Arial"/>
          <w:sz w:val="18"/>
          <w:szCs w:val="18"/>
          <w:color w:val="auto"/>
        </w:rPr>
        <w:t>Senior Vice President-Finance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August 7,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518795</wp:posOffset>
            </wp:positionV>
            <wp:extent cx="7267575"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846" w:right="239" w:bottom="1440" w:gutter="0" w:footer="0" w:header="0"/>
        </w:sectPr>
      </w:pPr>
    </w:p>
    <w:bookmarkStart w:id="35" w:name="page36"/>
    <w:bookmarkEnd w:id="3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 OF THE CHIEF EXECUTIVE OFFICER AND THE CHIEF FINANCIAL</w:t>
      </w:r>
    </w:p>
    <w:p>
      <w:pPr>
        <w:jc w:val="center"/>
        <w:spacing w:after="0" w:line="234" w:lineRule="auto"/>
        <w:rPr>
          <w:sz w:val="20"/>
          <w:szCs w:val="20"/>
          <w:color w:val="auto"/>
        </w:rPr>
      </w:pPr>
      <w:r>
        <w:rPr>
          <w:rFonts w:ascii="Arial" w:cs="Arial" w:eastAsia="Arial" w:hAnsi="Arial"/>
          <w:sz w:val="18"/>
          <w:szCs w:val="18"/>
          <w:color w:val="auto"/>
        </w:rPr>
        <w:t>OFFICER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 OF THE SARBANES-OXLEY ACT OF 2002</w:t>
      </w:r>
    </w:p>
    <w:p>
      <w:pPr>
        <w:spacing w:after="0" w:line="158" w:lineRule="exact"/>
        <w:rPr>
          <w:sz w:val="20"/>
          <w:szCs w:val="20"/>
          <w:color w:val="auto"/>
        </w:rPr>
      </w:pPr>
    </w:p>
    <w:p>
      <w:pPr>
        <w:jc w:val="both"/>
        <w:ind w:right="120"/>
        <w:spacing w:after="0"/>
        <w:rPr>
          <w:sz w:val="20"/>
          <w:szCs w:val="20"/>
          <w:color w:val="auto"/>
        </w:rPr>
      </w:pPr>
      <w:r>
        <w:rPr>
          <w:rFonts w:ascii="Arial" w:cs="Arial" w:eastAsia="Arial" w:hAnsi="Arial"/>
          <w:sz w:val="18"/>
          <w:szCs w:val="18"/>
          <w:color w:val="auto"/>
        </w:rPr>
        <w:t>In connection with the Quarterly Report of The Washington Post Company (the “Company”) on Form 10-Q for the period ended June 30, 2013 (the “Report”), Donald E. Graham, Chief Executive Officer of the Company and Hal S. Jones, Senior Vice President-Finance of the Company, each hereby certifies, pursuant to 18 U.S.C. Section 1350, as adopted pursuant to Section 906 of the Sarbanes-Oxley Act of 2002, that:</w:t>
      </w:r>
    </w:p>
    <w:p>
      <w:pPr>
        <w:spacing w:after="0" w:line="149" w:lineRule="exact"/>
        <w:rPr>
          <w:sz w:val="20"/>
          <w:szCs w:val="20"/>
          <w:color w:val="auto"/>
        </w:rPr>
      </w:pPr>
    </w:p>
    <w:p>
      <w:pPr>
        <w:ind w:left="280" w:hanging="272"/>
        <w:spacing w:after="0"/>
        <w:tabs>
          <w:tab w:leader="none" w:pos="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right="560" w:firstLine="8"/>
        <w:spacing w:after="0" w:line="246" w:lineRule="auto"/>
        <w:tabs>
          <w:tab w:leader="none" w:pos="27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57543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575435" cy="8890"/>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Donald E. Graham</w:t>
      </w:r>
    </w:p>
    <w:p>
      <w:pPr>
        <w:spacing w:after="0" w:line="234"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August 7, 2013</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/s/ 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53035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530350" cy="8890"/>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Hal S. Jones</w:t>
      </w:r>
    </w:p>
    <w:p>
      <w:pPr>
        <w:spacing w:after="0" w:line="234" w:lineRule="auto"/>
        <w:rPr>
          <w:sz w:val="20"/>
          <w:szCs w:val="20"/>
          <w:color w:val="auto"/>
        </w:rPr>
      </w:pPr>
      <w:r>
        <w:rPr>
          <w:rFonts w:ascii="Arial" w:cs="Arial" w:eastAsia="Arial" w:hAnsi="Arial"/>
          <w:sz w:val="18"/>
          <w:szCs w:val="18"/>
          <w:color w:val="auto"/>
        </w:rPr>
        <w:t>Senior Vice President-Finance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August 7,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67575"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846" w:right="239" w:bottom="1440" w:gutter="0" w:footer="0" w:header="0"/>
        </w:sectPr>
      </w:pPr>
    </w:p>
    <w:bookmarkStart w:id="37" w:name="page38"/>
    <w:bookmarkEnd w:id="3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x"/>
      <w:numFmt w:val="bullet"/>
      <w:start w:val="1"/>
    </w:lvl>
  </w:abstractNum>
  <w:abstractNum w:abstractNumId="1">
    <w:nsid w:val="7545E146"/>
    <w:multiLevelType w:val="hybridMultilevel"/>
    <w:lvl w:ilvl="0">
      <w:lvlJc w:val="left"/>
      <w:lvlText w:val="%1."/>
      <w:numFmt w:val="lowerLetter"/>
      <w:start w:val="1"/>
    </w:lvl>
  </w:abstractNum>
  <w:abstractNum w:abstractNumId="2">
    <w:nsid w:val="515F007C"/>
    <w:multiLevelType w:val="hybridMultilevel"/>
    <w:lvl w:ilvl="0">
      <w:lvlJc w:val="left"/>
      <w:lvlText w:val="(%1)"/>
      <w:numFmt w:val="lowerRoman"/>
      <w:start w:val="1"/>
    </w:lvl>
  </w:abstractNum>
  <w:abstractNum w:abstractNumId="3">
    <w:nsid w:val="5BD062C2"/>
    <w:multiLevelType w:val="hybridMultilevel"/>
    <w:lvl w:ilvl="0">
      <w:lvlJc w:val="left"/>
      <w:lvlText w:val="(%1)"/>
      <w:numFmt w:val="lowerRoman"/>
      <w:start w:val="3"/>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decimal"/>
      <w:start w:val="1"/>
    </w:lvl>
    <w:lvl w:ilvl="1">
      <w:lvlJc w:val="left"/>
      <w:lvlText w:val="%2."/>
      <w:numFmt w:val="decimal"/>
      <w:start w:val="12"/>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decimal"/>
      <w:start w:val="10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2019-12-05T16:45:43Z</dcterms:created>
  <dcterms:modified xsi:type="dcterms:W3CDTF">2019-12-05T16:45:43Z</dcterms:modified>
</cp:coreProperties>
</file>