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166370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68580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April 30, 2026</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840" w:type="dxa"/>
        <w:tblCellMar>
          <w:top w:w="0" w:type="dxa"/>
          <w:left w:w="0" w:type="dxa"/>
          <w:bottom w:w="0" w:type="dxa"/>
          <w:right w:w="0" w:type="dxa"/>
        </w:tblCellMar>
      </w:tblPr>
      <w:tr>
        <w:trPr>
          <w:trHeight w:val="247"/>
        </w:trPr>
        <w:tc>
          <w:tcPr>
            <w:tcW w:w="4300" w:type="dxa"/>
            <w:vAlign w:val="bottom"/>
          </w:tcPr>
          <w:p>
            <w:pPr>
              <w:jc w:val="center"/>
              <w:ind w:right="481"/>
              <w:spacing w:after="0"/>
              <w:rPr>
                <w:sz w:val="20"/>
                <w:szCs w:val="20"/>
                <w:color w:val="auto"/>
              </w:rPr>
            </w:pPr>
            <w:r>
              <w:rPr>
                <w:rFonts w:ascii="Arial" w:cs="Arial" w:eastAsia="Arial" w:hAnsi="Arial"/>
                <w:sz w:val="18"/>
                <w:szCs w:val="18"/>
                <w:b w:val="1"/>
                <w:bCs w:val="1"/>
                <w:color w:val="auto"/>
                <w:w w:val="98"/>
              </w:rPr>
              <w:t>Delaware</w:t>
            </w:r>
          </w:p>
        </w:tc>
        <w:tc>
          <w:tcPr>
            <w:tcW w:w="2400" w:type="dxa"/>
            <w:vAlign w:val="bottom"/>
          </w:tcPr>
          <w:p>
            <w:pPr>
              <w:jc w:val="center"/>
              <w:ind w:right="30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91"/>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(State or other jurisdiction of</w:t>
            </w:r>
          </w:p>
        </w:tc>
        <w:tc>
          <w:tcPr>
            <w:tcW w:w="2400" w:type="dxa"/>
            <w:vAlign w:val="bottom"/>
          </w:tcPr>
          <w:p>
            <w:pPr>
              <w:jc w:val="center"/>
              <w:ind w:right="28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200"/>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incorporation)</w:t>
            </w:r>
          </w:p>
        </w:tc>
        <w:tc>
          <w:tcPr>
            <w:tcW w:w="2400" w:type="dxa"/>
            <w:vAlign w:val="bottom"/>
          </w:tcPr>
          <w:p>
            <w:pPr>
              <w:jc w:val="center"/>
              <w:ind w:right="28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527"/>
        </w:trPr>
        <w:tc>
          <w:tcPr>
            <w:tcW w:w="4300" w:type="dxa"/>
            <w:vAlign w:val="bottom"/>
          </w:tcPr>
          <w:p>
            <w:pPr>
              <w:jc w:val="center"/>
              <w:ind w:right="481"/>
              <w:spacing w:after="0"/>
              <w:rPr>
                <w:sz w:val="20"/>
                <w:szCs w:val="20"/>
                <w:color w:val="auto"/>
              </w:rPr>
            </w:pPr>
            <w:r>
              <w:rPr>
                <w:rFonts w:ascii="Arial" w:cs="Arial" w:eastAsia="Arial" w:hAnsi="Arial"/>
                <w:sz w:val="18"/>
                <w:szCs w:val="18"/>
                <w:b w:val="1"/>
                <w:bCs w:val="1"/>
                <w:color w:val="auto"/>
                <w:w w:val="99"/>
              </w:rPr>
              <w:t>1812 North Moore Street, Arlington, Virginia</w:t>
            </w:r>
          </w:p>
        </w:tc>
        <w:tc>
          <w:tcPr>
            <w:tcW w:w="240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6"/>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(Address of principal executive offices)</w:t>
            </w:r>
          </w:p>
        </w:tc>
        <w:tc>
          <w:tcPr>
            <w:tcW w:w="2400" w:type="dxa"/>
            <w:vAlign w:val="bottom"/>
          </w:tcPr>
          <w:p>
            <w:pPr>
              <w:spacing w:after="0"/>
              <w:rPr>
                <w:sz w:val="18"/>
                <w:szCs w:val="18"/>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126365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280"/>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16"/>
          <w:szCs w:val="16"/>
          <w:color w:val="auto"/>
        </w:rPr>
        <w:t>Written communications pursuant to Rule 425 under the Securities Act (17 CFR 230.425)</w:t>
      </w:r>
    </w:p>
    <w:p>
      <w:pPr>
        <w:spacing w:after="0" w:line="179" w:lineRule="exact"/>
        <w:rPr>
          <w:rFonts w:ascii="MS PGothic" w:cs="MS PGothic" w:eastAsia="MS PGothic" w:hAnsi="MS PGothic"/>
          <w:sz w:val="36"/>
          <w:szCs w:val="36"/>
          <w:color w:val="auto"/>
          <w:vertAlign w:val="superscript"/>
        </w:rPr>
      </w:pPr>
    </w:p>
    <w:p>
      <w:pPr>
        <w:ind w:left="560" w:hanging="534"/>
        <w:spacing w:after="0" w:line="183" w:lineRule="auto"/>
        <w:tabs>
          <w:tab w:leader="none" w:pos="560" w:val="left"/>
        </w:tabs>
        <w:numPr>
          <w:ilvl w:val="0"/>
          <w:numId w:val="1"/>
        </w:numPr>
        <w:rPr>
          <w:rFonts w:ascii="MS PGothic" w:cs="MS PGothic" w:eastAsia="MS PGothic" w:hAnsi="MS PGothic"/>
          <w:sz w:val="26"/>
          <w:szCs w:val="26"/>
          <w:color w:val="auto"/>
          <w:vertAlign w:val="superscript"/>
        </w:rPr>
      </w:pPr>
      <w:r>
        <w:rPr>
          <w:rFonts w:ascii="Arial" w:cs="Arial" w:eastAsia="Arial" w:hAnsi="Arial"/>
          <w:sz w:val="13"/>
          <w:szCs w:val="13"/>
          <w:color w:val="auto"/>
        </w:rPr>
        <w:t>Soliciting material pursuant to Rule 14a-12 under the Exchange Act (17 CFR 240.14a-12)</w:t>
      </w:r>
    </w:p>
    <w:p>
      <w:pPr>
        <w:spacing w:after="0" w:line="179" w:lineRule="exact"/>
        <w:rPr>
          <w:rFonts w:ascii="MS PGothic" w:cs="MS PGothic" w:eastAsia="MS PGothic" w:hAnsi="MS PGothic"/>
          <w:sz w:val="26"/>
          <w:szCs w:val="26"/>
          <w:color w:val="auto"/>
          <w:vertAlign w:val="superscript"/>
        </w:rPr>
      </w:pPr>
    </w:p>
    <w:p>
      <w:pPr>
        <w:ind w:left="560" w:hanging="534"/>
        <w:spacing w:after="0" w:line="183" w:lineRule="auto"/>
        <w:tabs>
          <w:tab w:leader="none" w:pos="560" w:val="left"/>
        </w:tabs>
        <w:numPr>
          <w:ilvl w:val="0"/>
          <w:numId w:val="1"/>
        </w:numPr>
        <w:rPr>
          <w:rFonts w:ascii="MS PGothic" w:cs="MS PGothic" w:eastAsia="MS PGothic" w:hAnsi="MS PGothic"/>
          <w:sz w:val="26"/>
          <w:szCs w:val="26"/>
          <w:color w:val="auto"/>
          <w:vertAlign w:val="superscript"/>
        </w:rPr>
      </w:pPr>
      <w:r>
        <w:rPr>
          <w:rFonts w:ascii="Arial" w:cs="Arial" w:eastAsia="Arial" w:hAnsi="Arial"/>
          <w:sz w:val="13"/>
          <w:szCs w:val="13"/>
          <w:color w:val="auto"/>
        </w:rPr>
        <w:t>Pre-commencement communications pursuant to Rule 14d-2(b) under the Exchange Act (17 CFR 240.14d-2(b))</w:t>
      </w:r>
    </w:p>
    <w:p>
      <w:pPr>
        <w:spacing w:after="0" w:line="179" w:lineRule="exact"/>
        <w:rPr>
          <w:rFonts w:ascii="MS PGothic" w:cs="MS PGothic" w:eastAsia="MS PGothic" w:hAnsi="MS PGothic"/>
          <w:sz w:val="26"/>
          <w:szCs w:val="26"/>
          <w:color w:val="auto"/>
          <w:vertAlign w:val="superscript"/>
        </w:rPr>
      </w:pPr>
    </w:p>
    <w:p>
      <w:pPr>
        <w:ind w:right="2660" w:firstLine="26"/>
        <w:spacing w:after="0" w:line="317" w:lineRule="auto"/>
        <w:tabs>
          <w:tab w:leader="none" w:pos="544"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03" w:lineRule="exact"/>
        <w:rPr>
          <w:sz w:val="24"/>
          <w:szCs w:val="24"/>
          <w:color w:val="auto"/>
        </w:rPr>
      </w:pPr>
    </w:p>
    <w:p>
      <w:pPr>
        <w:ind w:right="58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15"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0" w:lineRule="exact"/>
        <w:rPr>
          <w:sz w:val="24"/>
          <w:szCs w:val="24"/>
          <w:color w:val="auto"/>
        </w:rPr>
      </w:pPr>
    </w:p>
    <w:p>
      <w:pPr>
        <w:ind w:right="12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784225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April 30, 2026, Graham Holdings Company issued a press release announcing the Company’s earnings for the first quarter ended March 31, 2026. A copy of this press release is furnished with this report as an exhibit to this Form 8-K.</w:t>
      </w:r>
    </w:p>
    <w:p>
      <w:pPr>
        <w:spacing w:after="0" w:line="11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591820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079" w:right="9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u w:val="single" w:color="auto"/>
          <w:color w:val="0000FF"/>
        </w:rPr>
        <w:t>Graham Holdings Company Earnings Release dated April 30, 2026.</w:t>
      </w:r>
    </w:p>
    <w:p>
      <w:pPr>
        <w:spacing w:after="0" w:line="25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7"/>
          <w:szCs w:val="17"/>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343535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4"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April 30, 2026</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jc w:val="center"/>
        <w:ind w:left="71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93" w:right="379" w:bottom="1440" w:gutter="0" w:footer="0" w:header="0"/>
        </w:sectPr>
      </w:pPr>
    </w:p>
    <w:bookmarkStart w:id="4" w:name="page5"/>
    <w:bookmarkEnd w:id="4"/>
    <w:p>
      <w:pPr>
        <w:ind w:left="10240"/>
        <w:spacing w:after="0"/>
        <w:rPr>
          <w:sz w:val="20"/>
          <w:szCs w:val="20"/>
          <w:color w:val="auto"/>
        </w:rPr>
      </w:pPr>
      <w:r>
        <w:rPr>
          <w:rFonts w:ascii="Arial" w:cs="Arial" w:eastAsia="Arial" w:hAnsi="Arial"/>
          <w:sz w:val="17"/>
          <w:szCs w:val="17"/>
          <w:b w:val="1"/>
          <w:bCs w:val="1"/>
          <w:color w:val="auto"/>
        </w:rPr>
        <w:t>Exhibit 99.1</w:t>
      </w:r>
    </w:p>
    <w:p>
      <w:pPr>
        <w:sectPr>
          <w:pgSz w:w="11900" w:h="16838" w:orient="portrait"/>
          <w:cols w:equalWidth="0" w:num="1">
            <w:col w:w="11240"/>
          </w:cols>
          <w:pgMar w:left="320" w:top="1039" w:right="339" w:bottom="1440" w:gutter="0" w:footer="0" w:header="0"/>
        </w:sect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Contact: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Wallace R. Cooney</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50" w:lineRule="exact"/>
        <w:rPr>
          <w:sz w:val="20"/>
          <w:szCs w:val="20"/>
          <w:color w:val="auto"/>
        </w:rPr>
      </w:pPr>
    </w:p>
    <w:p>
      <w:pPr>
        <w:sectPr>
          <w:pgSz w:w="11900" w:h="16838" w:orient="portrait"/>
          <w:cols w:equalWidth="0" w:num="3">
            <w:col w:w="780" w:space="720"/>
            <w:col w:w="6520" w:space="720"/>
            <w:col w:w="2500"/>
          </w:cols>
          <w:pgMar w:left="320" w:top="1039" w:right="339" w:bottom="1440" w:gutter="0" w:footer="0" w:header="0"/>
          <w:type w:val="continuous"/>
        </w:sectPr>
      </w:pPr>
    </w:p>
    <w:p>
      <w:pPr>
        <w:ind w:left="1500"/>
        <w:spacing w:after="0"/>
        <w:rPr>
          <w:sz w:val="20"/>
          <w:szCs w:val="20"/>
          <w:color w:val="auto"/>
        </w:rPr>
      </w:pPr>
      <w:r>
        <w:rPr>
          <w:rFonts w:ascii="Arial" w:cs="Arial" w:eastAsia="Arial" w:hAnsi="Arial"/>
          <w:sz w:val="17"/>
          <w:szCs w:val="17"/>
          <w:color w:val="auto"/>
        </w:rPr>
        <w:t>(703) 345-6470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April 30, 2026</w:t>
      </w:r>
    </w:p>
    <w:p>
      <w:pPr>
        <w:spacing w:after="0" w:line="200" w:lineRule="exact"/>
        <w:rPr>
          <w:sz w:val="20"/>
          <w:szCs w:val="20"/>
          <w:color w:val="auto"/>
        </w:rPr>
      </w:pPr>
    </w:p>
    <w:p>
      <w:pPr>
        <w:sectPr>
          <w:pgSz w:w="11900" w:h="16838" w:orient="portrait"/>
          <w:cols w:equalWidth="0" w:num="2">
            <w:col w:w="8020" w:space="720"/>
            <w:col w:w="2500"/>
          </w:cols>
          <w:pgMar w:left="320" w:top="1039" w:right="339" w:bottom="1440" w:gutter="0" w:footer="0" w:header="0"/>
          <w:type w:val="continuous"/>
        </w:sectPr>
      </w:pP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GRAHAM HOLDINGS COMPANY REPORTS</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FIRST QUARTER EARNINGS</w:t>
      </w:r>
    </w:p>
    <w:p>
      <w:pPr>
        <w:sectPr>
          <w:pgSz w:w="11900" w:h="16838" w:orient="portrait"/>
          <w:cols w:equalWidth="0" w:num="1">
            <w:col w:w="11240"/>
          </w:cols>
          <w:pgMar w:left="320" w:top="1039" w:right="339" w:bottom="1440" w:gutter="0" w:footer="0" w:header="0"/>
          <w:type w:val="continuous"/>
        </w:sectPr>
      </w:pPr>
    </w:p>
    <w:p>
      <w:pPr>
        <w:spacing w:after="0" w:line="18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ARLINGTON, VA - Graham Holdings Company (NYSE: GHC) today reported its financial results for the first quarter of 2026. The Company also filed its Form 10-Q today for the quarter ended March 31, 2026 with the Securities and Exchange Commission.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Operating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first quarter of 2026 was $1,236.0 million, up 6% from $1,165.9 million in the first quarter of 2025. Revenues increased at</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education, television broadcasting, healthcare and manufacturing, partially offset by declines at automotive and other businesses. The Company reported operating income of $57.8 million for the first quarter of 2026, compared to $47.5 million for the first quarter of 2025. The</w:t>
      </w:r>
    </w:p>
    <w:p>
      <w:pPr>
        <w:spacing w:after="0" w:line="236" w:lineRule="auto"/>
        <w:rPr>
          <w:sz w:val="20"/>
          <w:szCs w:val="20"/>
          <w:color w:val="auto"/>
        </w:rPr>
      </w:pPr>
      <w:r>
        <w:rPr>
          <w:rFonts w:ascii="Arial" w:cs="Arial" w:eastAsia="Arial" w:hAnsi="Arial"/>
          <w:sz w:val="18"/>
          <w:szCs w:val="18"/>
          <w:color w:val="auto"/>
        </w:rPr>
        <w:t>increase in operating results is due to improved results at television broadcasting, manufacturing and other businesses, partially offset by</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declines at education, healthcare and automotive. The Company reported adjusted operating cash flow (non-GAAP) of $112.9 million for the first quarter of 2026, compared to $88.0 million for the first quarter of 2025. Adjusted operating cash flow increased at education, television</w:t>
      </w:r>
    </w:p>
    <w:p>
      <w:pPr>
        <w:spacing w:after="0" w:line="1"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broadcasting, manufacturing and other businesses, partially offset by declines at healthcare and automotive. Capital expenditures totaled $20.9 million and $14.1 million for the first quarter of 2026 and 2025,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Acquisitions and Dispositions of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2026, the Company entered into an agreement to sell the Kaplan Languages Group (KLG) included in Kaplan</w:t>
      </w:r>
    </w:p>
    <w:p>
      <w:pPr>
        <w:spacing w:after="0" w:line="14"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International, with an expected closing date of May 1, 2026. At March 31, 2026, the Company classified the assets and liabilities of KLG as held for sale; the Company also recorded a $19.0 million pre-tax impairment charge in the first quarter of 2026 related to the KLG business.</w:t>
      </w:r>
    </w:p>
    <w:p>
      <w:pPr>
        <w:spacing w:after="0" w:line="127" w:lineRule="exact"/>
        <w:rPr>
          <w:sz w:val="20"/>
          <w:szCs w:val="20"/>
          <w:color w:val="auto"/>
        </w:rPr>
      </w:pPr>
    </w:p>
    <w:p>
      <w:pPr>
        <w:ind w:right="960"/>
        <w:spacing w:after="0" w:line="256" w:lineRule="auto"/>
        <w:rPr>
          <w:sz w:val="20"/>
          <w:szCs w:val="20"/>
          <w:color w:val="auto"/>
        </w:rPr>
      </w:pPr>
      <w:r>
        <w:rPr>
          <w:rFonts w:ascii="Arial" w:cs="Arial" w:eastAsia="Arial" w:hAnsi="Arial"/>
          <w:sz w:val="18"/>
          <w:szCs w:val="18"/>
          <w:color w:val="auto"/>
        </w:rPr>
        <w:t>In March 2026, Graham Healthcare Group acquired Covenant Home Health of Havertown, PA, a home health provider in Eastern Pennsylvania.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Cash and Marketable Equity Securities</w:t>
      </w:r>
    </w:p>
    <w:p>
      <w:pPr>
        <w:spacing w:after="0" w:line="158"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At March 31, 2026, the Company had $822.0 million in borrowings outstanding at an average interest rate of 5.8%, including $149.1 million outstanding on its $400 million revolving credit facility. Cash, marketable equity securities and other investments totaled $1,171.8 million 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31, 2026, excluding KLG cash classified as held for sale.</w:t>
      </w:r>
    </w:p>
    <w:p>
      <w:pPr>
        <w:spacing w:after="0" w:line="14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Overall, the Company recognized $68.9 million in net losses on marketable equity securities in the first quarter of 2026, compared to $43.8 million in net gains on marketable equity securities in the first quarter of 2025.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 Repurchases</w:t>
      </w:r>
    </w:p>
    <w:p>
      <w:pPr>
        <w:spacing w:after="0" w:line="158" w:lineRule="exact"/>
        <w:rPr>
          <w:sz w:val="20"/>
          <w:szCs w:val="20"/>
          <w:color w:val="auto"/>
        </w:rPr>
      </w:pPr>
    </w:p>
    <w:p>
      <w:pPr>
        <w:ind w:right="580"/>
        <w:spacing w:after="0" w:line="237" w:lineRule="auto"/>
        <w:rPr>
          <w:sz w:val="20"/>
          <w:szCs w:val="20"/>
          <w:color w:val="auto"/>
        </w:rPr>
      </w:pPr>
      <w:r>
        <w:rPr>
          <w:rFonts w:ascii="Arial" w:cs="Arial" w:eastAsia="Arial" w:hAnsi="Arial"/>
          <w:sz w:val="18"/>
          <w:szCs w:val="18"/>
          <w:color w:val="auto"/>
        </w:rPr>
        <w:t>During the first three months of 2026, the Company purchased a total of 32,190 shares of its Class B common stock at a cost of $34.1 million. At March 31, 2026, there were 4,329,530 shares outstanding. On September 12, 2024, the Board of Directors authorized the</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Company to acquire up to 500,000 shares of its Class B common stock; the Company has remaining authorization for 430,292 shares as of March 31, 2026.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 Company Results</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Company reported net income attributable to common shares of $29.1 million ($6.62 per share) for the first quarter of 2026, compared to $23.9 million ($5.45 per share) for the first quarter of 2025.</w:t>
      </w:r>
    </w:p>
    <w:p>
      <w:pPr>
        <w:spacing w:after="0" w:line="8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results for the first quarter of 2026 and 2025 were affected by a number of items as described in the Non-GAAP Financial Information schedule attached to this release. Excluding these items, net income attributable to common shares was $73.9 million ($16.79 per share) for the first quarter of 2026, compared to $51.0 million ($11.64 per share) for the first quarter of 2025.</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5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press release, in the Company’s Annual Report on Form 10-K and in the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39"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t>Company’s 2025 Annual Report to Stockholders, are “forward-looking statements” within the meaning of the Private Securities Litigation</w:t>
      </w:r>
    </w:p>
    <w:p>
      <w:pPr>
        <w:spacing w:after="0" w:line="14"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Reform Act of 1995. Forward-looking statements are based on expectations, forecasts, and assumptions by the Company’s management and involve a number of risks, uncertainties, and other factors that could cause actual results to differ from those stated, including, without</w:t>
      </w:r>
    </w:p>
    <w:p>
      <w:pPr>
        <w:spacing w:after="0" w:line="236" w:lineRule="auto"/>
        <w:rPr>
          <w:sz w:val="20"/>
          <w:szCs w:val="20"/>
          <w:color w:val="auto"/>
        </w:rPr>
      </w:pPr>
      <w:r>
        <w:rPr>
          <w:rFonts w:ascii="Arial" w:cs="Arial" w:eastAsia="Arial" w:hAnsi="Arial"/>
          <w:sz w:val="18"/>
          <w:szCs w:val="18"/>
          <w:color w:val="auto"/>
        </w:rPr>
        <w:t>limitation, comments about expectations related to acquisitions or dispositions or related business activities, the Company’s business</w:t>
      </w:r>
    </w:p>
    <w:p>
      <w:pPr>
        <w:spacing w:after="0" w:line="1" w:lineRule="exact"/>
        <w:rPr>
          <w:sz w:val="20"/>
          <w:szCs w:val="20"/>
          <w:color w:val="auto"/>
        </w:rPr>
      </w:pPr>
    </w:p>
    <w:p>
      <w:pPr>
        <w:ind w:right="520"/>
        <w:spacing w:after="0"/>
        <w:rPr>
          <w:sz w:val="20"/>
          <w:szCs w:val="20"/>
          <w:color w:val="auto"/>
        </w:rPr>
      </w:pPr>
      <w:r>
        <w:rPr>
          <w:rFonts w:ascii="Arial" w:cs="Arial" w:eastAsia="Arial" w:hAnsi="Arial"/>
          <w:sz w:val="17"/>
          <w:szCs w:val="17"/>
          <w:color w:val="auto"/>
        </w:rPr>
        <w:t>strategies and objectives, the prospects for growth in the Company’s various business operations, the Company’s future financial performance, and the risks and uncertainties described in Item 1A of the Company’s Annual Report on Form 10-K. Accordingly, undue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reliance should not be placed on any forward-looking statement made by or on behalf of the Company. The Company assumes no obligation</w:t>
      </w:r>
    </w:p>
    <w:p>
      <w:pPr>
        <w:spacing w:after="0" w:line="7"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to update any forward-looking statement after the date on which such statement is made, even if new information subsequently becomes available.</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320" w:top="1039" w:right="399" w:bottom="1440" w:gutter="0" w:footer="0" w:header="0"/>
        </w:sectPr>
      </w:pPr>
    </w:p>
    <w:bookmarkStart w:id="6" w:name="page7"/>
    <w:bookmarkEnd w:id="6"/>
    <w:p>
      <w:pPr>
        <w:jc w:val="center"/>
        <w:ind w:right="7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9"/>
                <w:szCs w:val="19"/>
                <w:color w:val="auto"/>
              </w:rPr>
            </w:pP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2026</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2025</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1,235,992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1,165,915</w:t>
            </w: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1,134,681</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1,090,064</w:t>
            </w: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18,394</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20,554</w:t>
            </w: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6,055</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7,824</w:t>
            </w:r>
          </w:p>
        </w:tc>
        <w:tc>
          <w:tcPr>
            <w:tcW w:w="7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Impairment of goodwill and asset group held for sale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19,029</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57,833</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47,473</w:t>
            </w:r>
          </w:p>
        </w:tc>
        <w:tc>
          <w:tcPr>
            <w:tcW w:w="7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Equity in earnings (losses) of affiliates,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34,850</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(8,428)</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2,475</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2,500</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(16,229)</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(82,277)</w:t>
            </w:r>
          </w:p>
        </w:tc>
        <w:tc>
          <w:tcPr>
            <w:tcW w:w="78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31,073</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34,617</w:t>
            </w: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(Loss) gain on marketable equity securities, net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(68,923)</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43,801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Other expense, net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(428)</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(4,065)</w:t>
            </w:r>
          </w:p>
        </w:tc>
        <w:tc>
          <w:tcPr>
            <w:tcW w:w="78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40,651</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33,621</w:t>
            </w:r>
          </w:p>
        </w:tc>
        <w:tc>
          <w:tcPr>
            <w:tcW w:w="78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9,900</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7,900</w:t>
            </w:r>
          </w:p>
        </w:tc>
        <w:tc>
          <w:tcPr>
            <w:tcW w:w="7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30,751</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25,721</w:t>
            </w:r>
          </w:p>
        </w:tc>
        <w:tc>
          <w:tcPr>
            <w:tcW w:w="7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(1,645)</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(1,827)</w:t>
            </w: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7"/>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29,106</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23,894</w:t>
            </w:r>
          </w:p>
        </w:tc>
        <w:tc>
          <w:tcPr>
            <w:tcW w:w="7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80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6.68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5.50</w:t>
            </w:r>
          </w:p>
        </w:tc>
        <w:tc>
          <w:tcPr>
            <w:tcW w:w="78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4,331</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4,320</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6.62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5.45</w:t>
            </w:r>
          </w:p>
        </w:tc>
        <w:tc>
          <w:tcPr>
            <w:tcW w:w="78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4,375</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4,358</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9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7"/>
                <w:szCs w:val="17"/>
                <w:color w:val="auto"/>
              </w:rPr>
            </w:pPr>
          </w:p>
        </w:tc>
      </w:tr>
      <w:tr>
        <w:trPr>
          <w:trHeight w:val="225"/>
        </w:trPr>
        <w:tc>
          <w:tcPr>
            <w:tcW w:w="7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9"/>
                <w:szCs w:val="19"/>
                <w:color w:val="auto"/>
              </w:rPr>
            </w:pP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09"/>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2026</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2025</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23"/>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440,479</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424,731</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111,553</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103,554</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209,340</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173,741</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125,034</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98,005</w:t>
            </w: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267,624</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280,991</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81,927</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84,897</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672</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620</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31"/>
        </w:trPr>
        <w:tc>
          <w:tcPr>
            <w:tcW w:w="79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(637)</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4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1,235,992</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1,165,915</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09"/>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408,097</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384,698</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77,610</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79,156</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191,914</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155,424</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117,034</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92,525</w:t>
            </w: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262,316</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274,499</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106,064</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116,135</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15,761</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16,629</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(637)</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4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1,178,159</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1,118,442</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8"/>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32,382</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40,033</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33,943</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24,398</w:t>
            </w:r>
          </w:p>
        </w:tc>
        <w:tc>
          <w:tcPr>
            <w:tcW w:w="9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17,426</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18,317</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8,000</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5,480</w:t>
            </w:r>
          </w:p>
        </w:tc>
        <w:tc>
          <w:tcPr>
            <w:tcW w:w="9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5,308</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6,492</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(24,137)</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(31,238)</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(15,089)</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(16,009)</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3"/>
        </w:trPr>
        <w:tc>
          <w:tcPr>
            <w:tcW w:w="794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57,833</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47,473</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09"/>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 and Impairment of Goodwill and Asset Group Held for Sale</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19,343</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2,119</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1,360</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1,360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96</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118</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3,743</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2,431</w:t>
            </w:r>
          </w:p>
        </w:tc>
        <w:tc>
          <w:tcPr>
            <w:tcW w:w="90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537</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1,791</w:t>
            </w:r>
          </w:p>
        </w:tc>
        <w:tc>
          <w:tcPr>
            <w:tcW w:w="90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4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25,084</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7,824</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61"/>
        </w:trPr>
        <w:tc>
          <w:tcPr>
            <w:tcW w:w="794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Operating Income (Loss) before Amortization of Intangible Assets and Impairment of Goodwill and</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3"/>
        </w:trPr>
        <w:tc>
          <w:tcPr>
            <w:tcW w:w="7940" w:type="dxa"/>
            <w:vAlign w:val="bottom"/>
          </w:tcPr>
          <w:p>
            <w:pPr>
              <w:ind w:left="100"/>
              <w:spacing w:after="0"/>
              <w:rPr>
                <w:sz w:val="20"/>
                <w:szCs w:val="20"/>
                <w:color w:val="auto"/>
              </w:rPr>
            </w:pPr>
            <w:r>
              <w:rPr>
                <w:rFonts w:ascii="Arial" w:cs="Arial" w:eastAsia="Arial" w:hAnsi="Arial"/>
                <w:sz w:val="16"/>
                <w:szCs w:val="16"/>
                <w:b w:val="1"/>
                <w:bCs w:val="1"/>
                <w:color w:val="auto"/>
              </w:rPr>
              <w:t>Asset Group Held for Sale</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51,725</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42,152</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35,303</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25,758</w:t>
            </w: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17,522</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18,435</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11,743</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7,911</w:t>
            </w:r>
          </w:p>
        </w:tc>
        <w:tc>
          <w:tcPr>
            <w:tcW w:w="90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5,313</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6,497</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(23,600)</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(29,447)</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(15,089)</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(16,009)</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6"/>
        </w:trPr>
        <w:tc>
          <w:tcPr>
            <w:tcW w:w="794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82,917</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55,297</w:t>
            </w:r>
          </w:p>
        </w:tc>
        <w:tc>
          <w:tcPr>
            <w:tcW w:w="900" w:type="dxa"/>
            <w:vAlign w:val="bottom"/>
          </w:tcPr>
          <w:p>
            <w:pPr>
              <w:jc w:val="right"/>
              <w:spacing w:after="0"/>
              <w:rPr>
                <w:sz w:val="20"/>
                <w:szCs w:val="20"/>
                <w:color w:val="auto"/>
              </w:rPr>
            </w:pPr>
            <w:r>
              <w:rPr>
                <w:rFonts w:ascii="Arial" w:cs="Arial" w:eastAsia="Arial" w:hAnsi="Arial"/>
                <w:sz w:val="16"/>
                <w:szCs w:val="16"/>
                <w:color w:val="auto"/>
              </w:rPr>
              <w:t>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093" w:right="339" w:bottom="1107"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093" w:right="339" w:bottom="1107"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96"/>
        </w:trPr>
        <w:tc>
          <w:tcPr>
            <w:tcW w:w="7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7"/>
                <w:szCs w:val="17"/>
                <w:color w:val="auto"/>
              </w:rPr>
            </w:pPr>
          </w:p>
        </w:tc>
      </w:tr>
      <w:tr>
        <w:trPr>
          <w:trHeight w:val="225"/>
        </w:trPr>
        <w:tc>
          <w:tcPr>
            <w:tcW w:w="7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10"/>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2025</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23"/>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6,054</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7,764</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2,336</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2,628</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1,914</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1,786</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3,135</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2,703</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1,845</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1,729</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2,938</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3,789</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31"/>
        </w:trPr>
        <w:tc>
          <w:tcPr>
            <w:tcW w:w="79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172</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23"/>
        </w:trPr>
        <w:tc>
          <w:tcPr>
            <w:tcW w:w="79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18,394</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20,554</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09"/>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4,439</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4,223</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1,488</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1,419</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1,886</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2,999</w:t>
            </w: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1,230</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1,076</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17</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w:t>
            </w: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1,787</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1,716</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733</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23"/>
        </w:trPr>
        <w:tc>
          <w:tcPr>
            <w:tcW w:w="79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11,580</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12,192</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794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Adjusted Operating Cash Flow (non-GAAP)</w:t>
            </w:r>
            <w:r>
              <w:rPr>
                <w:rFonts w:ascii="Arial" w:cs="Arial" w:eastAsia="Arial" w:hAnsi="Arial"/>
                <w:sz w:val="21"/>
                <w:szCs w:val="21"/>
                <w:b w:val="1"/>
                <w:bCs w:val="1"/>
                <w:color w:val="auto"/>
                <w:vertAlign w:val="superscript"/>
              </w:rPr>
              <w:t>(1)</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79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62,218</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54,139</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39,127</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29,805</w:t>
            </w: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21,322</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23,220</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16,108</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11,690</w:t>
            </w: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7,175</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8,253</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(18,875)</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(23,942)</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(14,184)</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(15,122)</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6"/>
        </w:trPr>
        <w:tc>
          <w:tcPr>
            <w:tcW w:w="79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112,891</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88,043</w:t>
            </w: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42" w:lineRule="exact"/>
        <w:rPr>
          <w:sz w:val="20"/>
          <w:szCs w:val="20"/>
          <w:color w:val="auto"/>
        </w:rPr>
      </w:pPr>
    </w:p>
    <w:p>
      <w:pPr>
        <w:ind w:left="360" w:right="400" w:hanging="334"/>
        <w:spacing w:after="0" w:line="285" w:lineRule="auto"/>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Adjusted Operating Cash Flow (non-GAAP) is calculated as Operating Income (Loss) before Amortization of Intangible Assets and Impairment of Goodwill and Asset Group Held for Sale plus Depreciation Expense and Pension Expense.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0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7"/>
                <w:szCs w:val="17"/>
                <w:color w:val="auto"/>
              </w:rPr>
            </w:pPr>
          </w:p>
        </w:tc>
      </w:tr>
      <w:tr>
        <w:trPr>
          <w:trHeight w:val="225"/>
        </w:trPr>
        <w:tc>
          <w:tcPr>
            <w:tcW w:w="7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09"/>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2025</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23"/>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271,636</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261,256</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92,403</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88,487</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76,864</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75,403</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271</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79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(695)</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440,479</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424,731</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2"/>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240,249</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231,194</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74,714</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75,680</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69,584</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69,435</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4,621</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6,660</w:t>
            </w: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314</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2,119</w:t>
            </w:r>
          </w:p>
        </w:tc>
        <w:tc>
          <w:tcPr>
            <w:tcW w:w="90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Impairment of goodwill and asset group held for sale</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19,029</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79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(414)</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408,097</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384,698</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2"/>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31,387</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30,062</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17,689</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12,807</w:t>
            </w: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7,280</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5,968</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(4,350)</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(6,648)</w:t>
            </w: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(314)</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(2,119)</w:t>
            </w:r>
          </w:p>
        </w:tc>
        <w:tc>
          <w:tcPr>
            <w:tcW w:w="90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Impairment of goodwill and asset group held for sale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(19,029)</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(281)</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32,382</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40,033</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161"/>
        </w:trPr>
        <w:tc>
          <w:tcPr>
            <w:tcW w:w="794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Operating Income (Loss) before Amortization of Intangible Assets and Impairment of Goodwill and</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3"/>
        </w:trPr>
        <w:tc>
          <w:tcPr>
            <w:tcW w:w="7940" w:type="dxa"/>
            <w:vAlign w:val="bottom"/>
          </w:tcPr>
          <w:p>
            <w:pPr>
              <w:ind w:left="100"/>
              <w:spacing w:after="0"/>
              <w:rPr>
                <w:sz w:val="20"/>
                <w:szCs w:val="20"/>
                <w:color w:val="auto"/>
              </w:rPr>
            </w:pPr>
            <w:r>
              <w:rPr>
                <w:rFonts w:ascii="Arial" w:cs="Arial" w:eastAsia="Arial" w:hAnsi="Arial"/>
                <w:sz w:val="16"/>
                <w:szCs w:val="16"/>
                <w:b w:val="1"/>
                <w:bCs w:val="1"/>
                <w:color w:val="auto"/>
              </w:rPr>
              <w:t>Asset Group Held for Sale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31,387</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30,062</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17,689</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12,807</w:t>
            </w: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7,280</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5,968</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(4,350)</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(6,648)</w:t>
            </w: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(281)</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51,725</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42,152</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22"/>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4,968</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6,549</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267</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456</w:t>
            </w:r>
          </w:p>
        </w:tc>
        <w:tc>
          <w:tcPr>
            <w:tcW w:w="9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810</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753</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90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23"/>
        </w:trPr>
        <w:tc>
          <w:tcPr>
            <w:tcW w:w="79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6,054</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7,764</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22"/>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126</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140</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1,920</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1,808</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1,986</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1,887</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407</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3"/>
        </w:trPr>
        <w:tc>
          <w:tcPr>
            <w:tcW w:w="79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4,439</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4,223</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794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Adjusted Operating Cash Flow (non-GAAP)</w:t>
            </w:r>
            <w:r>
              <w:rPr>
                <w:rFonts w:ascii="Arial" w:cs="Arial" w:eastAsia="Arial" w:hAnsi="Arial"/>
                <w:sz w:val="21"/>
                <w:szCs w:val="21"/>
                <w:b w:val="1"/>
                <w:bCs w:val="1"/>
                <w:color w:val="auto"/>
                <w:vertAlign w:val="superscript"/>
              </w:rPr>
              <w:t>(1)</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79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36,481</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36,751</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19,876</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15,071</w:t>
            </w: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10,076</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8,608</w:t>
            </w: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(3,934)</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(6,254)</w:t>
            </w: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31"/>
        </w:trPr>
        <w:tc>
          <w:tcPr>
            <w:tcW w:w="79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(281)</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79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62,218</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54,139</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9" w:lineRule="exact"/>
        <w:rPr>
          <w:sz w:val="20"/>
          <w:szCs w:val="20"/>
          <w:color w:val="auto"/>
        </w:rPr>
      </w:pPr>
    </w:p>
    <w:p>
      <w:pPr>
        <w:ind w:left="360" w:right="400" w:hanging="336"/>
        <w:spacing w:after="0" w:line="180" w:lineRule="auto"/>
        <w:rPr>
          <w:sz w:val="20"/>
          <w:szCs w:val="20"/>
          <w:color w:val="auto"/>
        </w:rPr>
      </w:pPr>
      <w:r>
        <w:rPr>
          <w:rFonts w:ascii="Times New Roman" w:cs="Times New Roman" w:eastAsia="Times New Roman" w:hAnsi="Times New Roman"/>
          <w:sz w:val="30"/>
          <w:szCs w:val="30"/>
          <w:color w:val="auto"/>
          <w:vertAlign w:val="subscript"/>
        </w:rPr>
        <w:t>(1)</w:t>
      </w:r>
      <w:r>
        <w:rPr>
          <w:rFonts w:ascii="Arial" w:cs="Arial" w:eastAsia="Arial" w:hAnsi="Arial"/>
          <w:sz w:val="12"/>
          <w:szCs w:val="12"/>
          <w:color w:val="auto"/>
        </w:rPr>
        <w:t xml:space="preserve"> Adjusted Operating Cash Flow (non-GAAP) is calculated as Operating Income (Loss) before Amortization of Intangible Assets and Impairment of Goodwill and Asset Group Held for Sale plus Depreciation Expense and Pension Expense.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093" w:right="339" w:bottom="230"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093" w:right="339" w:bottom="23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HEALTHCARE DIVISION INFORMATION</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7"/>
                <w:szCs w:val="17"/>
                <w:color w:val="auto"/>
              </w:rPr>
            </w:pPr>
          </w:p>
        </w:tc>
      </w:tr>
      <w:tr>
        <w:trPr>
          <w:trHeight w:val="225"/>
        </w:trPr>
        <w:tc>
          <w:tcPr>
            <w:tcW w:w="7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860" w:type="dxa"/>
            <w:vAlign w:val="bottom"/>
          </w:tcPr>
          <w:p>
            <w:pPr>
              <w:jc w:val="right"/>
              <w:ind w:right="220"/>
              <w:spacing w:after="0"/>
              <w:rPr>
                <w:sz w:val="20"/>
                <w:szCs w:val="20"/>
                <w:color w:val="auto"/>
              </w:rPr>
            </w:pPr>
            <w:r>
              <w:rPr>
                <w:rFonts w:ascii="Arial" w:cs="Arial" w:eastAsia="Arial" w:hAnsi="Arial"/>
                <w:sz w:val="14"/>
                <w:szCs w:val="14"/>
                <w:color w:val="auto"/>
              </w:rPr>
              <w:t>%</w:t>
            </w:r>
          </w:p>
        </w:tc>
      </w:tr>
      <w:tr>
        <w:trPr>
          <w:trHeight w:val="209"/>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2026</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2025</w:t>
            </w:r>
          </w:p>
        </w:tc>
        <w:tc>
          <w:tcPr>
            <w:tcW w:w="860" w:type="dxa"/>
            <w:vAlign w:val="bottom"/>
          </w:tcPr>
          <w:p>
            <w:pPr>
              <w:jc w:val="right"/>
              <w:ind w:right="40"/>
              <w:spacing w:after="0"/>
              <w:rPr>
                <w:sz w:val="20"/>
                <w:szCs w:val="20"/>
                <w:color w:val="auto"/>
              </w:rPr>
            </w:pPr>
            <w:r>
              <w:rPr>
                <w:rFonts w:ascii="Arial" w:cs="Arial" w:eastAsia="Arial" w:hAnsi="Arial"/>
                <w:sz w:val="14"/>
                <w:szCs w:val="14"/>
                <w:color w:val="auto"/>
              </w:rPr>
              <w:t>Change</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6"/>
                <w:szCs w:val="16"/>
                <w:color w:val="auto"/>
              </w:rPr>
              <w:t>CSI</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117,781</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90,248</w:t>
            </w:r>
          </w:p>
        </w:tc>
        <w:tc>
          <w:tcPr>
            <w:tcW w:w="8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Other Healthcare</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91,559</w:t>
            </w: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83,493</w:t>
            </w: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23"/>
        </w:trPr>
        <w:tc>
          <w:tcPr>
            <w:tcW w:w="798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209,340</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173,741</w:t>
            </w: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08"/>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CSI</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111,469</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80,605</w:t>
            </w:r>
          </w:p>
        </w:tc>
        <w:tc>
          <w:tcPr>
            <w:tcW w:w="86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Other Healthcare</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80,445</w:t>
            </w: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74,819</w:t>
            </w: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3"/>
        </w:trPr>
        <w:tc>
          <w:tcPr>
            <w:tcW w:w="798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191,914</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155,424</w:t>
            </w:r>
          </w:p>
        </w:tc>
        <w:tc>
          <w:tcPr>
            <w:tcW w:w="8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08"/>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6"/>
                <w:szCs w:val="16"/>
                <w:color w:val="auto"/>
              </w:rPr>
              <w:t>CSI</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6,312</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9,643</w:t>
            </w:r>
          </w:p>
        </w:tc>
        <w:tc>
          <w:tcPr>
            <w:tcW w:w="8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31"/>
        </w:trPr>
        <w:tc>
          <w:tcPr>
            <w:tcW w:w="7980" w:type="dxa"/>
            <w:vAlign w:val="bottom"/>
          </w:tcPr>
          <w:p>
            <w:pPr>
              <w:ind w:left="140"/>
              <w:spacing w:after="0"/>
              <w:rPr>
                <w:sz w:val="20"/>
                <w:szCs w:val="20"/>
                <w:color w:val="auto"/>
              </w:rPr>
            </w:pPr>
            <w:r>
              <w:rPr>
                <w:rFonts w:ascii="Arial" w:cs="Arial" w:eastAsia="Arial" w:hAnsi="Arial"/>
                <w:sz w:val="16"/>
                <w:szCs w:val="16"/>
                <w:color w:val="auto"/>
              </w:rPr>
              <w:t>Other Healthcare</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11,114</w:t>
            </w: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8,674</w:t>
            </w: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23"/>
        </w:trPr>
        <w:tc>
          <w:tcPr>
            <w:tcW w:w="798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17,426</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18,317</w:t>
            </w: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9"/>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6"/>
                <w:szCs w:val="16"/>
                <w:color w:val="auto"/>
              </w:rPr>
              <w:t>CSI</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21</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w:t>
            </w:r>
          </w:p>
        </w:tc>
        <w:tc>
          <w:tcPr>
            <w:tcW w:w="8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31"/>
        </w:trPr>
        <w:tc>
          <w:tcPr>
            <w:tcW w:w="7980" w:type="dxa"/>
            <w:vAlign w:val="bottom"/>
          </w:tcPr>
          <w:p>
            <w:pPr>
              <w:ind w:left="140"/>
              <w:spacing w:after="0"/>
              <w:rPr>
                <w:sz w:val="20"/>
                <w:szCs w:val="20"/>
                <w:color w:val="auto"/>
              </w:rPr>
            </w:pPr>
            <w:r>
              <w:rPr>
                <w:rFonts w:ascii="Arial" w:cs="Arial" w:eastAsia="Arial" w:hAnsi="Arial"/>
                <w:sz w:val="16"/>
                <w:szCs w:val="16"/>
                <w:color w:val="auto"/>
              </w:rPr>
              <w:t>Other Healthcare</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75</w:t>
            </w: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23"/>
        </w:trPr>
        <w:tc>
          <w:tcPr>
            <w:tcW w:w="798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96</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08"/>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Operating Income before Amortization of Intangible Assets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CSI</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6,333</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9,676</w:t>
            </w:r>
          </w:p>
        </w:tc>
        <w:tc>
          <w:tcPr>
            <w:tcW w:w="8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31"/>
        </w:trPr>
        <w:tc>
          <w:tcPr>
            <w:tcW w:w="7980" w:type="dxa"/>
            <w:vAlign w:val="bottom"/>
          </w:tcPr>
          <w:p>
            <w:pPr>
              <w:ind w:left="140"/>
              <w:spacing w:after="0"/>
              <w:rPr>
                <w:sz w:val="20"/>
                <w:szCs w:val="20"/>
                <w:color w:val="auto"/>
              </w:rPr>
            </w:pPr>
            <w:r>
              <w:rPr>
                <w:rFonts w:ascii="Arial" w:cs="Arial" w:eastAsia="Arial" w:hAnsi="Arial"/>
                <w:sz w:val="16"/>
                <w:szCs w:val="16"/>
                <w:color w:val="auto"/>
              </w:rPr>
              <w:t>Other Healthcare</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11,189</w:t>
            </w: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8,759</w:t>
            </w: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23"/>
        </w:trPr>
        <w:tc>
          <w:tcPr>
            <w:tcW w:w="798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17,522</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18,435</w:t>
            </w: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8"/>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CSI</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293</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176</w:t>
            </w:r>
          </w:p>
        </w:tc>
        <w:tc>
          <w:tcPr>
            <w:tcW w:w="8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Other Healthcare</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1,621</w:t>
            </w: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1,610</w:t>
            </w: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3"/>
        </w:trPr>
        <w:tc>
          <w:tcPr>
            <w:tcW w:w="798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1,914</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1,786</w:t>
            </w: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09"/>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6"/>
                <w:szCs w:val="16"/>
                <w:color w:val="auto"/>
              </w:rPr>
              <w:t>CSI</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Other Healthcare</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1,886</w:t>
            </w: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2,999</w:t>
            </w:r>
          </w:p>
        </w:tc>
        <w:tc>
          <w:tcPr>
            <w:tcW w:w="8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23"/>
        </w:trPr>
        <w:tc>
          <w:tcPr>
            <w:tcW w:w="798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1,886</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2,999</w:t>
            </w:r>
          </w:p>
        </w:tc>
        <w:tc>
          <w:tcPr>
            <w:tcW w:w="8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5"/>
        </w:trPr>
        <w:tc>
          <w:tcPr>
            <w:tcW w:w="798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Adjusted Operating Cash Flow (non-GAAP)</w:t>
            </w:r>
            <w:r>
              <w:rPr>
                <w:rFonts w:ascii="Arial" w:cs="Arial" w:eastAsia="Arial" w:hAnsi="Arial"/>
                <w:sz w:val="21"/>
                <w:szCs w:val="21"/>
                <w:b w:val="1"/>
                <w:bCs w:val="1"/>
                <w:color w:val="auto"/>
                <w:vertAlign w:val="superscript"/>
              </w:rPr>
              <w:t>(1)</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3"/>
        </w:trPr>
        <w:tc>
          <w:tcPr>
            <w:tcW w:w="7980" w:type="dxa"/>
            <w:vAlign w:val="bottom"/>
          </w:tcPr>
          <w:p>
            <w:pPr>
              <w:ind w:left="140"/>
              <w:spacing w:after="0"/>
              <w:rPr>
                <w:sz w:val="20"/>
                <w:szCs w:val="20"/>
                <w:color w:val="auto"/>
              </w:rPr>
            </w:pPr>
            <w:r>
              <w:rPr>
                <w:rFonts w:ascii="Arial" w:cs="Arial" w:eastAsia="Arial" w:hAnsi="Arial"/>
                <w:sz w:val="16"/>
                <w:szCs w:val="16"/>
                <w:color w:val="auto"/>
              </w:rPr>
              <w:t>CSI</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6,626</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9,852</w:t>
            </w:r>
          </w:p>
        </w:tc>
        <w:tc>
          <w:tcPr>
            <w:tcW w:w="8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Other Healthcare</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14,696</w:t>
            </w: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13,368</w:t>
            </w: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26"/>
        </w:trPr>
        <w:tc>
          <w:tcPr>
            <w:tcW w:w="798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21,322</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23,220</w:t>
            </w: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42" w:lineRule="exact"/>
        <w:rPr>
          <w:sz w:val="20"/>
          <w:szCs w:val="20"/>
          <w:color w:val="auto"/>
        </w:rPr>
      </w:pPr>
    </w:p>
    <w:p>
      <w:pPr>
        <w:ind w:left="360" w:right="120" w:hanging="334"/>
        <w:spacing w:after="0" w:line="285" w:lineRule="auto"/>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Adjusted Operating Cash Flow (non-GAAP) is calculated as Operating Income (Loss) before Amortization of Intangible Assets and Impairment of Long-Lived Assets plus Depreciation Expense and Pension Expense.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093"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NON-GAAP FINANCIAL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I</w:t>
      </w:r>
      <w:r>
        <w:rPr>
          <w:rFonts w:ascii="Arial" w:cs="Arial" w:eastAsia="Arial" w:hAnsi="Arial"/>
          <w:sz w:val="17"/>
          <w:szCs w:val="17"/>
          <w:color w:val="auto"/>
        </w:rPr>
        <w:t>n addition to the results reported in accordance with accounting principles generally accepted in the United States (GAAP) included in this</w:t>
      </w:r>
    </w:p>
    <w:p>
      <w:pPr>
        <w:spacing w:after="0" w:line="25" w:lineRule="exact"/>
        <w:rPr>
          <w:sz w:val="20"/>
          <w:szCs w:val="20"/>
          <w:color w:val="auto"/>
        </w:rPr>
      </w:pPr>
    </w:p>
    <w:p>
      <w:pPr>
        <w:ind w:right="60"/>
        <w:spacing w:after="0"/>
        <w:rPr>
          <w:sz w:val="20"/>
          <w:szCs w:val="20"/>
          <w:color w:val="auto"/>
        </w:rPr>
      </w:pPr>
      <w:r>
        <w:rPr>
          <w:rFonts w:ascii="Arial" w:cs="Arial" w:eastAsia="Arial" w:hAnsi="Arial"/>
          <w:sz w:val="17"/>
          <w:szCs w:val="17"/>
          <w:color w:val="auto"/>
        </w:rPr>
        <w:t>press release, the Company has provided information regarding Adjusted Operating Cash Flow and Net income excluding certain items described below, reconciled to the most directly comparable GAAP measures. Management believes that these non-GAAP measures, when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read in conjunction with the Company’s GAAP financials, provide useful information to investors by offering:</w:t>
      </w:r>
    </w:p>
    <w:p>
      <w:pPr>
        <w:spacing w:after="0" w:line="8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04"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Adjusted Operating Cash Flow and Net income, excluding certain items, should not be considered substitutes or alternatives to computations calculated in accordance with and required by GAAP. These non-GAAP financial measures should be read only in conjunction with financial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information presented on a GAAP basis.</w:t>
      </w:r>
    </w:p>
    <w:p>
      <w:pPr>
        <w:spacing w:after="0" w:line="86"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The gains and losses on marketable equity securities relate to the change in the fair value (quoted prices) of its portfolio of equity securities. The mandatorily redeemable noncontrolling interest represents the ownership portion of a group of minority shareholders at a subsidiary of</w:t>
      </w:r>
    </w:p>
    <w:p>
      <w:pPr>
        <w:spacing w:after="0" w:line="235" w:lineRule="auto"/>
        <w:rPr>
          <w:sz w:val="20"/>
          <w:szCs w:val="20"/>
          <w:color w:val="auto"/>
        </w:rPr>
      </w:pPr>
      <w:r>
        <w:rPr>
          <w:rFonts w:ascii="Arial" w:cs="Arial" w:eastAsia="Arial" w:hAnsi="Arial"/>
          <w:sz w:val="18"/>
          <w:szCs w:val="18"/>
          <w:color w:val="auto"/>
        </w:rPr>
        <w:t>the Company's Healthcare business. The Company measures the redemption value of this minority ownership on a quarterly basis with</w:t>
      </w:r>
    </w:p>
    <w:p>
      <w:pPr>
        <w:ind w:right="420"/>
        <w:spacing w:after="0" w:line="226" w:lineRule="auto"/>
        <w:rPr>
          <w:sz w:val="20"/>
          <w:szCs w:val="20"/>
          <w:color w:val="auto"/>
        </w:rPr>
      </w:pPr>
      <w:r>
        <w:rPr>
          <w:rFonts w:ascii="Arial" w:cs="Arial" w:eastAsia="Arial" w:hAnsi="Arial"/>
          <w:sz w:val="18"/>
          <w:szCs w:val="18"/>
          <w:color w:val="auto"/>
        </w:rPr>
        <w:t>changes in the fair value recorded as interest expense or income, which is included in net income for the period. The effect of gains and losses on marketable equity securities and net interest expense related to fair value adjustments of the mandatorily redeemable</w:t>
      </w:r>
    </w:p>
    <w:p>
      <w:pPr>
        <w:spacing w:after="0" w:line="2" w:lineRule="exact"/>
        <w:rPr>
          <w:sz w:val="20"/>
          <w:szCs w:val="20"/>
          <w:color w:val="auto"/>
        </w:rPr>
      </w:pPr>
    </w:p>
    <w:p>
      <w:pPr>
        <w:ind w:right="560"/>
        <w:spacing w:after="0"/>
        <w:rPr>
          <w:sz w:val="20"/>
          <w:szCs w:val="20"/>
          <w:color w:val="auto"/>
        </w:rPr>
      </w:pPr>
      <w:r>
        <w:rPr>
          <w:rFonts w:ascii="Arial" w:cs="Arial" w:eastAsia="Arial" w:hAnsi="Arial"/>
          <w:sz w:val="17"/>
          <w:szCs w:val="17"/>
          <w:color w:val="auto"/>
        </w:rPr>
        <w:t>noncontrolling interest are not directly related to the core performance of the Company’s business operations since these items do not directly relate to the sale of the Company’s services or products. GAAP requires that the Company include the gains and losses on</w:t>
      </w:r>
    </w:p>
    <w:p>
      <w:pPr>
        <w:spacing w:after="0" w:line="235" w:lineRule="auto"/>
        <w:rPr>
          <w:sz w:val="20"/>
          <w:szCs w:val="20"/>
          <w:color w:val="auto"/>
        </w:rPr>
      </w:pPr>
      <w:r>
        <w:rPr>
          <w:rFonts w:ascii="Arial" w:cs="Arial" w:eastAsia="Arial" w:hAnsi="Arial"/>
          <w:sz w:val="18"/>
          <w:szCs w:val="18"/>
          <w:color w:val="auto"/>
        </w:rPr>
        <w:t>marketable equity securities and net interest expense related to fair value adjustments of the mandatorily redeemable noncontrolling interest</w:t>
      </w:r>
    </w:p>
    <w:p>
      <w:pPr>
        <w:spacing w:after="0" w:line="226" w:lineRule="auto"/>
        <w:rPr>
          <w:sz w:val="20"/>
          <w:szCs w:val="20"/>
          <w:color w:val="auto"/>
        </w:rPr>
      </w:pPr>
      <w:r>
        <w:rPr>
          <w:rFonts w:ascii="Arial" w:cs="Arial" w:eastAsia="Arial" w:hAnsi="Arial"/>
          <w:sz w:val="18"/>
          <w:szCs w:val="18"/>
          <w:color w:val="auto"/>
        </w:rPr>
        <w:t>in net income on the Condensed Consolidated Statements of Operations. The Company excludes the gains and losses on marketable equity securities and net interest expense related to fair value adjustments of the mandatorily redeemable noncontrolling interest from the non-</w:t>
      </w:r>
    </w:p>
    <w:p>
      <w:pPr>
        <w:spacing w:after="0" w:line="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GAAP adjusted net income because these items are independent of the Company’s core operations and not indicative of the performance of the Company’s business operations.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1039"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tables reconcile the non-GAAP financial measures for Net income, excluding certain items, to the most directly comparable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GAAP measures:</w:t>
      </w:r>
    </w:p>
    <w:p>
      <w:pPr>
        <w:spacing w:after="0" w:line="131" w:lineRule="exact"/>
        <w:rPr>
          <w:sz w:val="20"/>
          <w:szCs w:val="20"/>
          <w:color w:val="auto"/>
        </w:rPr>
      </w:pPr>
    </w:p>
    <w:p>
      <w:pPr>
        <w:ind w:left="6900"/>
        <w:spacing w:after="0"/>
        <w:rPr>
          <w:sz w:val="20"/>
          <w:szCs w:val="20"/>
          <w:color w:val="auto"/>
        </w:rPr>
      </w:pPr>
      <w:r>
        <w:rPr>
          <w:rFonts w:ascii="Arial" w:cs="Arial" w:eastAsia="Arial" w:hAnsi="Arial"/>
          <w:sz w:val="16"/>
          <w:szCs w:val="16"/>
          <w:b w:val="1"/>
          <w:bCs w:val="1"/>
          <w:color w:val="auto"/>
        </w:rPr>
        <w:t>Three Months Ended March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2026</w:t>
            </w: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84"/>
              <w:spacing w:after="0"/>
              <w:rPr>
                <w:sz w:val="20"/>
                <w:szCs w:val="20"/>
                <w:color w:val="auto"/>
              </w:rPr>
            </w:pPr>
            <w:r>
              <w:rPr>
                <w:rFonts w:ascii="Arial" w:cs="Arial" w:eastAsia="Arial" w:hAnsi="Arial"/>
                <w:sz w:val="14"/>
                <w:szCs w:val="14"/>
                <w:color w:val="auto"/>
              </w:rPr>
              <w:t>2025</w:t>
            </w: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124"/>
              <w:spacing w:after="0"/>
              <w:rPr>
                <w:sz w:val="20"/>
                <w:szCs w:val="20"/>
                <w:color w:val="auto"/>
              </w:rPr>
            </w:pPr>
            <w:r>
              <w:rPr>
                <w:rFonts w:ascii="Arial" w:cs="Arial" w:eastAsia="Arial" w:hAnsi="Arial"/>
                <w:sz w:val="15"/>
                <w:szCs w:val="15"/>
                <w:b w:val="1"/>
                <w:bCs w:val="1"/>
                <w:color w:val="auto"/>
              </w:rPr>
              <w:t>Income</w:t>
            </w:r>
          </w:p>
        </w:tc>
        <w:tc>
          <w:tcPr>
            <w:tcW w:w="200" w:type="dxa"/>
            <w:vAlign w:val="bottom"/>
          </w:tcPr>
          <w:p>
            <w:pPr>
              <w:spacing w:after="0"/>
              <w:rPr>
                <w:sz w:val="15"/>
                <w:szCs w:val="15"/>
                <w:color w:val="auto"/>
              </w:rPr>
            </w:pPr>
          </w:p>
        </w:tc>
        <w:tc>
          <w:tcPr>
            <w:tcW w:w="900" w:type="dxa"/>
            <w:vAlign w:val="bottom"/>
            <w:vMerge w:val="restart"/>
          </w:tcPr>
          <w:p>
            <w:pPr>
              <w:jc w:val="center"/>
              <w:ind w:right="164"/>
              <w:spacing w:after="0"/>
              <w:rPr>
                <w:sz w:val="20"/>
                <w:szCs w:val="20"/>
                <w:color w:val="auto"/>
              </w:rPr>
            </w:pPr>
            <w:r>
              <w:rPr>
                <w:rFonts w:ascii="Arial" w:cs="Arial" w:eastAsia="Arial" w:hAnsi="Arial"/>
                <w:sz w:val="15"/>
                <w:szCs w:val="15"/>
                <w:b w:val="1"/>
                <w:bCs w:val="1"/>
                <w:color w:val="auto"/>
              </w:rPr>
              <w:t>Income</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5"/>
                <w:szCs w:val="15"/>
                <w:color w:val="auto"/>
              </w:rPr>
            </w:pPr>
          </w:p>
        </w:tc>
        <w:tc>
          <w:tcPr>
            <w:tcW w:w="900" w:type="dxa"/>
            <w:vAlign w:val="bottom"/>
            <w:vMerge w:val="restart"/>
          </w:tcPr>
          <w:p>
            <w:pPr>
              <w:jc w:val="center"/>
              <w:ind w:right="204"/>
              <w:spacing w:after="0"/>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3"/>
        </w:trPr>
        <w:tc>
          <w:tcPr>
            <w:tcW w:w="4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restart"/>
          </w:tcPr>
          <w:p>
            <w:pPr>
              <w:jc w:val="center"/>
              <w:ind w:right="124"/>
              <w:spacing w:after="0" w:line="162" w:lineRule="exact"/>
              <w:rPr>
                <w:sz w:val="20"/>
                <w:szCs w:val="20"/>
                <w:color w:val="auto"/>
              </w:rPr>
            </w:pPr>
            <w:r>
              <w:rPr>
                <w:rFonts w:ascii="Arial" w:cs="Arial" w:eastAsia="Arial" w:hAnsi="Arial"/>
                <w:sz w:val="15"/>
                <w:szCs w:val="15"/>
                <w:b w:val="1"/>
                <w:bCs w:val="1"/>
                <w:color w:val="auto"/>
              </w:rPr>
              <w:t>before</w:t>
            </w:r>
          </w:p>
        </w:tc>
        <w:tc>
          <w:tcPr>
            <w:tcW w:w="2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980" w:type="dxa"/>
            <w:vAlign w:val="bottom"/>
            <w:gridSpan w:val="2"/>
            <w:vMerge w:val="restart"/>
          </w:tcPr>
          <w:p>
            <w:pPr>
              <w:jc w:val="right"/>
              <w:ind w:right="4"/>
              <w:spacing w:after="0"/>
              <w:rPr>
                <w:sz w:val="20"/>
                <w:szCs w:val="20"/>
                <w:color w:val="auto"/>
              </w:rPr>
            </w:pPr>
            <w:r>
              <w:rPr>
                <w:rFonts w:ascii="Arial" w:cs="Arial" w:eastAsia="Arial" w:hAnsi="Arial"/>
                <w:sz w:val="15"/>
                <w:szCs w:val="15"/>
                <w:b w:val="1"/>
                <w:bCs w:val="1"/>
                <w:color w:val="auto"/>
              </w:rPr>
              <w:t>Net Income</w:t>
            </w:r>
          </w:p>
        </w:tc>
        <w:tc>
          <w:tcPr>
            <w:tcW w:w="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4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vMerge w:val="restart"/>
          </w:tcPr>
          <w:p>
            <w:pPr>
              <w:jc w:val="center"/>
              <w:ind w:right="124"/>
              <w:spacing w:after="0" w:line="162" w:lineRule="exact"/>
              <w:rPr>
                <w:sz w:val="20"/>
                <w:szCs w:val="20"/>
                <w:color w:val="auto"/>
              </w:rPr>
            </w:pPr>
            <w:r>
              <w:rPr>
                <w:rFonts w:ascii="Arial" w:cs="Arial" w:eastAsia="Arial" w:hAnsi="Arial"/>
                <w:sz w:val="15"/>
                <w:szCs w:val="15"/>
                <w:color w:val="auto"/>
              </w:rPr>
              <w:t>before</w:t>
            </w:r>
          </w:p>
        </w:tc>
        <w:tc>
          <w:tcPr>
            <w:tcW w:w="2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restart"/>
          </w:tcPr>
          <w:p>
            <w:pPr>
              <w:jc w:val="right"/>
              <w:ind w:right="24"/>
              <w:spacing w:after="0" w:line="162" w:lineRule="exact"/>
              <w:rPr>
                <w:sz w:val="20"/>
                <w:szCs w:val="20"/>
                <w:color w:val="auto"/>
              </w:rPr>
            </w:pPr>
            <w:r>
              <w:rPr>
                <w:rFonts w:ascii="Arial" w:cs="Arial" w:eastAsia="Arial" w:hAnsi="Arial"/>
                <w:sz w:val="15"/>
                <w:szCs w:val="15"/>
                <w:color w:val="auto"/>
              </w:rPr>
              <w:t>Net Income</w:t>
            </w:r>
          </w:p>
        </w:tc>
        <w:tc>
          <w:tcPr>
            <w:tcW w:w="0" w:type="dxa"/>
            <w:vAlign w:val="bottom"/>
          </w:tcPr>
          <w:p>
            <w:pPr>
              <w:spacing w:after="0"/>
              <w:rPr>
                <w:sz w:val="1"/>
                <w:szCs w:val="1"/>
                <w:color w:val="auto"/>
              </w:rPr>
            </w:pPr>
          </w:p>
        </w:tc>
      </w:tr>
      <w:tr>
        <w:trPr>
          <w:trHeight w:val="83"/>
        </w:trPr>
        <w:tc>
          <w:tcPr>
            <w:tcW w:w="4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restart"/>
          </w:tcPr>
          <w:p>
            <w:pPr>
              <w:jc w:val="center"/>
              <w:ind w:right="124"/>
              <w:spacing w:after="0"/>
              <w:rPr>
                <w:sz w:val="20"/>
                <w:szCs w:val="20"/>
                <w:color w:val="auto"/>
              </w:rPr>
            </w:pPr>
            <w:r>
              <w:rPr>
                <w:rFonts w:ascii="Arial" w:cs="Arial" w:eastAsia="Arial" w:hAnsi="Arial"/>
                <w:sz w:val="15"/>
                <w:szCs w:val="15"/>
                <w:b w:val="1"/>
                <w:bCs w:val="1"/>
                <w:color w:val="auto"/>
              </w:rPr>
              <w:t>income</w:t>
            </w:r>
          </w:p>
        </w:tc>
        <w:tc>
          <w:tcPr>
            <w:tcW w:w="200" w:type="dxa"/>
            <w:vAlign w:val="bottom"/>
          </w:tcPr>
          <w:p>
            <w:pPr>
              <w:spacing w:after="0"/>
              <w:rPr>
                <w:sz w:val="7"/>
                <w:szCs w:val="7"/>
                <w:color w:val="auto"/>
              </w:rPr>
            </w:pPr>
          </w:p>
        </w:tc>
        <w:tc>
          <w:tcPr>
            <w:tcW w:w="900" w:type="dxa"/>
            <w:vAlign w:val="bottom"/>
            <w:vMerge w:val="restart"/>
          </w:tcPr>
          <w:p>
            <w:pPr>
              <w:jc w:val="center"/>
              <w:ind w:right="164"/>
              <w:spacing w:after="0"/>
              <w:rPr>
                <w:sz w:val="20"/>
                <w:szCs w:val="20"/>
                <w:color w:val="auto"/>
              </w:rPr>
            </w:pPr>
            <w:r>
              <w:rPr>
                <w:rFonts w:ascii="Arial" w:cs="Arial" w:eastAsia="Arial" w:hAnsi="Arial"/>
                <w:sz w:val="15"/>
                <w:szCs w:val="15"/>
                <w:b w:val="1"/>
                <w:bCs w:val="1"/>
                <w:color w:val="auto"/>
                <w:w w:val="98"/>
              </w:rPr>
              <w:t>Taxes</w:t>
            </w:r>
          </w:p>
        </w:tc>
        <w:tc>
          <w:tcPr>
            <w:tcW w:w="9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vMerge w:val="restart"/>
          </w:tcPr>
          <w:p>
            <w:pPr>
              <w:jc w:val="center"/>
              <w:ind w:right="184"/>
              <w:spacing w:after="0"/>
              <w:rPr>
                <w:sz w:val="20"/>
                <w:szCs w:val="20"/>
                <w:color w:val="auto"/>
              </w:rPr>
            </w:pPr>
            <w:r>
              <w:rPr>
                <w:rFonts w:ascii="Arial" w:cs="Arial" w:eastAsia="Arial" w:hAnsi="Arial"/>
                <w:sz w:val="15"/>
                <w:szCs w:val="15"/>
                <w:color w:val="auto"/>
                <w:w w:val="97"/>
              </w:rPr>
              <w:t>Taxes</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5"/>
                <w:szCs w:val="15"/>
                <w:color w:val="auto"/>
              </w:rPr>
              <w:t>income taxes</w:t>
            </w:r>
          </w:p>
        </w:tc>
        <w:tc>
          <w:tcPr>
            <w:tcW w:w="2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900" w:type="dxa"/>
            <w:vAlign w:val="bottom"/>
            <w:vMerge w:val="restart"/>
          </w:tcPr>
          <w:p>
            <w:pPr>
              <w:ind w:left="20"/>
              <w:spacing w:after="0"/>
              <w:rPr>
                <w:sz w:val="20"/>
                <w:szCs w:val="20"/>
                <w:color w:val="auto"/>
              </w:rPr>
            </w:pPr>
            <w:r>
              <w:rPr>
                <w:rFonts w:ascii="Arial" w:cs="Arial" w:eastAsia="Arial" w:hAnsi="Arial"/>
                <w:sz w:val="15"/>
                <w:szCs w:val="15"/>
                <w:color w:val="auto"/>
              </w:rPr>
              <w:t>(in thousands, except per share amounts)</w:t>
            </w:r>
          </w:p>
        </w:tc>
        <w:tc>
          <w:tcPr>
            <w:tcW w:w="160" w:type="dxa"/>
            <w:vAlign w:val="bottom"/>
          </w:tcPr>
          <w:p>
            <w:pPr>
              <w:spacing w:after="0"/>
              <w:rPr>
                <w:sz w:val="9"/>
                <w:szCs w:val="9"/>
                <w:color w:val="auto"/>
              </w:rPr>
            </w:pPr>
          </w:p>
        </w:tc>
        <w:tc>
          <w:tcPr>
            <w:tcW w:w="860" w:type="dxa"/>
            <w:vAlign w:val="bottom"/>
            <w:vMerge w:val="restart"/>
          </w:tcPr>
          <w:p>
            <w:pPr>
              <w:jc w:val="center"/>
              <w:ind w:right="124"/>
              <w:spacing w:after="0"/>
              <w:rPr>
                <w:sz w:val="20"/>
                <w:szCs w:val="20"/>
                <w:color w:val="auto"/>
              </w:rPr>
            </w:pPr>
            <w:r>
              <w:rPr>
                <w:rFonts w:ascii="Arial" w:cs="Arial" w:eastAsia="Arial" w:hAnsi="Arial"/>
                <w:sz w:val="15"/>
                <w:szCs w:val="15"/>
                <w:b w:val="1"/>
                <w:bCs w:val="1"/>
                <w:color w:val="auto"/>
                <w:w w:val="98"/>
              </w:rPr>
              <w:t>taxes</w:t>
            </w: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90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Amounts attributable to Graham Holdings Company Common</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40,651</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9,900</w:t>
            </w:r>
          </w:p>
        </w:tc>
        <w:tc>
          <w:tcPr>
            <w:tcW w:w="2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30,751</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33,621</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7,900</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25,721</w:t>
            </w:r>
          </w:p>
        </w:tc>
        <w:tc>
          <w:tcPr>
            <w:tcW w:w="0" w:type="dxa"/>
            <w:vAlign w:val="bottom"/>
          </w:tcPr>
          <w:p>
            <w:pPr>
              <w:spacing w:after="0"/>
              <w:rPr>
                <w:sz w:val="1"/>
                <w:szCs w:val="1"/>
                <w:color w:val="auto"/>
              </w:rPr>
            </w:pPr>
          </w:p>
        </w:tc>
      </w:tr>
      <w:tr>
        <w:trPr>
          <w:trHeight w:val="214"/>
        </w:trPr>
        <w:tc>
          <w:tcPr>
            <w:tcW w:w="490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(1,645)</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(1,827)</w:t>
            </w:r>
          </w:p>
        </w:tc>
        <w:tc>
          <w:tcPr>
            <w:tcW w:w="0" w:type="dxa"/>
            <w:vAlign w:val="bottom"/>
          </w:tcPr>
          <w:p>
            <w:pPr>
              <w:spacing w:after="0"/>
              <w:rPr>
                <w:sz w:val="1"/>
                <w:szCs w:val="1"/>
                <w:color w:val="auto"/>
              </w:rPr>
            </w:pPr>
          </w:p>
        </w:tc>
      </w:tr>
      <w:tr>
        <w:trPr>
          <w:trHeight w:val="211"/>
        </w:trPr>
        <w:tc>
          <w:tcPr>
            <w:tcW w:w="4900" w:type="dxa"/>
            <w:vAlign w:val="bottom"/>
          </w:tcPr>
          <w:p>
            <w:pPr>
              <w:ind w:left="180"/>
              <w:spacing w:after="0"/>
              <w:rPr>
                <w:sz w:val="20"/>
                <w:szCs w:val="20"/>
                <w:color w:val="auto"/>
              </w:rPr>
            </w:pPr>
            <w:r>
              <w:rPr>
                <w:rFonts w:ascii="Arial" w:cs="Arial" w:eastAsia="Arial" w:hAnsi="Arial"/>
                <w:sz w:val="15"/>
                <w:szCs w:val="15"/>
                <w:color w:val="auto"/>
              </w:rPr>
              <w:t>Attributable to Graham Holdings Company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29,106</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23,894</w:t>
            </w:r>
          </w:p>
        </w:tc>
        <w:tc>
          <w:tcPr>
            <w:tcW w:w="0" w:type="dxa"/>
            <w:vAlign w:val="bottom"/>
          </w:tcPr>
          <w:p>
            <w:pPr>
              <w:spacing w:after="0"/>
              <w:rPr>
                <w:sz w:val="1"/>
                <w:szCs w:val="1"/>
                <w:color w:val="auto"/>
              </w:rPr>
            </w:pPr>
          </w:p>
        </w:tc>
      </w:tr>
      <w:tr>
        <w:trPr>
          <w:trHeight w:val="208"/>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400"/>
              <w:spacing w:after="0"/>
              <w:rPr>
                <w:sz w:val="20"/>
                <w:szCs w:val="20"/>
                <w:color w:val="auto"/>
              </w:rPr>
            </w:pPr>
            <w:r>
              <w:rPr>
                <w:rFonts w:ascii="Arial" w:cs="Arial" w:eastAsia="Arial" w:hAnsi="Arial"/>
                <w:sz w:val="15"/>
                <w:szCs w:val="15"/>
                <w:color w:val="auto"/>
              </w:rPr>
              <w:t>Impairment charge related to KLG</w:t>
            </w:r>
          </w:p>
        </w:tc>
        <w:tc>
          <w:tcPr>
            <w:tcW w:w="160" w:type="dxa"/>
            <w:vAlign w:val="bottom"/>
          </w:tcPr>
          <w:p>
            <w:pPr>
              <w:spacing w:after="0"/>
              <w:rPr>
                <w:sz w:val="19"/>
                <w:szCs w:val="19"/>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19,029</w:t>
            </w:r>
          </w:p>
        </w:tc>
        <w:tc>
          <w:tcPr>
            <w:tcW w:w="20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4,681</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14,348</w:t>
            </w:r>
          </w:p>
        </w:tc>
        <w:tc>
          <w:tcPr>
            <w:tcW w:w="2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Charges related to non-operating Separation Incentive Programs</w:t>
            </w:r>
          </w:p>
        </w:tc>
        <w:tc>
          <w:tcPr>
            <w:tcW w:w="160" w:type="dxa"/>
            <w:vAlign w:val="bottom"/>
          </w:tcPr>
          <w:p>
            <w:pPr>
              <w:spacing w:after="0"/>
              <w:rPr>
                <w:sz w:val="18"/>
                <w:szCs w:val="18"/>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4,100</w:t>
            </w:r>
          </w:p>
        </w:tc>
        <w:tc>
          <w:tcPr>
            <w:tcW w:w="20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1,067</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3,033</w:t>
            </w: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624</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160</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464</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Interest (income) expense related to the fair value adjustment of</w:t>
            </w:r>
          </w:p>
        </w:tc>
        <w:tc>
          <w:tcPr>
            <w:tcW w:w="160" w:type="dxa"/>
            <w:vAlign w:val="bottom"/>
          </w:tcPr>
          <w:p>
            <w:pPr>
              <w:spacing w:after="0"/>
              <w:rPr>
                <w:sz w:val="15"/>
                <w:szCs w:val="15"/>
                <w:color w:val="auto"/>
              </w:rPr>
            </w:pPr>
          </w:p>
        </w:tc>
        <w:tc>
          <w:tcPr>
            <w:tcW w:w="8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(669)</w:t>
            </w:r>
          </w:p>
        </w:tc>
        <w:tc>
          <w:tcPr>
            <w:tcW w:w="200" w:type="dxa"/>
            <w:vAlign w:val="bottom"/>
          </w:tcPr>
          <w:p>
            <w:pPr>
              <w:spacing w:after="0"/>
              <w:rPr>
                <w:sz w:val="15"/>
                <w:szCs w:val="15"/>
                <w:color w:val="auto"/>
              </w:rPr>
            </w:pPr>
          </w:p>
        </w:tc>
        <w:tc>
          <w:tcPr>
            <w:tcW w:w="90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(148)</w:t>
            </w:r>
          </w:p>
        </w:tc>
        <w:tc>
          <w:tcPr>
            <w:tcW w:w="2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(521)</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the mandatorily redeemable noncontrolling interest</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66,407</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16,035</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50,372</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Net losses (gains) on marketable equity securities</w:t>
            </w:r>
          </w:p>
        </w:tc>
        <w:tc>
          <w:tcPr>
            <w:tcW w:w="160" w:type="dxa"/>
            <w:vAlign w:val="bottom"/>
          </w:tcPr>
          <w:p>
            <w:pPr>
              <w:spacing w:after="0"/>
              <w:rPr>
                <w:sz w:val="18"/>
                <w:szCs w:val="18"/>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68,923</w:t>
            </w:r>
          </w:p>
        </w:tc>
        <w:tc>
          <w:tcPr>
            <w:tcW w:w="20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17,606</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51,317</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(43,801)</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(11,231)</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(32,570)</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Net (gains) losses of affiliates whose operations are not managed</w:t>
            </w:r>
          </w:p>
        </w:tc>
        <w:tc>
          <w:tcPr>
            <w:tcW w:w="160" w:type="dxa"/>
            <w:vAlign w:val="bottom"/>
          </w:tcPr>
          <w:p>
            <w:pPr>
              <w:spacing w:after="0"/>
              <w:rPr>
                <w:sz w:val="15"/>
                <w:szCs w:val="15"/>
                <w:color w:val="auto"/>
              </w:rPr>
            </w:pPr>
          </w:p>
        </w:tc>
        <w:tc>
          <w:tcPr>
            <w:tcW w:w="8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(30,967)</w:t>
            </w:r>
          </w:p>
        </w:tc>
        <w:tc>
          <w:tcPr>
            <w:tcW w:w="200" w:type="dxa"/>
            <w:vAlign w:val="bottom"/>
          </w:tcPr>
          <w:p>
            <w:pPr>
              <w:spacing w:after="0"/>
              <w:rPr>
                <w:sz w:val="15"/>
                <w:szCs w:val="15"/>
                <w:color w:val="auto"/>
              </w:rPr>
            </w:pPr>
          </w:p>
        </w:tc>
        <w:tc>
          <w:tcPr>
            <w:tcW w:w="90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(7,911)</w:t>
            </w:r>
          </w:p>
        </w:tc>
        <w:tc>
          <w:tcPr>
            <w:tcW w:w="2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(23,056)</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by the Company</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11,910</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3,054</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8,856</w:t>
            </w:r>
          </w:p>
        </w:tc>
        <w:tc>
          <w:tcPr>
            <w:tcW w:w="0" w:type="dxa"/>
            <w:vAlign w:val="bottom"/>
          </w:tcPr>
          <w:p>
            <w:pPr>
              <w:spacing w:after="0"/>
              <w:rPr>
                <w:sz w:val="1"/>
                <w:szCs w:val="1"/>
                <w:color w:val="auto"/>
              </w:rPr>
            </w:pPr>
          </w:p>
        </w:tc>
      </w:tr>
      <w:tr>
        <w:trPr>
          <w:trHeight w:val="214"/>
        </w:trPr>
        <w:tc>
          <w:tcPr>
            <w:tcW w:w="4900" w:type="dxa"/>
            <w:vAlign w:val="bottom"/>
          </w:tcPr>
          <w:p>
            <w:pPr>
              <w:ind w:left="400"/>
              <w:spacing w:after="0"/>
              <w:rPr>
                <w:sz w:val="20"/>
                <w:szCs w:val="20"/>
                <w:color w:val="auto"/>
              </w:rPr>
            </w:pPr>
            <w:r>
              <w:rPr>
                <w:rFonts w:ascii="Arial" w:cs="Arial" w:eastAsia="Arial" w:hAnsi="Arial"/>
                <w:sz w:val="15"/>
                <w:szCs w:val="15"/>
                <w:color w:val="auto"/>
              </w:rPr>
              <w:t>Non-operating gain from the sale of a cost method investment</w:t>
            </w:r>
          </w:p>
        </w:tc>
        <w:tc>
          <w:tcPr>
            <w:tcW w:w="16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(484)</w:t>
            </w:r>
          </w:p>
        </w:tc>
        <w:tc>
          <w:tcPr>
            <w:tcW w:w="20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(124)</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(360)</w:t>
            </w: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4900" w:type="dxa"/>
            <w:vAlign w:val="bottom"/>
          </w:tcPr>
          <w:p>
            <w:pPr>
              <w:ind w:left="180"/>
              <w:spacing w:after="0"/>
              <w:rPr>
                <w:sz w:val="20"/>
                <w:szCs w:val="20"/>
                <w:color w:val="auto"/>
              </w:rPr>
            </w:pPr>
            <w:r>
              <w:rPr>
                <w:rFonts w:ascii="Arial" w:cs="Arial" w:eastAsia="Arial" w:hAnsi="Arial"/>
                <w:sz w:val="15"/>
                <w:szCs w:val="15"/>
                <w:color w:val="auto"/>
              </w:rPr>
              <w:t>Net Income, adjusted (non-GAAP)</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73,867</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51,016</w:t>
            </w:r>
          </w:p>
        </w:tc>
        <w:tc>
          <w:tcPr>
            <w:tcW w:w="0" w:type="dxa"/>
            <w:vAlign w:val="bottom"/>
          </w:tcPr>
          <w:p>
            <w:pPr>
              <w:spacing w:after="0"/>
              <w:rPr>
                <w:sz w:val="1"/>
                <w:szCs w:val="1"/>
                <w:color w:val="auto"/>
              </w:rPr>
            </w:pPr>
          </w:p>
        </w:tc>
      </w:tr>
      <w:tr>
        <w:trPr>
          <w:trHeight w:val="312"/>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Common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as reported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6.62</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5.45</w:t>
            </w:r>
          </w:p>
        </w:tc>
        <w:tc>
          <w:tcPr>
            <w:tcW w:w="0" w:type="dxa"/>
            <w:vAlign w:val="bottom"/>
          </w:tcPr>
          <w:p>
            <w:pPr>
              <w:spacing w:after="0"/>
              <w:rPr>
                <w:sz w:val="1"/>
                <w:szCs w:val="1"/>
                <w:color w:val="auto"/>
              </w:rPr>
            </w:pPr>
          </w:p>
        </w:tc>
      </w:tr>
      <w:tr>
        <w:trPr>
          <w:trHeight w:val="190"/>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3.26</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400"/>
              <w:spacing w:after="0"/>
              <w:rPr>
                <w:sz w:val="20"/>
                <w:szCs w:val="20"/>
                <w:color w:val="auto"/>
              </w:rPr>
            </w:pPr>
            <w:r>
              <w:rPr>
                <w:rFonts w:ascii="Arial" w:cs="Arial" w:eastAsia="Arial" w:hAnsi="Arial"/>
                <w:sz w:val="15"/>
                <w:szCs w:val="15"/>
                <w:color w:val="auto"/>
              </w:rPr>
              <w:t>Impairment charge related to KLG</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Charges related to non-operating Separation Incentive Programs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0.69</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0.11</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Interest (income) expense related to the fair value adjustment of</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(0.12)</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the mandatorily redeemable noncontrolling interest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11.49</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Net losses (gains) on marketable equity securities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11.66</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(7.43)</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Net (gains) losses of affiliates whose operations are not managed</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(5.24)</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by the Company</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2.02</w:t>
            </w:r>
          </w:p>
        </w:tc>
        <w:tc>
          <w:tcPr>
            <w:tcW w:w="0" w:type="dxa"/>
            <w:vAlign w:val="bottom"/>
          </w:tcPr>
          <w:p>
            <w:pPr>
              <w:spacing w:after="0"/>
              <w:rPr>
                <w:sz w:val="1"/>
                <w:szCs w:val="1"/>
                <w:color w:val="auto"/>
              </w:rPr>
            </w:pPr>
          </w:p>
        </w:tc>
      </w:tr>
      <w:tr>
        <w:trPr>
          <w:trHeight w:val="214"/>
        </w:trPr>
        <w:tc>
          <w:tcPr>
            <w:tcW w:w="4900" w:type="dxa"/>
            <w:vAlign w:val="bottom"/>
          </w:tcPr>
          <w:p>
            <w:pPr>
              <w:ind w:left="400"/>
              <w:spacing w:after="0"/>
              <w:rPr>
                <w:sz w:val="20"/>
                <w:szCs w:val="20"/>
                <w:color w:val="auto"/>
              </w:rPr>
            </w:pPr>
            <w:r>
              <w:rPr>
                <w:rFonts w:ascii="Arial" w:cs="Arial" w:eastAsia="Arial" w:hAnsi="Arial"/>
                <w:sz w:val="15"/>
                <w:szCs w:val="15"/>
                <w:color w:val="auto"/>
              </w:rPr>
              <w:t>Non-operating gain from the sale of a cost method investment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(0.08)</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adjusted (non-GAAP)</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16.79</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11.64</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2026-04-30T09:31:22Z</dcterms:created>
  <dcterms:modified xsi:type="dcterms:W3CDTF">2026-04-30T09:31:22Z</dcterms:modified>
</cp:coreProperties>
</file>