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SECURITIES AND EXCHANGE COMMISSION</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121920</wp:posOffset>
            </wp:positionV>
            <wp:extent cx="72891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SCHEDULE 13G/A</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INFORMATION TO BE INCLUDED IN STATEMENTS FILED PURSUANT</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TO RULES 13d-1(b), (c), AND (d) AND AMENDMENTS THERETO FILED</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PURSUANT TO RULE 13d-2(b)</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 xml:space="preserve">( AMENDMENT </w:t>
      </w:r>
      <w:r>
        <w:rPr>
          <w:rFonts w:ascii="Courier New" w:cs="Courier New" w:eastAsia="Courier New" w:hAnsi="Courier New"/>
          <w:sz w:val="21"/>
          <w:szCs w:val="21"/>
          <w:color w:val="008000"/>
        </w:rPr>
        <w:t>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2891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THE WASHINGTON POST COMPANY</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COMMON STOCK</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939640108</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DECEMBER 31,2004</w:t>
      </w:r>
    </w:p>
    <w:p>
      <w:pPr>
        <w:spacing w:after="0" w:line="21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377825</wp:posOffset>
            </wp:positionV>
            <wp:extent cx="72891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0"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X Rule 13d-1 (b)</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(c)</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417830</wp:posOffset>
            </wp:positionV>
            <wp:extent cx="72891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ind w:left="80"/>
              <w:spacing w:after="0"/>
              <w:rPr>
                <w:sz w:val="20"/>
                <w:szCs w:val="20"/>
                <w:color w:val="auto"/>
              </w:rPr>
            </w:pPr>
            <w:r>
              <w:rPr>
                <w:rFonts w:ascii="Courier New" w:cs="Courier New" w:eastAsia="Courier New" w:hAnsi="Courier New"/>
                <w:sz w:val="21"/>
                <w:szCs w:val="21"/>
                <w:b w:val="1"/>
                <w:bCs w:val="1"/>
                <w:color w:val="0000FF"/>
              </w:rPr>
              <w:t xml:space="preserve">CUSIP No. </w:t>
            </w:r>
            <w:r>
              <w:rPr>
                <w:rFonts w:ascii="Courier New" w:cs="Courier New" w:eastAsia="Courier New" w:hAnsi="Courier New"/>
                <w:sz w:val="21"/>
                <w:szCs w:val="21"/>
                <w:b w:val="1"/>
                <w:bCs w:val="1"/>
                <w:color w:val="008000"/>
              </w:rPr>
              <w:t>939640108</w:t>
            </w:r>
          </w:p>
        </w:tc>
        <w:tc>
          <w:tcPr>
            <w:tcW w:w="4080" w:type="dxa"/>
            <w:vAlign w:val="bottom"/>
            <w:gridSpan w:val="2"/>
          </w:tcPr>
          <w:p>
            <w:pPr>
              <w:ind w:left="800"/>
              <w:spacing w:after="0"/>
              <w:rPr>
                <w:sz w:val="20"/>
                <w:szCs w:val="20"/>
                <w:color w:val="auto"/>
              </w:rPr>
            </w:pPr>
            <w:r>
              <w:rPr>
                <w:rFonts w:ascii="Courier New" w:cs="Courier New" w:eastAsia="Courier New" w:hAnsi="Courier New"/>
                <w:sz w:val="21"/>
                <w:szCs w:val="21"/>
                <w:b w:val="1"/>
                <w:bCs w:val="1"/>
                <w:color w:val="0000FF"/>
              </w:rPr>
              <w:t>13G/A</w:t>
            </w:r>
          </w:p>
        </w:tc>
        <w:tc>
          <w:tcPr>
            <w:tcW w:w="4040" w:type="dxa"/>
            <w:vAlign w:val="bottom"/>
          </w:tcPr>
          <w:p>
            <w:pPr>
              <w:jc w:val="right"/>
              <w:ind w:right="1905"/>
              <w:spacing w:after="0"/>
              <w:rPr>
                <w:sz w:val="20"/>
                <w:szCs w:val="20"/>
                <w:color w:val="auto"/>
              </w:rPr>
            </w:pPr>
            <w:r>
              <w:rPr>
                <w:rFonts w:ascii="Courier New" w:cs="Courier New" w:eastAsia="Courier New" w:hAnsi="Courier New"/>
                <w:sz w:val="19"/>
                <w:szCs w:val="19"/>
                <w:color w:val="808080"/>
              </w:rPr>
              <w:t>Page 1 of 3 pages</w:t>
            </w:r>
          </w:p>
        </w:tc>
      </w:tr>
      <w:tr>
        <w:trPr>
          <w:trHeight w:val="273"/>
        </w:trPr>
        <w:tc>
          <w:tcPr>
            <w:tcW w:w="4500" w:type="dxa"/>
            <w:vAlign w:val="bottom"/>
            <w:tcBorders>
              <w:bottom w:val="single" w:sz="8" w:color="9A9A9A"/>
            </w:tcBorders>
            <w:gridSpan w:val="2"/>
          </w:tcPr>
          <w:p>
            <w:pPr>
              <w:spacing w:after="0"/>
              <w:rPr>
                <w:sz w:val="23"/>
                <w:szCs w:val="23"/>
                <w:color w:val="auto"/>
              </w:rPr>
            </w:pPr>
          </w:p>
        </w:tc>
        <w:tc>
          <w:tcPr>
            <w:tcW w:w="2900" w:type="dxa"/>
            <w:vAlign w:val="bottom"/>
            <w:tcBorders>
              <w:bottom w:val="single" w:sz="8" w:color="9A9A9A"/>
            </w:tcBorders>
          </w:tcPr>
          <w:p>
            <w:pPr>
              <w:spacing w:after="0"/>
              <w:rPr>
                <w:sz w:val="23"/>
                <w:szCs w:val="23"/>
                <w:color w:val="auto"/>
              </w:rPr>
            </w:pPr>
          </w:p>
        </w:tc>
        <w:tc>
          <w:tcPr>
            <w:tcW w:w="4040" w:type="dxa"/>
            <w:vAlign w:val="bottom"/>
            <w:tcBorders>
              <w:bottom w:val="single" w:sz="8" w:color="9A9A9A"/>
            </w:tcBorders>
          </w:tcPr>
          <w:p>
            <w:pPr>
              <w:spacing w:after="0"/>
              <w:rPr>
                <w:sz w:val="23"/>
                <w:szCs w:val="23"/>
                <w:color w:val="auto"/>
              </w:rPr>
            </w:pPr>
          </w:p>
        </w:tc>
      </w:tr>
      <w:tr>
        <w:trPr>
          <w:trHeight w:val="512"/>
        </w:trPr>
        <w:tc>
          <w:tcPr>
            <w:tcW w:w="4500" w:type="dxa"/>
            <w:vAlign w:val="bottom"/>
            <w:gridSpan w:val="2"/>
          </w:tcPr>
          <w:p>
            <w:pPr>
              <w:ind w:left="300"/>
              <w:spacing w:after="0"/>
              <w:rPr>
                <w:sz w:val="20"/>
                <w:szCs w:val="20"/>
                <w:color w:val="auto"/>
              </w:rPr>
            </w:pPr>
            <w:r>
              <w:rPr>
                <w:rFonts w:ascii="Courier New" w:cs="Courier New" w:eastAsia="Courier New" w:hAnsi="Courier New"/>
                <w:sz w:val="21"/>
                <w:szCs w:val="21"/>
                <w:color w:val="auto"/>
              </w:rPr>
              <w:t>1.   Names of reporting persons</w:t>
            </w:r>
          </w:p>
        </w:tc>
        <w:tc>
          <w:tcPr>
            <w:tcW w:w="2900" w:type="dxa"/>
            <w:vAlign w:val="bottom"/>
          </w:tcPr>
          <w:p>
            <w:pPr>
              <w:ind w:left="240"/>
              <w:spacing w:after="0"/>
              <w:rPr>
                <w:sz w:val="20"/>
                <w:szCs w:val="20"/>
                <w:color w:val="auto"/>
              </w:rPr>
            </w:pPr>
            <w:r>
              <w:rPr>
                <w:rFonts w:ascii="Courier New" w:cs="Courier New" w:eastAsia="Courier New" w:hAnsi="Courier New"/>
                <w:sz w:val="21"/>
                <w:szCs w:val="21"/>
                <w:color w:val="auto"/>
              </w:rPr>
              <w:t>JPMorgan Chase &amp; Co.</w:t>
            </w:r>
          </w:p>
        </w:tc>
        <w:tc>
          <w:tcPr>
            <w:tcW w:w="4040" w:type="dxa"/>
            <w:vAlign w:val="bottom"/>
          </w:tcPr>
          <w:p>
            <w:pPr>
              <w:spacing w:after="0"/>
              <w:rPr>
                <w:sz w:val="24"/>
                <w:szCs w:val="24"/>
                <w:color w:val="auto"/>
              </w:rPr>
            </w:pPr>
          </w:p>
        </w:tc>
      </w:tr>
      <w:tr>
        <w:trPr>
          <w:trHeight w:val="373"/>
        </w:trPr>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jc w:val="right"/>
              <w:ind w:right="2545"/>
              <w:spacing w:after="0"/>
              <w:rPr>
                <w:sz w:val="20"/>
                <w:szCs w:val="20"/>
                <w:color w:val="auto"/>
              </w:rPr>
            </w:pPr>
            <w:r>
              <w:rPr>
                <w:rFonts w:ascii="Courier New" w:cs="Courier New" w:eastAsia="Courier New" w:hAnsi="Courier New"/>
                <w:sz w:val="19"/>
                <w:szCs w:val="19"/>
                <w:color w:val="auto"/>
              </w:rPr>
              <w:t>13-2624428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-589280</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-589280</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43" w:orient="portrait"/>
          <w:cols w:equalWidth="0" w:num="1">
            <w:col w:w="11440"/>
          </w:cols>
          <w:pgMar w:left="240" w:top="838" w:right="219" w:bottom="0" w:gutter="0" w:footer="0" w:header="0"/>
        </w:sectPr>
      </w:pPr>
    </w:p>
    <w:bookmarkStart w:id="1" w:name="page2"/>
    <w:bookmarkEnd w:id="1"/>
    <w:p>
      <w:pPr>
        <w:ind w:left="740" w:right="3379"/>
        <w:spacing w:after="0" w:line="236" w:lineRule="auto"/>
        <w:rPr>
          <w:sz w:val="20"/>
          <w:szCs w:val="20"/>
          <w:color w:val="auto"/>
        </w:rPr>
      </w:pPr>
      <w:r>
        <w:rPr>
          <w:rFonts w:ascii="Courier New" w:cs="Courier New" w:eastAsia="Courier New" w:hAnsi="Courier New"/>
          <w:sz w:val="19"/>
          <w:szCs w:val="19"/>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374015</wp:posOffset>
            </wp:positionV>
            <wp:extent cx="727646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tabs>
          <w:tab w:leader="none" w:pos="820" w:val="left"/>
          <w:tab w:leader="none" w:pos="918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419"/>
        <w:spacing w:after="0"/>
        <w:rPr>
          <w:sz w:val="20"/>
          <w:szCs w:val="20"/>
          <w:color w:val="auto"/>
        </w:rPr>
      </w:pPr>
      <w:r>
        <w:rPr>
          <w:rFonts w:ascii="Courier New" w:cs="Courier New" w:eastAsia="Courier New" w:hAnsi="Courier New"/>
          <w:sz w:val="21"/>
          <w:szCs w:val="2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159385</wp:posOffset>
            </wp:positionV>
            <wp:extent cx="727646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60" w:hanging="645"/>
        <w:spacing w:after="0"/>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SEC USE ONLY</w:t>
      </w:r>
    </w:p>
    <w:p>
      <w:pPr>
        <w:spacing w:after="0" w:line="200" w:lineRule="exact"/>
        <w:rPr>
          <w:rFonts w:ascii="Arial" w:cs="Arial" w:eastAsia="Arial" w:hAnsi="Arial"/>
          <w:sz w:val="19"/>
          <w:szCs w:val="19"/>
          <w:color w:val="auto"/>
        </w:rPr>
      </w:pPr>
    </w:p>
    <w:p>
      <w:pPr>
        <w:spacing w:after="0" w:line="353" w:lineRule="exact"/>
        <w:rPr>
          <w:rFonts w:ascii="Arial" w:cs="Arial" w:eastAsia="Arial" w:hAnsi="Arial"/>
          <w:sz w:val="19"/>
          <w:szCs w:val="19"/>
          <w:color w:val="auto"/>
        </w:rPr>
      </w:pPr>
    </w:p>
    <w:p>
      <w:pPr>
        <w:ind w:left="860" w:right="4559" w:hanging="645"/>
        <w:spacing w:after="0" w:line="404" w:lineRule="auto"/>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-704850</wp:posOffset>
            </wp:positionV>
            <wp:extent cx="727646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3302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309880</wp:posOffset>
            </wp:positionV>
            <wp:extent cx="72764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259"/>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NUMBER OF</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5.</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25,960</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SHARES</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BENEFICIALLY</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6.</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w w:val="87"/>
              </w:rPr>
              <w:t>373,019</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OWNED BY</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EACH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7.</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24,798</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REPORTING</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PERSON WITH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8.</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w w:val="87"/>
              </w:rPr>
              <w:t>363,700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414020</wp:posOffset>
            </wp:positionV>
            <wp:extent cx="72764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hanging="688"/>
        <w:spacing w:after="0"/>
        <w:tabs>
          <w:tab w:leader="none" w:pos="840"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AGGREGATE AMOUNT BENEFICIALLY OWNED BY EACH REPORTING PERSON</w:t>
      </w:r>
    </w:p>
    <w:p>
      <w:pPr>
        <w:spacing w:after="0" w:line="146" w:lineRule="exact"/>
        <w:rPr>
          <w:sz w:val="20"/>
          <w:szCs w:val="20"/>
          <w:color w:val="auto"/>
        </w:rPr>
      </w:pPr>
    </w:p>
    <w:p>
      <w:pPr>
        <w:ind w:left="940"/>
        <w:spacing w:after="0"/>
        <w:rPr>
          <w:sz w:val="20"/>
          <w:szCs w:val="20"/>
          <w:color w:val="auto"/>
        </w:rPr>
      </w:pPr>
      <w:r>
        <w:rPr>
          <w:rFonts w:ascii="Arial" w:cs="Arial" w:eastAsia="Arial" w:hAnsi="Arial"/>
          <w:sz w:val="19"/>
          <w:szCs w:val="19"/>
          <w:color w:val="008000"/>
        </w:rPr>
        <w:t>403,441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168910</wp:posOffset>
            </wp:positionV>
            <wp:extent cx="727646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40" w:right="3139" w:hanging="730"/>
        <w:spacing w:after="0" w:line="420" w:lineRule="auto"/>
        <w:tabs>
          <w:tab w:leader="none" w:pos="8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316230</wp:posOffset>
            </wp:positionV>
            <wp:extent cx="72764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0" w:right="2899" w:hanging="752"/>
        <w:spacing w:after="0" w:line="407" w:lineRule="auto"/>
        <w:tabs>
          <w:tab w:leader="none" w:pos="840" w:val="left"/>
        </w:tabs>
        <w:numPr>
          <w:ilvl w:val="0"/>
          <w:numId w:val="4"/>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REPRESENTED BY AMOUNT IN ROW (9) </w:t>
      </w:r>
      <w:r>
        <w:rPr>
          <w:rFonts w:ascii="Courier New" w:cs="Courier New" w:eastAsia="Courier New" w:hAnsi="Courier New"/>
          <w:sz w:val="21"/>
          <w:szCs w:val="21"/>
          <w:color w:val="008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309245</wp:posOffset>
            </wp:positionV>
            <wp:extent cx="727646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840" w:val="left"/>
          <w:tab w:leader="none" w:pos="5760" w:val="left"/>
        </w:tabs>
        <w:rPr>
          <w:sz w:val="20"/>
          <w:szCs w:val="20"/>
          <w:color w:val="auto"/>
        </w:rPr>
      </w:pPr>
      <w:r>
        <w:rPr>
          <w:rFonts w:ascii="Courier New" w:cs="Courier New" w:eastAsia="Courier New" w:hAnsi="Courier New"/>
          <w:sz w:val="21"/>
          <w:szCs w:val="21"/>
          <w:color w:val="auto"/>
        </w:rPr>
        <w:t>12.</w:t>
        <w:tab/>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415290</wp:posOffset>
            </wp:positionV>
            <wp:extent cx="72764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21"/>
          <w:szCs w:val="21"/>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65" w:lineRule="exact"/>
        <w:rPr>
          <w:sz w:val="20"/>
          <w:szCs w:val="20"/>
          <w:color w:val="auto"/>
        </w:rPr>
      </w:pPr>
    </w:p>
    <w:p>
      <w:pPr>
        <w:ind w:left="1680"/>
        <w:spacing w:after="0"/>
        <w:rPr>
          <w:sz w:val="20"/>
          <w:szCs w:val="20"/>
          <w:color w:val="auto"/>
        </w:rPr>
      </w:pPr>
      <w:r>
        <w:rPr>
          <w:rFonts w:ascii="Courier New" w:cs="Courier New" w:eastAsia="Courier New" w:hAnsi="Courier New"/>
          <w:sz w:val="21"/>
          <w:szCs w:val="21"/>
          <w:color w:val="008000"/>
        </w:rPr>
        <w:t>THE WASHINGTON POST COMPANY</w:t>
      </w:r>
    </w:p>
    <w:p>
      <w:pPr>
        <w:spacing w:after="0" w:line="354" w:lineRule="exact"/>
        <w:rPr>
          <w:sz w:val="20"/>
          <w:szCs w:val="20"/>
          <w:color w:val="auto"/>
        </w:rPr>
      </w:pPr>
    </w:p>
    <w:p>
      <w:pPr>
        <w:ind w:left="20"/>
        <w:spacing w:after="0"/>
        <w:tabs>
          <w:tab w:leader="none" w:pos="1680" w:val="left"/>
        </w:tabs>
        <w:rPr>
          <w:sz w:val="20"/>
          <w:szCs w:val="20"/>
          <w:color w:val="auto"/>
        </w:rPr>
      </w:pPr>
      <w:r>
        <w:rPr>
          <w:rFonts w:ascii="Courier New" w:cs="Courier New" w:eastAsia="Courier New" w:hAnsi="Courier New"/>
          <w:sz w:val="21"/>
          <w:szCs w:val="21"/>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65"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1150 15TH. STREET N.W.</w:t>
      </w: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WASHINGTON, DC 20071</w:t>
      </w:r>
    </w:p>
    <w:p>
      <w:pPr>
        <w:sectPr>
          <w:pgSz w:w="11900" w:h="16838" w:orient="portrait"/>
          <w:cols w:equalWidth="0" w:num="1">
            <w:col w:w="10019"/>
          </w:cols>
          <w:pgMar w:left="440" w:top="138" w:right="1440" w:bottom="17" w:gutter="0" w:footer="0" w:header="0"/>
        </w:sectPr>
      </w:pPr>
    </w:p>
    <w:bookmarkStart w:id="2" w:name="page3"/>
    <w:bookmarkEnd w:id="2"/>
    <w:p>
      <w:pPr>
        <w:ind w:left="160"/>
        <w:spacing w:after="0"/>
        <w:tabs>
          <w:tab w:leader="none" w:pos="1800" w:val="left"/>
        </w:tabs>
        <w:rPr>
          <w:sz w:val="20"/>
          <w:szCs w:val="20"/>
          <w:color w:val="auto"/>
        </w:rPr>
      </w:pPr>
      <w:r>
        <w:rPr>
          <w:rFonts w:ascii="Courier New" w:cs="Courier New" w:eastAsia="Courier New" w:hAnsi="Courier New"/>
          <w:sz w:val="21"/>
          <w:szCs w:val="21"/>
          <w:b w:val="1"/>
          <w:bCs w:val="1"/>
          <w:color w:val="auto"/>
        </w:rPr>
        <w:t>Item 2(a).</w:t>
        <w:tab/>
        <w:t>Name of Person Filing:</w:t>
      </w:r>
    </w:p>
    <w:p>
      <w:pPr>
        <w:spacing w:after="0" w:line="165" w:lineRule="exact"/>
        <w:rPr>
          <w:sz w:val="20"/>
          <w:szCs w:val="20"/>
          <w:color w:val="auto"/>
        </w:rPr>
      </w:pPr>
    </w:p>
    <w:p>
      <w:pPr>
        <w:ind w:left="1820"/>
        <w:spacing w:after="0"/>
        <w:rPr>
          <w:sz w:val="20"/>
          <w:szCs w:val="20"/>
          <w:color w:val="auto"/>
        </w:rPr>
      </w:pPr>
      <w:r>
        <w:rPr>
          <w:rFonts w:ascii="Courier New" w:cs="Courier New" w:eastAsia="Courier New" w:hAnsi="Courier New"/>
          <w:sz w:val="21"/>
          <w:szCs w:val="21"/>
          <w:color w:val="auto"/>
        </w:rPr>
        <w:t>JPMorgan Chase &amp; Co.</w:t>
      </w:r>
    </w:p>
    <w:p>
      <w:pPr>
        <w:spacing w:after="0" w:line="354"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21"/>
          <w:szCs w:val="21"/>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270 PARK AVE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NEW YORK, NY 10017</w:t>
      </w:r>
    </w:p>
    <w:p>
      <w:pPr>
        <w:spacing w:after="0" w:line="354" w:lineRule="exact"/>
        <w:rPr>
          <w:sz w:val="20"/>
          <w:szCs w:val="20"/>
          <w:color w:val="auto"/>
        </w:rPr>
      </w:pPr>
    </w:p>
    <w:p>
      <w:pPr>
        <w:ind w:left="200"/>
        <w:spacing w:after="0"/>
        <w:tabs>
          <w:tab w:leader="none" w:pos="1840" w:val="left"/>
        </w:tabs>
        <w:rPr>
          <w:sz w:val="20"/>
          <w:szCs w:val="20"/>
          <w:color w:val="auto"/>
        </w:rPr>
      </w:pPr>
      <w:r>
        <w:rPr>
          <w:rFonts w:ascii="Courier New" w:cs="Courier New" w:eastAsia="Courier New" w:hAnsi="Courier New"/>
          <w:sz w:val="21"/>
          <w:szCs w:val="21"/>
          <w:b w:val="1"/>
          <w:bCs w:val="1"/>
          <w:color w:val="auto"/>
        </w:rPr>
        <w:t>Item 2(c).</w:t>
        <w:tab/>
        <w:t>Citizenship</w:t>
      </w:r>
    </w:p>
    <w:p>
      <w:pPr>
        <w:spacing w:after="0" w:line="165" w:lineRule="exact"/>
        <w:rPr>
          <w:sz w:val="20"/>
          <w:szCs w:val="20"/>
          <w:color w:val="auto"/>
        </w:rPr>
      </w:pPr>
    </w:p>
    <w:p>
      <w:pPr>
        <w:ind w:left="1860"/>
        <w:spacing w:after="0"/>
        <w:rPr>
          <w:sz w:val="20"/>
          <w:szCs w:val="20"/>
          <w:color w:val="auto"/>
        </w:rPr>
      </w:pPr>
      <w:r>
        <w:rPr>
          <w:rFonts w:ascii="Courier New" w:cs="Courier New" w:eastAsia="Courier New" w:hAnsi="Courier New"/>
          <w:sz w:val="21"/>
          <w:szCs w:val="21"/>
          <w:color w:val="auto"/>
        </w:rPr>
        <w:t>Delaware</w:t>
      </w:r>
    </w:p>
    <w:p>
      <w:pPr>
        <w:spacing w:after="0" w:line="354" w:lineRule="exact"/>
        <w:rPr>
          <w:sz w:val="20"/>
          <w:szCs w:val="20"/>
          <w:color w:val="auto"/>
        </w:rPr>
      </w:pPr>
    </w:p>
    <w:p>
      <w:pPr>
        <w:ind w:left="220"/>
        <w:spacing w:after="0"/>
        <w:tabs>
          <w:tab w:leader="none" w:pos="1860" w:val="left"/>
        </w:tabs>
        <w:rPr>
          <w:sz w:val="20"/>
          <w:szCs w:val="20"/>
          <w:color w:val="auto"/>
        </w:rPr>
      </w:pPr>
      <w:r>
        <w:rPr>
          <w:rFonts w:ascii="Courier New" w:cs="Courier New" w:eastAsia="Courier New" w:hAnsi="Courier New"/>
          <w:sz w:val="21"/>
          <w:szCs w:val="21"/>
          <w:b w:val="1"/>
          <w:bCs w:val="1"/>
          <w:color w:val="auto"/>
        </w:rPr>
        <w:t>Item 2(d).</w:t>
        <w:tab/>
        <w:t>Title of Class of Securities:</w:t>
      </w:r>
    </w:p>
    <w:p>
      <w:pPr>
        <w:spacing w:after="0" w:line="165" w:lineRule="exact"/>
        <w:rPr>
          <w:sz w:val="20"/>
          <w:szCs w:val="20"/>
          <w:color w:val="auto"/>
        </w:rPr>
      </w:pPr>
    </w:p>
    <w:p>
      <w:pPr>
        <w:ind w:left="1880"/>
        <w:spacing w:after="0"/>
        <w:rPr>
          <w:sz w:val="20"/>
          <w:szCs w:val="20"/>
          <w:color w:val="auto"/>
        </w:rPr>
      </w:pPr>
      <w:r>
        <w:rPr>
          <w:rFonts w:ascii="Courier New" w:cs="Courier New" w:eastAsia="Courier New" w:hAnsi="Courier New"/>
          <w:sz w:val="21"/>
          <w:szCs w:val="21"/>
          <w:color w:val="auto"/>
        </w:rPr>
        <w:t>COMMON STOCK</w:t>
      </w:r>
    </w:p>
    <w:p>
      <w:pPr>
        <w:spacing w:after="0" w:line="15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3820" w:type="dxa"/>
            <w:vAlign w:val="bottom"/>
          </w:tcPr>
          <w:p>
            <w:pPr>
              <w:spacing w:after="0"/>
              <w:rPr>
                <w:sz w:val="20"/>
                <w:szCs w:val="20"/>
                <w:color w:val="auto"/>
              </w:rPr>
            </w:pPr>
            <w:r>
              <w:rPr>
                <w:rFonts w:ascii="Courier New" w:cs="Courier New" w:eastAsia="Courier New" w:hAnsi="Courier New"/>
                <w:sz w:val="21"/>
                <w:szCs w:val="21"/>
                <w:b w:val="1"/>
                <w:bCs w:val="1"/>
                <w:color w:val="auto"/>
              </w:rPr>
              <w:t>Item 2(e).   CUSIP Number:</w:t>
            </w:r>
          </w:p>
        </w:tc>
        <w:tc>
          <w:tcPr>
            <w:tcW w:w="1620" w:type="dxa"/>
            <w:vAlign w:val="bottom"/>
          </w:tcPr>
          <w:p>
            <w:pPr>
              <w:jc w:val="right"/>
              <w:spacing w:after="0"/>
              <w:rPr>
                <w:sz w:val="20"/>
                <w:szCs w:val="20"/>
                <w:color w:val="auto"/>
              </w:rPr>
            </w:pPr>
            <w:r>
              <w:rPr>
                <w:rFonts w:ascii="Courier New" w:cs="Courier New" w:eastAsia="Courier New" w:hAnsi="Courier New"/>
                <w:sz w:val="21"/>
                <w:szCs w:val="21"/>
                <w:b w:val="1"/>
                <w:bCs w:val="1"/>
                <w:color w:val="008000"/>
              </w:rPr>
              <w:t>939640108</w:t>
            </w:r>
          </w:p>
        </w:tc>
      </w:tr>
    </w:tbl>
    <w:p>
      <w:pPr>
        <w:spacing w:after="0" w:line="353" w:lineRule="exact"/>
        <w:rPr>
          <w:sz w:val="20"/>
          <w:szCs w:val="20"/>
          <w:color w:val="auto"/>
        </w:rPr>
      </w:pPr>
    </w:p>
    <w:p>
      <w:pPr>
        <w:ind w:left="240"/>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ind w:left="1900"/>
        <w:spacing w:after="0"/>
        <w:rPr>
          <w:sz w:val="20"/>
          <w:szCs w:val="20"/>
          <w:color w:val="auto"/>
        </w:rPr>
      </w:pPr>
      <w:r>
        <w:rPr>
          <w:rFonts w:ascii="Courier New" w:cs="Courier New" w:eastAsia="Courier New" w:hAnsi="Courier New"/>
          <w:sz w:val="21"/>
          <w:szCs w:val="21"/>
          <w:b w:val="1"/>
          <w:bCs w:val="1"/>
          <w:color w:val="auto"/>
        </w:rPr>
        <w:t>Or (c), Check Whether the Person Filing is a :</w:t>
      </w:r>
    </w:p>
    <w:p>
      <w:pPr>
        <w:spacing w:after="0" w:line="349" w:lineRule="exact"/>
        <w:rPr>
          <w:sz w:val="20"/>
          <w:szCs w:val="20"/>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5" w:lineRule="exact"/>
        <w:rPr>
          <w:rFonts w:ascii="Courier New" w:cs="Courier New" w:eastAsia="Courier New" w:hAnsi="Courier New"/>
          <w:sz w:val="19"/>
          <w:szCs w:val="19"/>
          <w:color w:val="auto"/>
        </w:rPr>
      </w:pPr>
    </w:p>
    <w:p>
      <w:pPr>
        <w:ind w:left="2760" w:right="200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spacing w:after="0" w:line="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5" w:lineRule="exact"/>
        <w:rPr>
          <w:rFonts w:ascii="Courier New" w:cs="Courier New" w:eastAsia="Courier New" w:hAnsi="Courier New"/>
          <w:sz w:val="19"/>
          <w:szCs w:val="19"/>
          <w:color w:val="auto"/>
        </w:rPr>
      </w:pPr>
    </w:p>
    <w:p>
      <w:pPr>
        <w:ind w:left="2760" w:right="132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spacing w:after="0" w:line="4" w:lineRule="exact"/>
        <w:rPr>
          <w:rFonts w:ascii="Courier New" w:cs="Courier New" w:eastAsia="Courier New" w:hAnsi="Courier New"/>
          <w:sz w:val="19"/>
          <w:szCs w:val="19"/>
          <w:color w:val="auto"/>
        </w:rPr>
      </w:pPr>
    </w:p>
    <w:p>
      <w:pPr>
        <w:ind w:left="2760" w:right="1320" w:hanging="1701"/>
        <w:spacing w:after="0" w:line="420" w:lineRule="auto"/>
        <w:tabs>
          <w:tab w:leader="none" w:pos="2123"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spacing w:after="0" w:line="4" w:lineRule="exact"/>
        <w:rPr>
          <w:rFonts w:ascii="Courier New" w:cs="Courier New" w:eastAsia="Courier New" w:hAnsi="Courier New"/>
          <w:sz w:val="19"/>
          <w:szCs w:val="19"/>
          <w:color w:val="auto"/>
        </w:rPr>
      </w:pPr>
    </w:p>
    <w:p>
      <w:pPr>
        <w:ind w:left="2760" w:right="1540" w:hanging="1701"/>
        <w:spacing w:after="0" w:line="421"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spacing w:after="0" w:line="2"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420"/>
        <w:spacing w:after="0"/>
        <w:tabs>
          <w:tab w:leader="none" w:pos="10840" w:val="left"/>
        </w:tabs>
        <w:rPr>
          <w:sz w:val="20"/>
          <w:szCs w:val="20"/>
          <w:color w:val="auto"/>
        </w:rPr>
      </w:pPr>
      <w:r>
        <w:rPr>
          <w:rFonts w:ascii="Courier New" w:cs="Courier New" w:eastAsia="Courier New" w:hAnsi="Courier New"/>
          <w:sz w:val="21"/>
          <w:szCs w:val="21"/>
          <w:color w:val="auto"/>
        </w:rPr>
        <w:t>If this statement is filed pursuant to Rule 13d-1(b), check this box.</w:t>
      </w:r>
      <w:r>
        <w:rPr>
          <w:sz w:val="20"/>
          <w:szCs w:val="20"/>
          <w:color w:val="auto"/>
        </w:rPr>
        <w:tab/>
      </w:r>
      <w:r>
        <w:rPr>
          <w:rFonts w:ascii="Courier New" w:cs="Courier New" w:eastAsia="Courier New" w:hAnsi="Courier New"/>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460375</wp:posOffset>
            </wp:positionV>
            <wp:extent cx="72891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9"/>
          <w:szCs w:val="19"/>
          <w:color w:val="C0C0C0"/>
        </w:rPr>
        <w:t>Page 2 of 3 pages</w:t>
      </w:r>
    </w:p>
    <w:p>
      <w:pPr>
        <w:spacing w:after="0" w:line="27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4" w:lineRule="exact"/>
        <w:rPr>
          <w:sz w:val="20"/>
          <w:szCs w:val="20"/>
          <w:color w:val="auto"/>
        </w:rPr>
      </w:pPr>
    </w:p>
    <w:p>
      <w:pPr>
        <w:ind w:left="1240" w:right="940"/>
        <w:spacing w:after="0" w:line="40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560"/>
        <w:spacing w:after="0"/>
        <w:rPr>
          <w:sz w:val="20"/>
          <w:szCs w:val="20"/>
          <w:color w:val="auto"/>
        </w:rPr>
      </w:pPr>
      <w:r>
        <w:rPr>
          <w:rFonts w:ascii="Courier New" w:cs="Courier New" w:eastAsia="Courier New" w:hAnsi="Courier New"/>
          <w:sz w:val="21"/>
          <w:szCs w:val="21"/>
          <w:color w:val="auto"/>
        </w:rPr>
        <w:t xml:space="preserve">(a)  Amount beneficially owned: </w:t>
      </w:r>
      <w:r>
        <w:rPr>
          <w:rFonts w:ascii="Courier New" w:cs="Courier New" w:eastAsia="Courier New" w:hAnsi="Courier New"/>
          <w:sz w:val="21"/>
          <w:szCs w:val="21"/>
          <w:color w:val="008000"/>
        </w:rPr>
        <w:t>403,441</w:t>
      </w:r>
    </w:p>
    <w:p>
      <w:pPr>
        <w:sectPr>
          <w:pgSz w:w="11900" w:h="16838" w:orient="portrait"/>
          <w:cols w:equalWidth="0" w:num="1">
            <w:col w:w="11000"/>
          </w:cols>
          <w:pgMar w:left="320" w:top="222" w:right="579" w:bottom="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40" w:lineRule="exact"/>
        <w:rPr>
          <w:sz w:val="20"/>
          <w:szCs w:val="20"/>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w:t>
      </w:r>
      <w:r>
        <w:rPr>
          <w:rFonts w:ascii="Courier New" w:cs="Courier New" w:eastAsia="Courier New" w:hAnsi="Courier New"/>
          <w:sz w:val="21"/>
          <w:szCs w:val="21"/>
          <w:color w:val="008000"/>
        </w:rPr>
        <w:t>5.1%</w:t>
      </w:r>
    </w:p>
    <w:p>
      <w:pPr>
        <w:spacing w:after="0" w:line="164" w:lineRule="exact"/>
        <w:rPr>
          <w:rFonts w:ascii="Courier New" w:cs="Courier New" w:eastAsia="Courier New" w:hAnsi="Courier New"/>
          <w:sz w:val="21"/>
          <w:szCs w:val="21"/>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Number of shares as to which such person has:</w:t>
      </w:r>
    </w:p>
    <w:p>
      <w:pPr>
        <w:spacing w:after="0" w:line="146" w:lineRule="exact"/>
        <w:rPr>
          <w:sz w:val="20"/>
          <w:szCs w:val="20"/>
          <w:color w:val="auto"/>
        </w:rPr>
      </w:pPr>
    </w:p>
    <w:tbl>
      <w:tblPr>
        <w:tblLayout w:type="fixed"/>
        <w:tblInd w:w="2780" w:type="dxa"/>
        <w:tblCellMar>
          <w:top w:w="0" w:type="dxa"/>
          <w:left w:w="0" w:type="dxa"/>
          <w:bottom w:w="0" w:type="dxa"/>
          <w:right w:w="0" w:type="dxa"/>
        </w:tblCellMar>
      </w:tblPr>
      <w:tr>
        <w:trPr>
          <w:trHeight w:val="241"/>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w w:val="99"/>
              </w:rPr>
              <w:t>(i)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vote or to direct the vote:</w:t>
            </w:r>
          </w:p>
        </w:tc>
        <w:tc>
          <w:tcPr>
            <w:tcW w:w="940" w:type="dxa"/>
            <w:vAlign w:val="bottom"/>
          </w:tcPr>
          <w:p>
            <w:pPr>
              <w:ind w:left="320"/>
              <w:spacing w:after="0"/>
              <w:rPr>
                <w:sz w:val="20"/>
                <w:szCs w:val="20"/>
                <w:color w:val="auto"/>
              </w:rPr>
            </w:pPr>
            <w:r>
              <w:rPr>
                <w:rFonts w:ascii="Arial" w:cs="Arial" w:eastAsia="Arial" w:hAnsi="Arial"/>
                <w:sz w:val="19"/>
                <w:szCs w:val="19"/>
                <w:color w:val="008000"/>
              </w:rPr>
              <w:t>25,960</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940" w:type="dxa"/>
            <w:vAlign w:val="bottom"/>
          </w:tcPr>
          <w:p>
            <w:pPr>
              <w:ind w:left="320"/>
              <w:spacing w:after="0"/>
              <w:rPr>
                <w:sz w:val="20"/>
                <w:szCs w:val="20"/>
                <w:color w:val="auto"/>
              </w:rPr>
            </w:pPr>
            <w:r>
              <w:rPr>
                <w:rFonts w:ascii="Arial" w:cs="Arial" w:eastAsia="Arial" w:hAnsi="Arial"/>
                <w:sz w:val="19"/>
                <w:szCs w:val="19"/>
                <w:color w:val="008000"/>
                <w:w w:val="87"/>
              </w:rPr>
              <w:t>373,019</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dispose or to direct the disposition of:</w:t>
            </w:r>
          </w:p>
        </w:tc>
        <w:tc>
          <w:tcPr>
            <w:tcW w:w="940" w:type="dxa"/>
            <w:vAlign w:val="bottom"/>
          </w:tcPr>
          <w:p>
            <w:pPr>
              <w:ind w:left="320"/>
              <w:spacing w:after="0"/>
              <w:rPr>
                <w:sz w:val="20"/>
                <w:szCs w:val="20"/>
                <w:color w:val="auto"/>
              </w:rPr>
            </w:pPr>
            <w:r>
              <w:rPr>
                <w:rFonts w:ascii="Arial" w:cs="Arial" w:eastAsia="Arial" w:hAnsi="Arial"/>
                <w:sz w:val="19"/>
                <w:szCs w:val="19"/>
                <w:color w:val="008000"/>
              </w:rPr>
              <w:t>24,798</w:t>
            </w:r>
          </w:p>
        </w:tc>
      </w:tr>
    </w:tbl>
    <w:p>
      <w:pPr>
        <w:spacing w:after="0" w:line="137" w:lineRule="exact"/>
        <w:rPr>
          <w:sz w:val="20"/>
          <w:szCs w:val="20"/>
          <w:color w:val="auto"/>
        </w:rPr>
      </w:pPr>
    </w:p>
    <w:p>
      <w:pPr>
        <w:ind w:left="3860" w:hanging="1017"/>
        <w:spacing w:after="0"/>
        <w:tabs>
          <w:tab w:leader="none" w:pos="386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r>
        <w:rPr>
          <w:rFonts w:ascii="Arial" w:cs="Arial" w:eastAsia="Arial" w:hAnsi="Arial"/>
          <w:sz w:val="17"/>
          <w:szCs w:val="17"/>
          <w:color w:val="008000"/>
        </w:rPr>
        <w:t>363,700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354" w:lineRule="exact"/>
        <w:rPr>
          <w:sz w:val="20"/>
          <w:szCs w:val="20"/>
          <w:color w:val="auto"/>
        </w:rPr>
      </w:pPr>
    </w:p>
    <w:p>
      <w:pPr>
        <w:ind w:left="1140" w:right="800"/>
        <w:spacing w:after="0" w:line="406"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right="1380"/>
        <w:spacing w:after="0" w:line="406" w:lineRule="auto"/>
        <w:rPr>
          <w:sz w:val="20"/>
          <w:szCs w:val="20"/>
          <w:color w:val="auto"/>
        </w:rPr>
      </w:pPr>
      <w:r>
        <w:rPr>
          <w:rFonts w:ascii="Courier New" w:cs="Courier New" w:eastAsia="Courier New" w:hAnsi="Courier New"/>
          <w:sz w:val="21"/>
          <w:szCs w:val="21"/>
          <w:color w:val="auto"/>
        </w:rPr>
        <w:t xml:space="preserve">JPMorgan Chase &amp; Co. is the beneficial owner of </w:t>
      </w:r>
      <w:r>
        <w:rPr>
          <w:rFonts w:ascii="Courier New" w:cs="Courier New" w:eastAsia="Courier New" w:hAnsi="Courier New"/>
          <w:sz w:val="21"/>
          <w:szCs w:val="21"/>
          <w:color w:val="008000"/>
        </w:rPr>
        <w:t>403,441</w:t>
      </w:r>
      <w:r>
        <w:rPr>
          <w:rFonts w:ascii="Courier New" w:cs="Courier New" w:eastAsia="Courier New" w:hAnsi="Courier New"/>
          <w:sz w:val="21"/>
          <w:szCs w:val="21"/>
          <w:color w:val="auto"/>
        </w:rPr>
        <w:t xml:space="preserve"> shares of the issuer's common stock on behalf of other persons known to have one or more of the following:</w:t>
      </w:r>
    </w:p>
    <w:p>
      <w:pPr>
        <w:ind w:left="2660"/>
        <w:spacing w:after="0"/>
        <w:rPr>
          <w:sz w:val="20"/>
          <w:szCs w:val="20"/>
          <w:color w:val="auto"/>
        </w:rPr>
      </w:pPr>
      <w:r>
        <w:rPr>
          <w:rFonts w:ascii="Courier New" w:cs="Courier New" w:eastAsia="Courier New" w:hAnsi="Courier New"/>
          <w:sz w:val="21"/>
          <w:szCs w:val="21"/>
          <w:color w:val="auto"/>
        </w:rPr>
        <w:t>the right to receive dividends for such securities;</w:t>
      </w:r>
    </w:p>
    <w:p>
      <w:pPr>
        <w:spacing w:after="0" w:line="165" w:lineRule="exact"/>
        <w:rPr>
          <w:sz w:val="20"/>
          <w:szCs w:val="20"/>
          <w:color w:val="auto"/>
        </w:rPr>
      </w:pPr>
    </w:p>
    <w:p>
      <w:pPr>
        <w:ind w:left="2660"/>
        <w:spacing w:after="0"/>
        <w:rPr>
          <w:sz w:val="20"/>
          <w:szCs w:val="20"/>
          <w:color w:val="auto"/>
        </w:rPr>
      </w:pPr>
      <w:r>
        <w:rPr>
          <w:rFonts w:ascii="Courier New" w:cs="Courier New" w:eastAsia="Courier New" w:hAnsi="Courier New"/>
          <w:sz w:val="21"/>
          <w:szCs w:val="21"/>
          <w:color w:val="auto"/>
        </w:rPr>
        <w:t>the power to direct the receipt of dividends from such securities;</w:t>
      </w:r>
    </w:p>
    <w:p>
      <w:pPr>
        <w:spacing w:after="0" w:line="165" w:lineRule="exact"/>
        <w:rPr>
          <w:sz w:val="20"/>
          <w:szCs w:val="20"/>
          <w:color w:val="auto"/>
        </w:rPr>
      </w:pPr>
    </w:p>
    <w:p>
      <w:pPr>
        <w:ind w:left="2660" w:right="1580"/>
        <w:spacing w:after="0"/>
        <w:rPr>
          <w:sz w:val="20"/>
          <w:szCs w:val="20"/>
          <w:color w:val="auto"/>
        </w:rPr>
      </w:pPr>
      <w:r>
        <w:rPr>
          <w:rFonts w:ascii="Courier New" w:cs="Courier New" w:eastAsia="Courier New" w:hAnsi="Courier New"/>
          <w:sz w:val="21"/>
          <w:szCs w:val="21"/>
          <w:color w:val="auto"/>
        </w:rPr>
        <w:t>the right to receive the proceeds from the sale of such securities;</w:t>
      </w:r>
    </w:p>
    <w:p>
      <w:pPr>
        <w:spacing w:after="0" w:line="164" w:lineRule="exact"/>
        <w:rPr>
          <w:sz w:val="20"/>
          <w:szCs w:val="20"/>
          <w:color w:val="auto"/>
        </w:rPr>
      </w:pPr>
    </w:p>
    <w:p>
      <w:pPr>
        <w:ind w:left="2660" w:right="300"/>
        <w:spacing w:after="0"/>
        <w:rPr>
          <w:sz w:val="20"/>
          <w:szCs w:val="20"/>
          <w:color w:val="auto"/>
        </w:rPr>
      </w:pPr>
      <w:r>
        <w:rPr>
          <w:rFonts w:ascii="Courier New" w:cs="Courier New" w:eastAsia="Courier New" w:hAnsi="Courier New"/>
          <w:sz w:val="21"/>
          <w:szCs w:val="21"/>
          <w:color w:val="auto"/>
        </w:rPr>
        <w:t>the right to direct the receipt of proceeds from the sale of such securities;</w:t>
      </w:r>
    </w:p>
    <w:p>
      <w:pPr>
        <w:spacing w:after="0" w:line="164" w:lineRule="exact"/>
        <w:rPr>
          <w:sz w:val="20"/>
          <w:szCs w:val="20"/>
          <w:color w:val="auto"/>
        </w:rPr>
      </w:pPr>
    </w:p>
    <w:p>
      <w:pPr>
        <w:ind w:left="60" w:right="1640"/>
        <w:spacing w:after="0" w:line="407" w:lineRule="auto"/>
        <w:rPr>
          <w:sz w:val="20"/>
          <w:szCs w:val="20"/>
          <w:color w:val="auto"/>
        </w:rPr>
      </w:pPr>
      <w:r>
        <w:rPr>
          <w:rFonts w:ascii="Courier New" w:cs="Courier New" w:eastAsia="Courier New" w:hAnsi="Courier New"/>
          <w:sz w:val="21"/>
          <w:szCs w:val="21"/>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21"/>
          <w:szCs w:val="21"/>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w:t>
      </w:r>
    </w:p>
    <w:p>
      <w:pPr>
        <w:ind w:left="3920"/>
        <w:spacing w:after="0"/>
        <w:rPr>
          <w:sz w:val="20"/>
          <w:szCs w:val="20"/>
          <w:color w:val="auto"/>
        </w:rPr>
      </w:pPr>
      <w:r>
        <w:rPr>
          <w:rFonts w:ascii="Courier New" w:cs="Courier New" w:eastAsia="Courier New" w:hAnsi="Courier New"/>
          <w:sz w:val="21"/>
          <w:szCs w:val="21"/>
          <w:b w:val="1"/>
          <w:bCs w:val="1"/>
          <w:color w:val="auto"/>
        </w:rPr>
        <w:t>Acquired the</w:t>
      </w:r>
    </w:p>
    <w:p>
      <w:pPr>
        <w:spacing w:after="0" w:line="165" w:lineRule="exact"/>
        <w:rPr>
          <w:sz w:val="20"/>
          <w:szCs w:val="20"/>
          <w:color w:val="auto"/>
        </w:rPr>
      </w:pPr>
    </w:p>
    <w:p>
      <w:pPr>
        <w:ind w:left="3920"/>
        <w:spacing w:after="0"/>
        <w:rPr>
          <w:sz w:val="20"/>
          <w:szCs w:val="20"/>
          <w:color w:val="auto"/>
        </w:rPr>
      </w:pPr>
      <w:r>
        <w:rPr>
          <w:rFonts w:ascii="Courier New" w:cs="Courier New" w:eastAsia="Courier New" w:hAnsi="Courier New"/>
          <w:sz w:val="21"/>
          <w:szCs w:val="21"/>
          <w:b w:val="1"/>
          <w:bCs w:val="1"/>
          <w:color w:val="auto"/>
        </w:rPr>
        <w:t>Security being reported on by the Parent Holding Company.</w:t>
      </w:r>
    </w:p>
    <w:p>
      <w:pPr>
        <w:spacing w:after="0" w:line="165" w:lineRule="exact"/>
        <w:rPr>
          <w:sz w:val="20"/>
          <w:szCs w:val="20"/>
          <w:color w:val="auto"/>
        </w:rPr>
      </w:pPr>
    </w:p>
    <w:p>
      <w:pPr>
        <w:ind w:right="1700"/>
        <w:spacing w:after="0" w:line="406" w:lineRule="auto"/>
        <w:rPr>
          <w:sz w:val="20"/>
          <w:szCs w:val="20"/>
          <w:color w:val="auto"/>
        </w:rPr>
      </w:pPr>
      <w:r>
        <w:rPr>
          <w:rFonts w:ascii="Courier New" w:cs="Courier New" w:eastAsia="Courier New" w:hAnsi="Courier New"/>
          <w:sz w:val="21"/>
          <w:szCs w:val="21"/>
          <w:color w:val="auto"/>
        </w:rPr>
        <w:t>This notice is filed on behalf of JPMorgan Chase &amp; Co. and its wholly owned Subsidiary (ies),</w:t>
      </w:r>
    </w:p>
    <w:p>
      <w:pPr>
        <w:spacing w:after="0"/>
        <w:rPr>
          <w:sz w:val="20"/>
          <w:szCs w:val="20"/>
          <w:color w:val="auto"/>
        </w:rPr>
      </w:pPr>
      <w:r>
        <w:rPr>
          <w:rFonts w:ascii="Courier New" w:cs="Courier New" w:eastAsia="Courier New" w:hAnsi="Courier New"/>
          <w:sz w:val="21"/>
          <w:szCs w:val="21"/>
          <w:color w:val="auto"/>
        </w:rPr>
        <w:t>JPMorgan Chase Bank, National Association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J.P. Morgan Investment Management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Bank One Trust Co., N.A.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Banc One Investment Advisors Corporation</w:t>
      </w:r>
    </w:p>
    <w:p>
      <w:pPr>
        <w:sectPr>
          <w:pgSz w:w="11900" w:h="16838" w:orient="portrait"/>
          <w:cols w:equalWidth="0" w:num="1">
            <w:col w:w="11280"/>
          </w:cols>
          <w:pgMar w:left="320" w:top="9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1"/>
          <w:szCs w:val="21"/>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ectPr>
          <w:pgSz w:w="11900" w:h="16838" w:orient="portrait"/>
          <w:cols w:equalWidth="0" w:num="1">
            <w:col w:w="11280"/>
          </w:cols>
          <w:pgMar w:left="320" w:top="99" w:right="2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853"/>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9.</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Notice of Dissolution of Group.</w:t>
            </w:r>
          </w:p>
        </w:tc>
      </w:tr>
      <w:tr>
        <w:trPr>
          <w:trHeight w:val="403"/>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770"/>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10.</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Certifications</w:t>
            </w:r>
          </w:p>
        </w:tc>
      </w:tr>
    </w:tbl>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By signing below I certify that,</w:t>
            </w:r>
          </w:p>
        </w:tc>
        <w:tc>
          <w:tcPr>
            <w:tcW w:w="2300" w:type="dxa"/>
            <w:vAlign w:val="bottom"/>
            <w:gridSpan w:val="2"/>
          </w:tcPr>
          <w:p>
            <w:pPr>
              <w:jc w:val="right"/>
              <w:spacing w:after="0"/>
              <w:rPr>
                <w:sz w:val="20"/>
                <w:szCs w:val="20"/>
                <w:color w:val="auto"/>
              </w:rPr>
            </w:pPr>
            <w:r>
              <w:rPr>
                <w:rFonts w:ascii="Courier New" w:cs="Courier New" w:eastAsia="Courier New" w:hAnsi="Courier New"/>
                <w:sz w:val="21"/>
                <w:szCs w:val="21"/>
                <w:color w:val="auto"/>
              </w:rPr>
              <w:t>to the best of my</w:t>
            </w:r>
          </w:p>
        </w:tc>
        <w:tc>
          <w:tcPr>
            <w:tcW w:w="1280" w:type="dxa"/>
            <w:vAlign w:val="bottom"/>
          </w:tcPr>
          <w:p>
            <w:pPr>
              <w:ind w:left="60"/>
              <w:spacing w:after="0"/>
              <w:rPr>
                <w:sz w:val="20"/>
                <w:szCs w:val="20"/>
                <w:color w:val="auto"/>
              </w:rPr>
            </w:pPr>
            <w:r>
              <w:rPr>
                <w:rFonts w:ascii="Courier New" w:cs="Courier New" w:eastAsia="Courier New" w:hAnsi="Courier New"/>
                <w:sz w:val="21"/>
                <w:szCs w:val="21"/>
                <w:color w:val="auto"/>
              </w:rPr>
              <w:t>knowledge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and belief,</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the securities referred to above</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were not</w:t>
            </w:r>
          </w:p>
        </w:tc>
        <w:tc>
          <w:tcPr>
            <w:tcW w:w="1160" w:type="dxa"/>
            <w:vAlign w:val="bottom"/>
          </w:tcPr>
          <w:p>
            <w:pPr>
              <w:jc w:val="right"/>
              <w:spacing w:after="0"/>
              <w:rPr>
                <w:sz w:val="20"/>
                <w:szCs w:val="20"/>
                <w:color w:val="auto"/>
              </w:rPr>
            </w:pPr>
            <w:r>
              <w:rPr>
                <w:rFonts w:ascii="Courier New" w:cs="Courier New" w:eastAsia="Courier New" w:hAnsi="Courier New"/>
                <w:sz w:val="21"/>
                <w:szCs w:val="21"/>
                <w:color w:val="auto"/>
              </w:rPr>
              <w:t>acquired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and are not held for the</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purpose of or with the effect of</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changing</w:t>
            </w:r>
          </w:p>
        </w:tc>
        <w:tc>
          <w:tcPr>
            <w:tcW w:w="244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or influencing the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control of the</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issuer of the securities</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and were not acquired and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are not held in connection</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with or as a participant</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in any transaction having</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that purpose or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474345</wp:posOffset>
            </wp:positionV>
            <wp:extent cx="72891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4" w:lineRule="exact"/>
        <w:rPr>
          <w:sz w:val="20"/>
          <w:szCs w:val="20"/>
          <w:color w:val="auto"/>
        </w:rPr>
      </w:pPr>
    </w:p>
    <w:p>
      <w:pPr>
        <w:ind w:left="5000"/>
        <w:spacing w:after="0"/>
        <w:rPr>
          <w:sz w:val="20"/>
          <w:szCs w:val="20"/>
          <w:color w:val="auto"/>
        </w:rPr>
      </w:pPr>
      <w:r>
        <w:rPr>
          <w:rFonts w:ascii="Courier New" w:cs="Courier New" w:eastAsia="Courier New" w:hAnsi="Courier New"/>
          <w:sz w:val="21"/>
          <w:szCs w:val="21"/>
          <w:color w:val="auto"/>
        </w:rPr>
        <w:t>SIGNATURE</w:t>
      </w:r>
    </w:p>
    <w:p>
      <w:pPr>
        <w:spacing w:after="0" w:line="161" w:lineRule="exact"/>
        <w:rPr>
          <w:sz w:val="20"/>
          <w:szCs w:val="20"/>
          <w:color w:val="auto"/>
        </w:rPr>
      </w:pPr>
    </w:p>
    <w:p>
      <w:pPr>
        <w:ind w:right="740"/>
        <w:spacing w:after="0" w:line="420"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0620"/>
          </w:cols>
          <w:pgMar w:left="320" w:top="58" w:right="959" w:bottom="1440" w:gutter="0" w:footer="0" w:header="0"/>
        </w:sectPr>
      </w:pPr>
    </w:p>
    <w:p>
      <w:pPr>
        <w:spacing w:after="0" w:line="193" w:lineRule="exact"/>
        <w:rPr>
          <w:sz w:val="20"/>
          <w:szCs w:val="20"/>
          <w:color w:val="auto"/>
        </w:rPr>
      </w:pPr>
    </w:p>
    <w:p>
      <w:pPr>
        <w:ind w:left="60"/>
        <w:spacing w:after="0"/>
        <w:rPr>
          <w:sz w:val="20"/>
          <w:szCs w:val="20"/>
          <w:color w:val="auto"/>
        </w:rPr>
      </w:pPr>
      <w:r>
        <w:rPr>
          <w:rFonts w:ascii="Courier New" w:cs="Courier New" w:eastAsia="Courier New" w:hAnsi="Courier New"/>
          <w:sz w:val="19"/>
          <w:szCs w:val="19"/>
          <w:color w:val="auto"/>
        </w:rPr>
        <w:t>Dated: February 10, 2005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JPMorgan Chase &amp; Co.</w:t>
      </w:r>
    </w:p>
    <w:p>
      <w:pPr>
        <w:spacing w:after="0" w:line="164"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By: /s/ Margaret R. Rubin</w:t>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Margaret R. Rubin</w:t>
      </w:r>
    </w:p>
    <w:p>
      <w:pPr>
        <w:spacing w:after="0" w:line="164"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ectPr>
          <w:pgSz w:w="11900" w:h="16838" w:orient="portrait"/>
          <w:cols w:equalWidth="0" w:num="2">
            <w:col w:w="5580" w:space="720"/>
            <w:col w:w="4320"/>
          </w:cols>
          <w:pgMar w:left="320" w:top="58"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180"/>
        <w:spacing w:after="0" w:line="445"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w:t>
      </w:r>
    </w:p>
    <w:p>
      <w:pPr>
        <w:spacing w:after="0" w:line="2" w:lineRule="exact"/>
        <w:rPr>
          <w:sz w:val="20"/>
          <w:szCs w:val="20"/>
          <w:color w:val="auto"/>
        </w:rPr>
      </w:pPr>
    </w:p>
    <w:p>
      <w:pPr>
        <w:ind w:right="960"/>
        <w:spacing w:after="0" w:line="422"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269875</wp:posOffset>
            </wp:positionV>
            <wp:extent cx="72891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405130</wp:posOffset>
            </wp:positionV>
            <wp:extent cx="72891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sectPr>
      <w:pgSz w:w="11900" w:h="16838" w:orient="portrait"/>
      <w:cols w:equalWidth="0" w:num="1">
        <w:col w:w="10620"/>
      </w:cols>
      <w:pgMar w:left="320" w:top="58"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2019-12-13T08:05:49Z</dcterms:created>
  <dcterms:modified xsi:type="dcterms:W3CDTF">2019-12-13T08:05:49Z</dcterms:modified>
</cp:coreProperties>
</file>